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587E" w:rsidRPr="00D65B55" w:rsidRDefault="0058587E" w:rsidP="0058587E">
      <w:pPr>
        <w:pBdr>
          <w:top w:val="none" w:sz="4" w:space="0" w:color="000000"/>
          <w:left w:val="none" w:sz="4" w:space="0" w:color="000000"/>
          <w:bottom w:val="none" w:sz="4" w:space="0" w:color="000000"/>
          <w:right w:val="none" w:sz="4" w:space="0" w:color="000000"/>
        </w:pBdr>
        <w:tabs>
          <w:tab w:val="left" w:pos="884"/>
          <w:tab w:val="left" w:pos="1196"/>
        </w:tabs>
        <w:spacing w:after="0" w:line="240" w:lineRule="auto"/>
        <w:ind w:left="-142" w:right="566"/>
        <w:jc w:val="center"/>
        <w:rPr>
          <w:rFonts w:ascii="Times New Roman" w:hAnsi="Times New Roman" w:cs="Times New Roman"/>
          <w:color w:val="000000" w:themeColor="text1"/>
          <w:sz w:val="24"/>
          <w:szCs w:val="24"/>
          <w:lang w:val="ro-MD"/>
        </w:rPr>
      </w:pPr>
      <w:r w:rsidRPr="00D65B55">
        <w:rPr>
          <w:rFonts w:ascii="Times New Roman" w:hAnsi="Times New Roman" w:cs="Times New Roman"/>
          <w:b/>
          <w:color w:val="000000" w:themeColor="text1"/>
          <w:sz w:val="24"/>
          <w:szCs w:val="24"/>
          <w:lang w:val="ro-MD"/>
        </w:rPr>
        <w:t>NOTA DE FUNDAMENTARE</w:t>
      </w:r>
    </w:p>
    <w:p w:rsidR="0058587E" w:rsidRPr="00D65B55" w:rsidRDefault="0058587E" w:rsidP="0058587E">
      <w:pPr>
        <w:spacing w:after="0" w:line="240" w:lineRule="auto"/>
        <w:ind w:left="-142" w:right="566"/>
        <w:jc w:val="center"/>
        <w:rPr>
          <w:rFonts w:ascii="Times New Roman" w:hAnsi="Times New Roman" w:cs="Times New Roman"/>
          <w:color w:val="000000" w:themeColor="text1"/>
          <w:sz w:val="24"/>
          <w:szCs w:val="24"/>
          <w:lang w:val="ro-MD"/>
        </w:rPr>
      </w:pPr>
      <w:r w:rsidRPr="00D65B55">
        <w:rPr>
          <w:rFonts w:ascii="Times New Roman" w:hAnsi="Times New Roman" w:cs="Times New Roman"/>
          <w:b/>
          <w:color w:val="000000" w:themeColor="text1"/>
          <w:sz w:val="24"/>
          <w:szCs w:val="24"/>
          <w:lang w:val="ro-MD"/>
        </w:rPr>
        <w:t>la proiectul Hotărârii Guvernului cu privire la acordul de schimbare a destinației unui teren din proprietatea raionului Căușeni</w:t>
      </w:r>
    </w:p>
    <w:p w:rsidR="0058587E" w:rsidRPr="00D65B55" w:rsidRDefault="0058587E" w:rsidP="0058587E">
      <w:pPr>
        <w:pBdr>
          <w:top w:val="none" w:sz="4" w:space="0" w:color="000000"/>
          <w:left w:val="none" w:sz="4" w:space="0" w:color="000000"/>
          <w:bottom w:val="none" w:sz="4" w:space="0" w:color="000000"/>
          <w:right w:val="none" w:sz="4" w:space="0" w:color="000000"/>
        </w:pBdr>
        <w:tabs>
          <w:tab w:val="left" w:pos="884"/>
          <w:tab w:val="left" w:pos="1196"/>
        </w:tabs>
        <w:spacing w:after="0" w:line="240" w:lineRule="auto"/>
        <w:ind w:left="-142"/>
        <w:jc w:val="center"/>
        <w:rPr>
          <w:rFonts w:ascii="Times New Roman" w:hAnsi="Times New Roman" w:cs="Times New Roman"/>
          <w:color w:val="000000" w:themeColor="text1"/>
          <w:sz w:val="24"/>
          <w:szCs w:val="24"/>
          <w:lang w:val="ro-MD"/>
        </w:rPr>
      </w:pPr>
    </w:p>
    <w:tbl>
      <w:tblPr>
        <w:tblStyle w:val="a5"/>
        <w:tblW w:w="0" w:type="auto"/>
        <w:tblInd w:w="-436"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9930"/>
      </w:tblGrid>
      <w:tr w:rsidR="0058587E" w:rsidRPr="00C07C91" w:rsidTr="00E70F70">
        <w:tc>
          <w:tcPr>
            <w:tcW w:w="9930" w:type="dxa"/>
            <w:tcBorders>
              <w:top w:val="single" w:sz="8"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58587E" w:rsidRPr="00D65B55" w:rsidRDefault="0058587E" w:rsidP="00E70F70">
            <w:pPr>
              <w:ind w:left="-142" w:firstLine="608"/>
              <w:rPr>
                <w:rFonts w:ascii="Times New Roman" w:hAnsi="Times New Roman"/>
                <w:b/>
                <w:bCs/>
                <w:color w:val="000000" w:themeColor="text1"/>
                <w:sz w:val="24"/>
                <w:szCs w:val="24"/>
                <w:lang w:val="ro-MD"/>
              </w:rPr>
            </w:pPr>
            <w:r w:rsidRPr="00D65B55">
              <w:rPr>
                <w:rFonts w:ascii="Times New Roman" w:hAnsi="Times New Roman"/>
                <w:b/>
                <w:bCs/>
                <w:color w:val="000000" w:themeColor="text1"/>
                <w:sz w:val="24"/>
                <w:szCs w:val="24"/>
                <w:lang w:val="ro-MD"/>
              </w:rPr>
              <w:t>1. Denumirea sau numele autorului și, după caz, a/al participanților la elaborarea proiectului actului normativ</w:t>
            </w:r>
          </w:p>
        </w:tc>
      </w:tr>
      <w:tr w:rsidR="0058587E" w:rsidRPr="00C07C91" w:rsidTr="00E70F70">
        <w:tc>
          <w:tcPr>
            <w:tcW w:w="993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58587E" w:rsidRPr="00D65B55" w:rsidRDefault="0058587E" w:rsidP="00E70F70">
            <w:pPr>
              <w:ind w:firstLine="568"/>
              <w:rPr>
                <w:rFonts w:ascii="Times New Roman" w:hAnsi="Times New Roman"/>
                <w:color w:val="000000" w:themeColor="text1"/>
                <w:sz w:val="24"/>
                <w:szCs w:val="24"/>
                <w:lang w:val="ro-MD"/>
              </w:rPr>
            </w:pPr>
            <w:r w:rsidRPr="00D65B55">
              <w:rPr>
                <w:rFonts w:ascii="Times New Roman" w:hAnsi="Times New Roman"/>
                <w:color w:val="000000" w:themeColor="text1"/>
                <w:sz w:val="24"/>
                <w:szCs w:val="24"/>
                <w:lang w:val="ro-MD"/>
              </w:rPr>
              <w:t>Proiectul Hotărârii Guvernului cu privire la acordul de schimbare a destinației unui teren din proprietatea raionului Căușeni, a fost elaborat de către Ministerul Educației și Cercetării.</w:t>
            </w:r>
          </w:p>
        </w:tc>
      </w:tr>
      <w:tr w:rsidR="0058587E" w:rsidRPr="00C07C91" w:rsidTr="00E70F70">
        <w:tc>
          <w:tcPr>
            <w:tcW w:w="9930"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58587E" w:rsidRPr="00D65B55" w:rsidRDefault="0058587E" w:rsidP="00E70F70">
            <w:pPr>
              <w:ind w:firstLine="568"/>
              <w:rPr>
                <w:rFonts w:ascii="Times New Roman" w:hAnsi="Times New Roman"/>
                <w:b/>
                <w:bCs/>
                <w:color w:val="000000" w:themeColor="text1"/>
                <w:sz w:val="24"/>
                <w:szCs w:val="24"/>
                <w:lang w:val="ro-MD"/>
              </w:rPr>
            </w:pPr>
            <w:r w:rsidRPr="00D65B55">
              <w:rPr>
                <w:rFonts w:ascii="Times New Roman" w:hAnsi="Times New Roman"/>
                <w:b/>
                <w:bCs/>
                <w:color w:val="000000" w:themeColor="text1"/>
                <w:sz w:val="24"/>
                <w:szCs w:val="24"/>
                <w:lang w:val="ro-MD"/>
              </w:rPr>
              <w:t>2. Condițiile ce au impus elaborarea proiectului actului normativ</w:t>
            </w:r>
          </w:p>
        </w:tc>
      </w:tr>
      <w:tr w:rsidR="0058587E" w:rsidRPr="00C07C91" w:rsidTr="00E70F70">
        <w:tc>
          <w:tcPr>
            <w:tcW w:w="9930"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58587E" w:rsidRPr="00D65B55" w:rsidRDefault="0058587E" w:rsidP="00E70F70">
            <w:pPr>
              <w:ind w:firstLine="568"/>
              <w:rPr>
                <w:rFonts w:ascii="Times New Roman" w:hAnsi="Times New Roman"/>
                <w:color w:val="000000" w:themeColor="text1"/>
                <w:sz w:val="24"/>
                <w:szCs w:val="24"/>
                <w:lang w:val="ro-MD"/>
              </w:rPr>
            </w:pPr>
            <w:r w:rsidRPr="00D65B55">
              <w:rPr>
                <w:rFonts w:ascii="Times New Roman" w:hAnsi="Times New Roman"/>
                <w:color w:val="000000" w:themeColor="text1"/>
                <w:sz w:val="24"/>
                <w:szCs w:val="24"/>
                <w:lang w:val="ro-MD"/>
              </w:rPr>
              <w:t>2.1. Temeiul legal sau, după caz, sursa proiectului actului normativ</w:t>
            </w:r>
          </w:p>
        </w:tc>
      </w:tr>
      <w:tr w:rsidR="0058587E" w:rsidRPr="00C07C91" w:rsidTr="00E70F70">
        <w:tc>
          <w:tcPr>
            <w:tcW w:w="9930"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58587E" w:rsidRPr="00D65B55" w:rsidRDefault="0058587E" w:rsidP="00E70F70">
            <w:pPr>
              <w:ind w:firstLine="568"/>
              <w:rPr>
                <w:rFonts w:ascii="Times New Roman" w:hAnsi="Times New Roman"/>
                <w:color w:val="000000" w:themeColor="text1"/>
                <w:sz w:val="24"/>
                <w:szCs w:val="24"/>
                <w:lang w:val="ro-MD"/>
              </w:rPr>
            </w:pPr>
            <w:r w:rsidRPr="00D65B55">
              <w:rPr>
                <w:rFonts w:ascii="Times New Roman" w:hAnsi="Times New Roman"/>
                <w:color w:val="000000" w:themeColor="text1"/>
                <w:sz w:val="24"/>
                <w:szCs w:val="24"/>
                <w:lang w:val="ro-MD"/>
              </w:rPr>
              <w:t>Proiectul Hotărârii Guvernului cu privire la acordul de schimbare a destinației unui teren din proprietatea raionului Căușeni a fost elaborat în temeiul art.146 alin.(4) al Codului educației nr.152/2014 și în baza deciziei pozitive a Comisiei de avizare a raportului de expertiză din 16 decembrie 2025.</w:t>
            </w:r>
          </w:p>
        </w:tc>
      </w:tr>
      <w:tr w:rsidR="0058587E" w:rsidRPr="00C07C91" w:rsidTr="00E70F70">
        <w:tc>
          <w:tcPr>
            <w:tcW w:w="9930"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58587E" w:rsidRPr="00D65B55" w:rsidRDefault="0058587E" w:rsidP="00E70F70">
            <w:pPr>
              <w:ind w:firstLine="568"/>
              <w:rPr>
                <w:rFonts w:ascii="Times New Roman" w:hAnsi="Times New Roman"/>
                <w:color w:val="000000" w:themeColor="text1"/>
                <w:sz w:val="24"/>
                <w:szCs w:val="24"/>
                <w:lang w:val="ro-MD"/>
              </w:rPr>
            </w:pPr>
            <w:r w:rsidRPr="00D65B55">
              <w:rPr>
                <w:rFonts w:ascii="Times New Roman" w:hAnsi="Times New Roman"/>
                <w:color w:val="000000" w:themeColor="text1"/>
                <w:sz w:val="24"/>
                <w:szCs w:val="24"/>
                <w:lang w:val="ro-MD"/>
              </w:rPr>
              <w:t>2.2. Descrierea situației actuale și a problemelor care impun intervenția, inclusiv a cadrului normativ aplicabil și a deficiențelor/lacunelor normative</w:t>
            </w:r>
          </w:p>
        </w:tc>
      </w:tr>
      <w:tr w:rsidR="0058587E" w:rsidRPr="00C07C91" w:rsidTr="00E70F70">
        <w:tc>
          <w:tcPr>
            <w:tcW w:w="9930"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58587E" w:rsidRPr="00D65B55" w:rsidRDefault="0058587E" w:rsidP="00E70F70">
            <w:pPr>
              <w:pBdr>
                <w:top w:val="nil"/>
                <w:left w:val="nil"/>
                <w:bottom w:val="nil"/>
                <w:right w:val="nil"/>
                <w:between w:val="nil"/>
              </w:pBdr>
              <w:ind w:firstLine="568"/>
              <w:rPr>
                <w:rFonts w:ascii="Times New Roman" w:hAnsi="Times New Roman"/>
                <w:color w:val="000000" w:themeColor="text1"/>
                <w:sz w:val="24"/>
                <w:szCs w:val="24"/>
                <w:lang w:val="ro-MD"/>
              </w:rPr>
            </w:pPr>
            <w:r w:rsidRPr="00D65B55">
              <w:rPr>
                <w:rFonts w:ascii="Times New Roman" w:hAnsi="Times New Roman"/>
                <w:color w:val="000000" w:themeColor="text1"/>
                <w:sz w:val="24"/>
                <w:szCs w:val="24"/>
                <w:lang w:val="ro-MD"/>
              </w:rPr>
              <w:t>Conform art.146 alin.(4) din Codul educației nr.152/2014, „</w:t>
            </w:r>
            <w:r w:rsidRPr="00D65B55">
              <w:rPr>
                <w:rFonts w:ascii="Times New Roman" w:hAnsi="Times New Roman"/>
                <w:i/>
                <w:color w:val="000000" w:themeColor="text1"/>
                <w:sz w:val="24"/>
                <w:szCs w:val="24"/>
                <w:shd w:val="clear" w:color="auto" w:fill="FFFFFF"/>
                <w:lang w:val="ro-MD"/>
              </w:rPr>
              <w:t>Transferul (trecerea) bunurilor imobile destinate educației din domeniul public al unității administrativ-teritoriale în domeniul privat al unității administrativ-teritoriale sau schimbarea destinației acestora se realizează prin decizii ale consiliului satului (comunei), orașului, raionului, municipiului, Adunării Populare a Găgăuziei, cu acordul prealabil al Guvernului. Transferul bunurilor imobile destinate educației din domeniul public al statului în domeniul privat al statului sau schimbarea destinației acestora se realizează prin hotărâre a Guvernului. Adoptarea hotărârii/deciziei respective este precedată de realizarea unui raport de expertiză prin care se demonstrează încetarea necesității de utilizare a bunurilor conform destinației acestora. Metodologia de realizare a raportului de expertiză se aprobă de Guvern</w:t>
            </w:r>
            <w:r w:rsidRPr="00D65B55">
              <w:rPr>
                <w:rFonts w:ascii="Times New Roman" w:hAnsi="Times New Roman"/>
                <w:color w:val="000000" w:themeColor="text1"/>
                <w:sz w:val="24"/>
                <w:szCs w:val="24"/>
                <w:lang w:val="ro-MD"/>
              </w:rPr>
              <w:t>”.</w:t>
            </w:r>
          </w:p>
          <w:p w:rsidR="0058587E" w:rsidRPr="00D65B55" w:rsidRDefault="0058587E" w:rsidP="00E70F70">
            <w:pPr>
              <w:pBdr>
                <w:top w:val="nil"/>
                <w:left w:val="nil"/>
                <w:bottom w:val="nil"/>
                <w:right w:val="nil"/>
                <w:between w:val="nil"/>
              </w:pBdr>
              <w:ind w:firstLine="568"/>
              <w:rPr>
                <w:rFonts w:ascii="Times New Roman" w:hAnsi="Times New Roman"/>
                <w:color w:val="000000" w:themeColor="text1"/>
                <w:sz w:val="24"/>
                <w:szCs w:val="24"/>
                <w:lang w:val="ro-MD"/>
              </w:rPr>
            </w:pPr>
            <w:r w:rsidRPr="00D65B55">
              <w:rPr>
                <w:rFonts w:ascii="Times New Roman" w:hAnsi="Times New Roman"/>
                <w:color w:val="000000" w:themeColor="text1"/>
                <w:sz w:val="24"/>
                <w:szCs w:val="24"/>
                <w:lang w:val="ro-MD"/>
              </w:rPr>
              <w:t xml:space="preserve">În conformitate cu Hotărârea Guvernului nr.314/2018 a fost aprobată </w:t>
            </w:r>
            <w:r w:rsidRPr="00D65B55">
              <w:rPr>
                <w:rFonts w:ascii="Times New Roman" w:hAnsi="Times New Roman"/>
                <w:i/>
                <w:color w:val="000000" w:themeColor="text1"/>
                <w:sz w:val="24"/>
                <w:szCs w:val="24"/>
                <w:lang w:val="ro-MD"/>
              </w:rPr>
              <w:t xml:space="preserve">Metodologia de realizare a raportului de expertiză privind încetarea necesității menținerii în domeniul public a unor bunuri imobile destinate domeniului educației </w:t>
            </w:r>
            <w:r w:rsidRPr="00D65B55">
              <w:rPr>
                <w:rFonts w:ascii="Times New Roman" w:hAnsi="Times New Roman"/>
                <w:color w:val="000000" w:themeColor="text1"/>
                <w:sz w:val="24"/>
                <w:szCs w:val="24"/>
                <w:lang w:val="ro-MD"/>
              </w:rPr>
              <w:t>(în continuare Metodologia)</w:t>
            </w:r>
            <w:r w:rsidRPr="00D65B55">
              <w:rPr>
                <w:rFonts w:ascii="Times New Roman" w:hAnsi="Times New Roman"/>
                <w:i/>
                <w:color w:val="000000" w:themeColor="text1"/>
                <w:sz w:val="24"/>
                <w:szCs w:val="24"/>
                <w:lang w:val="ro-MD"/>
              </w:rPr>
              <w:t>.</w:t>
            </w:r>
          </w:p>
          <w:p w:rsidR="0058587E" w:rsidRPr="00D65B55" w:rsidRDefault="0058587E" w:rsidP="00E70F70">
            <w:pPr>
              <w:pBdr>
                <w:top w:val="nil"/>
                <w:left w:val="nil"/>
                <w:bottom w:val="nil"/>
                <w:right w:val="nil"/>
                <w:between w:val="nil"/>
              </w:pBdr>
              <w:ind w:firstLine="568"/>
              <w:rPr>
                <w:rFonts w:ascii="Times New Roman" w:hAnsi="Times New Roman"/>
                <w:color w:val="000000" w:themeColor="text1"/>
                <w:sz w:val="24"/>
                <w:szCs w:val="24"/>
                <w:lang w:val="ro-MD"/>
              </w:rPr>
            </w:pPr>
            <w:r w:rsidRPr="00D65B55">
              <w:rPr>
                <w:rFonts w:ascii="Times New Roman" w:hAnsi="Times New Roman"/>
                <w:color w:val="000000" w:themeColor="text1"/>
                <w:sz w:val="24"/>
                <w:szCs w:val="24"/>
                <w:lang w:val="ro-MD"/>
              </w:rPr>
              <w:t>Potrivit pct. 17 din Metodologie „</w:t>
            </w:r>
            <w:r w:rsidRPr="00D65B55">
              <w:rPr>
                <w:rFonts w:ascii="Times New Roman" w:hAnsi="Times New Roman"/>
                <w:i/>
                <w:color w:val="000000" w:themeColor="text1"/>
                <w:sz w:val="24"/>
                <w:szCs w:val="24"/>
                <w:lang w:val="ro-MD"/>
              </w:rPr>
              <w:t>Comisia examinează raportul de expertiză sub aspectul plenitudinii și corectitudinii informației prezentate de fondator. În acest sens, comisia are dreptul să solicite informații de la orice instituție sau autoritate publică în scopul verificării corectitudinii datelor indicate în raportul de expertiză</w:t>
            </w:r>
            <w:r w:rsidRPr="00D65B55">
              <w:rPr>
                <w:rFonts w:ascii="Times New Roman" w:hAnsi="Times New Roman"/>
                <w:color w:val="000000" w:themeColor="text1"/>
                <w:sz w:val="24"/>
                <w:szCs w:val="24"/>
                <w:lang w:val="ro-MD"/>
              </w:rPr>
              <w:t>”.</w:t>
            </w:r>
          </w:p>
          <w:p w:rsidR="0058587E" w:rsidRPr="00D65B55" w:rsidRDefault="0058587E" w:rsidP="00E70F70">
            <w:pPr>
              <w:pStyle w:val="a6"/>
              <w:shd w:val="clear" w:color="auto" w:fill="FFFFFF"/>
              <w:spacing w:before="0" w:beforeAutospacing="0" w:after="0" w:afterAutospacing="0"/>
              <w:ind w:firstLine="568"/>
              <w:rPr>
                <w:i/>
                <w:color w:val="000000" w:themeColor="text1"/>
                <w:lang w:val="ro-MD"/>
              </w:rPr>
            </w:pPr>
            <w:r w:rsidRPr="00D65B55">
              <w:rPr>
                <w:color w:val="000000" w:themeColor="text1"/>
                <w:lang w:val="ro-MD"/>
              </w:rPr>
              <w:t>La pct.19 din Metodologie sunt enumerate cazurile în care Comisia de Avizare avizează negativ Raportul de expertiză a bunurilor imobile destinate educației</w:t>
            </w:r>
            <w:r w:rsidRPr="00D65B55">
              <w:rPr>
                <w:i/>
                <w:color w:val="000000" w:themeColor="text1"/>
                <w:lang w:val="ro-MD"/>
              </w:rPr>
              <w:t>.</w:t>
            </w:r>
          </w:p>
          <w:p w:rsidR="0058587E" w:rsidRPr="00D65B55" w:rsidRDefault="0058587E" w:rsidP="00E70F70">
            <w:pPr>
              <w:pBdr>
                <w:top w:val="nil"/>
                <w:left w:val="nil"/>
                <w:bottom w:val="nil"/>
                <w:right w:val="nil"/>
                <w:between w:val="nil"/>
              </w:pBdr>
              <w:ind w:firstLine="568"/>
              <w:rPr>
                <w:rFonts w:ascii="Times New Roman" w:hAnsi="Times New Roman"/>
                <w:color w:val="000000" w:themeColor="text1"/>
                <w:sz w:val="24"/>
                <w:szCs w:val="24"/>
                <w:lang w:val="ro-MD"/>
              </w:rPr>
            </w:pPr>
            <w:r w:rsidRPr="00D65B55">
              <w:rPr>
                <w:rFonts w:ascii="Times New Roman" w:hAnsi="Times New Roman"/>
                <w:color w:val="000000" w:themeColor="text1"/>
                <w:sz w:val="24"/>
                <w:szCs w:val="24"/>
                <w:lang w:val="ro-MD"/>
              </w:rPr>
              <w:t>De altfel, dacă nu sunt întrunite condițiile de emitere a unui aviz negativ, Comisia de avizare a rapoartelor de expertiză urmează să avizeze pozitiv raportul de expertiză înaintat spre examinare. Menționăm că, în rapoartele avizate nu s-au constatat informații eronate.</w:t>
            </w:r>
          </w:p>
          <w:p w:rsidR="0058587E" w:rsidRPr="00D65B55" w:rsidRDefault="0058587E" w:rsidP="00E70F70">
            <w:pPr>
              <w:pBdr>
                <w:top w:val="nil"/>
                <w:left w:val="nil"/>
                <w:bottom w:val="nil"/>
                <w:right w:val="nil"/>
                <w:between w:val="nil"/>
              </w:pBdr>
              <w:ind w:firstLine="568"/>
              <w:rPr>
                <w:rFonts w:ascii="Times New Roman" w:hAnsi="Times New Roman"/>
                <w:color w:val="000000" w:themeColor="text1"/>
                <w:sz w:val="24"/>
                <w:szCs w:val="24"/>
                <w:lang w:val="ro-MD"/>
              </w:rPr>
            </w:pPr>
            <w:r w:rsidRPr="00D65B55">
              <w:rPr>
                <w:rFonts w:ascii="Times New Roman" w:hAnsi="Times New Roman"/>
                <w:color w:val="000000" w:themeColor="text1"/>
                <w:sz w:val="24"/>
                <w:szCs w:val="24"/>
                <w:lang w:val="ro-MD"/>
              </w:rPr>
              <w:t>Totodată, Comisia de avizare a constatat că rapoartul de expertiză examinat satisfac condițiile de plenitudine și corectitudine cerute de pct.17 al Metodologiei nominalizate supra.</w:t>
            </w:r>
          </w:p>
          <w:p w:rsidR="0058587E" w:rsidRPr="00D65B55" w:rsidRDefault="0058587E" w:rsidP="00E70F70">
            <w:pPr>
              <w:ind w:firstLine="567"/>
              <w:rPr>
                <w:rFonts w:ascii="Times New Roman" w:hAnsi="Times New Roman"/>
                <w:sz w:val="24"/>
                <w:szCs w:val="24"/>
                <w:lang w:val="ro-MD"/>
              </w:rPr>
            </w:pPr>
            <w:r w:rsidRPr="00D65B55">
              <w:rPr>
                <w:rFonts w:ascii="Times New Roman" w:hAnsi="Times New Roman"/>
                <w:sz w:val="24"/>
                <w:szCs w:val="24"/>
                <w:lang w:val="ro-MD"/>
              </w:rPr>
              <w:t>Prin demersul nr. 02/4-12/508 din 16.09.2025, Președintele raionului Căușeni a solicitat Ministerului Educației și Cercetării examinarea și avizarea raportului de expertiză privind o porțiune de teren cu suprafața de 0,4429 ha din terenul aferent Liceului Teoretic „Ion Creangă” din or. Căușeni, str. Unirii, 17.</w:t>
            </w:r>
          </w:p>
          <w:p w:rsidR="0058587E" w:rsidRPr="00D65B55" w:rsidRDefault="0058587E" w:rsidP="00E70F70">
            <w:pPr>
              <w:ind w:firstLine="567"/>
              <w:rPr>
                <w:rFonts w:ascii="Times New Roman" w:hAnsi="Times New Roman"/>
                <w:sz w:val="24"/>
                <w:szCs w:val="24"/>
                <w:lang w:val="ro-MD"/>
              </w:rPr>
            </w:pPr>
            <w:r w:rsidRPr="00D65B55">
              <w:rPr>
                <w:rFonts w:ascii="Times New Roman" w:hAnsi="Times New Roman"/>
                <w:sz w:val="24"/>
                <w:szCs w:val="24"/>
                <w:lang w:val="ro-MD"/>
              </w:rPr>
              <w:t xml:space="preserve">Terenul cu nr. cadastral 2701205.054 are suprafața totală de 2.2034 ha. Pe acest teren sunt amplasate 5 construcții (construcția cu nr. cadastral </w:t>
            </w:r>
            <w:bookmarkStart w:id="0" w:name="_Hlk210899194"/>
            <w:r w:rsidRPr="00D65B55">
              <w:rPr>
                <w:rFonts w:ascii="Times New Roman" w:hAnsi="Times New Roman"/>
                <w:sz w:val="24"/>
                <w:szCs w:val="24"/>
                <w:lang w:val="ro-MD"/>
              </w:rPr>
              <w:t xml:space="preserve">2701205.054.01 – </w:t>
            </w:r>
            <w:bookmarkEnd w:id="0"/>
            <w:r w:rsidRPr="00D65B55">
              <w:rPr>
                <w:rFonts w:ascii="Times New Roman" w:hAnsi="Times New Roman"/>
                <w:sz w:val="24"/>
                <w:szCs w:val="24"/>
                <w:lang w:val="ro-MD"/>
              </w:rPr>
              <w:t>construcția de învățământ și educație; nr. cadastral 2701205.054.02 – construcție accesorie; nr. cadastral 2701205.054.03 – construcție; nr. cadastral 2701205.054.04 – construcție accesorie; nr. cadastral 2701205.054.05 – construcție accesorie).</w:t>
            </w:r>
          </w:p>
          <w:p w:rsidR="0058587E" w:rsidRPr="00D65B55" w:rsidRDefault="0058587E" w:rsidP="00E70F70">
            <w:pPr>
              <w:ind w:firstLine="567"/>
              <w:rPr>
                <w:rFonts w:ascii="Times New Roman" w:hAnsi="Times New Roman"/>
                <w:sz w:val="24"/>
                <w:szCs w:val="24"/>
                <w:lang w:val="ro-MD"/>
              </w:rPr>
            </w:pPr>
            <w:r w:rsidRPr="00D65B55">
              <w:rPr>
                <w:rFonts w:ascii="Times New Roman" w:hAnsi="Times New Roman"/>
                <w:sz w:val="24"/>
                <w:szCs w:val="24"/>
                <w:lang w:val="ro-MD"/>
              </w:rPr>
              <w:t>Potrivit informațiilor din baza de date electronică a Instituției Publice Cadastrul Bunurilor Imobile, terenul cu nr. cadastral 2701205054 constituie proprietate a Raionului Căușeni.</w:t>
            </w:r>
          </w:p>
          <w:p w:rsidR="0058587E" w:rsidRPr="00D65B55" w:rsidRDefault="0058587E" w:rsidP="00E70F70">
            <w:pPr>
              <w:ind w:firstLine="567"/>
              <w:rPr>
                <w:rFonts w:ascii="Times New Roman" w:hAnsi="Times New Roman"/>
                <w:sz w:val="24"/>
                <w:szCs w:val="24"/>
                <w:lang w:val="ro-MD"/>
              </w:rPr>
            </w:pPr>
            <w:r w:rsidRPr="00D65B55">
              <w:rPr>
                <w:rFonts w:ascii="Times New Roman" w:hAnsi="Times New Roman"/>
                <w:sz w:val="24"/>
                <w:szCs w:val="24"/>
                <w:lang w:val="ro-MD"/>
              </w:rPr>
              <w:lastRenderedPageBreak/>
              <w:t xml:space="preserve">Prin Decizia nr.3/11 din 06 mai 2025, s-a dispus formarea terenului cu nr. cadastral 2701205371 cu suprafața de 0,4429 ha, prin separarea acestuia din terenul cu nr. cadastral 2701205054, cu suprafața de 2.2034 ha, aferent Liceului Teoretic „Ion Creangă” din or. Căușeni, str. Unirii, 17. </w:t>
            </w:r>
          </w:p>
          <w:p w:rsidR="0058587E" w:rsidRPr="00D65B55" w:rsidRDefault="0058587E" w:rsidP="00E70F70">
            <w:pPr>
              <w:ind w:firstLine="567"/>
              <w:rPr>
                <w:rFonts w:ascii="Times New Roman" w:hAnsi="Times New Roman"/>
                <w:sz w:val="24"/>
                <w:szCs w:val="24"/>
                <w:lang w:val="ro-MD"/>
              </w:rPr>
            </w:pPr>
            <w:r w:rsidRPr="00D65B55">
              <w:rPr>
                <w:rFonts w:ascii="Times New Roman" w:hAnsi="Times New Roman"/>
                <w:sz w:val="24"/>
                <w:szCs w:val="24"/>
                <w:lang w:val="ro-MD"/>
              </w:rPr>
              <w:t>La data examinării raportului de expertiză de către Comisia de avizare a rapoartelor de expertiză din cadrul Ministerului Educației și Cercetării, terenul cu nr. cadastral 2701205371 cu suprafața de 0,4429 ha, din or. Căușeni, str. Unirii, 17 nu era înregistrat în Registrul bunurilor imobile (respectiv procedura de formare nu era finalizată în sensul art.14 alin.(2) din Legea nr.354/2004 cu privire la formarea bunurilor imobile).</w:t>
            </w:r>
          </w:p>
          <w:p w:rsidR="0058587E" w:rsidRPr="00D65B55" w:rsidRDefault="0058587E" w:rsidP="00E70F70">
            <w:pPr>
              <w:ind w:firstLine="567"/>
              <w:rPr>
                <w:rFonts w:ascii="Times New Roman" w:hAnsi="Times New Roman"/>
                <w:sz w:val="24"/>
                <w:szCs w:val="24"/>
                <w:lang w:val="ro-MD"/>
              </w:rPr>
            </w:pPr>
            <w:r w:rsidRPr="00D65B55">
              <w:rPr>
                <w:rFonts w:ascii="Times New Roman" w:hAnsi="Times New Roman"/>
                <w:sz w:val="24"/>
                <w:szCs w:val="24"/>
                <w:lang w:val="ro-MD"/>
              </w:rPr>
              <w:t>Prin Decizia Consiliului raional Căușeni nr. 4/30 din 25 iulie 2025 cu privire la instituirea comisiei de elaborare a raportului de expertiză, s-a dispus, instituirea Comisiei de elaborare a raportului de expertiză pentru bunul imobil cu nr. cadastral 2701205054, proprietatea raionului Căușeni, aflată în gestiunea Liceului Teoretic „Ion Creangă” din or. Căușeni și elaborarea raportului de expertiză în conformitate cu Metodologia de realizare a raportului de expertiză, aprobată prin Hotărârea Guvernului nr. 314/2018, cu modificările ulterioare.</w:t>
            </w:r>
          </w:p>
          <w:p w:rsidR="0058587E" w:rsidRPr="00D65B55" w:rsidRDefault="0058587E" w:rsidP="00E70F70">
            <w:pPr>
              <w:ind w:firstLine="567"/>
              <w:rPr>
                <w:rFonts w:ascii="Times New Roman" w:hAnsi="Times New Roman"/>
                <w:sz w:val="24"/>
                <w:szCs w:val="24"/>
                <w:lang w:val="ro-MD"/>
              </w:rPr>
            </w:pPr>
            <w:r w:rsidRPr="00D65B55">
              <w:rPr>
                <w:rFonts w:ascii="Times New Roman" w:hAnsi="Times New Roman"/>
                <w:sz w:val="24"/>
                <w:szCs w:val="24"/>
                <w:lang w:val="ro-MD"/>
              </w:rPr>
              <w:t>Potrivit Raportului de expertiză în orașul Căușeni activează patru instituții de învățământ general, în care își fac studiile 2623 de elevi, după cum urmează:</w:t>
            </w:r>
          </w:p>
          <w:p w:rsidR="0058587E" w:rsidRPr="00D65B55" w:rsidRDefault="0058587E" w:rsidP="00E70F70">
            <w:pPr>
              <w:ind w:firstLine="567"/>
              <w:rPr>
                <w:rFonts w:ascii="Times New Roman" w:hAnsi="Times New Roman"/>
                <w:sz w:val="24"/>
                <w:szCs w:val="24"/>
                <w:lang w:val="ro-MD"/>
              </w:rPr>
            </w:pPr>
            <w:r w:rsidRPr="00D65B55">
              <w:rPr>
                <w:rFonts w:ascii="Times New Roman" w:hAnsi="Times New Roman"/>
                <w:sz w:val="24"/>
                <w:szCs w:val="24"/>
                <w:lang w:val="ro-MD"/>
              </w:rPr>
              <w:t>1. Liceul Teoretic „A. Mateevici” Căușeni are o capacitate de 400 de elevi. În prezent, aici își fac studiile 387 de elevi, ceea ce constituie 96% din capacitatea totală a instituției;</w:t>
            </w:r>
          </w:p>
          <w:p w:rsidR="0058587E" w:rsidRPr="00D65B55" w:rsidRDefault="0058587E" w:rsidP="00E70F70">
            <w:pPr>
              <w:ind w:firstLine="567"/>
              <w:rPr>
                <w:rFonts w:ascii="Times New Roman" w:hAnsi="Times New Roman"/>
                <w:sz w:val="24"/>
                <w:szCs w:val="24"/>
                <w:lang w:val="ro-MD"/>
              </w:rPr>
            </w:pPr>
            <w:r w:rsidRPr="00D65B55">
              <w:rPr>
                <w:rFonts w:ascii="Times New Roman" w:hAnsi="Times New Roman"/>
                <w:sz w:val="24"/>
                <w:szCs w:val="24"/>
                <w:lang w:val="ro-MD"/>
              </w:rPr>
              <w:t>2. Liceul Teoretic „Mihai Eminescu” Căușeni are o capacitate de 1685 de elevi. La moment, studiază 1422 de copii, ceea ce constituie 85% din capacitatea totală a instituției;</w:t>
            </w:r>
          </w:p>
          <w:p w:rsidR="0058587E" w:rsidRPr="00D65B55" w:rsidRDefault="0058587E" w:rsidP="00E70F70">
            <w:pPr>
              <w:ind w:firstLine="567"/>
              <w:rPr>
                <w:rFonts w:ascii="Times New Roman" w:hAnsi="Times New Roman"/>
                <w:sz w:val="24"/>
                <w:szCs w:val="24"/>
                <w:lang w:val="ro-MD"/>
              </w:rPr>
            </w:pPr>
            <w:r w:rsidRPr="00D65B55">
              <w:rPr>
                <w:rFonts w:ascii="Times New Roman" w:hAnsi="Times New Roman"/>
                <w:sz w:val="24"/>
                <w:szCs w:val="24"/>
                <w:lang w:val="ro-MD"/>
              </w:rPr>
              <w:t>3. Liceul Teoretic „A. Pușkin” Căușeni este cu predare în limba rusă și are o capacitate de 420 elevi. Acesta este frecventat de 263 de elevi, ceea ce constituie 63% din capacitatea totală a instituției;</w:t>
            </w:r>
          </w:p>
          <w:p w:rsidR="0058587E" w:rsidRPr="00D65B55" w:rsidRDefault="0058587E" w:rsidP="00E70F70">
            <w:pPr>
              <w:ind w:firstLine="567"/>
              <w:rPr>
                <w:rFonts w:ascii="Times New Roman" w:hAnsi="Times New Roman"/>
                <w:sz w:val="24"/>
                <w:szCs w:val="24"/>
                <w:lang w:val="ro-MD"/>
              </w:rPr>
            </w:pPr>
            <w:r w:rsidRPr="00D65B55">
              <w:rPr>
                <w:rFonts w:ascii="Times New Roman" w:hAnsi="Times New Roman"/>
                <w:sz w:val="24"/>
                <w:szCs w:val="24"/>
                <w:lang w:val="ro-MD"/>
              </w:rPr>
              <w:t>4. Liceul Teoretic „Ion Creangă” Căușeni are o capacitate de 970 de elevi. Actualmente își fac studiile 551 de elevi, ceea ce constituie 56% din capacitatea totală a instituției.</w:t>
            </w:r>
          </w:p>
          <w:p w:rsidR="0058587E" w:rsidRPr="00D65B55" w:rsidRDefault="0058587E" w:rsidP="00E70F70">
            <w:pPr>
              <w:tabs>
                <w:tab w:val="left" w:pos="993"/>
              </w:tabs>
              <w:ind w:firstLine="567"/>
              <w:rPr>
                <w:rFonts w:ascii="Times New Roman" w:hAnsi="Times New Roman"/>
                <w:sz w:val="24"/>
                <w:szCs w:val="24"/>
                <w:lang w:val="ro-MD"/>
              </w:rPr>
            </w:pPr>
            <w:r w:rsidRPr="00D65B55">
              <w:rPr>
                <w:rFonts w:ascii="Times New Roman" w:hAnsi="Times New Roman"/>
                <w:sz w:val="24"/>
                <w:szCs w:val="24"/>
                <w:lang w:val="ro-MD"/>
              </w:rPr>
              <w:t>Acest fapt rezultă și din scrisoarea Direcția Educație, Cultură, Tineret, Sport și Turism Căușeni nr. 01-356 din 05 septembrie 2025.</w:t>
            </w:r>
          </w:p>
          <w:p w:rsidR="0058587E" w:rsidRPr="00D65B55" w:rsidRDefault="0058587E" w:rsidP="00E70F70">
            <w:pPr>
              <w:ind w:firstLine="567"/>
              <w:rPr>
                <w:rFonts w:ascii="Times New Roman" w:hAnsi="Times New Roman"/>
                <w:sz w:val="24"/>
                <w:szCs w:val="24"/>
                <w:lang w:val="ro-MD"/>
              </w:rPr>
            </w:pPr>
            <w:r w:rsidRPr="00D65B55">
              <w:rPr>
                <w:rFonts w:ascii="Times New Roman" w:hAnsi="Times New Roman"/>
                <w:sz w:val="24"/>
                <w:szCs w:val="24"/>
                <w:lang w:val="ro-MD"/>
              </w:rPr>
              <w:t>Porțiunea de teren cu suprafața de 0,4429 ha (nr. cadastral propus 2701205371) din terenul aferent Liceului Teoretic „Ion Creangă” din or. Căușeni, vizată spre a fi delimitată, potrivit administrației liceului, nu este utilizată în scopuri educaționale. Fiind amplasată în spatele clădirii, nu este valorificată și necesită cheltuieli și eforturi suplimentare pentru a menține salubrizarea și siguranța în acest spațiu.</w:t>
            </w:r>
          </w:p>
          <w:p w:rsidR="0058587E" w:rsidRPr="00D65B55" w:rsidRDefault="0058587E" w:rsidP="00E70F70">
            <w:pPr>
              <w:ind w:firstLine="567"/>
              <w:rPr>
                <w:rFonts w:ascii="Times New Roman" w:hAnsi="Times New Roman"/>
                <w:sz w:val="24"/>
                <w:szCs w:val="24"/>
                <w:lang w:val="ro-MD"/>
              </w:rPr>
            </w:pPr>
            <w:r w:rsidRPr="00D65B55">
              <w:rPr>
                <w:rFonts w:ascii="Times New Roman" w:hAnsi="Times New Roman"/>
                <w:sz w:val="24"/>
                <w:szCs w:val="24"/>
                <w:lang w:val="ro-MD"/>
              </w:rPr>
              <w:t>Potrivit Grupului de expertiză, menținerea în domeniul educațional a porțiunii de teren vizate nu constituie o prioritate pentru Liceul Teoretic „Ion Creangă” din or. Căușeni la etapa actuală.</w:t>
            </w:r>
          </w:p>
          <w:p w:rsidR="0058587E" w:rsidRPr="00D65B55" w:rsidRDefault="0058587E" w:rsidP="00E70F70">
            <w:pPr>
              <w:ind w:firstLine="567"/>
              <w:rPr>
                <w:rFonts w:ascii="Times New Roman" w:hAnsi="Times New Roman"/>
                <w:sz w:val="24"/>
                <w:szCs w:val="24"/>
                <w:lang w:val="ro-MD"/>
              </w:rPr>
            </w:pPr>
            <w:r w:rsidRPr="00D65B55">
              <w:rPr>
                <w:rFonts w:ascii="Times New Roman" w:hAnsi="Times New Roman"/>
                <w:sz w:val="24"/>
                <w:szCs w:val="24"/>
                <w:lang w:val="ro-MD"/>
              </w:rPr>
              <w:t>Prin demersul nr. 01-101 din 26 iunie 2025, directorul Liceului Teoretic „Ion Creangă” nu a formulat obiecții în raport cu intenția Consiliului raional Căușeni de a exclude din domeniul educațional porțiunea de teren supusă expertizării.</w:t>
            </w:r>
          </w:p>
          <w:p w:rsidR="0058587E" w:rsidRPr="00D65B55" w:rsidRDefault="0058587E" w:rsidP="00E70F70">
            <w:pPr>
              <w:ind w:firstLine="567"/>
              <w:rPr>
                <w:rFonts w:ascii="Times New Roman" w:hAnsi="Times New Roman"/>
                <w:color w:val="000000" w:themeColor="text1"/>
                <w:sz w:val="24"/>
                <w:szCs w:val="24"/>
                <w:lang w:val="ro-MD"/>
              </w:rPr>
            </w:pPr>
            <w:r w:rsidRPr="00D65B55">
              <w:rPr>
                <w:rFonts w:ascii="Times New Roman" w:hAnsi="Times New Roman"/>
                <w:color w:val="000000" w:themeColor="text1"/>
                <w:sz w:val="24"/>
                <w:szCs w:val="24"/>
                <w:lang w:val="ro-MD"/>
              </w:rPr>
              <w:t>Conform datelor demografice, în următorii 7 ani, numărul copiilor din unitatea administrativ-teritorială nu va depăși numărul locurilor vacante din clădirea existentă sau din celelalte instituții și nu va fi necesară deschiderea instituțiilor de învățământ noi. Rata nou născuților arată o descreștere în orașul Căușeni.</w:t>
            </w:r>
          </w:p>
          <w:p w:rsidR="0058587E" w:rsidRPr="00D65B55" w:rsidRDefault="0058587E" w:rsidP="00E70F70">
            <w:pPr>
              <w:ind w:firstLine="567"/>
              <w:rPr>
                <w:rFonts w:ascii="Times New Roman" w:hAnsi="Times New Roman"/>
                <w:sz w:val="24"/>
                <w:szCs w:val="24"/>
                <w:lang w:val="ro-MD"/>
              </w:rPr>
            </w:pPr>
            <w:r w:rsidRPr="00D65B55">
              <w:rPr>
                <w:rFonts w:ascii="Times New Roman" w:hAnsi="Times New Roman"/>
                <w:sz w:val="24"/>
                <w:szCs w:val="24"/>
                <w:lang w:val="ro-MD"/>
              </w:rPr>
              <w:t>Potrivit Raportului de expertiză, terenul cu nr. cadastral 2701205054, cu suprafața de 2,2034 ha, pe care sunt amplasate construcțiile Liceului Teoretic „Ion Creangă” din or. Căușeni, este mai mult decât suficient pentru necesitățile actuale ale instituției. Liceul nu dispune de resursele financiare și de personalul auxiliar necesar pentru gestionarea și amenajarea integrală a terenului. Porțiunea de teren vizată a fost destinată formării prin separare încă din anul 1972, însă până în prezent nu a fost valorificată în acest scop.</w:t>
            </w:r>
          </w:p>
          <w:p w:rsidR="0058587E" w:rsidRPr="00D65B55" w:rsidRDefault="0058587E" w:rsidP="00E70F70">
            <w:pPr>
              <w:ind w:firstLine="567"/>
              <w:rPr>
                <w:rFonts w:ascii="Times New Roman" w:hAnsi="Times New Roman"/>
                <w:sz w:val="24"/>
                <w:szCs w:val="24"/>
                <w:lang w:val="ro-MD"/>
              </w:rPr>
            </w:pPr>
            <w:r w:rsidRPr="00D65B55">
              <w:rPr>
                <w:rFonts w:ascii="Times New Roman" w:hAnsi="Times New Roman"/>
                <w:sz w:val="24"/>
                <w:szCs w:val="24"/>
                <w:lang w:val="ro-MD"/>
              </w:rPr>
              <w:t>Conform informațiilor din Raportul de expertiză Consiliul raional Căușeni planifică inițierea procedurilor de contrucție a unui nou Centru al Medicilor de Familie, cu 5 nivele, care va întruni toate condițiile și cerințele europene și va oferi confort, siguranță și servicii de înaltă calitate pentru populația raionului Căușeni, contribuind astfel la dezvoltarea infrastructurii urbane a orașului.</w:t>
            </w:r>
          </w:p>
          <w:p w:rsidR="0058587E" w:rsidRPr="00D65B55" w:rsidRDefault="0058587E" w:rsidP="00E70F70">
            <w:pPr>
              <w:ind w:firstLine="568"/>
              <w:rPr>
                <w:rFonts w:ascii="Times New Roman" w:hAnsi="Times New Roman"/>
                <w:sz w:val="24"/>
                <w:szCs w:val="24"/>
                <w:lang w:val="ro-MD"/>
              </w:rPr>
            </w:pPr>
            <w:r w:rsidRPr="00D65B55">
              <w:rPr>
                <w:rFonts w:ascii="Times New Roman" w:hAnsi="Times New Roman"/>
                <w:color w:val="000000" w:themeColor="text1"/>
                <w:sz w:val="24"/>
                <w:szCs w:val="24"/>
                <w:lang w:val="ro-MD"/>
              </w:rPr>
              <w:t xml:space="preserve">Prin procesul-verbal din 16 deembrie 2025, Comisia de avizare a rapoarelor de expertiză din cadrul Ministerului Educației și Cercetării a avizat favorabil raportul de expertiză privind </w:t>
            </w:r>
            <w:r w:rsidRPr="00D65B55">
              <w:rPr>
                <w:rFonts w:ascii="Times New Roman" w:hAnsi="Times New Roman"/>
                <w:sz w:val="24"/>
                <w:szCs w:val="24"/>
                <w:lang w:val="ro-MD"/>
              </w:rPr>
              <w:t xml:space="preserve">schimbarea destinației porțiunii de teren cu suprafața de 0,4429 ha (nr. cadastral propus 2701205371) din terenul </w:t>
            </w:r>
            <w:r w:rsidRPr="00D65B55">
              <w:rPr>
                <w:rFonts w:ascii="Times New Roman" w:hAnsi="Times New Roman"/>
                <w:sz w:val="24"/>
                <w:szCs w:val="24"/>
                <w:lang w:val="ro-MD"/>
              </w:rPr>
              <w:lastRenderedPageBreak/>
              <w:t>cu nr. cadastral 2701205054, aferent Liceului Teoretic „Ion Creangă” din r-nul Căușeni, or. Căușeni, str. Unirii, 17, cu respectarea următoarele condiții:</w:t>
            </w:r>
          </w:p>
          <w:p w:rsidR="0058587E" w:rsidRPr="00D65B55" w:rsidRDefault="0058587E" w:rsidP="00E70F70">
            <w:pPr>
              <w:tabs>
                <w:tab w:val="left" w:pos="8789"/>
              </w:tabs>
              <w:ind w:right="566" w:firstLine="567"/>
              <w:rPr>
                <w:rFonts w:ascii="Times New Roman" w:hAnsi="Times New Roman"/>
                <w:color w:val="000000" w:themeColor="text1"/>
                <w:sz w:val="24"/>
                <w:szCs w:val="24"/>
                <w:lang w:val="ro-MD"/>
              </w:rPr>
            </w:pPr>
            <w:r w:rsidRPr="00D65B55">
              <w:rPr>
                <w:rFonts w:ascii="Times New Roman" w:hAnsi="Times New Roman"/>
                <w:color w:val="000000" w:themeColor="text1"/>
                <w:sz w:val="24"/>
                <w:szCs w:val="24"/>
                <w:lang w:val="ro-MD"/>
              </w:rPr>
              <w:t>a) porțiunea de teren va fi utilizată pentru construcția Centrului Medicilor de Familie;</w:t>
            </w:r>
          </w:p>
          <w:p w:rsidR="0058587E" w:rsidRPr="00D65B55" w:rsidRDefault="0058587E" w:rsidP="00E70F70">
            <w:pPr>
              <w:ind w:right="566" w:firstLine="567"/>
              <w:rPr>
                <w:rFonts w:ascii="Times New Roman" w:hAnsi="Times New Roman"/>
                <w:color w:val="000000" w:themeColor="text1"/>
                <w:sz w:val="24"/>
                <w:szCs w:val="24"/>
                <w:lang w:val="ro-MD"/>
              </w:rPr>
            </w:pPr>
            <w:r w:rsidRPr="00D65B55">
              <w:rPr>
                <w:rFonts w:ascii="Times New Roman" w:hAnsi="Times New Roman"/>
                <w:color w:val="000000" w:themeColor="text1"/>
                <w:sz w:val="24"/>
                <w:szCs w:val="24"/>
                <w:lang w:val="ro-MD"/>
              </w:rPr>
              <w:t xml:space="preserve">b) proiectarea și construcția Centrului Medicilor de Familie nu va influența funcționalitatea normală a Liceului; </w:t>
            </w:r>
          </w:p>
          <w:p w:rsidR="0058587E" w:rsidRPr="00D65B55" w:rsidRDefault="0058587E" w:rsidP="00E70F70">
            <w:pPr>
              <w:ind w:right="566" w:firstLine="567"/>
              <w:rPr>
                <w:rFonts w:ascii="Times New Roman" w:hAnsi="Times New Roman"/>
                <w:color w:val="000000" w:themeColor="text1"/>
                <w:sz w:val="24"/>
                <w:szCs w:val="24"/>
                <w:lang w:val="ro-MD"/>
              </w:rPr>
            </w:pPr>
            <w:r w:rsidRPr="00D65B55">
              <w:rPr>
                <w:rFonts w:ascii="Times New Roman" w:hAnsi="Times New Roman"/>
                <w:color w:val="000000" w:themeColor="text1"/>
                <w:sz w:val="24"/>
                <w:szCs w:val="24"/>
                <w:lang w:val="ro-MD"/>
              </w:rPr>
              <w:t>c) la proiectarea și construcția Centrului Medicilor de Familie nu se vor admite intervenții care pot afecta exigențile normativelor tehnice ale Clădirii Liceului.</w:t>
            </w:r>
          </w:p>
          <w:p w:rsidR="0058587E" w:rsidRPr="00D65B55" w:rsidRDefault="0058587E" w:rsidP="00E70F70">
            <w:pPr>
              <w:ind w:right="566" w:firstLine="567"/>
              <w:rPr>
                <w:rFonts w:ascii="Times New Roman" w:hAnsi="Times New Roman"/>
                <w:color w:val="000000" w:themeColor="text1"/>
                <w:sz w:val="24"/>
                <w:szCs w:val="24"/>
                <w:lang w:val="ro-MD"/>
              </w:rPr>
            </w:pPr>
            <w:r w:rsidRPr="00D65B55">
              <w:rPr>
                <w:rFonts w:ascii="Times New Roman" w:hAnsi="Times New Roman"/>
                <w:color w:val="000000" w:themeColor="text1"/>
                <w:sz w:val="24"/>
                <w:szCs w:val="24"/>
                <w:lang w:val="ro-MD"/>
              </w:rPr>
              <w:t>d) la proiectarea, construcția și exploatarea Centrului Medicilor de Familie se vor identifica soluții pentru securizarea accesului la clădirea Liceului și terenul aferent.</w:t>
            </w:r>
          </w:p>
        </w:tc>
      </w:tr>
      <w:tr w:rsidR="0058587E" w:rsidRPr="00C07C91" w:rsidTr="00E70F70">
        <w:tc>
          <w:tcPr>
            <w:tcW w:w="9930"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58587E" w:rsidRPr="00D65B55" w:rsidRDefault="0058587E" w:rsidP="00E70F70">
            <w:pPr>
              <w:ind w:firstLine="568"/>
              <w:rPr>
                <w:rFonts w:ascii="Times New Roman" w:hAnsi="Times New Roman"/>
                <w:b/>
                <w:bCs/>
                <w:color w:val="000000" w:themeColor="text1"/>
                <w:sz w:val="24"/>
                <w:szCs w:val="24"/>
                <w:lang w:val="ro-MD"/>
              </w:rPr>
            </w:pPr>
            <w:r w:rsidRPr="00D65B55">
              <w:rPr>
                <w:rFonts w:ascii="Times New Roman" w:hAnsi="Times New Roman"/>
                <w:b/>
                <w:bCs/>
                <w:color w:val="000000" w:themeColor="text1"/>
                <w:sz w:val="24"/>
                <w:szCs w:val="24"/>
                <w:lang w:val="ro-MD"/>
              </w:rPr>
              <w:lastRenderedPageBreak/>
              <w:t>3. Obiectivele urmărite și soluțiile propuse</w:t>
            </w:r>
          </w:p>
        </w:tc>
      </w:tr>
      <w:tr w:rsidR="0058587E" w:rsidRPr="00C07C91" w:rsidTr="00E70F70">
        <w:tc>
          <w:tcPr>
            <w:tcW w:w="9930"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rsidR="0058587E" w:rsidRPr="00D65B55" w:rsidRDefault="0058587E" w:rsidP="00E70F70">
            <w:pPr>
              <w:ind w:firstLine="568"/>
              <w:rPr>
                <w:rFonts w:ascii="Times New Roman" w:hAnsi="Times New Roman"/>
                <w:color w:val="000000" w:themeColor="text1"/>
                <w:sz w:val="24"/>
                <w:szCs w:val="24"/>
                <w:lang w:val="ro-MD"/>
              </w:rPr>
            </w:pPr>
            <w:r w:rsidRPr="00D65B55">
              <w:rPr>
                <w:rFonts w:ascii="Times New Roman" w:hAnsi="Times New Roman"/>
                <w:color w:val="000000" w:themeColor="text1"/>
                <w:sz w:val="24"/>
                <w:szCs w:val="24"/>
                <w:lang w:val="ro-MD"/>
              </w:rPr>
              <w:t>3.1. Principalele prevederi ale proiectului și evidențierea elementelor noi</w:t>
            </w:r>
          </w:p>
        </w:tc>
      </w:tr>
      <w:tr w:rsidR="0058587E" w:rsidRPr="00C07C91" w:rsidTr="00E70F70">
        <w:tc>
          <w:tcPr>
            <w:tcW w:w="9930"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58587E" w:rsidRPr="00D65B55" w:rsidRDefault="0058587E" w:rsidP="00E70F70">
            <w:pPr>
              <w:ind w:firstLine="568"/>
              <w:rPr>
                <w:rFonts w:ascii="Times New Roman" w:hAnsi="Times New Roman"/>
                <w:color w:val="000000" w:themeColor="text1"/>
                <w:sz w:val="24"/>
                <w:szCs w:val="24"/>
                <w:lang w:val="ro-MD"/>
              </w:rPr>
            </w:pPr>
            <w:r w:rsidRPr="00D65B55">
              <w:rPr>
                <w:rFonts w:ascii="Times New Roman" w:hAnsi="Times New Roman"/>
                <w:color w:val="000000" w:themeColor="text1"/>
                <w:sz w:val="24"/>
                <w:szCs w:val="24"/>
                <w:lang w:val="ro-MD"/>
              </w:rPr>
              <w:t xml:space="preserve">Potrivit proiectului se exprimă acordul Guvernului de a fi schimbată destinația </w:t>
            </w:r>
            <w:r w:rsidRPr="00D65B55">
              <w:rPr>
                <w:rFonts w:ascii="Times New Roman" w:hAnsi="Times New Roman"/>
                <w:sz w:val="24"/>
                <w:szCs w:val="24"/>
                <w:lang w:val="ro-MD"/>
              </w:rPr>
              <w:t xml:space="preserve">unei porțiuni de teren cu suprafața de 0,4429 ha </w:t>
            </w:r>
            <w:r w:rsidRPr="00D65B55">
              <w:rPr>
                <w:rFonts w:ascii="Times New Roman" w:hAnsi="Times New Roman"/>
                <w:iCs/>
                <w:color w:val="000000" w:themeColor="text1"/>
                <w:sz w:val="24"/>
                <w:szCs w:val="24"/>
                <w:lang w:val="ro-MD"/>
              </w:rPr>
              <w:t>din terenul cu numărul cadastral 2701205.054 (aferent Liceului Teoretic „Ion Creangă” din or. Căușeni, str. Unirii, 17) ca urmare a constatării lipsei necesității de utilizare a acestuia în domeniul educației</w:t>
            </w:r>
            <w:r w:rsidRPr="00D65B55">
              <w:rPr>
                <w:rFonts w:ascii="Times New Roman" w:hAnsi="Times New Roman"/>
                <w:i/>
                <w:iCs/>
                <w:color w:val="000000" w:themeColor="text1"/>
                <w:sz w:val="24"/>
                <w:szCs w:val="24"/>
                <w:lang w:val="ro-MD"/>
              </w:rPr>
              <w:t>.</w:t>
            </w:r>
          </w:p>
          <w:p w:rsidR="0058587E" w:rsidRPr="00D65B55" w:rsidRDefault="0058587E" w:rsidP="00E70F70">
            <w:pPr>
              <w:tabs>
                <w:tab w:val="left" w:pos="733"/>
                <w:tab w:val="left" w:pos="1082"/>
              </w:tabs>
              <w:ind w:firstLine="568"/>
              <w:rPr>
                <w:rFonts w:ascii="Times New Roman" w:hAnsi="Times New Roman"/>
                <w:color w:val="000000" w:themeColor="text1"/>
                <w:sz w:val="24"/>
                <w:szCs w:val="24"/>
                <w:lang w:val="ro-MD"/>
              </w:rPr>
            </w:pPr>
            <w:r w:rsidRPr="00D65B55">
              <w:rPr>
                <w:rFonts w:ascii="Times New Roman" w:hAnsi="Times New Roman"/>
                <w:color w:val="000000" w:themeColor="text1"/>
                <w:sz w:val="24"/>
                <w:szCs w:val="24"/>
                <w:lang w:val="ro-MD"/>
              </w:rPr>
              <w:t>Conform pct. 2 al proiectului, data intrării în vigoare a Hotărârii de Guvern se propune a fi data publicării acesteia. Intrarea în vigoare a Hotărârii de Guvern la data publicării este dictată de necesitatea întreprinderii în termeni restrânși a acțiunilor în vederea valorificării bunurilor expertizate.</w:t>
            </w:r>
          </w:p>
        </w:tc>
      </w:tr>
      <w:tr w:rsidR="0058587E" w:rsidRPr="00C07C91" w:rsidTr="00E70F70">
        <w:tc>
          <w:tcPr>
            <w:tcW w:w="9930"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rsidR="0058587E" w:rsidRPr="00D65B55" w:rsidRDefault="0058587E" w:rsidP="00E70F70">
            <w:pPr>
              <w:ind w:firstLine="568"/>
              <w:rPr>
                <w:rFonts w:ascii="Times New Roman" w:hAnsi="Times New Roman"/>
                <w:color w:val="000000" w:themeColor="text1"/>
                <w:sz w:val="24"/>
                <w:szCs w:val="24"/>
                <w:lang w:val="ro-MD"/>
              </w:rPr>
            </w:pPr>
            <w:r w:rsidRPr="00D65B55">
              <w:rPr>
                <w:rFonts w:ascii="Times New Roman" w:hAnsi="Times New Roman"/>
                <w:color w:val="000000" w:themeColor="text1"/>
                <w:sz w:val="24"/>
                <w:szCs w:val="24"/>
                <w:lang w:val="ro-MD"/>
              </w:rPr>
              <w:t>3.2. Opțiunile alternative analizate și motivele pentru care acestea nu au fost luate în considerare</w:t>
            </w:r>
          </w:p>
        </w:tc>
      </w:tr>
      <w:tr w:rsidR="0058587E" w:rsidRPr="00D65B55" w:rsidTr="00E70F70">
        <w:tc>
          <w:tcPr>
            <w:tcW w:w="993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58587E" w:rsidRPr="00D65B55" w:rsidRDefault="0058587E" w:rsidP="00E70F70">
            <w:pPr>
              <w:ind w:firstLine="568"/>
              <w:rPr>
                <w:rFonts w:ascii="Times New Roman" w:hAnsi="Times New Roman"/>
                <w:b/>
                <w:color w:val="000000" w:themeColor="text1"/>
                <w:sz w:val="24"/>
                <w:szCs w:val="24"/>
                <w:lang w:val="ro-MD"/>
              </w:rPr>
            </w:pPr>
            <w:r w:rsidRPr="00D65B55">
              <w:rPr>
                <w:rFonts w:ascii="Times New Roman" w:hAnsi="Times New Roman"/>
                <w:b/>
                <w:color w:val="000000" w:themeColor="text1"/>
                <w:sz w:val="24"/>
                <w:szCs w:val="24"/>
                <w:lang w:val="ro-MD"/>
              </w:rPr>
              <w:t>Nu este aplicabil.</w:t>
            </w:r>
          </w:p>
        </w:tc>
      </w:tr>
      <w:tr w:rsidR="0058587E" w:rsidRPr="00D65B55" w:rsidTr="00E70F70">
        <w:trPr>
          <w:trHeight w:val="381"/>
        </w:trPr>
        <w:tc>
          <w:tcPr>
            <w:tcW w:w="9930"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58587E" w:rsidRPr="00D65B55" w:rsidRDefault="0058587E" w:rsidP="00E70F70">
            <w:pPr>
              <w:ind w:firstLine="568"/>
              <w:rPr>
                <w:rFonts w:ascii="Times New Roman" w:hAnsi="Times New Roman"/>
                <w:b/>
                <w:bCs/>
                <w:color w:val="000000" w:themeColor="text1"/>
                <w:sz w:val="24"/>
                <w:szCs w:val="24"/>
                <w:lang w:val="ro-MD"/>
              </w:rPr>
            </w:pPr>
            <w:r w:rsidRPr="00D65B55">
              <w:rPr>
                <w:rFonts w:ascii="Times New Roman" w:hAnsi="Times New Roman"/>
                <w:b/>
                <w:bCs/>
                <w:color w:val="000000" w:themeColor="text1"/>
                <w:sz w:val="24"/>
                <w:szCs w:val="24"/>
                <w:lang w:val="ro-MD"/>
              </w:rPr>
              <w:t xml:space="preserve">4. Analiza impactului de reglementare </w:t>
            </w:r>
          </w:p>
        </w:tc>
      </w:tr>
      <w:tr w:rsidR="0058587E" w:rsidRPr="00D65B55" w:rsidTr="00E70F70">
        <w:tc>
          <w:tcPr>
            <w:tcW w:w="9930"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58587E" w:rsidRPr="00D65B55" w:rsidRDefault="0058587E" w:rsidP="00E70F70">
            <w:pPr>
              <w:ind w:firstLine="568"/>
              <w:rPr>
                <w:rFonts w:ascii="Times New Roman" w:hAnsi="Times New Roman"/>
                <w:i/>
                <w:color w:val="000000" w:themeColor="text1"/>
                <w:sz w:val="24"/>
                <w:szCs w:val="24"/>
                <w:lang w:val="ro-MD"/>
              </w:rPr>
            </w:pPr>
            <w:r w:rsidRPr="00D65B55">
              <w:rPr>
                <w:rFonts w:ascii="Times New Roman" w:hAnsi="Times New Roman"/>
                <w:i/>
                <w:color w:val="000000" w:themeColor="text1"/>
                <w:sz w:val="24"/>
                <w:szCs w:val="24"/>
                <w:lang w:val="ro-MD"/>
              </w:rPr>
              <w:t>4.1. Impactul asupra sectorului public</w:t>
            </w:r>
          </w:p>
        </w:tc>
      </w:tr>
      <w:tr w:rsidR="0058587E" w:rsidRPr="00C07C91" w:rsidTr="00E70F70">
        <w:tc>
          <w:tcPr>
            <w:tcW w:w="9930"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58587E" w:rsidRPr="00D65B55" w:rsidRDefault="0058587E" w:rsidP="00E70F70">
            <w:pPr>
              <w:ind w:firstLine="568"/>
              <w:rPr>
                <w:rFonts w:ascii="Times New Roman" w:hAnsi="Times New Roman"/>
                <w:color w:val="000000" w:themeColor="text1"/>
                <w:sz w:val="24"/>
                <w:szCs w:val="24"/>
                <w:lang w:val="ro-MD"/>
              </w:rPr>
            </w:pPr>
            <w:r w:rsidRPr="00D65B55">
              <w:rPr>
                <w:rFonts w:ascii="Times New Roman" w:hAnsi="Times New Roman"/>
                <w:color w:val="000000" w:themeColor="text1"/>
                <w:sz w:val="24"/>
                <w:szCs w:val="24"/>
                <w:lang w:val="ro-MD"/>
              </w:rPr>
              <w:t>Prezentul proiect de Hotărâre de Guvern va avea un impact pozitiv asupra sectorului public, or, bunul imobil expertizat va fi valorificat pentru satisfacerea intereselor publice locale.</w:t>
            </w:r>
          </w:p>
        </w:tc>
      </w:tr>
      <w:tr w:rsidR="0058587E" w:rsidRPr="00C07C91" w:rsidTr="00E70F70">
        <w:tc>
          <w:tcPr>
            <w:tcW w:w="9930"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58587E" w:rsidRPr="00D65B55" w:rsidRDefault="0058587E" w:rsidP="00E70F70">
            <w:pPr>
              <w:ind w:firstLine="568"/>
              <w:rPr>
                <w:rFonts w:ascii="Times New Roman" w:hAnsi="Times New Roman"/>
                <w:color w:val="000000" w:themeColor="text1"/>
                <w:sz w:val="24"/>
                <w:szCs w:val="24"/>
                <w:lang w:val="ro-MD"/>
              </w:rPr>
            </w:pPr>
            <w:r w:rsidRPr="00D65B55">
              <w:rPr>
                <w:rFonts w:ascii="Times New Roman" w:hAnsi="Times New Roman"/>
                <w:i/>
                <w:color w:val="000000" w:themeColor="text1"/>
                <w:sz w:val="24"/>
                <w:szCs w:val="24"/>
                <w:lang w:val="ro-MD"/>
              </w:rPr>
              <w:t>4.2. Impactul financiar și argumentarea costurilor estimative</w:t>
            </w:r>
          </w:p>
        </w:tc>
      </w:tr>
      <w:tr w:rsidR="0058587E" w:rsidRPr="00C07C91" w:rsidTr="00E70F70">
        <w:tc>
          <w:tcPr>
            <w:tcW w:w="9930"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58587E" w:rsidRPr="00D65B55" w:rsidRDefault="0058587E" w:rsidP="00E70F70">
            <w:pPr>
              <w:ind w:firstLine="568"/>
              <w:rPr>
                <w:rFonts w:ascii="Times New Roman" w:hAnsi="Times New Roman"/>
                <w:color w:val="000000" w:themeColor="text1"/>
                <w:sz w:val="24"/>
                <w:szCs w:val="24"/>
                <w:lang w:val="ro-MD"/>
              </w:rPr>
            </w:pPr>
            <w:r w:rsidRPr="00D65B55">
              <w:rPr>
                <w:rFonts w:ascii="Times New Roman" w:hAnsi="Times New Roman"/>
                <w:color w:val="000000" w:themeColor="text1"/>
                <w:sz w:val="24"/>
                <w:szCs w:val="24"/>
                <w:lang w:val="ro-MD"/>
              </w:rPr>
              <w:t>Implementarea prevederilor proiectului nu necesită cheltuieli financiare suplimentare din bugetul de stat.</w:t>
            </w:r>
          </w:p>
        </w:tc>
      </w:tr>
      <w:tr w:rsidR="0058587E" w:rsidRPr="00D65B55" w:rsidTr="00E70F70">
        <w:trPr>
          <w:trHeight w:val="285"/>
        </w:trPr>
        <w:tc>
          <w:tcPr>
            <w:tcW w:w="9930" w:type="dxa"/>
            <w:tcBorders>
              <w:top w:val="none" w:sz="4" w:space="0" w:color="000000"/>
              <w:left w:val="single" w:sz="8" w:space="0" w:color="000000"/>
              <w:bottom w:val="single" w:sz="4" w:space="0" w:color="auto"/>
              <w:right w:val="single" w:sz="8" w:space="0" w:color="000000"/>
            </w:tcBorders>
            <w:shd w:val="clear" w:color="EDEDED" w:fill="EDEDED"/>
            <w:tcMar>
              <w:top w:w="0" w:type="dxa"/>
              <w:left w:w="108" w:type="dxa"/>
              <w:bottom w:w="0" w:type="dxa"/>
              <w:right w:w="108" w:type="dxa"/>
            </w:tcMar>
          </w:tcPr>
          <w:p w:rsidR="0058587E" w:rsidRPr="00D65B55" w:rsidRDefault="0058587E" w:rsidP="00E70F70">
            <w:pPr>
              <w:ind w:firstLine="568"/>
              <w:rPr>
                <w:rFonts w:ascii="Times New Roman" w:hAnsi="Times New Roman"/>
                <w:i/>
                <w:color w:val="000000" w:themeColor="text1"/>
                <w:sz w:val="24"/>
                <w:szCs w:val="24"/>
                <w:lang w:val="ro-MD"/>
              </w:rPr>
            </w:pPr>
            <w:r w:rsidRPr="00D65B55">
              <w:rPr>
                <w:rFonts w:ascii="Times New Roman" w:hAnsi="Times New Roman"/>
                <w:i/>
                <w:color w:val="000000" w:themeColor="text1"/>
                <w:sz w:val="24"/>
                <w:szCs w:val="24"/>
                <w:lang w:val="ro-MD"/>
              </w:rPr>
              <w:t>4.3. Impactul asupra sectorului privat</w:t>
            </w:r>
          </w:p>
        </w:tc>
      </w:tr>
      <w:tr w:rsidR="0058587E" w:rsidRPr="00D65B55" w:rsidTr="00E70F70">
        <w:trPr>
          <w:trHeight w:val="270"/>
        </w:trPr>
        <w:tc>
          <w:tcPr>
            <w:tcW w:w="9930" w:type="dxa"/>
            <w:tcBorders>
              <w:top w:val="single" w:sz="4" w:space="0" w:color="auto"/>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58587E" w:rsidRPr="00D65B55" w:rsidRDefault="0058587E" w:rsidP="00E70F70">
            <w:pPr>
              <w:ind w:firstLine="568"/>
              <w:rPr>
                <w:rFonts w:ascii="Times New Roman" w:hAnsi="Times New Roman"/>
                <w:b/>
                <w:color w:val="000000" w:themeColor="text1"/>
                <w:sz w:val="24"/>
                <w:szCs w:val="24"/>
                <w:lang w:val="ro-MD"/>
              </w:rPr>
            </w:pPr>
            <w:r w:rsidRPr="00D65B55">
              <w:rPr>
                <w:rFonts w:ascii="Times New Roman" w:hAnsi="Times New Roman"/>
                <w:b/>
                <w:color w:val="000000" w:themeColor="text1"/>
                <w:sz w:val="24"/>
                <w:szCs w:val="24"/>
                <w:lang w:val="ro-MD"/>
              </w:rPr>
              <w:t>Nu este aplicabil.</w:t>
            </w:r>
          </w:p>
        </w:tc>
      </w:tr>
      <w:tr w:rsidR="0058587E" w:rsidRPr="00D65B55" w:rsidTr="00E70F70">
        <w:trPr>
          <w:trHeight w:val="270"/>
        </w:trPr>
        <w:tc>
          <w:tcPr>
            <w:tcW w:w="9930" w:type="dxa"/>
            <w:tcBorders>
              <w:top w:val="none" w:sz="4" w:space="0" w:color="000000"/>
              <w:left w:val="single" w:sz="8" w:space="0" w:color="000000"/>
              <w:bottom w:val="single" w:sz="4" w:space="0" w:color="auto"/>
              <w:right w:val="single" w:sz="8" w:space="0" w:color="000000"/>
            </w:tcBorders>
            <w:shd w:val="clear" w:color="auto" w:fill="E7E6E6" w:themeFill="background2"/>
            <w:tcMar>
              <w:top w:w="0" w:type="dxa"/>
              <w:left w:w="108" w:type="dxa"/>
              <w:bottom w:w="0" w:type="dxa"/>
              <w:right w:w="108" w:type="dxa"/>
            </w:tcMar>
          </w:tcPr>
          <w:p w:rsidR="0058587E" w:rsidRPr="00D65B55" w:rsidRDefault="0058587E" w:rsidP="00E70F70">
            <w:pPr>
              <w:ind w:firstLine="568"/>
              <w:rPr>
                <w:rFonts w:ascii="Times New Roman" w:hAnsi="Times New Roman"/>
                <w:i/>
                <w:color w:val="000000" w:themeColor="text1"/>
                <w:sz w:val="24"/>
                <w:szCs w:val="24"/>
                <w:lang w:val="ro-MD"/>
              </w:rPr>
            </w:pPr>
            <w:r w:rsidRPr="00D65B55">
              <w:rPr>
                <w:rFonts w:ascii="Times New Roman" w:hAnsi="Times New Roman"/>
                <w:i/>
                <w:color w:val="000000" w:themeColor="text1"/>
                <w:sz w:val="24"/>
                <w:szCs w:val="24"/>
                <w:lang w:val="ro-MD"/>
              </w:rPr>
              <w:t>4.4. Impactul social</w:t>
            </w:r>
          </w:p>
        </w:tc>
      </w:tr>
      <w:tr w:rsidR="0058587E" w:rsidRPr="00C07C91" w:rsidTr="00E70F70">
        <w:trPr>
          <w:trHeight w:val="270"/>
        </w:trPr>
        <w:tc>
          <w:tcPr>
            <w:tcW w:w="9930" w:type="dxa"/>
            <w:tcBorders>
              <w:top w:val="single" w:sz="4" w:space="0" w:color="auto"/>
              <w:left w:val="single" w:sz="8" w:space="0" w:color="000000"/>
              <w:bottom w:val="single" w:sz="4" w:space="0" w:color="auto"/>
              <w:right w:val="single" w:sz="8" w:space="0" w:color="000000"/>
            </w:tcBorders>
            <w:shd w:val="clear" w:color="auto" w:fill="auto"/>
            <w:tcMar>
              <w:top w:w="0" w:type="dxa"/>
              <w:left w:w="108" w:type="dxa"/>
              <w:bottom w:w="0" w:type="dxa"/>
              <w:right w:w="108" w:type="dxa"/>
            </w:tcMar>
          </w:tcPr>
          <w:p w:rsidR="0058587E" w:rsidRPr="00D65B55" w:rsidRDefault="0058587E" w:rsidP="00E70F70">
            <w:pPr>
              <w:ind w:firstLine="568"/>
              <w:rPr>
                <w:rFonts w:ascii="Times New Roman" w:hAnsi="Times New Roman"/>
                <w:color w:val="000000" w:themeColor="text1"/>
                <w:sz w:val="24"/>
                <w:szCs w:val="24"/>
                <w:lang w:val="ro-MD"/>
              </w:rPr>
            </w:pPr>
            <w:r w:rsidRPr="00D65B55">
              <w:rPr>
                <w:rFonts w:ascii="Times New Roman" w:hAnsi="Times New Roman"/>
                <w:color w:val="000000" w:themeColor="text1"/>
                <w:sz w:val="24"/>
                <w:szCs w:val="24"/>
                <w:lang w:val="ro-MD"/>
              </w:rPr>
              <w:t>Prezentul proiect de Hotărâre va avea impact pozitiv asupra persoanelor din raionul Căușeni, or</w:t>
            </w:r>
          </w:p>
          <w:p w:rsidR="0058587E" w:rsidRPr="00D65B55" w:rsidRDefault="0058587E" w:rsidP="00E70F70">
            <w:pPr>
              <w:ind w:firstLine="0"/>
              <w:rPr>
                <w:rFonts w:ascii="Times New Roman" w:hAnsi="Times New Roman"/>
                <w:color w:val="000000" w:themeColor="text1"/>
                <w:sz w:val="24"/>
                <w:szCs w:val="24"/>
                <w:lang w:val="ro-MD"/>
              </w:rPr>
            </w:pPr>
            <w:r w:rsidRPr="00D65B55">
              <w:rPr>
                <w:rFonts w:ascii="Times New Roman" w:hAnsi="Times New Roman"/>
                <w:color w:val="000000" w:themeColor="text1"/>
                <w:sz w:val="24"/>
                <w:szCs w:val="24"/>
                <w:lang w:val="ro-MD"/>
              </w:rPr>
              <w:t xml:space="preserve">porțiunea de teren expertizată va fi itilizată pentru </w:t>
            </w:r>
            <w:r w:rsidRPr="00D65B55">
              <w:rPr>
                <w:rFonts w:ascii="Times New Roman" w:hAnsi="Times New Roman"/>
                <w:sz w:val="24"/>
                <w:szCs w:val="24"/>
                <w:lang w:val="ro-MD"/>
              </w:rPr>
              <w:t>contrucția unui nou Centru al Medicilor de Familie, cu 5 nivele, care va întruni toate condițiile și cerințele europene și va oferi confort, siguranță și servicii de înaltă calitate pentru populația raionului Căușeni, contribuind astfel la dezvoltarea infrastructurii urbane a orașului.</w:t>
            </w:r>
          </w:p>
        </w:tc>
      </w:tr>
      <w:tr w:rsidR="0058587E" w:rsidRPr="00C07C91" w:rsidTr="00E70F70">
        <w:trPr>
          <w:trHeight w:val="225"/>
        </w:trPr>
        <w:tc>
          <w:tcPr>
            <w:tcW w:w="9930" w:type="dxa"/>
            <w:tcBorders>
              <w:top w:val="single" w:sz="4" w:space="0" w:color="auto"/>
              <w:left w:val="single" w:sz="8" w:space="0" w:color="000000"/>
              <w:bottom w:val="single" w:sz="4" w:space="0" w:color="auto"/>
              <w:right w:val="single" w:sz="8" w:space="0" w:color="000000"/>
            </w:tcBorders>
            <w:shd w:val="clear" w:color="EDEDED" w:fill="EDEDED"/>
            <w:tcMar>
              <w:top w:w="0" w:type="dxa"/>
              <w:left w:w="108" w:type="dxa"/>
              <w:bottom w:w="0" w:type="dxa"/>
              <w:right w:w="108" w:type="dxa"/>
            </w:tcMar>
          </w:tcPr>
          <w:p w:rsidR="0058587E" w:rsidRPr="00D65B55" w:rsidRDefault="0058587E" w:rsidP="00E70F70">
            <w:pPr>
              <w:ind w:firstLine="568"/>
              <w:rPr>
                <w:rFonts w:ascii="Times New Roman" w:hAnsi="Times New Roman"/>
                <w:i/>
                <w:color w:val="000000" w:themeColor="text1"/>
                <w:sz w:val="24"/>
                <w:szCs w:val="24"/>
                <w:lang w:val="ro-MD"/>
              </w:rPr>
            </w:pPr>
            <w:r w:rsidRPr="00D65B55">
              <w:rPr>
                <w:rFonts w:ascii="Times New Roman" w:hAnsi="Times New Roman"/>
                <w:i/>
                <w:color w:val="000000" w:themeColor="text1"/>
                <w:sz w:val="24"/>
                <w:szCs w:val="24"/>
                <w:lang w:val="ro-MD"/>
              </w:rPr>
              <w:t>4.4.1. Impactul asupra datelor cu caracter personal</w:t>
            </w:r>
          </w:p>
        </w:tc>
      </w:tr>
      <w:tr w:rsidR="0058587E" w:rsidRPr="00D65B55" w:rsidTr="00E70F70">
        <w:trPr>
          <w:trHeight w:val="315"/>
        </w:trPr>
        <w:tc>
          <w:tcPr>
            <w:tcW w:w="9930" w:type="dxa"/>
            <w:tcBorders>
              <w:top w:val="single" w:sz="4" w:space="0" w:color="auto"/>
              <w:left w:val="single" w:sz="8" w:space="0" w:color="000000"/>
              <w:bottom w:val="single" w:sz="4" w:space="0" w:color="auto"/>
              <w:right w:val="single" w:sz="8" w:space="0" w:color="000000"/>
            </w:tcBorders>
            <w:shd w:val="clear" w:color="auto" w:fill="FFFFFF" w:themeFill="background1"/>
            <w:tcMar>
              <w:top w:w="0" w:type="dxa"/>
              <w:left w:w="108" w:type="dxa"/>
              <w:bottom w:w="0" w:type="dxa"/>
              <w:right w:w="108" w:type="dxa"/>
            </w:tcMar>
          </w:tcPr>
          <w:p w:rsidR="0058587E" w:rsidRPr="00D65B55" w:rsidRDefault="0058587E" w:rsidP="00E70F70">
            <w:pPr>
              <w:ind w:firstLine="568"/>
              <w:rPr>
                <w:rFonts w:ascii="Times New Roman" w:hAnsi="Times New Roman"/>
                <w:b/>
                <w:color w:val="000000" w:themeColor="text1"/>
                <w:sz w:val="24"/>
                <w:szCs w:val="24"/>
                <w:lang w:val="ro-MD"/>
              </w:rPr>
            </w:pPr>
            <w:r w:rsidRPr="00D65B55">
              <w:rPr>
                <w:rFonts w:ascii="Times New Roman" w:hAnsi="Times New Roman"/>
                <w:b/>
                <w:color w:val="000000" w:themeColor="text1"/>
                <w:sz w:val="24"/>
                <w:szCs w:val="24"/>
                <w:lang w:val="ro-MD"/>
              </w:rPr>
              <w:t>Nu este aplicabil.</w:t>
            </w:r>
          </w:p>
        </w:tc>
      </w:tr>
      <w:tr w:rsidR="0058587E" w:rsidRPr="00C07C91" w:rsidTr="00E70F70">
        <w:trPr>
          <w:trHeight w:val="257"/>
        </w:trPr>
        <w:tc>
          <w:tcPr>
            <w:tcW w:w="9930" w:type="dxa"/>
            <w:tcBorders>
              <w:top w:val="single" w:sz="4" w:space="0" w:color="auto"/>
              <w:left w:val="single" w:sz="8" w:space="0" w:color="000000"/>
              <w:bottom w:val="single" w:sz="4" w:space="0" w:color="auto"/>
              <w:right w:val="single" w:sz="8" w:space="0" w:color="000000"/>
            </w:tcBorders>
            <w:shd w:val="clear" w:color="EDEDED" w:fill="EDEDED"/>
            <w:tcMar>
              <w:top w:w="0" w:type="dxa"/>
              <w:left w:w="108" w:type="dxa"/>
              <w:bottom w:w="0" w:type="dxa"/>
              <w:right w:w="108" w:type="dxa"/>
            </w:tcMar>
          </w:tcPr>
          <w:p w:rsidR="0058587E" w:rsidRPr="00D65B55" w:rsidRDefault="0058587E" w:rsidP="00E70F70">
            <w:pPr>
              <w:ind w:firstLine="568"/>
              <w:rPr>
                <w:rFonts w:ascii="Times New Roman" w:hAnsi="Times New Roman"/>
                <w:i/>
                <w:color w:val="000000" w:themeColor="text1"/>
                <w:sz w:val="24"/>
                <w:szCs w:val="24"/>
                <w:lang w:val="ro-MD"/>
              </w:rPr>
            </w:pPr>
            <w:r w:rsidRPr="00D65B55">
              <w:rPr>
                <w:rFonts w:ascii="Times New Roman" w:hAnsi="Times New Roman"/>
                <w:i/>
                <w:color w:val="000000" w:themeColor="text1"/>
                <w:sz w:val="24"/>
                <w:szCs w:val="24"/>
                <w:lang w:val="ro-MD"/>
              </w:rPr>
              <w:t>4.4.2. Impactul asupra echității și egalității de gen</w:t>
            </w:r>
          </w:p>
        </w:tc>
      </w:tr>
      <w:tr w:rsidR="0058587E" w:rsidRPr="00D65B55" w:rsidTr="00E70F70">
        <w:trPr>
          <w:trHeight w:val="363"/>
        </w:trPr>
        <w:tc>
          <w:tcPr>
            <w:tcW w:w="9930" w:type="dxa"/>
            <w:tcBorders>
              <w:top w:val="single" w:sz="4" w:space="0" w:color="auto"/>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rsidR="0058587E" w:rsidRPr="00D65B55" w:rsidRDefault="0058587E" w:rsidP="00E70F70">
            <w:pPr>
              <w:ind w:firstLine="568"/>
              <w:rPr>
                <w:rFonts w:ascii="Times New Roman" w:hAnsi="Times New Roman"/>
                <w:b/>
                <w:color w:val="000000" w:themeColor="text1"/>
                <w:sz w:val="24"/>
                <w:szCs w:val="24"/>
                <w:lang w:val="ro-MD"/>
              </w:rPr>
            </w:pPr>
            <w:r w:rsidRPr="00D65B55">
              <w:rPr>
                <w:rFonts w:ascii="Times New Roman" w:hAnsi="Times New Roman"/>
                <w:b/>
                <w:color w:val="000000" w:themeColor="text1"/>
                <w:sz w:val="24"/>
                <w:szCs w:val="24"/>
                <w:lang w:val="ro-MD"/>
              </w:rPr>
              <w:t>Nu este aplicabil.</w:t>
            </w:r>
          </w:p>
        </w:tc>
      </w:tr>
      <w:tr w:rsidR="0058587E" w:rsidRPr="00D65B55" w:rsidTr="00E70F70">
        <w:tc>
          <w:tcPr>
            <w:tcW w:w="9930"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58587E" w:rsidRPr="00D65B55" w:rsidRDefault="0058587E" w:rsidP="00E70F70">
            <w:pPr>
              <w:ind w:firstLine="568"/>
              <w:rPr>
                <w:rFonts w:ascii="Times New Roman" w:hAnsi="Times New Roman"/>
                <w:i/>
                <w:color w:val="000000" w:themeColor="text1"/>
                <w:sz w:val="24"/>
                <w:szCs w:val="24"/>
                <w:lang w:val="ro-MD"/>
              </w:rPr>
            </w:pPr>
            <w:r w:rsidRPr="00D65B55">
              <w:rPr>
                <w:rFonts w:ascii="Times New Roman" w:hAnsi="Times New Roman"/>
                <w:i/>
                <w:color w:val="000000" w:themeColor="text1"/>
                <w:sz w:val="24"/>
                <w:szCs w:val="24"/>
                <w:lang w:val="ro-MD"/>
              </w:rPr>
              <w:t>4.5. Impactul asupra mediului</w:t>
            </w:r>
          </w:p>
        </w:tc>
      </w:tr>
      <w:tr w:rsidR="0058587E" w:rsidRPr="00D65B55" w:rsidTr="00E70F70">
        <w:tc>
          <w:tcPr>
            <w:tcW w:w="9930"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rsidR="0058587E" w:rsidRPr="00D65B55" w:rsidRDefault="0058587E" w:rsidP="00E70F70">
            <w:pPr>
              <w:ind w:firstLine="568"/>
              <w:rPr>
                <w:rFonts w:ascii="Times New Roman" w:hAnsi="Times New Roman"/>
                <w:color w:val="000000" w:themeColor="text1"/>
                <w:sz w:val="24"/>
                <w:szCs w:val="24"/>
                <w:lang w:val="ro-MD"/>
              </w:rPr>
            </w:pPr>
            <w:r w:rsidRPr="00D65B55">
              <w:rPr>
                <w:rFonts w:ascii="Times New Roman" w:hAnsi="Times New Roman"/>
                <w:b/>
                <w:color w:val="000000" w:themeColor="text1"/>
                <w:sz w:val="24"/>
                <w:szCs w:val="24"/>
                <w:lang w:val="ro-MD"/>
              </w:rPr>
              <w:t>Nu este aplicabil.</w:t>
            </w:r>
          </w:p>
        </w:tc>
      </w:tr>
      <w:tr w:rsidR="0058587E" w:rsidRPr="00C07C91" w:rsidTr="00E70F70">
        <w:tc>
          <w:tcPr>
            <w:tcW w:w="9930" w:type="dxa"/>
            <w:tcBorders>
              <w:top w:val="single" w:sz="4" w:space="0" w:color="auto"/>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58587E" w:rsidRPr="00D65B55" w:rsidRDefault="0058587E" w:rsidP="00E70F70">
            <w:pPr>
              <w:ind w:firstLine="568"/>
              <w:rPr>
                <w:rFonts w:ascii="Times New Roman" w:hAnsi="Times New Roman"/>
                <w:i/>
                <w:color w:val="000000" w:themeColor="text1"/>
                <w:sz w:val="24"/>
                <w:szCs w:val="24"/>
                <w:lang w:val="ro-MD"/>
              </w:rPr>
            </w:pPr>
            <w:r w:rsidRPr="00D65B55">
              <w:rPr>
                <w:rFonts w:ascii="Times New Roman" w:hAnsi="Times New Roman"/>
                <w:i/>
                <w:color w:val="000000" w:themeColor="text1"/>
                <w:sz w:val="24"/>
                <w:szCs w:val="24"/>
                <w:lang w:val="ro-MD"/>
              </w:rPr>
              <w:t>4.6. Alte impacturi și informații relevante</w:t>
            </w:r>
          </w:p>
        </w:tc>
      </w:tr>
      <w:tr w:rsidR="0058587E" w:rsidRPr="00D65B55" w:rsidTr="00E70F70">
        <w:tc>
          <w:tcPr>
            <w:tcW w:w="993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58587E" w:rsidRPr="00D65B55" w:rsidRDefault="0058587E" w:rsidP="00E70F70">
            <w:pPr>
              <w:ind w:firstLine="568"/>
              <w:rPr>
                <w:rFonts w:ascii="Times New Roman" w:hAnsi="Times New Roman"/>
                <w:b/>
                <w:color w:val="000000" w:themeColor="text1"/>
                <w:sz w:val="24"/>
                <w:szCs w:val="24"/>
                <w:lang w:val="ro-MD"/>
              </w:rPr>
            </w:pPr>
            <w:r w:rsidRPr="00D65B55">
              <w:rPr>
                <w:rFonts w:ascii="Times New Roman" w:hAnsi="Times New Roman"/>
                <w:b/>
                <w:color w:val="000000" w:themeColor="text1"/>
                <w:sz w:val="24"/>
                <w:szCs w:val="24"/>
                <w:lang w:val="ro-MD"/>
              </w:rPr>
              <w:t>Nu este aplicabil.</w:t>
            </w:r>
          </w:p>
        </w:tc>
      </w:tr>
      <w:tr w:rsidR="0058587E" w:rsidRPr="00C07C91" w:rsidTr="00E70F70">
        <w:tc>
          <w:tcPr>
            <w:tcW w:w="9930"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58587E" w:rsidRPr="00D65B55" w:rsidRDefault="0058587E" w:rsidP="00E70F70">
            <w:pPr>
              <w:ind w:firstLine="568"/>
              <w:rPr>
                <w:rFonts w:ascii="Times New Roman" w:hAnsi="Times New Roman"/>
                <w:b/>
                <w:bCs/>
                <w:color w:val="000000" w:themeColor="text1"/>
                <w:sz w:val="24"/>
                <w:szCs w:val="24"/>
                <w:lang w:val="ro-MD"/>
              </w:rPr>
            </w:pPr>
            <w:r w:rsidRPr="00D65B55">
              <w:rPr>
                <w:rFonts w:ascii="Times New Roman" w:hAnsi="Times New Roman"/>
                <w:b/>
                <w:bCs/>
                <w:color w:val="000000" w:themeColor="text1"/>
                <w:sz w:val="24"/>
                <w:szCs w:val="24"/>
                <w:lang w:val="ro-MD"/>
              </w:rPr>
              <w:t xml:space="preserve">5. Compatibilitatea proiectului actului normativ cu legislația UE </w:t>
            </w:r>
          </w:p>
        </w:tc>
      </w:tr>
      <w:tr w:rsidR="0058587E" w:rsidRPr="00C07C91" w:rsidTr="00E70F70">
        <w:trPr>
          <w:trHeight w:val="585"/>
        </w:trPr>
        <w:tc>
          <w:tcPr>
            <w:tcW w:w="9930" w:type="dxa"/>
            <w:tcBorders>
              <w:top w:val="none" w:sz="4" w:space="0" w:color="000000"/>
              <w:left w:val="single" w:sz="8" w:space="0" w:color="000000"/>
              <w:bottom w:val="single" w:sz="4" w:space="0" w:color="auto"/>
              <w:right w:val="single" w:sz="8" w:space="0" w:color="000000"/>
            </w:tcBorders>
            <w:shd w:val="clear" w:color="EDEDED" w:fill="EDEDED"/>
            <w:tcMar>
              <w:top w:w="0" w:type="dxa"/>
              <w:left w:w="108" w:type="dxa"/>
              <w:bottom w:w="0" w:type="dxa"/>
              <w:right w:w="108" w:type="dxa"/>
            </w:tcMar>
          </w:tcPr>
          <w:p w:rsidR="0058587E" w:rsidRPr="00D65B55" w:rsidRDefault="0058587E" w:rsidP="00E70F70">
            <w:pPr>
              <w:ind w:firstLine="568"/>
              <w:rPr>
                <w:rFonts w:ascii="Times New Roman" w:hAnsi="Times New Roman"/>
                <w:i/>
                <w:color w:val="000000" w:themeColor="text1"/>
                <w:sz w:val="24"/>
                <w:szCs w:val="24"/>
                <w:lang w:val="ro-MD"/>
              </w:rPr>
            </w:pPr>
            <w:r w:rsidRPr="00D65B55">
              <w:rPr>
                <w:rFonts w:ascii="Times New Roman" w:hAnsi="Times New Roman"/>
                <w:i/>
                <w:color w:val="000000" w:themeColor="text1"/>
                <w:sz w:val="24"/>
                <w:szCs w:val="24"/>
                <w:lang w:val="ro-MD"/>
              </w:rPr>
              <w:t>5.1. Măsuri normative necesare pentru transpunerea actelor juridice ale UE în legislația națională</w:t>
            </w:r>
          </w:p>
        </w:tc>
      </w:tr>
      <w:tr w:rsidR="0058587E" w:rsidRPr="00D65B55" w:rsidTr="00E70F70">
        <w:trPr>
          <w:trHeight w:val="255"/>
        </w:trPr>
        <w:tc>
          <w:tcPr>
            <w:tcW w:w="9930" w:type="dxa"/>
            <w:tcBorders>
              <w:top w:val="single" w:sz="4" w:space="0" w:color="auto"/>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rsidR="0058587E" w:rsidRPr="00D65B55" w:rsidRDefault="0058587E" w:rsidP="00E70F70">
            <w:pPr>
              <w:ind w:firstLine="568"/>
              <w:rPr>
                <w:rFonts w:ascii="Times New Roman" w:hAnsi="Times New Roman"/>
                <w:b/>
                <w:color w:val="000000" w:themeColor="text1"/>
                <w:sz w:val="24"/>
                <w:szCs w:val="24"/>
                <w:lang w:val="ro-MD"/>
              </w:rPr>
            </w:pPr>
            <w:r w:rsidRPr="00D65B55">
              <w:rPr>
                <w:rFonts w:ascii="Times New Roman" w:hAnsi="Times New Roman"/>
                <w:b/>
                <w:color w:val="000000" w:themeColor="text1"/>
                <w:sz w:val="24"/>
                <w:szCs w:val="24"/>
                <w:lang w:val="ro-MD"/>
              </w:rPr>
              <w:t>Nu este aplicabil.</w:t>
            </w:r>
          </w:p>
        </w:tc>
      </w:tr>
      <w:tr w:rsidR="0058587E" w:rsidRPr="00C07C91" w:rsidTr="00E70F70">
        <w:tc>
          <w:tcPr>
            <w:tcW w:w="9930"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58587E" w:rsidRPr="00D65B55" w:rsidRDefault="0058587E" w:rsidP="00E70F70">
            <w:pPr>
              <w:ind w:firstLine="568"/>
              <w:rPr>
                <w:rFonts w:ascii="Times New Roman" w:hAnsi="Times New Roman"/>
                <w:i/>
                <w:color w:val="000000" w:themeColor="text1"/>
                <w:sz w:val="24"/>
                <w:szCs w:val="24"/>
                <w:lang w:val="ro-MD"/>
              </w:rPr>
            </w:pPr>
            <w:r w:rsidRPr="00D65B55">
              <w:rPr>
                <w:rFonts w:ascii="Times New Roman" w:hAnsi="Times New Roman"/>
                <w:i/>
                <w:color w:val="000000" w:themeColor="text1"/>
                <w:sz w:val="24"/>
                <w:szCs w:val="24"/>
                <w:lang w:val="ro-MD"/>
              </w:rPr>
              <w:t>5.2. Măsuri normative care urmăresc crearea cadrului juridic intern necesar pentru implementarea legislației UE</w:t>
            </w:r>
          </w:p>
        </w:tc>
      </w:tr>
      <w:tr w:rsidR="0058587E" w:rsidRPr="00D65B55" w:rsidTr="00E70F70">
        <w:tc>
          <w:tcPr>
            <w:tcW w:w="993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58587E" w:rsidRPr="00D65B55" w:rsidRDefault="0058587E" w:rsidP="00E70F70">
            <w:pPr>
              <w:ind w:firstLine="568"/>
              <w:rPr>
                <w:rFonts w:ascii="Times New Roman" w:hAnsi="Times New Roman"/>
                <w:b/>
                <w:color w:val="000000" w:themeColor="text1"/>
                <w:sz w:val="24"/>
                <w:szCs w:val="24"/>
                <w:lang w:val="ro-MD"/>
              </w:rPr>
            </w:pPr>
            <w:r w:rsidRPr="00D65B55">
              <w:rPr>
                <w:rFonts w:ascii="Times New Roman" w:hAnsi="Times New Roman"/>
                <w:b/>
                <w:color w:val="000000" w:themeColor="text1"/>
                <w:sz w:val="24"/>
                <w:szCs w:val="24"/>
                <w:lang w:val="ro-MD"/>
              </w:rPr>
              <w:t>Nu este aplicabil.</w:t>
            </w:r>
          </w:p>
        </w:tc>
      </w:tr>
      <w:tr w:rsidR="0058587E" w:rsidRPr="00C07C91" w:rsidTr="00E70F70">
        <w:tc>
          <w:tcPr>
            <w:tcW w:w="9930"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58587E" w:rsidRPr="00D65B55" w:rsidRDefault="0058587E" w:rsidP="00E70F70">
            <w:pPr>
              <w:ind w:firstLine="568"/>
              <w:rPr>
                <w:rFonts w:ascii="Times New Roman" w:hAnsi="Times New Roman"/>
                <w:b/>
                <w:bCs/>
                <w:color w:val="000000" w:themeColor="text1"/>
                <w:sz w:val="24"/>
                <w:szCs w:val="24"/>
                <w:lang w:val="ro-MD"/>
              </w:rPr>
            </w:pPr>
            <w:r w:rsidRPr="00D65B55">
              <w:rPr>
                <w:rFonts w:ascii="Times New Roman" w:hAnsi="Times New Roman"/>
                <w:b/>
                <w:bCs/>
                <w:color w:val="000000" w:themeColor="text1"/>
                <w:sz w:val="24"/>
                <w:szCs w:val="24"/>
                <w:lang w:val="ro-MD"/>
              </w:rPr>
              <w:lastRenderedPageBreak/>
              <w:t>6. Avizarea și consultarea publică a proiectului actului normativ</w:t>
            </w:r>
          </w:p>
        </w:tc>
      </w:tr>
      <w:tr w:rsidR="0058587E" w:rsidRPr="00C07C91" w:rsidTr="00E70F70">
        <w:tc>
          <w:tcPr>
            <w:tcW w:w="993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58587E" w:rsidRPr="00D65B55" w:rsidRDefault="0058587E" w:rsidP="00E70F70">
            <w:pPr>
              <w:pBdr>
                <w:top w:val="nil"/>
                <w:left w:val="nil"/>
                <w:bottom w:val="nil"/>
                <w:right w:val="nil"/>
                <w:between w:val="nil"/>
              </w:pBdr>
              <w:ind w:right="116" w:firstLine="568"/>
              <w:rPr>
                <w:rFonts w:ascii="Times New Roman" w:hAnsi="Times New Roman"/>
                <w:color w:val="000000" w:themeColor="text1"/>
                <w:sz w:val="24"/>
                <w:szCs w:val="24"/>
                <w:lang w:val="ro-MD"/>
              </w:rPr>
            </w:pPr>
            <w:r w:rsidRPr="00D65B55">
              <w:rPr>
                <w:rFonts w:ascii="Times New Roman" w:hAnsi="Times New Roman"/>
                <w:color w:val="000000" w:themeColor="text1"/>
                <w:sz w:val="24"/>
                <w:szCs w:val="24"/>
                <w:lang w:val="ro-MD"/>
              </w:rPr>
              <w:t xml:space="preserve">În scopul respectării prevederilor Legii nr. 239/2008 privind transparența în procesul decizional, anunțul de inițiere a elaborării proiectului Hotărârii de Guvern </w:t>
            </w:r>
            <w:r w:rsidR="006923F7" w:rsidRPr="00D65B55">
              <w:rPr>
                <w:rFonts w:ascii="Times New Roman" w:hAnsi="Times New Roman"/>
                <w:color w:val="000000" w:themeColor="text1"/>
                <w:sz w:val="24"/>
                <w:szCs w:val="24"/>
                <w:lang w:val="ro-MD"/>
              </w:rPr>
              <w:t xml:space="preserve">și </w:t>
            </w:r>
            <w:r w:rsidR="00CD1E43" w:rsidRPr="00D65B55">
              <w:rPr>
                <w:rFonts w:ascii="Times New Roman" w:hAnsi="Times New Roman"/>
                <w:color w:val="000000" w:themeColor="text1"/>
                <w:sz w:val="24"/>
                <w:szCs w:val="24"/>
                <w:lang w:val="ro-MD"/>
              </w:rPr>
              <w:t>a</w:t>
            </w:r>
            <w:r w:rsidR="006923F7" w:rsidRPr="00D65B55">
              <w:rPr>
                <w:rFonts w:ascii="Times New Roman" w:hAnsi="Times New Roman"/>
                <w:color w:val="000000" w:themeColor="text1"/>
                <w:sz w:val="24"/>
                <w:szCs w:val="24"/>
                <w:lang w:val="ro-MD"/>
              </w:rPr>
              <w:t xml:space="preserve">nunțul de inițiere a procesului de consultare publică a proiectului Hotărîrii de Guvern au </w:t>
            </w:r>
            <w:r w:rsidRPr="00D65B55">
              <w:rPr>
                <w:rFonts w:ascii="Times New Roman" w:hAnsi="Times New Roman"/>
                <w:color w:val="000000" w:themeColor="text1"/>
                <w:sz w:val="24"/>
                <w:szCs w:val="24"/>
                <w:lang w:val="ro-MD"/>
              </w:rPr>
              <w:t>fos</w:t>
            </w:r>
            <w:r w:rsidR="006923F7" w:rsidRPr="00D65B55">
              <w:rPr>
                <w:rFonts w:ascii="Times New Roman" w:hAnsi="Times New Roman"/>
                <w:color w:val="000000" w:themeColor="text1"/>
                <w:sz w:val="24"/>
                <w:szCs w:val="24"/>
                <w:lang w:val="ro-MD"/>
              </w:rPr>
              <w:t>t</w:t>
            </w:r>
            <w:r w:rsidRPr="00D65B55">
              <w:rPr>
                <w:rFonts w:ascii="Times New Roman" w:hAnsi="Times New Roman"/>
                <w:color w:val="000000" w:themeColor="text1"/>
                <w:sz w:val="24"/>
                <w:szCs w:val="24"/>
                <w:lang w:val="ro-MD"/>
              </w:rPr>
              <w:t xml:space="preserve"> plasat</w:t>
            </w:r>
            <w:r w:rsidR="006923F7" w:rsidRPr="00D65B55">
              <w:rPr>
                <w:rFonts w:ascii="Times New Roman" w:hAnsi="Times New Roman"/>
                <w:color w:val="000000" w:themeColor="text1"/>
                <w:sz w:val="24"/>
                <w:szCs w:val="24"/>
                <w:lang w:val="ro-MD"/>
              </w:rPr>
              <w:t>e</w:t>
            </w:r>
            <w:r w:rsidRPr="00D65B55">
              <w:rPr>
                <w:rFonts w:ascii="Times New Roman" w:hAnsi="Times New Roman"/>
                <w:color w:val="000000" w:themeColor="text1"/>
                <w:sz w:val="24"/>
                <w:szCs w:val="24"/>
                <w:lang w:val="ro-MD"/>
              </w:rPr>
              <w:t xml:space="preserve"> pe pagina web oficială a Ministerului Educației și Cercetării </w:t>
            </w:r>
            <w:hyperlink r:id="rId6">
              <w:r w:rsidRPr="00D65B55">
                <w:rPr>
                  <w:rFonts w:ascii="Times New Roman" w:hAnsi="Times New Roman"/>
                  <w:color w:val="000000" w:themeColor="text1"/>
                  <w:sz w:val="24"/>
                  <w:szCs w:val="24"/>
                  <w:u w:val="single"/>
                  <w:lang w:val="ro-MD"/>
                </w:rPr>
                <w:t>www.mec.gov.md</w:t>
              </w:r>
            </w:hyperlink>
            <w:r w:rsidRPr="00D65B55">
              <w:rPr>
                <w:rFonts w:ascii="Times New Roman" w:hAnsi="Times New Roman"/>
                <w:color w:val="000000" w:themeColor="text1"/>
                <w:sz w:val="24"/>
                <w:szCs w:val="24"/>
                <w:u w:val="single"/>
                <w:lang w:val="ro-MD"/>
              </w:rPr>
              <w:t xml:space="preserve"> (https://mec.gov.md/ro/content/modul-de-participare)</w:t>
            </w:r>
            <w:r w:rsidRPr="00D65B55">
              <w:rPr>
                <w:rFonts w:ascii="Times New Roman" w:hAnsi="Times New Roman"/>
                <w:color w:val="000000" w:themeColor="text1"/>
                <w:sz w:val="24"/>
                <w:szCs w:val="24"/>
                <w:lang w:val="ro-MD"/>
              </w:rPr>
              <w:t xml:space="preserve">, compartimentul Transparența decizională, precum și pe pagina web </w:t>
            </w:r>
            <w:hyperlink r:id="rId7">
              <w:r w:rsidRPr="00D65B55">
                <w:rPr>
                  <w:rFonts w:ascii="Times New Roman" w:hAnsi="Times New Roman"/>
                  <w:color w:val="000000" w:themeColor="text1"/>
                  <w:sz w:val="24"/>
                  <w:szCs w:val="24"/>
                  <w:u w:val="single"/>
                  <w:lang w:val="ro-MD"/>
                </w:rPr>
                <w:t>www.particip.gov.md</w:t>
              </w:r>
            </w:hyperlink>
            <w:r w:rsidRPr="00D65B55">
              <w:rPr>
                <w:rFonts w:ascii="Times New Roman" w:hAnsi="Times New Roman"/>
                <w:color w:val="000000" w:themeColor="text1"/>
                <w:sz w:val="24"/>
                <w:szCs w:val="24"/>
                <w:u w:val="single"/>
                <w:lang w:val="ro-MD"/>
              </w:rPr>
              <w:t xml:space="preserve"> </w:t>
            </w:r>
            <w:r w:rsidRPr="00D65B55">
              <w:rPr>
                <w:rFonts w:ascii="Times New Roman" w:hAnsi="Times New Roman"/>
                <w:color w:val="000000" w:themeColor="text1"/>
                <w:sz w:val="24"/>
                <w:szCs w:val="24"/>
                <w:lang w:val="ro-MD"/>
              </w:rPr>
              <w:t>(</w:t>
            </w:r>
            <w:hyperlink r:id="rId8" w:history="1">
              <w:r w:rsidRPr="00D65B55">
                <w:rPr>
                  <w:rStyle w:val="a9"/>
                  <w:rFonts w:ascii="Times New Roman" w:hAnsi="Times New Roman"/>
                  <w:sz w:val="24"/>
                  <w:szCs w:val="24"/>
                  <w:lang w:val="ro-MD"/>
                </w:rPr>
                <w:t>https://particip.gov.md/ro/document/stages/*/15899</w:t>
              </w:r>
            </w:hyperlink>
            <w:r w:rsidRPr="00D65B55">
              <w:rPr>
                <w:rFonts w:ascii="Times New Roman" w:hAnsi="Times New Roman"/>
                <w:color w:val="000000" w:themeColor="text1"/>
                <w:sz w:val="24"/>
                <w:szCs w:val="24"/>
                <w:lang w:val="ro-MD"/>
              </w:rPr>
              <w:t>).</w:t>
            </w:r>
          </w:p>
          <w:p w:rsidR="0058587E" w:rsidRPr="00D65B55" w:rsidRDefault="0058587E" w:rsidP="00E70F70">
            <w:pPr>
              <w:pBdr>
                <w:top w:val="nil"/>
                <w:left w:val="nil"/>
                <w:bottom w:val="nil"/>
                <w:right w:val="nil"/>
                <w:between w:val="nil"/>
              </w:pBdr>
              <w:ind w:right="116" w:firstLine="568"/>
              <w:rPr>
                <w:rFonts w:ascii="Times New Roman" w:hAnsi="Times New Roman"/>
                <w:color w:val="000000" w:themeColor="text1"/>
                <w:sz w:val="24"/>
                <w:szCs w:val="24"/>
                <w:lang w:val="ro-MD"/>
              </w:rPr>
            </w:pPr>
            <w:r w:rsidRPr="00D65B55">
              <w:rPr>
                <w:rFonts w:ascii="Times New Roman" w:hAnsi="Times New Roman"/>
                <w:color w:val="000000" w:themeColor="text1"/>
                <w:sz w:val="24"/>
                <w:szCs w:val="24"/>
                <w:lang w:val="ro-MD"/>
              </w:rPr>
              <w:t>Proiectul a fost avizat la Ministerul Infrastructurii și Dezvoltării Regionale, Agenția Goedezie, Cartografie și Cadastru și Agenția Proprietății Publice.</w:t>
            </w:r>
          </w:p>
          <w:p w:rsidR="0058587E" w:rsidRPr="00D65B55" w:rsidRDefault="0058587E" w:rsidP="005E4397">
            <w:pPr>
              <w:pBdr>
                <w:top w:val="nil"/>
                <w:left w:val="nil"/>
                <w:bottom w:val="nil"/>
                <w:right w:val="nil"/>
                <w:between w:val="nil"/>
              </w:pBdr>
              <w:ind w:right="116" w:firstLine="568"/>
              <w:rPr>
                <w:rFonts w:ascii="Times New Roman" w:hAnsi="Times New Roman"/>
                <w:color w:val="000000" w:themeColor="text1"/>
                <w:sz w:val="24"/>
                <w:szCs w:val="24"/>
                <w:lang w:val="ro-MD"/>
              </w:rPr>
            </w:pPr>
            <w:r w:rsidRPr="00D65B55">
              <w:rPr>
                <w:rFonts w:ascii="Times New Roman" w:hAnsi="Times New Roman"/>
                <w:color w:val="000000" w:themeColor="text1"/>
                <w:sz w:val="24"/>
                <w:szCs w:val="24"/>
                <w:lang w:val="ro-MD"/>
              </w:rPr>
              <w:t>Recomandările și obiecțiilor participanților la procedura de avizare și argumentele autorului proiectului pe marginea acestora au fost expuse în Sinteza obiecțiilor și propunerilor.</w:t>
            </w:r>
          </w:p>
        </w:tc>
      </w:tr>
      <w:tr w:rsidR="0058587E" w:rsidRPr="00D65B55" w:rsidTr="00E70F70">
        <w:tc>
          <w:tcPr>
            <w:tcW w:w="9930"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58587E" w:rsidRPr="00D65B55" w:rsidRDefault="0058587E" w:rsidP="00E70F70">
            <w:pPr>
              <w:ind w:firstLine="568"/>
              <w:rPr>
                <w:rFonts w:ascii="Times New Roman" w:hAnsi="Times New Roman"/>
                <w:b/>
                <w:bCs/>
                <w:color w:val="000000" w:themeColor="text1"/>
                <w:sz w:val="24"/>
                <w:szCs w:val="24"/>
                <w:lang w:val="ro-MD"/>
              </w:rPr>
            </w:pPr>
            <w:r w:rsidRPr="00D65B55">
              <w:rPr>
                <w:rFonts w:ascii="Times New Roman" w:hAnsi="Times New Roman"/>
                <w:b/>
                <w:bCs/>
                <w:color w:val="000000" w:themeColor="text1"/>
                <w:sz w:val="24"/>
                <w:szCs w:val="24"/>
                <w:lang w:val="ro-MD"/>
              </w:rPr>
              <w:t>7. Concluziile expertizelor</w:t>
            </w:r>
          </w:p>
        </w:tc>
      </w:tr>
      <w:tr w:rsidR="0058587E" w:rsidRPr="00C07C91" w:rsidTr="00E70F70">
        <w:tc>
          <w:tcPr>
            <w:tcW w:w="9930" w:type="dxa"/>
            <w:tcBorders>
              <w:top w:val="none" w:sz="4" w:space="0" w:color="000000"/>
              <w:left w:val="single" w:sz="8" w:space="0" w:color="000000"/>
              <w:bottom w:val="single" w:sz="8" w:space="0" w:color="000000"/>
              <w:right w:val="single" w:sz="8" w:space="0" w:color="000000"/>
            </w:tcBorders>
            <w:shd w:val="clear" w:color="FFFFFF" w:fill="FFFFFF"/>
            <w:tcMar>
              <w:top w:w="0" w:type="dxa"/>
              <w:left w:w="108" w:type="dxa"/>
              <w:bottom w:w="0" w:type="dxa"/>
              <w:right w:w="108" w:type="dxa"/>
            </w:tcMar>
          </w:tcPr>
          <w:p w:rsidR="0058587E" w:rsidRPr="00D65B55" w:rsidRDefault="0058587E" w:rsidP="00385C58">
            <w:pPr>
              <w:ind w:firstLine="568"/>
              <w:rPr>
                <w:rFonts w:ascii="Times New Roman" w:hAnsi="Times New Roman"/>
                <w:bCs/>
                <w:color w:val="000000" w:themeColor="text1"/>
                <w:sz w:val="24"/>
                <w:szCs w:val="24"/>
                <w:lang w:val="ro-MD"/>
              </w:rPr>
            </w:pPr>
            <w:r w:rsidRPr="00D65B55">
              <w:rPr>
                <w:rFonts w:ascii="Times New Roman" w:hAnsi="Times New Roman"/>
                <w:bCs/>
                <w:color w:val="000000" w:themeColor="text1"/>
                <w:sz w:val="24"/>
                <w:szCs w:val="24"/>
                <w:lang w:val="ro-MD"/>
              </w:rPr>
              <w:t>Proiectul a fost supus expertizei juridice la Ministerul Justiției și expertizei anticorupție la Centrul Național Anticorupție.</w:t>
            </w:r>
          </w:p>
          <w:p w:rsidR="0058587E" w:rsidRPr="00D65B55" w:rsidRDefault="0058587E" w:rsidP="00385C58">
            <w:pPr>
              <w:ind w:firstLine="568"/>
              <w:rPr>
                <w:rFonts w:ascii="Times New Roman" w:hAnsi="Times New Roman"/>
                <w:bCs/>
                <w:color w:val="000000" w:themeColor="text1"/>
                <w:sz w:val="24"/>
                <w:szCs w:val="24"/>
                <w:lang w:val="ro-MD"/>
              </w:rPr>
            </w:pPr>
            <w:r w:rsidRPr="00D65B55">
              <w:rPr>
                <w:rFonts w:ascii="Times New Roman" w:hAnsi="Times New Roman"/>
                <w:bCs/>
                <w:color w:val="000000" w:themeColor="text1"/>
                <w:sz w:val="24"/>
                <w:szCs w:val="24"/>
                <w:lang w:val="ro-MD"/>
              </w:rPr>
              <w:t>Constatările expertizelor și argumentele autorului proiectelor pe marginea acestora au fost expuse în Sinteza obiecțiilor și propunerilor.</w:t>
            </w:r>
          </w:p>
          <w:p w:rsidR="005E4397" w:rsidRPr="00D65B55" w:rsidRDefault="005E4397" w:rsidP="00385C58">
            <w:pPr>
              <w:pBdr>
                <w:top w:val="nil"/>
                <w:left w:val="nil"/>
                <w:bottom w:val="nil"/>
                <w:right w:val="nil"/>
                <w:between w:val="nil"/>
              </w:pBdr>
              <w:ind w:firstLine="568"/>
              <w:rPr>
                <w:rFonts w:ascii="Times New Roman" w:hAnsi="Times New Roman"/>
                <w:color w:val="000000" w:themeColor="text1"/>
                <w:sz w:val="24"/>
                <w:szCs w:val="24"/>
                <w:lang w:val="ro-MD"/>
              </w:rPr>
            </w:pPr>
            <w:r w:rsidRPr="00D65B55">
              <w:rPr>
                <w:rFonts w:ascii="Times New Roman" w:hAnsi="Times New Roman"/>
                <w:color w:val="000000" w:themeColor="text1"/>
                <w:sz w:val="24"/>
                <w:szCs w:val="24"/>
                <w:lang w:val="ro-MD"/>
              </w:rPr>
              <w:t>La 19 martie 2026, Ministerul Educației și Cercetării a invitat Centrul Național Anticorupție și Ministerul Jutiției la o șeidnță interinstituțională, pentru a pune în discuție observațiile și recomandările din raportul de expertiză anticorupție și raportul de expertiză juridica.</w:t>
            </w:r>
          </w:p>
          <w:p w:rsidR="005E4397" w:rsidRPr="00D65B55" w:rsidRDefault="005E4397" w:rsidP="00385C58">
            <w:pPr>
              <w:pBdr>
                <w:top w:val="nil"/>
                <w:left w:val="nil"/>
                <w:bottom w:val="nil"/>
                <w:right w:val="nil"/>
                <w:between w:val="nil"/>
              </w:pBdr>
              <w:ind w:firstLine="568"/>
              <w:rPr>
                <w:rFonts w:ascii="Times New Roman" w:hAnsi="Times New Roman"/>
                <w:color w:val="000000" w:themeColor="text1"/>
                <w:sz w:val="24"/>
                <w:szCs w:val="24"/>
                <w:lang w:val="ro-MD"/>
              </w:rPr>
            </w:pPr>
            <w:r w:rsidRPr="00D65B55">
              <w:rPr>
                <w:rFonts w:ascii="Times New Roman" w:hAnsi="Times New Roman"/>
                <w:color w:val="000000" w:themeColor="text1"/>
                <w:sz w:val="24"/>
                <w:szCs w:val="24"/>
                <w:lang w:val="ro-MD"/>
              </w:rPr>
              <w:t xml:space="preserve">Centrul Național Anticorupție nu s-a prezentat la ședință, dar a expediat un mesaj electronic prin care a reiterat recomandările </w:t>
            </w:r>
            <w:r w:rsidR="00183B9D" w:rsidRPr="00D65B55">
              <w:rPr>
                <w:rFonts w:ascii="Times New Roman" w:hAnsi="Times New Roman"/>
                <w:color w:val="000000" w:themeColor="text1"/>
                <w:sz w:val="24"/>
                <w:szCs w:val="24"/>
                <w:lang w:val="ro-MD"/>
              </w:rPr>
              <w:t>expuse în Raportul de expertiză nr.06/2/3388 din 25 februarie 2026.</w:t>
            </w:r>
          </w:p>
          <w:p w:rsidR="00D65B55" w:rsidRPr="00D65B55" w:rsidRDefault="00D65B55" w:rsidP="00385C58">
            <w:pPr>
              <w:pBdr>
                <w:top w:val="nil"/>
                <w:left w:val="nil"/>
                <w:bottom w:val="nil"/>
                <w:right w:val="nil"/>
                <w:between w:val="nil"/>
              </w:pBdr>
              <w:ind w:firstLine="568"/>
              <w:rPr>
                <w:rFonts w:ascii="Times New Roman" w:hAnsi="Times New Roman"/>
                <w:color w:val="000000" w:themeColor="text1"/>
                <w:sz w:val="24"/>
                <w:szCs w:val="24"/>
                <w:lang w:val="ro-MD"/>
              </w:rPr>
            </w:pPr>
            <w:r w:rsidRPr="00D65B55">
              <w:rPr>
                <w:rFonts w:ascii="Times New Roman" w:hAnsi="Times New Roman"/>
                <w:color w:val="000000" w:themeColor="text1"/>
                <w:sz w:val="24"/>
                <w:szCs w:val="24"/>
                <w:lang w:val="ro-MD"/>
              </w:rPr>
              <w:t>Argume</w:t>
            </w:r>
            <w:r w:rsidR="00C07C91">
              <w:rPr>
                <w:rFonts w:ascii="Times New Roman" w:hAnsi="Times New Roman"/>
                <w:color w:val="000000" w:themeColor="text1"/>
                <w:sz w:val="24"/>
                <w:szCs w:val="24"/>
                <w:lang w:val="ro-MD"/>
              </w:rPr>
              <w:t>ntele autorului proiectului în raport cu</w:t>
            </w:r>
            <w:r w:rsidRPr="00D65B55">
              <w:rPr>
                <w:rFonts w:ascii="Times New Roman" w:hAnsi="Times New Roman"/>
                <w:color w:val="000000" w:themeColor="text1"/>
                <w:sz w:val="24"/>
                <w:szCs w:val="24"/>
                <w:lang w:val="ro-MD"/>
              </w:rPr>
              <w:t xml:space="preserve"> recomandările Centrului Național Anticorupție sunt expuse în Sinteza obiecțiilor și propunerilor.</w:t>
            </w:r>
          </w:p>
          <w:p w:rsidR="00E70F70" w:rsidRPr="00D65B55" w:rsidRDefault="00183B9D" w:rsidP="00385C58">
            <w:pPr>
              <w:shd w:val="clear" w:color="auto" w:fill="FFFFFF"/>
              <w:ind w:firstLine="568"/>
              <w:rPr>
                <w:rFonts w:ascii="Times New Roman" w:eastAsia="Times New Roman" w:hAnsi="Times New Roman"/>
                <w:color w:val="000000" w:themeColor="text1"/>
                <w:sz w:val="24"/>
                <w:szCs w:val="24"/>
                <w:lang w:val="ro-MD" w:eastAsia="ru-RU"/>
              </w:rPr>
            </w:pPr>
            <w:r w:rsidRPr="00D65B55">
              <w:rPr>
                <w:rFonts w:ascii="Times New Roman" w:hAnsi="Times New Roman"/>
                <w:color w:val="000000" w:themeColor="text1"/>
                <w:sz w:val="24"/>
                <w:szCs w:val="24"/>
                <w:lang w:val="ro-MD"/>
              </w:rPr>
              <w:t>Ministerul Justiției nu s-a prezentat la ședință dar a coordonat soluția finală prin telefon cu autorul proiectului.</w:t>
            </w:r>
            <w:r w:rsidR="00E70F70" w:rsidRPr="00D65B55">
              <w:rPr>
                <w:rFonts w:ascii="Times New Roman" w:hAnsi="Times New Roman"/>
                <w:color w:val="000000" w:themeColor="text1"/>
                <w:sz w:val="24"/>
                <w:szCs w:val="24"/>
                <w:lang w:val="ro-MD"/>
              </w:rPr>
              <w:t xml:space="preserve"> Astfel, telefonic s-a convenit ca </w:t>
            </w:r>
            <w:r w:rsidR="00E70F70" w:rsidRPr="00D65B55">
              <w:rPr>
                <w:rFonts w:ascii="Times New Roman" w:eastAsia="Times New Roman" w:hAnsi="Times New Roman"/>
                <w:color w:val="000000" w:themeColor="text1"/>
                <w:sz w:val="24"/>
                <w:szCs w:val="24"/>
                <w:lang w:val="ro-MD" w:eastAsia="ru-RU"/>
              </w:rPr>
              <w:t xml:space="preserve">puncului 1 din proiectul Hotărârii de Guvern </w:t>
            </w:r>
            <w:r w:rsidR="00C07C91">
              <w:rPr>
                <w:rFonts w:ascii="Times New Roman" w:eastAsia="Times New Roman" w:hAnsi="Times New Roman"/>
                <w:color w:val="000000" w:themeColor="text1"/>
                <w:sz w:val="24"/>
                <w:szCs w:val="24"/>
                <w:lang w:val="ro-MD" w:eastAsia="ru-RU"/>
              </w:rPr>
              <w:t>va avea</w:t>
            </w:r>
            <w:r w:rsidR="00E70F70" w:rsidRPr="00D65B55">
              <w:rPr>
                <w:rFonts w:ascii="Times New Roman" w:eastAsia="Times New Roman" w:hAnsi="Times New Roman"/>
                <w:color w:val="000000" w:themeColor="text1"/>
                <w:sz w:val="24"/>
                <w:szCs w:val="24"/>
                <w:lang w:val="ro-MD" w:eastAsia="ru-RU"/>
              </w:rPr>
              <w:t xml:space="preserve"> următorul cuprins:</w:t>
            </w:r>
          </w:p>
          <w:p w:rsidR="005E4397" w:rsidRPr="00D65B55" w:rsidRDefault="00E70F70" w:rsidP="00385C58">
            <w:pPr>
              <w:pBdr>
                <w:top w:val="nil"/>
                <w:left w:val="nil"/>
                <w:bottom w:val="nil"/>
                <w:right w:val="nil"/>
                <w:between w:val="nil"/>
              </w:pBdr>
              <w:ind w:firstLine="568"/>
              <w:rPr>
                <w:rFonts w:ascii="Times New Roman" w:hAnsi="Times New Roman"/>
                <w:color w:val="000000" w:themeColor="text1"/>
                <w:sz w:val="24"/>
                <w:szCs w:val="24"/>
                <w:lang w:val="ro-MD"/>
              </w:rPr>
            </w:pPr>
            <w:r w:rsidRPr="00D65B55">
              <w:rPr>
                <w:rFonts w:ascii="Times New Roman" w:eastAsia="Times New Roman" w:hAnsi="Times New Roman"/>
                <w:b/>
                <w:color w:val="000000" w:themeColor="text1"/>
                <w:sz w:val="24"/>
                <w:szCs w:val="24"/>
                <w:lang w:val="ro-MD" w:eastAsia="ru-RU"/>
              </w:rPr>
              <w:t>„1.</w:t>
            </w:r>
            <w:r w:rsidRPr="00D65B55">
              <w:rPr>
                <w:rFonts w:ascii="Times New Roman" w:hAnsi="Times New Roman"/>
                <w:color w:val="000000"/>
                <w:sz w:val="24"/>
                <w:szCs w:val="24"/>
                <w:lang w:val="ro-MD"/>
              </w:rPr>
              <w:t xml:space="preserve"> Se acceptă schimbarea destinației </w:t>
            </w:r>
            <w:r w:rsidRPr="00D65B55">
              <w:rPr>
                <w:rFonts w:ascii="Times New Roman" w:hAnsi="Times New Roman"/>
                <w:sz w:val="24"/>
                <w:szCs w:val="24"/>
                <w:lang w:val="ro-MD"/>
              </w:rPr>
              <w:t>unei porțiuni de teren cu suprafața de 0,4429 ha</w:t>
            </w:r>
            <w:r w:rsidRPr="00D65B55">
              <w:rPr>
                <w:rFonts w:ascii="Times New Roman" w:hAnsi="Times New Roman"/>
                <w:color w:val="000000" w:themeColor="text1"/>
                <w:sz w:val="24"/>
                <w:szCs w:val="24"/>
                <w:lang w:val="ro-MD"/>
              </w:rPr>
              <w:t>, formată din terenul cu numărul cadastral 2701205054 (aferent Liceului Teoretic „Ion Creangă” din or. Căușeni, str. Unirii, 17), proprietate a raionului Căușeni, ca urmare a constatării lipsei necesității de utilizare a acesteia în domeniul educației.</w:t>
            </w:r>
            <w:r w:rsidRPr="00D65B55">
              <w:rPr>
                <w:rFonts w:ascii="Times New Roman" w:eastAsia="Times New Roman" w:hAnsi="Times New Roman"/>
                <w:color w:val="000000" w:themeColor="text1"/>
                <w:sz w:val="24"/>
                <w:szCs w:val="24"/>
                <w:lang w:val="ro-MD" w:eastAsia="ru-RU"/>
              </w:rPr>
              <w:t>”.</w:t>
            </w:r>
          </w:p>
        </w:tc>
      </w:tr>
      <w:tr w:rsidR="0058587E" w:rsidRPr="00C07C91" w:rsidTr="00E70F70">
        <w:tc>
          <w:tcPr>
            <w:tcW w:w="9930"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58587E" w:rsidRPr="00D65B55" w:rsidRDefault="0058587E" w:rsidP="00E70F70">
            <w:pPr>
              <w:ind w:firstLine="568"/>
              <w:rPr>
                <w:rFonts w:ascii="Times New Roman" w:hAnsi="Times New Roman"/>
                <w:b/>
                <w:bCs/>
                <w:color w:val="000000" w:themeColor="text1"/>
                <w:sz w:val="24"/>
                <w:szCs w:val="24"/>
                <w:lang w:val="ro-MD"/>
              </w:rPr>
            </w:pPr>
            <w:r w:rsidRPr="00D65B55">
              <w:rPr>
                <w:rFonts w:ascii="Times New Roman" w:hAnsi="Times New Roman"/>
                <w:b/>
                <w:bCs/>
                <w:color w:val="000000" w:themeColor="text1"/>
                <w:sz w:val="24"/>
                <w:szCs w:val="24"/>
                <w:lang w:val="ro-MD"/>
              </w:rPr>
              <w:t>8. Modul de încorporare a actului în cadrul normativ existent</w:t>
            </w:r>
          </w:p>
        </w:tc>
      </w:tr>
      <w:tr w:rsidR="0058587E" w:rsidRPr="00D65B55" w:rsidTr="00E70F70">
        <w:tc>
          <w:tcPr>
            <w:tcW w:w="993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58587E" w:rsidRPr="00D65B55" w:rsidRDefault="0058587E" w:rsidP="00E70F70">
            <w:pPr>
              <w:ind w:firstLine="568"/>
              <w:rPr>
                <w:rFonts w:ascii="Times New Roman" w:hAnsi="Times New Roman"/>
                <w:b/>
                <w:color w:val="000000" w:themeColor="text1"/>
                <w:sz w:val="24"/>
                <w:szCs w:val="24"/>
                <w:lang w:val="ro-MD"/>
              </w:rPr>
            </w:pPr>
            <w:r w:rsidRPr="00D65B55">
              <w:rPr>
                <w:rFonts w:ascii="Times New Roman" w:hAnsi="Times New Roman"/>
                <w:b/>
                <w:color w:val="000000" w:themeColor="text1"/>
                <w:sz w:val="24"/>
                <w:szCs w:val="24"/>
                <w:lang w:val="ro-MD"/>
              </w:rPr>
              <w:t>Nu este aplicabil.</w:t>
            </w:r>
          </w:p>
        </w:tc>
      </w:tr>
      <w:tr w:rsidR="0058587E" w:rsidRPr="00C07C91" w:rsidTr="00E70F70">
        <w:tc>
          <w:tcPr>
            <w:tcW w:w="9930"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58587E" w:rsidRPr="00D65B55" w:rsidRDefault="0058587E" w:rsidP="00E70F70">
            <w:pPr>
              <w:ind w:firstLine="568"/>
              <w:rPr>
                <w:rFonts w:ascii="Times New Roman" w:hAnsi="Times New Roman"/>
                <w:b/>
                <w:bCs/>
                <w:color w:val="000000" w:themeColor="text1"/>
                <w:sz w:val="24"/>
                <w:szCs w:val="24"/>
                <w:lang w:val="ro-MD"/>
              </w:rPr>
            </w:pPr>
            <w:r w:rsidRPr="00D65B55">
              <w:rPr>
                <w:rFonts w:ascii="Times New Roman" w:hAnsi="Times New Roman"/>
                <w:b/>
                <w:bCs/>
                <w:color w:val="000000" w:themeColor="text1"/>
                <w:sz w:val="24"/>
                <w:szCs w:val="24"/>
                <w:lang w:val="ro-MD"/>
              </w:rPr>
              <w:t>9. Măsurile necesare pentru implementarea prevederilor proiectului actului normativ</w:t>
            </w:r>
          </w:p>
        </w:tc>
      </w:tr>
      <w:tr w:rsidR="0058587E" w:rsidRPr="00C07C91" w:rsidTr="00E70F70">
        <w:tc>
          <w:tcPr>
            <w:tcW w:w="9930"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rsidR="0058587E" w:rsidRPr="00D65B55" w:rsidRDefault="0058587E" w:rsidP="00E70F70">
            <w:pPr>
              <w:ind w:firstLine="568"/>
              <w:rPr>
                <w:rFonts w:ascii="Times New Roman" w:hAnsi="Times New Roman"/>
                <w:color w:val="000000" w:themeColor="text1"/>
                <w:sz w:val="24"/>
                <w:szCs w:val="24"/>
                <w:lang w:val="ro-MD"/>
              </w:rPr>
            </w:pPr>
            <w:r w:rsidRPr="00D65B55">
              <w:rPr>
                <w:rFonts w:ascii="Times New Roman" w:hAnsi="Times New Roman"/>
                <w:color w:val="000000" w:themeColor="text1"/>
                <w:sz w:val="24"/>
                <w:szCs w:val="24"/>
                <w:lang w:val="ro-MD"/>
              </w:rPr>
              <w:t>Pentru implementarea prevederilor proiectului actului normativ nu sunt neceare măsuri suplimentare.</w:t>
            </w:r>
          </w:p>
        </w:tc>
      </w:tr>
    </w:tbl>
    <w:p w:rsidR="0058587E" w:rsidRPr="00D65B55" w:rsidRDefault="0058587E" w:rsidP="0058587E">
      <w:pPr>
        <w:spacing w:after="0" w:line="240" w:lineRule="auto"/>
        <w:rPr>
          <w:rFonts w:ascii="Times New Roman" w:hAnsi="Times New Roman" w:cs="Times New Roman"/>
          <w:color w:val="000000" w:themeColor="text1"/>
          <w:lang w:val="ro-MD"/>
        </w:rPr>
      </w:pPr>
    </w:p>
    <w:p w:rsidR="0058587E" w:rsidRPr="00D65B55" w:rsidRDefault="0058587E" w:rsidP="0058587E">
      <w:pPr>
        <w:spacing w:after="0" w:line="240" w:lineRule="auto"/>
        <w:rPr>
          <w:rFonts w:ascii="Times New Roman" w:hAnsi="Times New Roman" w:cs="Times New Roman"/>
          <w:color w:val="000000" w:themeColor="text1"/>
          <w:lang w:val="ro-MD"/>
        </w:rPr>
      </w:pPr>
    </w:p>
    <w:p w:rsidR="0058587E" w:rsidRPr="00D65B55" w:rsidRDefault="0058587E" w:rsidP="0058587E">
      <w:pPr>
        <w:tabs>
          <w:tab w:val="left" w:pos="884"/>
          <w:tab w:val="left" w:pos="1196"/>
        </w:tabs>
        <w:spacing w:after="0" w:line="240" w:lineRule="auto"/>
        <w:ind w:right="708"/>
        <w:jc w:val="center"/>
        <w:rPr>
          <w:rFonts w:ascii="Times New Roman" w:hAnsi="Times New Roman" w:cs="Times New Roman"/>
          <w:b/>
          <w:iCs/>
          <w:color w:val="000000" w:themeColor="text1"/>
          <w:sz w:val="24"/>
          <w:szCs w:val="24"/>
          <w:lang w:val="ro-MD"/>
        </w:rPr>
      </w:pPr>
    </w:p>
    <w:p w:rsidR="0058587E" w:rsidRPr="00D65B55" w:rsidRDefault="0058587E" w:rsidP="0058587E">
      <w:pPr>
        <w:tabs>
          <w:tab w:val="left" w:pos="884"/>
          <w:tab w:val="left" w:pos="1196"/>
        </w:tabs>
        <w:spacing w:after="0" w:line="240" w:lineRule="auto"/>
        <w:ind w:right="708"/>
        <w:jc w:val="center"/>
        <w:rPr>
          <w:rFonts w:ascii="Times New Roman" w:hAnsi="Times New Roman" w:cs="Times New Roman"/>
          <w:b/>
          <w:iCs/>
          <w:color w:val="000000" w:themeColor="text1"/>
          <w:sz w:val="12"/>
          <w:szCs w:val="12"/>
          <w:lang w:val="ro-MD"/>
        </w:rPr>
      </w:pPr>
    </w:p>
    <w:p w:rsidR="0058587E" w:rsidRPr="00D65B55" w:rsidRDefault="0058587E" w:rsidP="0058587E">
      <w:pPr>
        <w:tabs>
          <w:tab w:val="left" w:pos="884"/>
          <w:tab w:val="left" w:pos="1196"/>
        </w:tabs>
        <w:spacing w:after="0" w:line="240" w:lineRule="auto"/>
        <w:ind w:right="708"/>
        <w:jc w:val="center"/>
        <w:rPr>
          <w:rFonts w:ascii="Times New Roman" w:hAnsi="Times New Roman" w:cs="Times New Roman"/>
          <w:b/>
          <w:iCs/>
          <w:color w:val="000000" w:themeColor="text1"/>
          <w:sz w:val="24"/>
          <w:szCs w:val="24"/>
          <w:lang w:val="ro-MD"/>
        </w:rPr>
      </w:pPr>
      <w:r w:rsidRPr="00D65B55">
        <w:rPr>
          <w:rFonts w:ascii="Times New Roman" w:hAnsi="Times New Roman" w:cs="Times New Roman"/>
          <w:b/>
          <w:iCs/>
          <w:color w:val="000000" w:themeColor="text1"/>
          <w:sz w:val="24"/>
          <w:szCs w:val="24"/>
          <w:lang w:val="ro-MD"/>
        </w:rPr>
        <w:t xml:space="preserve">Ministru </w:t>
      </w:r>
      <w:r w:rsidRPr="00D65B55">
        <w:rPr>
          <w:rFonts w:ascii="Times New Roman" w:hAnsi="Times New Roman" w:cs="Times New Roman"/>
          <w:b/>
          <w:iCs/>
          <w:color w:val="000000" w:themeColor="text1"/>
          <w:sz w:val="24"/>
          <w:szCs w:val="24"/>
          <w:lang w:val="ro-MD"/>
        </w:rPr>
        <w:tab/>
      </w:r>
      <w:r w:rsidRPr="00D65B55">
        <w:rPr>
          <w:rFonts w:ascii="Times New Roman" w:hAnsi="Times New Roman" w:cs="Times New Roman"/>
          <w:b/>
          <w:iCs/>
          <w:color w:val="000000" w:themeColor="text1"/>
          <w:sz w:val="24"/>
          <w:szCs w:val="24"/>
          <w:lang w:val="ro-MD"/>
        </w:rPr>
        <w:tab/>
      </w:r>
      <w:r w:rsidRPr="00D65B55">
        <w:rPr>
          <w:rFonts w:ascii="Times New Roman" w:hAnsi="Times New Roman" w:cs="Times New Roman"/>
          <w:b/>
          <w:iCs/>
          <w:color w:val="000000" w:themeColor="text1"/>
          <w:sz w:val="24"/>
          <w:szCs w:val="24"/>
          <w:lang w:val="ro-MD"/>
        </w:rPr>
        <w:tab/>
      </w:r>
      <w:r w:rsidRPr="00D65B55">
        <w:rPr>
          <w:rFonts w:ascii="Times New Roman" w:hAnsi="Times New Roman" w:cs="Times New Roman"/>
          <w:b/>
          <w:iCs/>
          <w:color w:val="000000" w:themeColor="text1"/>
          <w:sz w:val="24"/>
          <w:szCs w:val="24"/>
          <w:lang w:val="ro-MD"/>
        </w:rPr>
        <w:tab/>
      </w:r>
      <w:r w:rsidRPr="00D65B55">
        <w:rPr>
          <w:rFonts w:ascii="Times New Roman" w:hAnsi="Times New Roman" w:cs="Times New Roman"/>
          <w:b/>
          <w:iCs/>
          <w:color w:val="000000" w:themeColor="text1"/>
          <w:sz w:val="24"/>
          <w:szCs w:val="24"/>
          <w:lang w:val="ro-MD"/>
        </w:rPr>
        <w:tab/>
        <w:t>Dan PERCIUN</w:t>
      </w:r>
    </w:p>
    <w:p w:rsidR="0058587E" w:rsidRPr="00D65B55" w:rsidRDefault="0058587E" w:rsidP="0058587E">
      <w:pPr>
        <w:spacing w:after="0" w:line="240" w:lineRule="auto"/>
        <w:ind w:right="424"/>
        <w:rPr>
          <w:rFonts w:ascii="Times New Roman" w:hAnsi="Times New Roman" w:cs="Times New Roman"/>
          <w:color w:val="000000" w:themeColor="text1"/>
          <w:sz w:val="16"/>
          <w:szCs w:val="16"/>
          <w:lang w:val="ro-MD"/>
        </w:rPr>
      </w:pPr>
    </w:p>
    <w:p w:rsidR="0058587E" w:rsidRPr="00D65B55" w:rsidRDefault="0058587E" w:rsidP="0058587E">
      <w:pPr>
        <w:spacing w:after="0" w:line="240" w:lineRule="auto"/>
        <w:ind w:right="424"/>
        <w:rPr>
          <w:rFonts w:ascii="Times New Roman" w:hAnsi="Times New Roman" w:cs="Times New Roman"/>
          <w:color w:val="000000" w:themeColor="text1"/>
          <w:sz w:val="16"/>
          <w:szCs w:val="16"/>
          <w:lang w:val="ro-MD"/>
        </w:rPr>
      </w:pPr>
    </w:p>
    <w:p w:rsidR="0058587E" w:rsidRPr="00D65B55" w:rsidRDefault="0058587E" w:rsidP="0058587E">
      <w:pPr>
        <w:spacing w:after="0" w:line="240" w:lineRule="auto"/>
        <w:ind w:right="424"/>
        <w:rPr>
          <w:rFonts w:ascii="Times New Roman" w:hAnsi="Times New Roman" w:cs="Times New Roman"/>
          <w:color w:val="000000" w:themeColor="text1"/>
          <w:sz w:val="16"/>
          <w:szCs w:val="16"/>
          <w:lang w:val="ro-MD"/>
        </w:rPr>
      </w:pPr>
    </w:p>
    <w:p w:rsidR="0058587E" w:rsidRPr="00D65B55" w:rsidRDefault="0058587E" w:rsidP="0058587E">
      <w:pPr>
        <w:spacing w:after="0" w:line="240" w:lineRule="auto"/>
        <w:ind w:right="424"/>
        <w:rPr>
          <w:rFonts w:ascii="Times New Roman" w:hAnsi="Times New Roman" w:cs="Times New Roman"/>
          <w:color w:val="000000" w:themeColor="text1"/>
          <w:sz w:val="16"/>
          <w:szCs w:val="16"/>
          <w:lang w:val="ro-MD"/>
        </w:rPr>
      </w:pPr>
    </w:p>
    <w:p w:rsidR="0058587E" w:rsidRPr="00D65B55" w:rsidRDefault="0058587E" w:rsidP="0058587E">
      <w:pPr>
        <w:spacing w:after="0" w:line="240" w:lineRule="auto"/>
        <w:ind w:right="424"/>
        <w:rPr>
          <w:rFonts w:ascii="Times New Roman" w:hAnsi="Times New Roman" w:cs="Times New Roman"/>
          <w:color w:val="000000" w:themeColor="text1"/>
          <w:sz w:val="16"/>
          <w:szCs w:val="16"/>
          <w:lang w:val="ro-MD"/>
        </w:rPr>
      </w:pPr>
    </w:p>
    <w:p w:rsidR="0058587E" w:rsidRPr="00D65B55" w:rsidRDefault="0058587E" w:rsidP="0058587E">
      <w:pPr>
        <w:spacing w:after="0" w:line="240" w:lineRule="auto"/>
        <w:ind w:right="424"/>
        <w:rPr>
          <w:rFonts w:ascii="Times New Roman" w:hAnsi="Times New Roman" w:cs="Times New Roman"/>
          <w:color w:val="000000" w:themeColor="text1"/>
          <w:sz w:val="16"/>
          <w:szCs w:val="16"/>
          <w:lang w:val="ro-MD"/>
        </w:rPr>
      </w:pPr>
    </w:p>
    <w:p w:rsidR="0058587E" w:rsidRDefault="0058587E" w:rsidP="0058587E">
      <w:pPr>
        <w:spacing w:after="0" w:line="240" w:lineRule="auto"/>
        <w:ind w:right="424"/>
        <w:rPr>
          <w:rFonts w:ascii="Times New Roman" w:hAnsi="Times New Roman" w:cs="Times New Roman"/>
          <w:color w:val="000000" w:themeColor="text1"/>
          <w:sz w:val="16"/>
          <w:szCs w:val="16"/>
          <w:lang w:val="ro-MD"/>
        </w:rPr>
      </w:pPr>
    </w:p>
    <w:p w:rsidR="00C07C91" w:rsidRPr="00D65B55" w:rsidRDefault="00C07C91" w:rsidP="0058587E">
      <w:pPr>
        <w:spacing w:after="0" w:line="240" w:lineRule="auto"/>
        <w:ind w:right="424"/>
        <w:rPr>
          <w:rFonts w:ascii="Times New Roman" w:hAnsi="Times New Roman" w:cs="Times New Roman"/>
          <w:color w:val="000000" w:themeColor="text1"/>
          <w:sz w:val="16"/>
          <w:szCs w:val="16"/>
          <w:lang w:val="ro-MD"/>
        </w:rPr>
      </w:pPr>
      <w:bookmarkStart w:id="1" w:name="_GoBack"/>
      <w:bookmarkEnd w:id="1"/>
    </w:p>
    <w:p w:rsidR="0058587E" w:rsidRPr="00D65B55" w:rsidRDefault="0058587E" w:rsidP="0058587E">
      <w:pPr>
        <w:spacing w:after="0" w:line="240" w:lineRule="auto"/>
        <w:ind w:right="424"/>
        <w:rPr>
          <w:rFonts w:ascii="Times New Roman" w:hAnsi="Times New Roman" w:cs="Times New Roman"/>
          <w:color w:val="000000" w:themeColor="text1"/>
          <w:sz w:val="16"/>
          <w:szCs w:val="16"/>
          <w:lang w:val="ro-MD"/>
        </w:rPr>
      </w:pPr>
    </w:p>
    <w:p w:rsidR="0058587E" w:rsidRPr="00D65B55" w:rsidRDefault="0058587E" w:rsidP="0058587E">
      <w:pPr>
        <w:spacing w:after="0" w:line="240" w:lineRule="auto"/>
        <w:ind w:right="424"/>
        <w:rPr>
          <w:rFonts w:ascii="Times New Roman" w:hAnsi="Times New Roman" w:cs="Times New Roman"/>
          <w:color w:val="000000" w:themeColor="text1"/>
          <w:sz w:val="16"/>
          <w:szCs w:val="16"/>
          <w:lang w:val="ro-MD"/>
        </w:rPr>
      </w:pPr>
    </w:p>
    <w:p w:rsidR="0058587E" w:rsidRPr="00D65B55" w:rsidRDefault="0058587E" w:rsidP="0058587E">
      <w:pPr>
        <w:spacing w:after="0" w:line="240" w:lineRule="auto"/>
        <w:ind w:right="424"/>
        <w:rPr>
          <w:rFonts w:ascii="Times New Roman" w:hAnsi="Times New Roman" w:cs="Times New Roman"/>
          <w:color w:val="000000" w:themeColor="text1"/>
          <w:sz w:val="16"/>
          <w:szCs w:val="16"/>
          <w:lang w:val="ro-MD"/>
        </w:rPr>
      </w:pPr>
    </w:p>
    <w:p w:rsidR="0058587E" w:rsidRPr="00D65B55" w:rsidRDefault="0058587E" w:rsidP="0058587E">
      <w:pPr>
        <w:spacing w:after="0" w:line="240" w:lineRule="auto"/>
        <w:ind w:right="424"/>
        <w:rPr>
          <w:rFonts w:ascii="Times New Roman" w:hAnsi="Times New Roman" w:cs="Times New Roman"/>
          <w:color w:val="000000" w:themeColor="text1"/>
          <w:sz w:val="16"/>
          <w:szCs w:val="16"/>
          <w:lang w:val="ro-MD"/>
        </w:rPr>
      </w:pPr>
    </w:p>
    <w:p w:rsidR="0058587E" w:rsidRPr="00D65B55" w:rsidRDefault="0058587E" w:rsidP="0058587E">
      <w:pPr>
        <w:spacing w:after="0" w:line="240" w:lineRule="auto"/>
        <w:ind w:right="424"/>
        <w:rPr>
          <w:rFonts w:ascii="Times New Roman" w:hAnsi="Times New Roman" w:cs="Times New Roman"/>
          <w:color w:val="000000" w:themeColor="text1"/>
          <w:sz w:val="16"/>
          <w:szCs w:val="16"/>
          <w:lang w:val="ro-MD"/>
        </w:rPr>
      </w:pPr>
    </w:p>
    <w:p w:rsidR="0058587E" w:rsidRDefault="0058587E" w:rsidP="0058587E">
      <w:pPr>
        <w:spacing w:after="0" w:line="240" w:lineRule="auto"/>
        <w:ind w:right="424"/>
        <w:rPr>
          <w:rFonts w:ascii="Times New Roman" w:hAnsi="Times New Roman" w:cs="Times New Roman"/>
          <w:color w:val="000000" w:themeColor="text1"/>
          <w:sz w:val="12"/>
          <w:szCs w:val="12"/>
          <w:lang w:val="ro-MD"/>
        </w:rPr>
      </w:pPr>
    </w:p>
    <w:p w:rsidR="00385C58" w:rsidRPr="00D65B55" w:rsidRDefault="00385C58" w:rsidP="0058587E">
      <w:pPr>
        <w:spacing w:after="0" w:line="240" w:lineRule="auto"/>
        <w:ind w:right="424"/>
        <w:rPr>
          <w:rFonts w:ascii="Times New Roman" w:hAnsi="Times New Roman" w:cs="Times New Roman"/>
          <w:color w:val="000000" w:themeColor="text1"/>
          <w:sz w:val="12"/>
          <w:szCs w:val="12"/>
          <w:lang w:val="ro-MD"/>
        </w:rPr>
      </w:pPr>
    </w:p>
    <w:p w:rsidR="0058587E" w:rsidRPr="00D65B55" w:rsidRDefault="0058587E" w:rsidP="0058587E">
      <w:pPr>
        <w:spacing w:after="0" w:line="240" w:lineRule="auto"/>
        <w:rPr>
          <w:rFonts w:ascii="Times New Roman" w:hAnsi="Times New Roman" w:cs="Times New Roman"/>
          <w:color w:val="000000" w:themeColor="text1"/>
          <w:sz w:val="16"/>
          <w:szCs w:val="16"/>
          <w:lang w:val="ro-MD"/>
        </w:rPr>
      </w:pPr>
      <w:r w:rsidRPr="00D65B55">
        <w:rPr>
          <w:rFonts w:ascii="Times New Roman" w:hAnsi="Times New Roman" w:cs="Times New Roman"/>
          <w:color w:val="000000" w:themeColor="text1"/>
          <w:sz w:val="16"/>
          <w:szCs w:val="16"/>
          <w:lang w:val="ro-MD"/>
        </w:rPr>
        <w:t>Ex. Ana Sandu, consultant principal,</w:t>
      </w:r>
    </w:p>
    <w:p w:rsidR="0058587E" w:rsidRPr="00D65B55" w:rsidRDefault="0058587E" w:rsidP="0058587E">
      <w:pPr>
        <w:spacing w:after="0" w:line="240" w:lineRule="auto"/>
        <w:rPr>
          <w:rFonts w:ascii="Times New Roman" w:hAnsi="Times New Roman" w:cs="Times New Roman"/>
          <w:color w:val="000000" w:themeColor="text1"/>
          <w:sz w:val="16"/>
          <w:szCs w:val="16"/>
          <w:lang w:val="ro-MD"/>
        </w:rPr>
      </w:pPr>
      <w:r w:rsidRPr="00D65B55">
        <w:rPr>
          <w:rFonts w:ascii="Times New Roman" w:hAnsi="Times New Roman" w:cs="Times New Roman"/>
          <w:color w:val="000000" w:themeColor="text1"/>
          <w:sz w:val="16"/>
          <w:szCs w:val="16"/>
          <w:lang w:val="ro-MD"/>
        </w:rPr>
        <w:t>Direcția juridică și resurse umane</w:t>
      </w:r>
    </w:p>
    <w:p w:rsidR="00BD45FF" w:rsidRPr="00385C58" w:rsidRDefault="0058587E" w:rsidP="00385C58">
      <w:pPr>
        <w:spacing w:after="0" w:line="240" w:lineRule="auto"/>
        <w:rPr>
          <w:rFonts w:ascii="Times New Roman" w:hAnsi="Times New Roman" w:cs="Times New Roman"/>
          <w:color w:val="000000" w:themeColor="text1"/>
          <w:sz w:val="16"/>
          <w:szCs w:val="16"/>
          <w:lang w:val="ro-MD"/>
        </w:rPr>
      </w:pPr>
      <w:r w:rsidRPr="00D65B55">
        <w:rPr>
          <w:rFonts w:ascii="Times New Roman" w:hAnsi="Times New Roman" w:cs="Times New Roman"/>
          <w:color w:val="000000" w:themeColor="text1"/>
          <w:sz w:val="16"/>
          <w:szCs w:val="16"/>
          <w:lang w:val="ro-MD"/>
        </w:rPr>
        <w:t>Tel. 022-23-46-09</w:t>
      </w:r>
    </w:p>
    <w:sectPr w:rsidR="00BD45FF" w:rsidRPr="00385C58" w:rsidSect="00E70F70">
      <w:footerReference w:type="default" r:id="rId9"/>
      <w:headerReference w:type="first" r:id="rId10"/>
      <w:pgSz w:w="11907" w:h="16840"/>
      <w:pgMar w:top="993" w:right="567" w:bottom="1135" w:left="1418" w:header="566" w:footer="31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1303" w:rsidRDefault="00EF1303">
      <w:pPr>
        <w:spacing w:after="0" w:line="240" w:lineRule="auto"/>
      </w:pPr>
      <w:r>
        <w:separator/>
      </w:r>
    </w:p>
  </w:endnote>
  <w:endnote w:type="continuationSeparator" w:id="0">
    <w:p w:rsidR="00EF1303" w:rsidRDefault="00EF13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9713992"/>
      <w:docPartObj>
        <w:docPartGallery w:val="Page Numbers (Bottom of Page)"/>
        <w:docPartUnique/>
      </w:docPartObj>
    </w:sdtPr>
    <w:sdtEndPr/>
    <w:sdtContent>
      <w:sdt>
        <w:sdtPr>
          <w:id w:val="1685406529"/>
          <w:docPartObj>
            <w:docPartGallery w:val="Page Numbers (Top of Page)"/>
            <w:docPartUnique/>
          </w:docPartObj>
        </w:sdtPr>
        <w:sdtEndPr/>
        <w:sdtContent>
          <w:p w:rsidR="00E70F70" w:rsidRDefault="00E70F70">
            <w:pPr>
              <w:pStyle w:val="a7"/>
              <w:jc w:val="right"/>
            </w:pPr>
            <w:r>
              <w:rPr>
                <w:lang w:val="ro-MD"/>
              </w:rPr>
              <w:t>Pagina</w:t>
            </w:r>
            <w:r>
              <w:t xml:space="preserve"> </w:t>
            </w:r>
            <w:r>
              <w:rPr>
                <w:b/>
                <w:bCs/>
                <w:sz w:val="24"/>
                <w:szCs w:val="24"/>
              </w:rPr>
              <w:fldChar w:fldCharType="begin"/>
            </w:r>
            <w:r>
              <w:rPr>
                <w:b/>
                <w:bCs/>
              </w:rPr>
              <w:instrText>PAGE</w:instrText>
            </w:r>
            <w:r>
              <w:rPr>
                <w:b/>
                <w:bCs/>
                <w:sz w:val="24"/>
                <w:szCs w:val="24"/>
              </w:rPr>
              <w:fldChar w:fldCharType="separate"/>
            </w:r>
            <w:r w:rsidR="00C07C91">
              <w:rPr>
                <w:b/>
                <w:bCs/>
                <w:noProof/>
              </w:rPr>
              <w:t>4</w:t>
            </w:r>
            <w:r>
              <w:rPr>
                <w:b/>
                <w:bCs/>
                <w:sz w:val="24"/>
                <w:szCs w:val="24"/>
              </w:rPr>
              <w:fldChar w:fldCharType="end"/>
            </w:r>
            <w:r>
              <w:t xml:space="preserve"> </w:t>
            </w:r>
            <w:r>
              <w:rPr>
                <w:lang w:val="ro-MD"/>
              </w:rPr>
              <w:t>din</w:t>
            </w:r>
            <w:r>
              <w:t xml:space="preserve"> </w:t>
            </w:r>
            <w:r>
              <w:rPr>
                <w:b/>
                <w:bCs/>
                <w:sz w:val="24"/>
                <w:szCs w:val="24"/>
              </w:rPr>
              <w:fldChar w:fldCharType="begin"/>
            </w:r>
            <w:r>
              <w:rPr>
                <w:b/>
                <w:bCs/>
              </w:rPr>
              <w:instrText>NUMPAGES</w:instrText>
            </w:r>
            <w:r>
              <w:rPr>
                <w:b/>
                <w:bCs/>
                <w:sz w:val="24"/>
                <w:szCs w:val="24"/>
              </w:rPr>
              <w:fldChar w:fldCharType="separate"/>
            </w:r>
            <w:r w:rsidR="00C07C91">
              <w:rPr>
                <w:b/>
                <w:bCs/>
                <w:noProof/>
              </w:rPr>
              <w:t>4</w:t>
            </w:r>
            <w:r>
              <w:rPr>
                <w:b/>
                <w:bCs/>
                <w:sz w:val="24"/>
                <w:szCs w:val="24"/>
              </w:rPr>
              <w:fldChar w:fldCharType="end"/>
            </w:r>
          </w:p>
        </w:sdtContent>
      </w:sdt>
    </w:sdtContent>
  </w:sdt>
  <w:p w:rsidR="00E70F70" w:rsidRDefault="00E70F7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1303" w:rsidRDefault="00EF1303">
      <w:pPr>
        <w:spacing w:after="0" w:line="240" w:lineRule="auto"/>
      </w:pPr>
      <w:r>
        <w:separator/>
      </w:r>
    </w:p>
  </w:footnote>
  <w:footnote w:type="continuationSeparator" w:id="0">
    <w:p w:rsidR="00EF1303" w:rsidRDefault="00EF13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F70" w:rsidRPr="00032B46" w:rsidRDefault="00E70F70">
    <w:pPr>
      <w:pStyle w:val="a3"/>
      <w:ind w:firstLine="0"/>
      <w:rPr>
        <w:sz w:val="28"/>
        <w:szCs w:val="28"/>
        <w:lang w:val="ro-R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1DA"/>
    <w:rsid w:val="00183B9D"/>
    <w:rsid w:val="00371766"/>
    <w:rsid w:val="00385C58"/>
    <w:rsid w:val="0058587E"/>
    <w:rsid w:val="005E4397"/>
    <w:rsid w:val="006923F7"/>
    <w:rsid w:val="00794576"/>
    <w:rsid w:val="007D2D1D"/>
    <w:rsid w:val="00AD47FD"/>
    <w:rsid w:val="00BD45FF"/>
    <w:rsid w:val="00C07C91"/>
    <w:rsid w:val="00C431DA"/>
    <w:rsid w:val="00CD1E43"/>
    <w:rsid w:val="00D65B55"/>
    <w:rsid w:val="00DC01C1"/>
    <w:rsid w:val="00E70F70"/>
    <w:rsid w:val="00EF13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9C982"/>
  <w15:chartTrackingRefBased/>
  <w15:docId w15:val="{2D096819-6A32-4F51-8F49-5666AFCD0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587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8587E"/>
    <w:pPr>
      <w:tabs>
        <w:tab w:val="center" w:pos="4677"/>
        <w:tab w:val="right" w:pos="9355"/>
      </w:tabs>
      <w:spacing w:after="0" w:line="240" w:lineRule="auto"/>
      <w:ind w:firstLine="709"/>
      <w:jc w:val="both"/>
    </w:pPr>
    <w:rPr>
      <w:rFonts w:ascii="Times New Roman" w:eastAsia="Times New Roman" w:hAnsi="Times New Roman" w:cs="Times New Roman"/>
      <w:sz w:val="20"/>
      <w:szCs w:val="20"/>
      <w:lang w:val="en-US"/>
    </w:rPr>
  </w:style>
  <w:style w:type="character" w:customStyle="1" w:styleId="a4">
    <w:name w:val="Верхний колонтитул Знак"/>
    <w:basedOn w:val="a0"/>
    <w:link w:val="a3"/>
    <w:rsid w:val="0058587E"/>
    <w:rPr>
      <w:rFonts w:ascii="Times New Roman" w:eastAsia="Times New Roman" w:hAnsi="Times New Roman" w:cs="Times New Roman"/>
      <w:sz w:val="20"/>
      <w:szCs w:val="20"/>
      <w:lang w:val="en-US"/>
    </w:rPr>
  </w:style>
  <w:style w:type="table" w:styleId="a5">
    <w:name w:val="Table Grid"/>
    <w:basedOn w:val="a1"/>
    <w:uiPriority w:val="39"/>
    <w:rsid w:val="0058587E"/>
    <w:pPr>
      <w:spacing w:after="0" w:line="240" w:lineRule="auto"/>
      <w:ind w:firstLine="709"/>
      <w:jc w:val="both"/>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Normal (Web)"/>
    <w:basedOn w:val="a"/>
    <w:uiPriority w:val="99"/>
    <w:unhideWhenUsed/>
    <w:rsid w:val="005858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58587E"/>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8587E"/>
  </w:style>
  <w:style w:type="character" w:styleId="a9">
    <w:name w:val="Hyperlink"/>
    <w:basedOn w:val="a0"/>
    <w:uiPriority w:val="99"/>
    <w:unhideWhenUsed/>
    <w:rsid w:val="0058587E"/>
    <w:rPr>
      <w:color w:val="0563C1" w:themeColor="hyperlink"/>
      <w:u w:val="single"/>
    </w:rPr>
  </w:style>
  <w:style w:type="paragraph" w:styleId="aa">
    <w:name w:val="Balloon Text"/>
    <w:basedOn w:val="a"/>
    <w:link w:val="ab"/>
    <w:uiPriority w:val="99"/>
    <w:semiHidden/>
    <w:unhideWhenUsed/>
    <w:rsid w:val="00C07C91"/>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C07C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rticip.gov.md/ro/document/stages/*/15899" TargetMode="External"/><Relationship Id="rId3" Type="http://schemas.openxmlformats.org/officeDocument/2006/relationships/webSettings" Target="webSettings.xml"/><Relationship Id="rId7" Type="http://schemas.openxmlformats.org/officeDocument/2006/relationships/hyperlink" Target="http://www.particip.gov.md"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ec.gov.md"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2222</Words>
  <Characters>12670</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7</cp:revision>
  <cp:lastPrinted>2026-03-30T13:15:00Z</cp:lastPrinted>
  <dcterms:created xsi:type="dcterms:W3CDTF">2026-03-30T06:38:00Z</dcterms:created>
  <dcterms:modified xsi:type="dcterms:W3CDTF">2026-03-30T13:16:00Z</dcterms:modified>
</cp:coreProperties>
</file>