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2893" w14:textId="77777777" w:rsidR="00074DD1" w:rsidRDefault="00000000">
      <w:pPr>
        <w:spacing w:after="0"/>
        <w:ind w:firstLine="709"/>
        <w:jc w:val="center"/>
        <w:rPr>
          <w:b/>
          <w:bCs/>
          <w:sz w:val="20"/>
          <w:szCs w:val="20"/>
        </w:rPr>
      </w:pPr>
      <w:r>
        <w:rPr>
          <w:b/>
          <w:bCs/>
          <w:sz w:val="20"/>
          <w:szCs w:val="20"/>
        </w:rPr>
        <w:t>TABEL DE CONCORDANȚĂ</w:t>
      </w:r>
    </w:p>
    <w:p w14:paraId="655F7BE6" w14:textId="77777777" w:rsidR="00074DD1" w:rsidRDefault="00074DD1">
      <w:pPr>
        <w:spacing w:after="0"/>
        <w:ind w:firstLine="709"/>
        <w:jc w:val="both"/>
        <w:rPr>
          <w:b/>
          <w:bCs/>
          <w:sz w:val="20"/>
          <w:szCs w:val="20"/>
        </w:rPr>
      </w:pPr>
    </w:p>
    <w:tbl>
      <w:tblPr>
        <w:tblStyle w:val="a"/>
        <w:tblW w:w="1476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
        <w:gridCol w:w="4648"/>
        <w:gridCol w:w="4465"/>
        <w:gridCol w:w="2918"/>
        <w:gridCol w:w="2333"/>
      </w:tblGrid>
      <w:tr w:rsidR="00074DD1" w14:paraId="4FC2A732" w14:textId="77777777">
        <w:tc>
          <w:tcPr>
            <w:tcW w:w="401" w:type="dxa"/>
          </w:tcPr>
          <w:p w14:paraId="1B2100FF" w14:textId="77777777" w:rsidR="00074DD1" w:rsidRDefault="00000000">
            <w:pPr>
              <w:spacing w:after="0"/>
              <w:ind w:firstLine="22"/>
              <w:jc w:val="both"/>
              <w:rPr>
                <w:b/>
                <w:bCs/>
                <w:color w:val="0D0D0D"/>
                <w:sz w:val="20"/>
                <w:szCs w:val="20"/>
              </w:rPr>
            </w:pPr>
            <w:r>
              <w:rPr>
                <w:b/>
                <w:bCs/>
                <w:color w:val="0D0D0D"/>
                <w:sz w:val="20"/>
                <w:szCs w:val="20"/>
              </w:rPr>
              <w:t>1</w:t>
            </w:r>
          </w:p>
        </w:tc>
        <w:tc>
          <w:tcPr>
            <w:tcW w:w="14364" w:type="dxa"/>
            <w:gridSpan w:val="4"/>
          </w:tcPr>
          <w:p w14:paraId="5C2FF354" w14:textId="77777777" w:rsidR="00074DD1" w:rsidRDefault="00000000">
            <w:pPr>
              <w:spacing w:after="0"/>
              <w:ind w:firstLine="22"/>
              <w:jc w:val="both"/>
              <w:rPr>
                <w:b/>
                <w:bCs/>
                <w:sz w:val="20"/>
                <w:szCs w:val="20"/>
              </w:rPr>
            </w:pPr>
            <w:r>
              <w:rPr>
                <w:b/>
                <w:bCs/>
                <w:sz w:val="20"/>
                <w:szCs w:val="20"/>
              </w:rPr>
              <w:t xml:space="preserve">Titlul actului UE, inclusiv cea mai recentă modificare, nr. CELEX </w:t>
            </w:r>
          </w:p>
          <w:p w14:paraId="3696BC4D" w14:textId="77777777" w:rsidR="00074DD1" w:rsidRDefault="00000000">
            <w:pPr>
              <w:pBdr>
                <w:top w:val="nil"/>
                <w:left w:val="nil"/>
                <w:bottom w:val="nil"/>
                <w:right w:val="nil"/>
                <w:between w:val="nil"/>
              </w:pBdr>
              <w:spacing w:after="0"/>
              <w:jc w:val="both"/>
              <w:rPr>
                <w:color w:val="0D0D0D"/>
                <w:sz w:val="20"/>
                <w:szCs w:val="20"/>
              </w:rPr>
            </w:pPr>
            <w:r>
              <w:rPr>
                <w:color w:val="000000"/>
                <w:sz w:val="20"/>
                <w:szCs w:val="20"/>
                <w:highlight w:val="white"/>
              </w:rPr>
              <w:t>Regulamentul (UE) 2023/915 al Comisiei din 25 aprilie 2023 privind nivelurile maxime pentru anumiți contaminanți din produsele alimentare și de abrogare a Regulamentului (CE) nr. 1881/2006, publicat în Jurnalul Oficial al Uniunii Europene L 119 din 5 mai 2023, CELEX: 32023R0915, așa cum a fost modificat ultima dată prin Regulamentul (UE) 2025/1891 din 17 septembrie 2025.</w:t>
            </w:r>
          </w:p>
        </w:tc>
      </w:tr>
      <w:tr w:rsidR="00074DD1" w14:paraId="7AC787D0" w14:textId="77777777">
        <w:tc>
          <w:tcPr>
            <w:tcW w:w="401" w:type="dxa"/>
          </w:tcPr>
          <w:p w14:paraId="7994FF1B" w14:textId="77777777" w:rsidR="00074DD1" w:rsidRDefault="00000000">
            <w:pPr>
              <w:spacing w:after="0"/>
              <w:ind w:firstLine="22"/>
              <w:jc w:val="both"/>
              <w:rPr>
                <w:b/>
                <w:bCs/>
                <w:color w:val="0D0D0D"/>
                <w:sz w:val="20"/>
                <w:szCs w:val="20"/>
              </w:rPr>
            </w:pPr>
            <w:r>
              <w:rPr>
                <w:b/>
                <w:bCs/>
                <w:color w:val="0D0D0D"/>
                <w:sz w:val="20"/>
                <w:szCs w:val="20"/>
              </w:rPr>
              <w:t>2</w:t>
            </w:r>
          </w:p>
        </w:tc>
        <w:tc>
          <w:tcPr>
            <w:tcW w:w="14364" w:type="dxa"/>
            <w:gridSpan w:val="4"/>
          </w:tcPr>
          <w:p w14:paraId="640B95C2" w14:textId="77777777" w:rsidR="00074DD1" w:rsidRDefault="00000000">
            <w:pPr>
              <w:spacing w:after="0"/>
              <w:ind w:firstLine="22"/>
              <w:jc w:val="both"/>
              <w:rPr>
                <w:b/>
                <w:bCs/>
                <w:sz w:val="20"/>
                <w:szCs w:val="20"/>
              </w:rPr>
            </w:pPr>
            <w:r>
              <w:rPr>
                <w:b/>
                <w:bCs/>
                <w:sz w:val="20"/>
                <w:szCs w:val="20"/>
              </w:rPr>
              <w:t>Titlul proiectului de act normativ național</w:t>
            </w:r>
          </w:p>
          <w:p w14:paraId="2B7D237F" w14:textId="77777777" w:rsidR="00074DD1" w:rsidRDefault="00000000">
            <w:pPr>
              <w:shd w:val="clear" w:color="auto" w:fill="FFFFFF"/>
              <w:spacing w:after="0"/>
              <w:rPr>
                <w:color w:val="0D0D0D"/>
                <w:sz w:val="20"/>
                <w:szCs w:val="20"/>
              </w:rPr>
            </w:pPr>
            <w:r>
              <w:rPr>
                <w:sz w:val="20"/>
                <w:szCs w:val="20"/>
              </w:rPr>
              <w:t xml:space="preserve">Proiect hotărârii de Guvern cu privire la modificarea a Hotărârii Guvernului </w:t>
            </w:r>
            <w:r>
              <w:rPr>
                <w:b/>
                <w:bCs/>
                <w:sz w:val="20"/>
                <w:szCs w:val="20"/>
              </w:rPr>
              <w:t> n</w:t>
            </w:r>
            <w:r>
              <w:rPr>
                <w:color w:val="333333"/>
                <w:sz w:val="20"/>
                <w:szCs w:val="20"/>
              </w:rPr>
              <w:t>r. 724/2024 pentru aprobarea Regulamentului sanitar privind nivelurile maxime pentru anumiți contaminanți din produsele alimentare.</w:t>
            </w:r>
          </w:p>
        </w:tc>
      </w:tr>
      <w:tr w:rsidR="00074DD1" w14:paraId="387A8B31" w14:textId="77777777">
        <w:tc>
          <w:tcPr>
            <w:tcW w:w="401" w:type="dxa"/>
          </w:tcPr>
          <w:p w14:paraId="53B23E1B" w14:textId="77777777" w:rsidR="00074DD1" w:rsidRDefault="00000000">
            <w:pPr>
              <w:spacing w:after="0"/>
              <w:ind w:firstLine="22"/>
              <w:jc w:val="both"/>
              <w:rPr>
                <w:b/>
                <w:bCs/>
                <w:color w:val="0D0D0D"/>
                <w:sz w:val="20"/>
                <w:szCs w:val="20"/>
              </w:rPr>
            </w:pPr>
            <w:r>
              <w:rPr>
                <w:b/>
                <w:bCs/>
                <w:color w:val="0D0D0D"/>
                <w:sz w:val="20"/>
                <w:szCs w:val="20"/>
              </w:rPr>
              <w:t>3</w:t>
            </w:r>
          </w:p>
        </w:tc>
        <w:tc>
          <w:tcPr>
            <w:tcW w:w="14364" w:type="dxa"/>
            <w:gridSpan w:val="4"/>
          </w:tcPr>
          <w:p w14:paraId="78058246" w14:textId="77777777" w:rsidR="00074DD1" w:rsidRDefault="00000000">
            <w:pPr>
              <w:spacing w:after="0"/>
              <w:ind w:firstLine="22"/>
              <w:jc w:val="both"/>
              <w:rPr>
                <w:b/>
                <w:bCs/>
                <w:sz w:val="20"/>
                <w:szCs w:val="20"/>
              </w:rPr>
            </w:pPr>
            <w:r>
              <w:rPr>
                <w:b/>
                <w:bCs/>
                <w:sz w:val="20"/>
                <w:szCs w:val="20"/>
              </w:rPr>
              <w:t>Gradul general de compatibilitate</w:t>
            </w:r>
          </w:p>
          <w:p w14:paraId="0663A9ED" w14:textId="77777777" w:rsidR="00074DD1" w:rsidRDefault="00000000">
            <w:pPr>
              <w:spacing w:after="0"/>
              <w:ind w:firstLine="22"/>
              <w:jc w:val="both"/>
              <w:rPr>
                <w:b/>
                <w:bCs/>
                <w:sz w:val="20"/>
                <w:szCs w:val="20"/>
              </w:rPr>
            </w:pPr>
            <w:r>
              <w:rPr>
                <w:sz w:val="20"/>
                <w:szCs w:val="20"/>
              </w:rPr>
              <w:t>Compatibil</w:t>
            </w:r>
          </w:p>
        </w:tc>
      </w:tr>
      <w:tr w:rsidR="00074DD1" w14:paraId="54183ACD" w14:textId="77777777">
        <w:tc>
          <w:tcPr>
            <w:tcW w:w="401" w:type="dxa"/>
          </w:tcPr>
          <w:p w14:paraId="503AA314" w14:textId="77777777" w:rsidR="00074DD1" w:rsidRDefault="00000000">
            <w:pPr>
              <w:spacing w:after="0"/>
              <w:ind w:firstLine="22"/>
              <w:jc w:val="both"/>
              <w:rPr>
                <w:b/>
                <w:bCs/>
                <w:color w:val="0D0D0D"/>
                <w:sz w:val="20"/>
                <w:szCs w:val="20"/>
              </w:rPr>
            </w:pPr>
            <w:r>
              <w:rPr>
                <w:b/>
                <w:bCs/>
                <w:color w:val="0D0D0D"/>
                <w:sz w:val="20"/>
                <w:szCs w:val="20"/>
              </w:rPr>
              <w:t>4</w:t>
            </w:r>
          </w:p>
        </w:tc>
        <w:tc>
          <w:tcPr>
            <w:tcW w:w="14364" w:type="dxa"/>
            <w:gridSpan w:val="4"/>
          </w:tcPr>
          <w:p w14:paraId="748F0CA8" w14:textId="77777777" w:rsidR="00074DD1" w:rsidRDefault="00000000">
            <w:pPr>
              <w:spacing w:after="0"/>
              <w:ind w:firstLine="22"/>
              <w:jc w:val="both"/>
              <w:rPr>
                <w:b/>
                <w:bCs/>
                <w:sz w:val="20"/>
                <w:szCs w:val="20"/>
              </w:rPr>
            </w:pPr>
            <w:r>
              <w:rPr>
                <w:b/>
                <w:bCs/>
                <w:sz w:val="20"/>
                <w:szCs w:val="20"/>
              </w:rPr>
              <w:t xml:space="preserve">Autoritatea/persoana responsabilă </w:t>
            </w:r>
          </w:p>
          <w:p w14:paraId="2EE5736E" w14:textId="77777777" w:rsidR="00074DD1" w:rsidRDefault="00000000">
            <w:pPr>
              <w:spacing w:after="0"/>
              <w:rPr>
                <w:sz w:val="20"/>
                <w:szCs w:val="20"/>
              </w:rPr>
            </w:pPr>
            <w:r>
              <w:rPr>
                <w:sz w:val="20"/>
                <w:szCs w:val="20"/>
              </w:rPr>
              <w:t>Mihaela Popa, Ministerul Sănătății, Direcția Politici de Sănătate Publică și Urgențe de Sănătate Publică</w:t>
            </w:r>
          </w:p>
          <w:p w14:paraId="338A1A1B" w14:textId="77777777" w:rsidR="00074DD1" w:rsidRDefault="00000000">
            <w:pPr>
              <w:spacing w:after="0"/>
              <w:rPr>
                <w:color w:val="0D0D0D"/>
                <w:sz w:val="20"/>
                <w:szCs w:val="20"/>
              </w:rPr>
            </w:pPr>
            <w:r>
              <w:rPr>
                <w:sz w:val="20"/>
                <w:szCs w:val="20"/>
              </w:rPr>
              <w:t>Vasile odobescu, Agenția Națională pentru Sănătate Publică</w:t>
            </w:r>
          </w:p>
        </w:tc>
      </w:tr>
      <w:tr w:rsidR="00074DD1" w14:paraId="7353C228" w14:textId="77777777">
        <w:tc>
          <w:tcPr>
            <w:tcW w:w="401" w:type="dxa"/>
          </w:tcPr>
          <w:p w14:paraId="40949EC4" w14:textId="77777777" w:rsidR="00074DD1" w:rsidRDefault="00000000">
            <w:pPr>
              <w:spacing w:after="0"/>
              <w:ind w:firstLine="22"/>
              <w:jc w:val="both"/>
              <w:rPr>
                <w:b/>
                <w:bCs/>
                <w:color w:val="0D0D0D"/>
                <w:sz w:val="20"/>
                <w:szCs w:val="20"/>
              </w:rPr>
            </w:pPr>
            <w:r>
              <w:rPr>
                <w:b/>
                <w:bCs/>
                <w:color w:val="0D0D0D"/>
                <w:sz w:val="20"/>
                <w:szCs w:val="20"/>
              </w:rPr>
              <w:t>5</w:t>
            </w:r>
          </w:p>
        </w:tc>
        <w:tc>
          <w:tcPr>
            <w:tcW w:w="14364" w:type="dxa"/>
            <w:gridSpan w:val="4"/>
          </w:tcPr>
          <w:p w14:paraId="209BAC4F" w14:textId="77777777" w:rsidR="00074DD1" w:rsidRDefault="00000000">
            <w:pPr>
              <w:spacing w:after="0"/>
              <w:ind w:firstLine="22"/>
              <w:jc w:val="both"/>
              <w:rPr>
                <w:b/>
                <w:bCs/>
                <w:sz w:val="20"/>
                <w:szCs w:val="20"/>
              </w:rPr>
            </w:pPr>
            <w:r>
              <w:rPr>
                <w:b/>
                <w:bCs/>
                <w:sz w:val="20"/>
                <w:szCs w:val="20"/>
              </w:rPr>
              <w:t>Data întocmirii/actualizării</w:t>
            </w:r>
          </w:p>
          <w:p w14:paraId="0F2E03C8" w14:textId="77777777" w:rsidR="00074DD1" w:rsidRDefault="00000000">
            <w:pPr>
              <w:spacing w:after="0"/>
              <w:ind w:firstLine="22"/>
              <w:jc w:val="both"/>
              <w:rPr>
                <w:b/>
                <w:bCs/>
                <w:color w:val="0D0D0D"/>
                <w:sz w:val="20"/>
                <w:szCs w:val="20"/>
              </w:rPr>
            </w:pPr>
            <w:r>
              <w:rPr>
                <w:b/>
                <w:bCs/>
                <w:color w:val="0D0D0D"/>
                <w:sz w:val="20"/>
                <w:szCs w:val="20"/>
              </w:rPr>
              <w:t>09.02.2026</w:t>
            </w:r>
          </w:p>
        </w:tc>
      </w:tr>
      <w:tr w:rsidR="00074DD1" w14:paraId="7BD1D72C" w14:textId="77777777">
        <w:trPr>
          <w:tblHeader/>
        </w:trPr>
        <w:tc>
          <w:tcPr>
            <w:tcW w:w="5049" w:type="dxa"/>
            <w:gridSpan w:val="2"/>
            <w:tcBorders>
              <w:top w:val="single" w:sz="4" w:space="0" w:color="000000"/>
              <w:left w:val="single" w:sz="4" w:space="0" w:color="000000"/>
              <w:bottom w:val="single" w:sz="4" w:space="0" w:color="000000"/>
              <w:right w:val="single" w:sz="4" w:space="0" w:color="000000"/>
            </w:tcBorders>
          </w:tcPr>
          <w:p w14:paraId="6F4C62B4" w14:textId="77777777" w:rsidR="00074DD1" w:rsidRDefault="00000000">
            <w:pPr>
              <w:spacing w:after="0"/>
              <w:ind w:firstLine="22"/>
              <w:jc w:val="center"/>
              <w:rPr>
                <w:b/>
                <w:bCs/>
                <w:color w:val="0D0D0D"/>
                <w:sz w:val="20"/>
                <w:szCs w:val="20"/>
              </w:rPr>
            </w:pPr>
            <w:r>
              <w:rPr>
                <w:b/>
                <w:bCs/>
                <w:color w:val="0D0D0D"/>
                <w:sz w:val="20"/>
                <w:szCs w:val="20"/>
              </w:rPr>
              <w:t>Actul Uniunii Europene</w:t>
            </w:r>
          </w:p>
          <w:p w14:paraId="60737C10" w14:textId="77777777" w:rsidR="00074DD1" w:rsidRDefault="00000000">
            <w:pPr>
              <w:tabs>
                <w:tab w:val="left" w:pos="1091"/>
              </w:tabs>
              <w:spacing w:after="0"/>
              <w:jc w:val="center"/>
              <w:rPr>
                <w:b/>
                <w:bCs/>
                <w:sz w:val="20"/>
                <w:szCs w:val="20"/>
              </w:rPr>
            </w:pPr>
            <w:r>
              <w:rPr>
                <w:b/>
                <w:bCs/>
                <w:color w:val="0D0D0D"/>
                <w:sz w:val="20"/>
                <w:szCs w:val="20"/>
              </w:rPr>
              <w:t>6</w:t>
            </w:r>
          </w:p>
        </w:tc>
        <w:tc>
          <w:tcPr>
            <w:tcW w:w="4465" w:type="dxa"/>
            <w:tcBorders>
              <w:top w:val="single" w:sz="4" w:space="0" w:color="000000"/>
              <w:left w:val="single" w:sz="4" w:space="0" w:color="000000"/>
              <w:bottom w:val="single" w:sz="4" w:space="0" w:color="000000"/>
              <w:right w:val="single" w:sz="4" w:space="0" w:color="000000"/>
            </w:tcBorders>
          </w:tcPr>
          <w:p w14:paraId="496B6893" w14:textId="77777777" w:rsidR="00074DD1" w:rsidRDefault="00000000">
            <w:pPr>
              <w:spacing w:after="0"/>
              <w:ind w:firstLine="22"/>
              <w:jc w:val="center"/>
              <w:rPr>
                <w:b/>
                <w:bCs/>
                <w:color w:val="0D0D0D"/>
                <w:sz w:val="20"/>
                <w:szCs w:val="20"/>
              </w:rPr>
            </w:pPr>
            <w:r>
              <w:rPr>
                <w:b/>
                <w:bCs/>
                <w:color w:val="0D0D0D"/>
                <w:sz w:val="20"/>
                <w:szCs w:val="20"/>
              </w:rPr>
              <w:t>Proiectul de act normativ național</w:t>
            </w:r>
          </w:p>
          <w:p w14:paraId="3897A56C" w14:textId="77777777" w:rsidR="00074DD1" w:rsidRDefault="00000000">
            <w:pPr>
              <w:tabs>
                <w:tab w:val="left" w:pos="1091"/>
              </w:tabs>
              <w:spacing w:after="0"/>
              <w:jc w:val="center"/>
              <w:rPr>
                <w:b/>
                <w:bCs/>
                <w:sz w:val="20"/>
                <w:szCs w:val="20"/>
              </w:rPr>
            </w:pPr>
            <w:r>
              <w:rPr>
                <w:b/>
                <w:bCs/>
                <w:color w:val="0D0D0D"/>
                <w:sz w:val="20"/>
                <w:szCs w:val="20"/>
              </w:rPr>
              <w:t>7</w:t>
            </w:r>
          </w:p>
        </w:tc>
        <w:tc>
          <w:tcPr>
            <w:tcW w:w="2918" w:type="dxa"/>
            <w:tcBorders>
              <w:top w:val="single" w:sz="4" w:space="0" w:color="000000"/>
              <w:left w:val="single" w:sz="4" w:space="0" w:color="000000"/>
              <w:bottom w:val="single" w:sz="4" w:space="0" w:color="000000"/>
              <w:right w:val="single" w:sz="4" w:space="0" w:color="000000"/>
            </w:tcBorders>
          </w:tcPr>
          <w:p w14:paraId="2CB1E7CB" w14:textId="77777777" w:rsidR="00074DD1" w:rsidRDefault="00000000">
            <w:pPr>
              <w:spacing w:after="0"/>
              <w:ind w:firstLine="22"/>
              <w:jc w:val="center"/>
              <w:rPr>
                <w:b/>
                <w:bCs/>
                <w:color w:val="0D0D0D"/>
                <w:sz w:val="20"/>
                <w:szCs w:val="20"/>
              </w:rPr>
            </w:pPr>
            <w:r>
              <w:rPr>
                <w:b/>
                <w:bCs/>
                <w:color w:val="0D0D0D"/>
                <w:sz w:val="20"/>
                <w:szCs w:val="20"/>
              </w:rPr>
              <w:t>Gradul de compatibilitate</w:t>
            </w:r>
          </w:p>
          <w:p w14:paraId="40161C21" w14:textId="77777777" w:rsidR="00074DD1" w:rsidRDefault="00000000">
            <w:pPr>
              <w:tabs>
                <w:tab w:val="left" w:pos="1091"/>
              </w:tabs>
              <w:spacing w:after="0"/>
              <w:jc w:val="center"/>
              <w:rPr>
                <w:b/>
                <w:bCs/>
                <w:sz w:val="20"/>
                <w:szCs w:val="20"/>
              </w:rPr>
            </w:pPr>
            <w:r>
              <w:rPr>
                <w:b/>
                <w:bCs/>
                <w:color w:val="0D0D0D"/>
                <w:sz w:val="20"/>
                <w:szCs w:val="20"/>
              </w:rPr>
              <w:t>8</w:t>
            </w:r>
          </w:p>
        </w:tc>
        <w:tc>
          <w:tcPr>
            <w:tcW w:w="2333" w:type="dxa"/>
            <w:tcBorders>
              <w:top w:val="single" w:sz="4" w:space="0" w:color="000000"/>
              <w:left w:val="single" w:sz="4" w:space="0" w:color="000000"/>
              <w:bottom w:val="single" w:sz="4" w:space="0" w:color="000000"/>
              <w:right w:val="single" w:sz="4" w:space="0" w:color="000000"/>
            </w:tcBorders>
          </w:tcPr>
          <w:p w14:paraId="2B41FF79" w14:textId="77777777" w:rsidR="00074DD1" w:rsidRDefault="00000000">
            <w:pPr>
              <w:spacing w:after="0"/>
              <w:ind w:firstLine="22"/>
              <w:jc w:val="center"/>
              <w:rPr>
                <w:b/>
                <w:bCs/>
                <w:color w:val="0D0D0D"/>
                <w:sz w:val="20"/>
                <w:szCs w:val="20"/>
              </w:rPr>
            </w:pPr>
            <w:r>
              <w:rPr>
                <w:b/>
                <w:bCs/>
                <w:color w:val="0D0D0D"/>
                <w:sz w:val="20"/>
                <w:szCs w:val="20"/>
              </w:rPr>
              <w:t>Observații</w:t>
            </w:r>
          </w:p>
          <w:p w14:paraId="1DF28480" w14:textId="77777777" w:rsidR="00074DD1" w:rsidRDefault="00000000">
            <w:pPr>
              <w:tabs>
                <w:tab w:val="left" w:pos="1091"/>
              </w:tabs>
              <w:spacing w:after="0"/>
              <w:jc w:val="center"/>
              <w:rPr>
                <w:b/>
                <w:bCs/>
                <w:sz w:val="20"/>
                <w:szCs w:val="20"/>
              </w:rPr>
            </w:pPr>
            <w:r>
              <w:rPr>
                <w:b/>
                <w:bCs/>
                <w:color w:val="0D0D0D"/>
                <w:sz w:val="20"/>
                <w:szCs w:val="20"/>
              </w:rPr>
              <w:t>9</w:t>
            </w:r>
          </w:p>
        </w:tc>
      </w:tr>
      <w:tr w:rsidR="00074DD1" w14:paraId="629E9EBD" w14:textId="77777777">
        <w:trPr>
          <w:trHeight w:val="204"/>
        </w:trPr>
        <w:tc>
          <w:tcPr>
            <w:tcW w:w="5049" w:type="dxa"/>
            <w:gridSpan w:val="2"/>
          </w:tcPr>
          <w:p w14:paraId="3C38A76C" w14:textId="77777777" w:rsidR="00074DD1" w:rsidRDefault="00074DD1">
            <w:pPr>
              <w:shd w:val="clear" w:color="auto" w:fill="FFFFFF"/>
              <w:spacing w:after="0"/>
              <w:jc w:val="both"/>
              <w:rPr>
                <w:color w:val="333333"/>
                <w:sz w:val="20"/>
                <w:szCs w:val="20"/>
              </w:rPr>
            </w:pPr>
          </w:p>
        </w:tc>
        <w:tc>
          <w:tcPr>
            <w:tcW w:w="4465" w:type="dxa"/>
          </w:tcPr>
          <w:p w14:paraId="647BBE90" w14:textId="77777777" w:rsidR="00074DD1" w:rsidRDefault="00000000">
            <w:pPr>
              <w:numPr>
                <w:ilvl w:val="0"/>
                <w:numId w:val="1"/>
              </w:numPr>
              <w:pBdr>
                <w:top w:val="nil"/>
                <w:left w:val="nil"/>
                <w:bottom w:val="nil"/>
                <w:right w:val="nil"/>
                <w:between w:val="nil"/>
              </w:pBdr>
              <w:spacing w:after="0"/>
              <w:ind w:left="0" w:firstLine="217"/>
              <w:jc w:val="both"/>
              <w:rPr>
                <w:color w:val="000000"/>
                <w:sz w:val="20"/>
                <w:szCs w:val="20"/>
              </w:rPr>
            </w:pPr>
            <w:r>
              <w:rPr>
                <w:color w:val="000000"/>
                <w:sz w:val="20"/>
                <w:szCs w:val="20"/>
                <w:highlight w:val="white"/>
              </w:rPr>
              <w:t xml:space="preserve">Prezentul Regulament </w:t>
            </w:r>
            <w:r>
              <w:rPr>
                <w:color w:val="000000"/>
                <w:sz w:val="20"/>
                <w:szCs w:val="20"/>
              </w:rPr>
              <w:t>definește cadru juridic de reglementare a nivelurilor maxime de contaminați în produsele alimentare, stabilește responsabilitățile autorităților competente și ale operatorilor economici din domeniu alimentar și hranei pentru animale, procedurile de control pentru a asigura conformitatea cu nivelurile maxime stabilite, în scopul asigurării unui nivel ridicat de protecție a consumatorilor.</w:t>
            </w:r>
          </w:p>
          <w:p w14:paraId="7A4A7C77" w14:textId="77777777" w:rsidR="00074DD1" w:rsidRDefault="00074DD1">
            <w:pPr>
              <w:tabs>
                <w:tab w:val="left" w:pos="1091"/>
              </w:tabs>
              <w:spacing w:after="0"/>
              <w:rPr>
                <w:b/>
                <w:bCs/>
                <w:sz w:val="20"/>
                <w:szCs w:val="20"/>
              </w:rPr>
            </w:pPr>
          </w:p>
        </w:tc>
        <w:tc>
          <w:tcPr>
            <w:tcW w:w="2918" w:type="dxa"/>
          </w:tcPr>
          <w:p w14:paraId="1695DF7D" w14:textId="77777777" w:rsidR="00074DD1"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0EAB7470" w14:textId="77777777" w:rsidR="00074DD1" w:rsidRDefault="00074DD1">
            <w:pPr>
              <w:tabs>
                <w:tab w:val="left" w:pos="1091"/>
              </w:tabs>
              <w:spacing w:after="0"/>
              <w:jc w:val="center"/>
              <w:rPr>
                <w:sz w:val="20"/>
                <w:szCs w:val="20"/>
              </w:rPr>
            </w:pPr>
          </w:p>
        </w:tc>
      </w:tr>
      <w:tr w:rsidR="00074DD1" w14:paraId="0B59979C" w14:textId="77777777">
        <w:trPr>
          <w:trHeight w:val="851"/>
        </w:trPr>
        <w:tc>
          <w:tcPr>
            <w:tcW w:w="5049" w:type="dxa"/>
            <w:gridSpan w:val="2"/>
          </w:tcPr>
          <w:p w14:paraId="7A3C9F62" w14:textId="77777777" w:rsidR="00074DD1" w:rsidRDefault="00074DD1">
            <w:pPr>
              <w:pBdr>
                <w:top w:val="nil"/>
                <w:left w:val="nil"/>
                <w:bottom w:val="nil"/>
                <w:right w:val="nil"/>
                <w:between w:val="nil"/>
              </w:pBdr>
              <w:shd w:val="clear" w:color="auto" w:fill="FFFFFF"/>
              <w:spacing w:after="0"/>
              <w:jc w:val="both"/>
              <w:rPr>
                <w:b/>
                <w:bCs/>
                <w:color w:val="000000"/>
                <w:sz w:val="20"/>
                <w:szCs w:val="20"/>
                <w:highlight w:val="white"/>
              </w:rPr>
            </w:pPr>
          </w:p>
          <w:p w14:paraId="02BB73EF" w14:textId="77777777" w:rsidR="00074DD1" w:rsidRDefault="00000000">
            <w:pPr>
              <w:pBdr>
                <w:top w:val="nil"/>
                <w:left w:val="nil"/>
                <w:bottom w:val="nil"/>
                <w:right w:val="nil"/>
                <w:between w:val="nil"/>
              </w:pBdr>
              <w:shd w:val="clear" w:color="auto" w:fill="FFFFFF"/>
              <w:spacing w:after="0"/>
              <w:jc w:val="both"/>
              <w:rPr>
                <w:i/>
                <w:iCs/>
                <w:color w:val="333333"/>
                <w:sz w:val="20"/>
                <w:szCs w:val="20"/>
              </w:rPr>
            </w:pPr>
            <w:r>
              <w:rPr>
                <w:b/>
                <w:bCs/>
                <w:color w:val="000000"/>
                <w:sz w:val="20"/>
                <w:szCs w:val="20"/>
                <w:highlight w:val="white"/>
              </w:rPr>
              <w:t>Definiții</w:t>
            </w:r>
          </w:p>
          <w:p w14:paraId="6C5B38B7" w14:textId="77777777" w:rsidR="00074DD1" w:rsidRDefault="00000000">
            <w:pPr>
              <w:pBdr>
                <w:top w:val="nil"/>
                <w:left w:val="nil"/>
                <w:bottom w:val="nil"/>
                <w:right w:val="nil"/>
                <w:between w:val="nil"/>
              </w:pBdr>
              <w:shd w:val="clear" w:color="auto" w:fill="FFFFFF"/>
              <w:spacing w:after="0"/>
              <w:jc w:val="both"/>
              <w:rPr>
                <w:i/>
                <w:iCs/>
                <w:color w:val="333333"/>
                <w:sz w:val="20"/>
                <w:szCs w:val="20"/>
              </w:rPr>
            </w:pPr>
            <w:r>
              <w:rPr>
                <w:i/>
                <w:iCs/>
                <w:color w:val="333333"/>
                <w:sz w:val="20"/>
                <w:szCs w:val="20"/>
              </w:rPr>
              <w:t>Articolul 1</w:t>
            </w:r>
          </w:p>
          <w:p w14:paraId="029BBAB9" w14:textId="77777777" w:rsidR="00074DD1" w:rsidRDefault="00000000">
            <w:pPr>
              <w:shd w:val="clear" w:color="auto" w:fill="FFFFFF"/>
              <w:spacing w:after="0"/>
              <w:jc w:val="both"/>
              <w:rPr>
                <w:color w:val="000000"/>
                <w:sz w:val="20"/>
                <w:szCs w:val="20"/>
              </w:rPr>
            </w:pPr>
            <w:r>
              <w:rPr>
                <w:color w:val="000000"/>
                <w:sz w:val="20"/>
                <w:szCs w:val="20"/>
              </w:rPr>
              <w:t>În sensul prezentului regulament, se aplică următoarele definiții:</w:t>
            </w:r>
          </w:p>
          <w:p w14:paraId="2B570787" w14:textId="77777777" w:rsidR="00074DD1" w:rsidRDefault="00000000">
            <w:pPr>
              <w:shd w:val="clear" w:color="auto" w:fill="FFFFFF"/>
              <w:spacing w:after="0"/>
              <w:jc w:val="both"/>
              <w:rPr>
                <w:color w:val="000000"/>
                <w:sz w:val="20"/>
                <w:szCs w:val="20"/>
              </w:rPr>
            </w:pPr>
            <w:r>
              <w:rPr>
                <w:color w:val="000000"/>
                <w:sz w:val="20"/>
                <w:szCs w:val="20"/>
              </w:rPr>
              <w:t>(a) „produse alimentare” înseamnă produse alimentare astfel cum sunt definite la articolul 2 din Regulamentul (CE) nr. 178/2002 al Parlamentului European și al Consiliului (</w:t>
            </w:r>
            <w:hyperlink r:id="rId6" w:anchor="E0001">
              <w:r>
                <w:rPr>
                  <w:color w:val="337AB7"/>
                  <w:sz w:val="20"/>
                  <w:szCs w:val="20"/>
                </w:rPr>
                <w:t> </w:t>
              </w:r>
            </w:hyperlink>
            <w:hyperlink r:id="rId7" w:anchor="E0001">
              <w:r>
                <w:rPr>
                  <w:color w:val="337AB7"/>
                  <w:sz w:val="20"/>
                  <w:szCs w:val="20"/>
                  <w:vertAlign w:val="superscript"/>
                </w:rPr>
                <w:t>1</w:t>
              </w:r>
            </w:hyperlink>
            <w:hyperlink r:id="rId8" w:anchor="E0001">
              <w:r>
                <w:rPr>
                  <w:color w:val="337AB7"/>
                  <w:sz w:val="20"/>
                  <w:szCs w:val="20"/>
                </w:rPr>
                <w:t> </w:t>
              </w:r>
            </w:hyperlink>
            <w:r>
              <w:rPr>
                <w:color w:val="000000"/>
                <w:sz w:val="20"/>
                <w:szCs w:val="20"/>
              </w:rPr>
              <w:t>);</w:t>
            </w:r>
          </w:p>
          <w:p w14:paraId="44C881FD" w14:textId="77777777" w:rsidR="00074DD1" w:rsidRDefault="00074DD1">
            <w:pPr>
              <w:shd w:val="clear" w:color="auto" w:fill="FFFFFF"/>
              <w:spacing w:after="0"/>
              <w:jc w:val="both"/>
              <w:rPr>
                <w:color w:val="000000"/>
                <w:sz w:val="20"/>
                <w:szCs w:val="20"/>
              </w:rPr>
            </w:pPr>
          </w:p>
          <w:p w14:paraId="5B2F9D60" w14:textId="77777777" w:rsidR="00074DD1" w:rsidRDefault="00000000">
            <w:pPr>
              <w:shd w:val="clear" w:color="auto" w:fill="FFFFFF"/>
              <w:spacing w:after="0"/>
              <w:jc w:val="both"/>
              <w:rPr>
                <w:color w:val="000000"/>
                <w:sz w:val="20"/>
                <w:szCs w:val="20"/>
              </w:rPr>
            </w:pPr>
            <w:r>
              <w:rPr>
                <w:color w:val="000000"/>
                <w:sz w:val="20"/>
                <w:szCs w:val="20"/>
              </w:rPr>
              <w:t>(b) „operator în sectorul alimentar” înseamnă operator din sectorul alimentar astfel cum este definit la articolul 3 punctul 3 din Regulamentul (CE) nr. 178/2002;</w:t>
            </w:r>
          </w:p>
          <w:p w14:paraId="4CB55D3E" w14:textId="77777777" w:rsidR="00074DD1" w:rsidRDefault="00000000">
            <w:pPr>
              <w:shd w:val="clear" w:color="auto" w:fill="FFFFFF"/>
              <w:spacing w:after="0"/>
              <w:jc w:val="both"/>
              <w:rPr>
                <w:color w:val="000000"/>
                <w:sz w:val="20"/>
                <w:szCs w:val="20"/>
              </w:rPr>
            </w:pPr>
            <w:r>
              <w:rPr>
                <w:color w:val="000000"/>
                <w:sz w:val="20"/>
                <w:szCs w:val="20"/>
              </w:rPr>
              <w:lastRenderedPageBreak/>
              <w:t>(c) „introducere pe piață” înseamnă introducere pe piață astfel cum este definită la articolul 3 punctul 8 din Regulamentul (CE) nr. 178/2002;</w:t>
            </w:r>
          </w:p>
          <w:p w14:paraId="64C6E68B" w14:textId="77777777" w:rsidR="00074DD1" w:rsidRDefault="00000000">
            <w:pPr>
              <w:shd w:val="clear" w:color="auto" w:fill="FFFFFF"/>
              <w:spacing w:after="0"/>
              <w:jc w:val="both"/>
              <w:rPr>
                <w:color w:val="000000"/>
                <w:sz w:val="20"/>
                <w:szCs w:val="20"/>
              </w:rPr>
            </w:pPr>
            <w:r>
              <w:rPr>
                <w:color w:val="000000"/>
                <w:sz w:val="20"/>
                <w:szCs w:val="20"/>
              </w:rPr>
              <w:t>(d) „consumator final” înseamnă consumator final astfel cum este definit la articolul 3 punctul 18 din Regulamentul (CE) nr. 178/2002;</w:t>
            </w:r>
          </w:p>
          <w:p w14:paraId="3D87463A" w14:textId="77777777" w:rsidR="00074DD1" w:rsidRDefault="00000000">
            <w:pPr>
              <w:shd w:val="clear" w:color="auto" w:fill="FFFFFF"/>
              <w:spacing w:after="0"/>
              <w:jc w:val="both"/>
              <w:rPr>
                <w:color w:val="000000"/>
                <w:sz w:val="20"/>
                <w:szCs w:val="20"/>
              </w:rPr>
            </w:pPr>
            <w:r>
              <w:rPr>
                <w:color w:val="000000"/>
                <w:sz w:val="20"/>
                <w:szCs w:val="20"/>
              </w:rPr>
              <w:t>(e) „prelucrare” înseamnă prelucrare astfel cum este definită la articolul 2 alineatul (1) litera (m) din Regulamentul (CE) nr. 852/2004 al Parlamentului European și al Consiliului (</w:t>
            </w:r>
            <w:hyperlink r:id="rId9" w:anchor="E0002">
              <w:r>
                <w:rPr>
                  <w:color w:val="337AB7"/>
                  <w:sz w:val="20"/>
                  <w:szCs w:val="20"/>
                </w:rPr>
                <w:t> </w:t>
              </w:r>
            </w:hyperlink>
            <w:hyperlink r:id="rId10" w:anchor="E0002">
              <w:r>
                <w:rPr>
                  <w:color w:val="337AB7"/>
                  <w:sz w:val="20"/>
                  <w:szCs w:val="20"/>
                  <w:vertAlign w:val="superscript"/>
                </w:rPr>
                <w:t>2</w:t>
              </w:r>
            </w:hyperlink>
            <w:hyperlink r:id="rId11" w:anchor="E0002">
              <w:r>
                <w:rPr>
                  <w:color w:val="337AB7"/>
                  <w:sz w:val="20"/>
                  <w:szCs w:val="20"/>
                </w:rPr>
                <w:t> </w:t>
              </w:r>
            </w:hyperlink>
            <w:r>
              <w:rPr>
                <w:color w:val="000000"/>
                <w:sz w:val="20"/>
                <w:szCs w:val="20"/>
              </w:rPr>
              <w:t>);</w:t>
            </w:r>
          </w:p>
          <w:p w14:paraId="099DEFD9" w14:textId="77777777" w:rsidR="00074DD1" w:rsidRDefault="00000000">
            <w:pPr>
              <w:shd w:val="clear" w:color="auto" w:fill="FFFFFF"/>
              <w:spacing w:after="0"/>
              <w:jc w:val="both"/>
              <w:rPr>
                <w:color w:val="000000"/>
                <w:sz w:val="20"/>
                <w:szCs w:val="20"/>
              </w:rPr>
            </w:pPr>
            <w:r>
              <w:rPr>
                <w:color w:val="000000"/>
                <w:sz w:val="20"/>
                <w:szCs w:val="20"/>
              </w:rPr>
              <w:t>(f) „produse neprelucrate” înseamnă produse neprelucrate astfel cum sunt definite la articolul 2 alineatul (1) litera (n) din Regulamentul (CE) nr. 852/2004; și</w:t>
            </w:r>
          </w:p>
          <w:p w14:paraId="0B0703F8" w14:textId="77777777" w:rsidR="00074DD1" w:rsidRDefault="00000000">
            <w:pPr>
              <w:shd w:val="clear" w:color="auto" w:fill="FFFFFF"/>
              <w:spacing w:after="0"/>
              <w:jc w:val="both"/>
              <w:rPr>
                <w:color w:val="333333"/>
                <w:sz w:val="20"/>
                <w:szCs w:val="20"/>
              </w:rPr>
            </w:pPr>
            <w:r>
              <w:rPr>
                <w:color w:val="000000"/>
                <w:sz w:val="20"/>
                <w:szCs w:val="20"/>
              </w:rPr>
              <w:t>(g) „produse prelucrate” înseamnă produse prelucrate astfel cum sunt definite la articolul 2 alineatul (1) litera (o) din Regulamentul (CE) nr. 852/2004.</w:t>
            </w:r>
          </w:p>
        </w:tc>
        <w:tc>
          <w:tcPr>
            <w:tcW w:w="4465" w:type="dxa"/>
          </w:tcPr>
          <w:p w14:paraId="272FF40C" w14:textId="77777777" w:rsidR="00074DD1" w:rsidRDefault="00000000">
            <w:pPr>
              <w:numPr>
                <w:ilvl w:val="0"/>
                <w:numId w:val="2"/>
              </w:numPr>
              <w:pBdr>
                <w:top w:val="nil"/>
                <w:left w:val="nil"/>
                <w:bottom w:val="nil"/>
                <w:right w:val="nil"/>
                <w:between w:val="nil"/>
              </w:pBdr>
              <w:spacing w:after="0"/>
              <w:ind w:left="0" w:firstLine="360"/>
              <w:jc w:val="both"/>
              <w:rPr>
                <w:color w:val="000000"/>
                <w:sz w:val="20"/>
                <w:szCs w:val="20"/>
              </w:rPr>
            </w:pPr>
            <w:r>
              <w:rPr>
                <w:color w:val="000000"/>
                <w:sz w:val="20"/>
                <w:szCs w:val="20"/>
                <w:highlight w:val="white"/>
              </w:rPr>
              <w:lastRenderedPageBreak/>
              <w:t>În sensul prezentului Regulament, se utilizează noțiunile definite în  Legea nr. 306/2018 privind siguranța alimentelor, Legea nr. 296/2017 privind cerințele generale de igienă a produselor alimentare, precum şi următoarea noțiune:</w:t>
            </w:r>
          </w:p>
          <w:p w14:paraId="75B2379D" w14:textId="77777777" w:rsidR="00074DD1" w:rsidRDefault="00000000">
            <w:pPr>
              <w:pBdr>
                <w:top w:val="nil"/>
                <w:left w:val="nil"/>
                <w:bottom w:val="nil"/>
                <w:right w:val="nil"/>
                <w:between w:val="nil"/>
              </w:pBdr>
              <w:spacing w:after="0"/>
              <w:jc w:val="both"/>
              <w:rPr>
                <w:color w:val="000000"/>
                <w:sz w:val="20"/>
                <w:szCs w:val="20"/>
              </w:rPr>
            </w:pPr>
            <w:r>
              <w:rPr>
                <w:i/>
                <w:iCs/>
                <w:color w:val="000000"/>
                <w:sz w:val="20"/>
                <w:szCs w:val="20"/>
              </w:rPr>
              <w:t>consumator final</w:t>
            </w:r>
            <w:r>
              <w:rPr>
                <w:color w:val="000000"/>
                <w:sz w:val="20"/>
                <w:szCs w:val="20"/>
              </w:rPr>
              <w:t xml:space="preserve"> </w:t>
            </w:r>
            <w:r>
              <w:rPr>
                <w:color w:val="000000"/>
                <w:sz w:val="20"/>
                <w:szCs w:val="20"/>
                <w:highlight w:val="white"/>
              </w:rPr>
              <w:t>- ultimul consumator al unui produs alimentar care nu folosește produsul ca parte a unei operații sau activități din domeniul de activitate al unei întreprinderi cu profil alimentar.</w:t>
            </w:r>
          </w:p>
          <w:p w14:paraId="510C7845" w14:textId="77777777" w:rsidR="00074DD1" w:rsidRDefault="00074DD1">
            <w:pPr>
              <w:tabs>
                <w:tab w:val="left" w:pos="1091"/>
              </w:tabs>
              <w:spacing w:after="0"/>
              <w:rPr>
                <w:b/>
                <w:bCs/>
                <w:sz w:val="20"/>
                <w:szCs w:val="20"/>
              </w:rPr>
            </w:pPr>
          </w:p>
        </w:tc>
        <w:tc>
          <w:tcPr>
            <w:tcW w:w="2918" w:type="dxa"/>
          </w:tcPr>
          <w:p w14:paraId="666EE12E" w14:textId="77777777" w:rsidR="00074DD1"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6C1940D" w14:textId="77777777" w:rsidR="00074DD1" w:rsidRDefault="00074DD1">
            <w:pPr>
              <w:tabs>
                <w:tab w:val="left" w:pos="1091"/>
              </w:tabs>
              <w:spacing w:after="0"/>
              <w:jc w:val="center"/>
              <w:rPr>
                <w:sz w:val="20"/>
                <w:szCs w:val="20"/>
              </w:rPr>
            </w:pPr>
          </w:p>
        </w:tc>
      </w:tr>
      <w:tr w:rsidR="00074DD1" w14:paraId="527A693C" w14:textId="77777777">
        <w:trPr>
          <w:trHeight w:val="60"/>
        </w:trPr>
        <w:tc>
          <w:tcPr>
            <w:tcW w:w="5049" w:type="dxa"/>
            <w:gridSpan w:val="2"/>
            <w:tcBorders>
              <w:bottom w:val="single" w:sz="4" w:space="0" w:color="000000"/>
            </w:tcBorders>
          </w:tcPr>
          <w:p w14:paraId="0719E9D5" w14:textId="77777777" w:rsidR="00074DD1" w:rsidRDefault="00000000">
            <w:pPr>
              <w:shd w:val="clear" w:color="auto" w:fill="FFFFFF"/>
              <w:spacing w:after="0"/>
              <w:jc w:val="both"/>
              <w:rPr>
                <w:i/>
                <w:iCs/>
                <w:color w:val="000000"/>
                <w:sz w:val="20"/>
                <w:szCs w:val="20"/>
              </w:rPr>
            </w:pPr>
            <w:r>
              <w:rPr>
                <w:i/>
                <w:iCs/>
                <w:color w:val="000000"/>
                <w:sz w:val="20"/>
                <w:szCs w:val="20"/>
              </w:rPr>
              <w:t>Articolul 2</w:t>
            </w:r>
          </w:p>
          <w:p w14:paraId="082C3FAA" w14:textId="77777777" w:rsidR="00074DD1" w:rsidRDefault="00000000">
            <w:pPr>
              <w:shd w:val="clear" w:color="auto" w:fill="FFFFFF"/>
              <w:spacing w:after="0"/>
              <w:jc w:val="both"/>
              <w:rPr>
                <w:b/>
                <w:bCs/>
                <w:color w:val="000000"/>
                <w:sz w:val="20"/>
                <w:szCs w:val="20"/>
              </w:rPr>
            </w:pPr>
            <w:r>
              <w:rPr>
                <w:b/>
                <w:bCs/>
                <w:color w:val="000000"/>
                <w:sz w:val="20"/>
                <w:szCs w:val="20"/>
              </w:rPr>
              <w:t>Norme generale</w:t>
            </w:r>
          </w:p>
          <w:p w14:paraId="2493017A" w14:textId="77777777" w:rsidR="00074DD1" w:rsidRDefault="00000000">
            <w:pPr>
              <w:shd w:val="clear" w:color="auto" w:fill="FFFFFF"/>
              <w:spacing w:after="0"/>
              <w:jc w:val="both"/>
              <w:rPr>
                <w:color w:val="000000"/>
                <w:sz w:val="20"/>
                <w:szCs w:val="20"/>
              </w:rPr>
            </w:pPr>
            <w:r>
              <w:rPr>
                <w:color w:val="000000"/>
                <w:sz w:val="20"/>
                <w:szCs w:val="20"/>
              </w:rPr>
              <w:t>(1)   Produsele alimentare enumerate în anexa I nu se introduc pe piață și nu se utilizează ca materii prime sau ca ingrediente în produse alimentare în cazul în care conțin un contaminant la un nivel care depășește nivelul maxim prevăzut în anexa I.</w:t>
            </w:r>
          </w:p>
          <w:p w14:paraId="36AC58F2" w14:textId="77777777" w:rsidR="00074DD1" w:rsidRDefault="00000000">
            <w:pPr>
              <w:shd w:val="clear" w:color="auto" w:fill="FFFFFF"/>
              <w:spacing w:after="0"/>
              <w:jc w:val="both"/>
              <w:rPr>
                <w:color w:val="000000"/>
                <w:sz w:val="20"/>
                <w:szCs w:val="20"/>
              </w:rPr>
            </w:pPr>
            <w:r>
              <w:rPr>
                <w:color w:val="000000"/>
                <w:sz w:val="20"/>
                <w:szCs w:val="20"/>
              </w:rPr>
              <w:t>(2)   Produsele alimentare care respectă nivelurile maxime prevăzute în anexa I nu se amestecă cu produse alimentare care depășesc aceste niveluri maxime.</w:t>
            </w:r>
          </w:p>
          <w:p w14:paraId="0CDD1B87" w14:textId="77777777" w:rsidR="00074DD1" w:rsidRDefault="00000000">
            <w:pPr>
              <w:shd w:val="clear" w:color="auto" w:fill="FFFFFF"/>
              <w:spacing w:after="0"/>
              <w:jc w:val="both"/>
              <w:rPr>
                <w:color w:val="000000"/>
                <w:sz w:val="20"/>
                <w:szCs w:val="20"/>
              </w:rPr>
            </w:pPr>
            <w:r>
              <w:rPr>
                <w:color w:val="000000"/>
                <w:sz w:val="20"/>
                <w:szCs w:val="20"/>
              </w:rPr>
              <w:t>(3)   Nivelurile maxime prevăzute în anexa I se aplică produselor alimentare astfel cum sunt introduse pe piață și părții comestibile a produselor alimentare respective, cu excepția cazului în care se prevede altfel în anexa respectivă.</w:t>
            </w:r>
          </w:p>
          <w:p w14:paraId="1975B4D4" w14:textId="77777777" w:rsidR="00074DD1" w:rsidRDefault="00000000">
            <w:pPr>
              <w:shd w:val="clear" w:color="auto" w:fill="FFFFFF"/>
              <w:spacing w:after="0"/>
              <w:jc w:val="both"/>
              <w:rPr>
                <w:color w:val="333333"/>
                <w:sz w:val="20"/>
                <w:szCs w:val="20"/>
              </w:rPr>
            </w:pPr>
            <w:r>
              <w:rPr>
                <w:color w:val="000000"/>
                <w:sz w:val="20"/>
                <w:szCs w:val="20"/>
              </w:rPr>
              <w:t>(4)   În sistemele în care producția și prelucrarea cerealelor sunt integrate astfel încât toate loturile primite să fie curățate, sortate și prelucrate în aceeași unitate, nivelurile maxime se aplică cerealelor neprelucrate din lanțul de producție în etapa anterioară prelucrării primare.</w:t>
            </w:r>
          </w:p>
        </w:tc>
        <w:tc>
          <w:tcPr>
            <w:tcW w:w="4465" w:type="dxa"/>
            <w:tcBorders>
              <w:bottom w:val="single" w:sz="4" w:space="0" w:color="000000"/>
            </w:tcBorders>
          </w:tcPr>
          <w:p w14:paraId="53A6F7FD" w14:textId="77777777" w:rsidR="00074DD1" w:rsidRDefault="00000000">
            <w:pPr>
              <w:widowControl w:val="0"/>
              <w:numPr>
                <w:ilvl w:val="0"/>
                <w:numId w:val="3"/>
              </w:numPr>
              <w:pBdr>
                <w:top w:val="nil"/>
                <w:left w:val="nil"/>
                <w:bottom w:val="nil"/>
                <w:right w:val="nil"/>
                <w:between w:val="nil"/>
              </w:pBdr>
              <w:tabs>
                <w:tab w:val="left" w:pos="302"/>
              </w:tabs>
              <w:spacing w:after="0"/>
              <w:ind w:left="0" w:firstLine="0"/>
              <w:jc w:val="both"/>
              <w:rPr>
                <w:color w:val="000000"/>
                <w:sz w:val="20"/>
                <w:szCs w:val="20"/>
              </w:rPr>
            </w:pPr>
            <w:r>
              <w:rPr>
                <w:color w:val="000000"/>
                <w:sz w:val="20"/>
                <w:szCs w:val="20"/>
              </w:rPr>
              <w:t>Produsele alimentare enumerate în Listă nu se introduc pe piață și nu se utilizează ca materii prime sau ca ingrediente în produse alimentare în cazul în care conțin un contaminant la un nivel care depășește nivelul maxim prevăzut în Listă.</w:t>
            </w:r>
          </w:p>
          <w:p w14:paraId="47848FFC" w14:textId="77777777" w:rsidR="00074DD1" w:rsidRDefault="00000000">
            <w:pPr>
              <w:widowControl w:val="0"/>
              <w:numPr>
                <w:ilvl w:val="0"/>
                <w:numId w:val="3"/>
              </w:numPr>
              <w:pBdr>
                <w:top w:val="nil"/>
                <w:left w:val="nil"/>
                <w:bottom w:val="nil"/>
                <w:right w:val="nil"/>
                <w:between w:val="nil"/>
              </w:pBdr>
              <w:tabs>
                <w:tab w:val="left" w:pos="276"/>
              </w:tabs>
              <w:spacing w:after="0"/>
              <w:ind w:left="0" w:firstLine="0"/>
              <w:jc w:val="both"/>
              <w:rPr>
                <w:color w:val="000000"/>
                <w:sz w:val="20"/>
                <w:szCs w:val="20"/>
              </w:rPr>
            </w:pPr>
            <w:r>
              <w:rPr>
                <w:color w:val="000000"/>
                <w:sz w:val="20"/>
                <w:szCs w:val="20"/>
              </w:rPr>
              <w:t>Produsele alimentare care respectă nivelurile maxime prevăzute în Listă nu se amestecă cu produse alimentare care depășesc aceste niveluri maxime.</w:t>
            </w:r>
          </w:p>
          <w:p w14:paraId="43947FAD" w14:textId="77777777" w:rsidR="00074DD1" w:rsidRDefault="00000000">
            <w:pPr>
              <w:numPr>
                <w:ilvl w:val="0"/>
                <w:numId w:val="3"/>
              </w:numPr>
              <w:pBdr>
                <w:top w:val="nil"/>
                <w:left w:val="nil"/>
                <w:bottom w:val="nil"/>
                <w:right w:val="nil"/>
                <w:between w:val="nil"/>
              </w:pBdr>
              <w:shd w:val="clear" w:color="auto" w:fill="FFFFFF"/>
              <w:tabs>
                <w:tab w:val="left" w:pos="364"/>
              </w:tabs>
              <w:spacing w:after="0"/>
              <w:ind w:left="0" w:firstLine="0"/>
              <w:jc w:val="both"/>
              <w:rPr>
                <w:color w:val="000000"/>
                <w:sz w:val="20"/>
                <w:szCs w:val="20"/>
              </w:rPr>
            </w:pPr>
            <w:r>
              <w:rPr>
                <w:color w:val="000000"/>
                <w:sz w:val="20"/>
                <w:szCs w:val="20"/>
              </w:rPr>
              <w:t>Nivelurile maxime prevăzute în Listă se aplică produselor alimentare astfel cum sunt introduse  părții comestibile a produselor alimentare respective, cu excepția cazului în care se prevede altfel în anexa respectivă</w:t>
            </w:r>
          </w:p>
          <w:p w14:paraId="32F2F47A" w14:textId="77777777" w:rsidR="00074DD1" w:rsidRDefault="00000000">
            <w:pPr>
              <w:tabs>
                <w:tab w:val="left" w:pos="1091"/>
              </w:tabs>
              <w:spacing w:after="0"/>
              <w:rPr>
                <w:b/>
                <w:bCs/>
                <w:sz w:val="20"/>
                <w:szCs w:val="20"/>
              </w:rPr>
            </w:pPr>
            <w:r>
              <w:rPr>
                <w:color w:val="000000"/>
                <w:sz w:val="20"/>
                <w:szCs w:val="20"/>
              </w:rPr>
              <w:t>30. În sistemele în care producția și prelucrarea cerealelor sunt integrate astfel încât toate loturile primite să fie curățate, sortate și prelucrate în aceeași unitate, nivelurile maxime se aplică cerealelor neprelucrate din lanțul de producție în etapa anterioară prelucrării primare.</w:t>
            </w:r>
          </w:p>
        </w:tc>
        <w:tc>
          <w:tcPr>
            <w:tcW w:w="2918" w:type="dxa"/>
            <w:tcBorders>
              <w:bottom w:val="single" w:sz="4" w:space="0" w:color="000000"/>
            </w:tcBorders>
          </w:tcPr>
          <w:p w14:paraId="2D99C3FD" w14:textId="77777777" w:rsidR="00074DD1" w:rsidRDefault="00000000">
            <w:pPr>
              <w:tabs>
                <w:tab w:val="left" w:pos="1091"/>
              </w:tabs>
              <w:spacing w:after="0"/>
              <w:jc w:val="center"/>
              <w:rPr>
                <w:b/>
                <w:bCs/>
                <w:sz w:val="20"/>
                <w:szCs w:val="20"/>
              </w:rPr>
            </w:pPr>
            <w:r>
              <w:rPr>
                <w:b/>
                <w:bCs/>
                <w:sz w:val="20"/>
                <w:szCs w:val="20"/>
              </w:rPr>
              <w:t>Compatibil</w:t>
            </w:r>
          </w:p>
        </w:tc>
        <w:tc>
          <w:tcPr>
            <w:tcW w:w="2333" w:type="dxa"/>
            <w:tcBorders>
              <w:bottom w:val="single" w:sz="4" w:space="0" w:color="000000"/>
            </w:tcBorders>
            <w:vAlign w:val="center"/>
          </w:tcPr>
          <w:p w14:paraId="7F008850" w14:textId="77777777" w:rsidR="00074DD1" w:rsidRDefault="00074DD1">
            <w:pPr>
              <w:tabs>
                <w:tab w:val="left" w:pos="1091"/>
              </w:tabs>
              <w:spacing w:after="0"/>
              <w:jc w:val="center"/>
              <w:rPr>
                <w:sz w:val="20"/>
                <w:szCs w:val="20"/>
              </w:rPr>
            </w:pPr>
          </w:p>
        </w:tc>
      </w:tr>
      <w:tr w:rsidR="00074DD1" w14:paraId="3F9CF906" w14:textId="77777777">
        <w:trPr>
          <w:trHeight w:val="244"/>
        </w:trPr>
        <w:tc>
          <w:tcPr>
            <w:tcW w:w="5049" w:type="dxa"/>
            <w:gridSpan w:val="2"/>
            <w:tcBorders>
              <w:bottom w:val="single" w:sz="4" w:space="0" w:color="000000"/>
            </w:tcBorders>
          </w:tcPr>
          <w:p w14:paraId="3D240C85" w14:textId="77777777" w:rsidR="00074DD1" w:rsidRDefault="00000000">
            <w:pPr>
              <w:shd w:val="clear" w:color="auto" w:fill="FFFFFF"/>
              <w:spacing w:after="0"/>
              <w:jc w:val="both"/>
              <w:rPr>
                <w:i/>
                <w:iCs/>
                <w:color w:val="000000"/>
                <w:sz w:val="20"/>
                <w:szCs w:val="20"/>
              </w:rPr>
            </w:pPr>
            <w:r>
              <w:rPr>
                <w:i/>
                <w:iCs/>
                <w:color w:val="000000"/>
                <w:sz w:val="20"/>
                <w:szCs w:val="20"/>
              </w:rPr>
              <w:t>Articolul 3</w:t>
            </w:r>
          </w:p>
          <w:p w14:paraId="2B012F79" w14:textId="77777777" w:rsidR="00074DD1" w:rsidRDefault="00000000">
            <w:pPr>
              <w:shd w:val="clear" w:color="auto" w:fill="FFFFFF"/>
              <w:spacing w:after="0"/>
              <w:jc w:val="both"/>
              <w:rPr>
                <w:b/>
                <w:bCs/>
                <w:color w:val="000000"/>
                <w:sz w:val="20"/>
                <w:szCs w:val="20"/>
              </w:rPr>
            </w:pPr>
            <w:r>
              <w:rPr>
                <w:b/>
                <w:bCs/>
                <w:color w:val="000000"/>
                <w:sz w:val="20"/>
                <w:szCs w:val="20"/>
              </w:rPr>
              <w:t>Produse alimentare uscate, diluate, prelucrate și compuse</w:t>
            </w:r>
          </w:p>
          <w:p w14:paraId="6786F0AC" w14:textId="77777777" w:rsidR="00074DD1" w:rsidRDefault="00000000">
            <w:pPr>
              <w:shd w:val="clear" w:color="auto" w:fill="FFFFFF"/>
              <w:spacing w:after="0"/>
              <w:jc w:val="both"/>
              <w:rPr>
                <w:color w:val="000000"/>
                <w:sz w:val="20"/>
                <w:szCs w:val="20"/>
              </w:rPr>
            </w:pPr>
            <w:r>
              <w:rPr>
                <w:color w:val="000000"/>
                <w:sz w:val="20"/>
                <w:szCs w:val="20"/>
              </w:rPr>
              <w:t xml:space="preserve">(1)   În cazul în care în anexa I nu sunt prevăzute niveluri maxime specifice la nivelul Uniunii pentru produsele alimentare care sunt uscate, diluate, prelucrate sau compuse (adică compuse din mai multe ingrediente), se iau în considerare următoarele aspecte atunci când se aplică </w:t>
            </w:r>
            <w:r>
              <w:rPr>
                <w:color w:val="000000"/>
                <w:sz w:val="20"/>
                <w:szCs w:val="20"/>
              </w:rPr>
              <w:lastRenderedPageBreak/>
              <w:t>respectivelor produse alimentare nivelurile maxime prevăzute în anexa I:</w:t>
            </w:r>
          </w:p>
          <w:p w14:paraId="3ECBEDC5" w14:textId="77777777" w:rsidR="00074DD1" w:rsidRDefault="00000000">
            <w:pPr>
              <w:shd w:val="clear" w:color="auto" w:fill="FFFFFF"/>
              <w:spacing w:after="0"/>
              <w:jc w:val="both"/>
              <w:rPr>
                <w:color w:val="000000"/>
                <w:sz w:val="20"/>
                <w:szCs w:val="20"/>
              </w:rPr>
            </w:pPr>
            <w:r>
              <w:rPr>
                <w:color w:val="000000"/>
                <w:sz w:val="20"/>
                <w:szCs w:val="20"/>
              </w:rPr>
              <w:t>(a) modificarea concentrației contaminantului cauzată de procese de uscare sau diluare;</w:t>
            </w:r>
          </w:p>
          <w:p w14:paraId="306D7F00" w14:textId="77777777" w:rsidR="00074DD1" w:rsidRDefault="00000000">
            <w:pPr>
              <w:shd w:val="clear" w:color="auto" w:fill="FFFFFF"/>
              <w:spacing w:after="0"/>
              <w:jc w:val="both"/>
              <w:rPr>
                <w:color w:val="000000"/>
                <w:sz w:val="20"/>
                <w:szCs w:val="20"/>
              </w:rPr>
            </w:pPr>
            <w:r>
              <w:rPr>
                <w:color w:val="000000"/>
                <w:sz w:val="20"/>
                <w:szCs w:val="20"/>
              </w:rPr>
              <w:t>(b) modificarea concentrației contaminantului prin prelucrare;</w:t>
            </w:r>
          </w:p>
          <w:p w14:paraId="73ADF412" w14:textId="77777777" w:rsidR="00074DD1" w:rsidRDefault="00000000">
            <w:pPr>
              <w:shd w:val="clear" w:color="auto" w:fill="FFFFFF"/>
              <w:spacing w:after="0"/>
              <w:jc w:val="both"/>
              <w:rPr>
                <w:color w:val="000000"/>
                <w:sz w:val="20"/>
                <w:szCs w:val="20"/>
              </w:rPr>
            </w:pPr>
            <w:r>
              <w:rPr>
                <w:color w:val="000000"/>
                <w:sz w:val="20"/>
                <w:szCs w:val="20"/>
              </w:rPr>
              <w:t>(c) proporțiile relative ale ingredientelor în produs;</w:t>
            </w:r>
          </w:p>
          <w:p w14:paraId="737944E8" w14:textId="77777777" w:rsidR="00074DD1" w:rsidRDefault="00000000">
            <w:pPr>
              <w:shd w:val="clear" w:color="auto" w:fill="FFFFFF"/>
              <w:spacing w:after="0"/>
              <w:jc w:val="both"/>
              <w:rPr>
                <w:color w:val="333333"/>
                <w:sz w:val="20"/>
                <w:szCs w:val="20"/>
              </w:rPr>
            </w:pPr>
            <w:r>
              <w:rPr>
                <w:color w:val="000000"/>
                <w:sz w:val="20"/>
                <w:szCs w:val="20"/>
              </w:rPr>
              <w:t>(d) limita analitică a cuantificării.</w:t>
            </w:r>
          </w:p>
        </w:tc>
        <w:tc>
          <w:tcPr>
            <w:tcW w:w="4465" w:type="dxa"/>
            <w:tcBorders>
              <w:bottom w:val="single" w:sz="4" w:space="0" w:color="000000"/>
            </w:tcBorders>
          </w:tcPr>
          <w:p w14:paraId="0E55678E" w14:textId="77777777" w:rsidR="00074DD1" w:rsidRDefault="00000000">
            <w:pPr>
              <w:shd w:val="clear" w:color="auto" w:fill="FFFFFF"/>
              <w:spacing w:before="120"/>
              <w:jc w:val="center"/>
              <w:rPr>
                <w:b/>
                <w:bCs/>
                <w:color w:val="000000"/>
                <w:sz w:val="20"/>
                <w:szCs w:val="20"/>
              </w:rPr>
            </w:pPr>
            <w:r>
              <w:rPr>
                <w:b/>
                <w:bCs/>
                <w:color w:val="000000"/>
                <w:sz w:val="20"/>
                <w:szCs w:val="20"/>
              </w:rPr>
              <w:lastRenderedPageBreak/>
              <w:t>II. PREVEDERI SPECIFICE PENTRU PRODUSE ALIMENTARE USCATE, DILUATE, PRELUCRATE ȘI COMPUSE</w:t>
            </w:r>
          </w:p>
          <w:p w14:paraId="7D725C05" w14:textId="77777777" w:rsidR="00074DD1" w:rsidRDefault="00000000">
            <w:pPr>
              <w:numPr>
                <w:ilvl w:val="0"/>
                <w:numId w:val="4"/>
              </w:numPr>
              <w:pBdr>
                <w:top w:val="nil"/>
                <w:left w:val="nil"/>
                <w:bottom w:val="nil"/>
                <w:right w:val="nil"/>
                <w:between w:val="nil"/>
              </w:pBdr>
              <w:shd w:val="clear" w:color="auto" w:fill="FFFFFF"/>
              <w:tabs>
                <w:tab w:val="left" w:pos="360"/>
              </w:tabs>
              <w:spacing w:after="0"/>
              <w:ind w:left="76" w:firstLine="283"/>
              <w:jc w:val="both"/>
              <w:rPr>
                <w:color w:val="000000"/>
                <w:sz w:val="20"/>
                <w:szCs w:val="20"/>
              </w:rPr>
            </w:pPr>
            <w:r>
              <w:rPr>
                <w:color w:val="000000"/>
                <w:sz w:val="20"/>
                <w:szCs w:val="20"/>
                <w:highlight w:val="white"/>
              </w:rPr>
              <w:t xml:space="preserve">În cazul în care în Listă nu sunt prevăzute niveluri maxime specifice pentru alimentele uscate, diluate, prelucrate sau compuse (alcătuite din mai multe ingrediente), atunci în aplicarea nivelurilor </w:t>
            </w:r>
            <w:r>
              <w:rPr>
                <w:color w:val="000000"/>
                <w:sz w:val="20"/>
                <w:szCs w:val="20"/>
                <w:highlight w:val="white"/>
              </w:rPr>
              <w:lastRenderedPageBreak/>
              <w:t>maxime pentru aceste produse alimentare, se iau în considerare următoarele aspecte:</w:t>
            </w:r>
          </w:p>
          <w:p w14:paraId="274116D1" w14:textId="77777777" w:rsidR="00074DD1" w:rsidRDefault="00000000">
            <w:pPr>
              <w:shd w:val="clear" w:color="auto" w:fill="FFFFFF"/>
              <w:spacing w:after="0"/>
              <w:ind w:firstLine="359"/>
              <w:rPr>
                <w:color w:val="000000"/>
                <w:sz w:val="20"/>
                <w:szCs w:val="20"/>
              </w:rPr>
            </w:pPr>
            <w:r>
              <w:rPr>
                <w:color w:val="000000"/>
                <w:sz w:val="20"/>
                <w:szCs w:val="20"/>
              </w:rPr>
              <w:t>1) modificarea concentrației contaminantului cauzată de procese de uscare sau diluare;</w:t>
            </w:r>
          </w:p>
          <w:p w14:paraId="07151217" w14:textId="77777777" w:rsidR="00074DD1" w:rsidRDefault="00000000">
            <w:pPr>
              <w:shd w:val="clear" w:color="auto" w:fill="FFFFFF"/>
              <w:spacing w:after="0"/>
              <w:ind w:firstLine="359"/>
              <w:rPr>
                <w:color w:val="000000"/>
                <w:sz w:val="20"/>
                <w:szCs w:val="20"/>
              </w:rPr>
            </w:pPr>
            <w:r>
              <w:rPr>
                <w:color w:val="000000"/>
                <w:sz w:val="20"/>
                <w:szCs w:val="20"/>
              </w:rPr>
              <w:t>2) modificarea concentrației contaminantului prin prelucrare;</w:t>
            </w:r>
          </w:p>
          <w:p w14:paraId="4E63BEBE" w14:textId="77777777" w:rsidR="00074DD1" w:rsidRDefault="00000000">
            <w:pPr>
              <w:shd w:val="clear" w:color="auto" w:fill="FFFFFF"/>
              <w:spacing w:after="0"/>
              <w:ind w:firstLine="359"/>
              <w:rPr>
                <w:color w:val="000000"/>
                <w:sz w:val="20"/>
                <w:szCs w:val="20"/>
              </w:rPr>
            </w:pPr>
            <w:r>
              <w:rPr>
                <w:color w:val="000000"/>
                <w:sz w:val="20"/>
                <w:szCs w:val="20"/>
              </w:rPr>
              <w:t>3) proporțiile relative ale ingredientelor în produs;</w:t>
            </w:r>
          </w:p>
          <w:p w14:paraId="63995650" w14:textId="77777777" w:rsidR="00074DD1" w:rsidRDefault="00000000">
            <w:pPr>
              <w:shd w:val="clear" w:color="auto" w:fill="FFFFFF"/>
              <w:spacing w:after="0"/>
              <w:ind w:firstLine="359"/>
              <w:rPr>
                <w:b/>
                <w:bCs/>
                <w:sz w:val="20"/>
                <w:szCs w:val="20"/>
              </w:rPr>
            </w:pPr>
            <w:r>
              <w:rPr>
                <w:color w:val="000000"/>
                <w:sz w:val="20"/>
                <w:szCs w:val="20"/>
              </w:rPr>
              <w:t>4) limita analitică a cuantificării.</w:t>
            </w:r>
          </w:p>
        </w:tc>
        <w:tc>
          <w:tcPr>
            <w:tcW w:w="2918" w:type="dxa"/>
            <w:tcBorders>
              <w:bottom w:val="single" w:sz="4" w:space="0" w:color="000000"/>
            </w:tcBorders>
          </w:tcPr>
          <w:p w14:paraId="0C912C5C" w14:textId="77777777" w:rsidR="00074DD1" w:rsidRDefault="00000000">
            <w:pPr>
              <w:tabs>
                <w:tab w:val="left" w:pos="1091"/>
              </w:tabs>
              <w:spacing w:after="0"/>
              <w:jc w:val="center"/>
              <w:rPr>
                <w:b/>
                <w:bCs/>
                <w:sz w:val="20"/>
                <w:szCs w:val="20"/>
              </w:rPr>
            </w:pPr>
            <w:r>
              <w:rPr>
                <w:b/>
                <w:bCs/>
                <w:sz w:val="20"/>
                <w:szCs w:val="20"/>
              </w:rPr>
              <w:lastRenderedPageBreak/>
              <w:t>Compatibil</w:t>
            </w:r>
          </w:p>
        </w:tc>
        <w:tc>
          <w:tcPr>
            <w:tcW w:w="2333" w:type="dxa"/>
            <w:tcBorders>
              <w:bottom w:val="single" w:sz="4" w:space="0" w:color="000000"/>
            </w:tcBorders>
            <w:vAlign w:val="center"/>
          </w:tcPr>
          <w:p w14:paraId="385F6B1D" w14:textId="77777777" w:rsidR="00074DD1" w:rsidRDefault="00074DD1">
            <w:pPr>
              <w:tabs>
                <w:tab w:val="left" w:pos="1091"/>
              </w:tabs>
              <w:spacing w:after="0"/>
              <w:jc w:val="center"/>
              <w:rPr>
                <w:sz w:val="20"/>
                <w:szCs w:val="20"/>
              </w:rPr>
            </w:pPr>
          </w:p>
        </w:tc>
      </w:tr>
      <w:tr w:rsidR="00074DD1" w14:paraId="5FF49A6F" w14:textId="77777777">
        <w:trPr>
          <w:trHeight w:val="60"/>
        </w:trPr>
        <w:tc>
          <w:tcPr>
            <w:tcW w:w="5049" w:type="dxa"/>
            <w:gridSpan w:val="2"/>
          </w:tcPr>
          <w:p w14:paraId="040A2B95" w14:textId="77777777" w:rsidR="00074DD1" w:rsidRDefault="00000000">
            <w:pPr>
              <w:shd w:val="clear" w:color="auto" w:fill="FFFFFF"/>
              <w:spacing w:after="0"/>
              <w:jc w:val="both"/>
              <w:rPr>
                <w:color w:val="000000"/>
                <w:sz w:val="20"/>
                <w:szCs w:val="20"/>
              </w:rPr>
            </w:pPr>
            <w:r>
              <w:rPr>
                <w:color w:val="000000"/>
                <w:sz w:val="20"/>
                <w:szCs w:val="20"/>
              </w:rPr>
              <w:t>(2)  În cazul în care autoritatea competentă efectuează un control oficial, operatorul din sectorul alimentar pune la dispoziție și justifică factorii specifici de concentrație, diluție sau prelucrare pentru operațiunile de uscare, diluare sau prelucrare în cauză sau factorii specifici de concentrație, diluție sau prelucrare pentru produsele alimentare uscate, diluate, prelucrate sau compuse în cauză, precum și proporția ingredientelor pentru operațiunile de amestecare în cauză.</w:t>
            </w:r>
          </w:p>
        </w:tc>
        <w:tc>
          <w:tcPr>
            <w:tcW w:w="4465" w:type="dxa"/>
          </w:tcPr>
          <w:p w14:paraId="1536A2C9" w14:textId="77777777" w:rsidR="00074DD1" w:rsidRDefault="00000000">
            <w:pPr>
              <w:numPr>
                <w:ilvl w:val="0"/>
                <w:numId w:val="5"/>
              </w:numPr>
              <w:pBdr>
                <w:top w:val="nil"/>
                <w:left w:val="nil"/>
                <w:bottom w:val="nil"/>
                <w:right w:val="nil"/>
                <w:between w:val="nil"/>
              </w:pBdr>
              <w:tabs>
                <w:tab w:val="left" w:pos="360"/>
              </w:tabs>
              <w:spacing w:after="0"/>
              <w:ind w:left="0" w:firstLine="359"/>
              <w:jc w:val="both"/>
              <w:rPr>
                <w:b/>
                <w:bCs/>
                <w:color w:val="000000"/>
                <w:sz w:val="20"/>
                <w:szCs w:val="20"/>
              </w:rPr>
            </w:pPr>
            <w:r>
              <w:rPr>
                <w:color w:val="000000"/>
                <w:sz w:val="20"/>
                <w:szCs w:val="20"/>
              </w:rPr>
              <w:t>În cazul în care Agenția Națională pentru Siguranța Alimentelor</w:t>
            </w:r>
            <w:r>
              <w:rPr>
                <w:color w:val="00B050"/>
                <w:sz w:val="20"/>
                <w:szCs w:val="20"/>
              </w:rPr>
              <w:t xml:space="preserve"> </w:t>
            </w:r>
            <w:r>
              <w:rPr>
                <w:color w:val="000000"/>
                <w:sz w:val="20"/>
                <w:szCs w:val="20"/>
              </w:rPr>
              <w:t xml:space="preserve">efectuează controale oficiale conform Legii nr. 50/2013 cu privire la controalele oficiale pentru verificarea conformității cu legislația privind hrana pentru animale și produsele alimentare și cu normele de sănătate și de bunăstare a animalelor și Legii nr. 131/2012 privind controlul de stat, operatorul din domeniul alimentar pune la dispoziție și justifică factorii specifici de concentrație, diluție sau prelucrare pentru operațiunile de uscare, diluare sau prelucrare în cauză sau factorii specifici de concentrație, diluție sau prelucrare pentru produsele alimentare uscate, diluate, prelucrate sau compuse în cauză, precum și proporția ingredientelor pentru operațiunile de amestecare în cauză. </w:t>
            </w:r>
          </w:p>
        </w:tc>
        <w:tc>
          <w:tcPr>
            <w:tcW w:w="2918" w:type="dxa"/>
          </w:tcPr>
          <w:p w14:paraId="6C0FC093" w14:textId="77777777" w:rsidR="00074DD1" w:rsidRDefault="00000000">
            <w:pPr>
              <w:tabs>
                <w:tab w:val="left" w:pos="1091"/>
              </w:tabs>
              <w:spacing w:after="0"/>
              <w:ind w:hanging="17"/>
              <w:jc w:val="center"/>
              <w:rPr>
                <w:b/>
                <w:bCs/>
                <w:sz w:val="20"/>
                <w:szCs w:val="20"/>
              </w:rPr>
            </w:pPr>
            <w:r>
              <w:rPr>
                <w:b/>
                <w:bCs/>
                <w:sz w:val="20"/>
                <w:szCs w:val="20"/>
              </w:rPr>
              <w:t xml:space="preserve">Compatibil </w:t>
            </w:r>
          </w:p>
        </w:tc>
        <w:tc>
          <w:tcPr>
            <w:tcW w:w="2333" w:type="dxa"/>
            <w:vAlign w:val="center"/>
          </w:tcPr>
          <w:p w14:paraId="335BB326" w14:textId="77777777" w:rsidR="00074DD1" w:rsidRDefault="00074DD1">
            <w:pPr>
              <w:tabs>
                <w:tab w:val="left" w:pos="1091"/>
              </w:tabs>
              <w:spacing w:after="0"/>
              <w:ind w:hanging="17"/>
              <w:jc w:val="center"/>
              <w:rPr>
                <w:sz w:val="20"/>
                <w:szCs w:val="20"/>
              </w:rPr>
            </w:pPr>
          </w:p>
        </w:tc>
      </w:tr>
      <w:tr w:rsidR="00074DD1" w14:paraId="6E027A6B" w14:textId="77777777">
        <w:trPr>
          <w:trHeight w:val="356"/>
        </w:trPr>
        <w:tc>
          <w:tcPr>
            <w:tcW w:w="5049" w:type="dxa"/>
            <w:gridSpan w:val="2"/>
          </w:tcPr>
          <w:p w14:paraId="45D5882A" w14:textId="77777777" w:rsidR="00074DD1" w:rsidRDefault="00000000">
            <w:pPr>
              <w:pBdr>
                <w:top w:val="nil"/>
                <w:left w:val="nil"/>
                <w:bottom w:val="nil"/>
                <w:right w:val="nil"/>
                <w:between w:val="nil"/>
              </w:pBdr>
              <w:shd w:val="clear" w:color="auto" w:fill="FFFFFF"/>
              <w:spacing w:after="0"/>
              <w:jc w:val="both"/>
              <w:rPr>
                <w:color w:val="333333"/>
                <w:sz w:val="20"/>
                <w:szCs w:val="20"/>
              </w:rPr>
            </w:pPr>
            <w:r>
              <w:rPr>
                <w:color w:val="000000"/>
                <w:sz w:val="20"/>
                <w:szCs w:val="20"/>
              </w:rPr>
              <w:t>În cazul în care operatorul din sectorul alimentar nu pune la dispoziție factorul de concentrație, de diluție sau de prelucrare necesar sau în cazul în care autoritatea competentă consideră că factorul respectiv este necorespunzător, având în vedere justificarea prezentată, autoritatea competentă definește ea însăși respectivul factor, pe baza informațiilor disponibile și în scopul asigurării unui nivel maxim de protecție a sănătății umane</w:t>
            </w:r>
          </w:p>
        </w:tc>
        <w:tc>
          <w:tcPr>
            <w:tcW w:w="4465" w:type="dxa"/>
          </w:tcPr>
          <w:p w14:paraId="2BD5860E" w14:textId="77777777" w:rsidR="00074DD1" w:rsidRDefault="00000000">
            <w:pPr>
              <w:numPr>
                <w:ilvl w:val="0"/>
                <w:numId w:val="6"/>
              </w:numPr>
              <w:pBdr>
                <w:top w:val="nil"/>
                <w:left w:val="nil"/>
                <w:bottom w:val="nil"/>
                <w:right w:val="nil"/>
                <w:between w:val="nil"/>
              </w:pBdr>
              <w:spacing w:after="0"/>
              <w:ind w:left="0" w:firstLine="359"/>
              <w:jc w:val="both"/>
              <w:rPr>
                <w:color w:val="000000"/>
                <w:sz w:val="20"/>
                <w:szCs w:val="20"/>
              </w:rPr>
            </w:pPr>
            <w:r>
              <w:rPr>
                <w:color w:val="000000"/>
                <w:sz w:val="20"/>
                <w:szCs w:val="20"/>
              </w:rPr>
              <w:t>În cazul în care operatorul din domeniul alimentar nu pune la dispoziție factorul de concentrație, de diluție sau de prelucrare necesar sau în cazul în care  ANSA  consideră că factorul respectiv este necorespunzător, având în vedere justificarea prezentată, definește respectivul factor, în baza informațiilor disponibile și în scopul asigurării unui nivel maxim de protecție a sănătății umane.</w:t>
            </w:r>
          </w:p>
          <w:p w14:paraId="398495E9" w14:textId="77777777" w:rsidR="00074DD1" w:rsidRDefault="00074DD1">
            <w:pPr>
              <w:tabs>
                <w:tab w:val="left" w:pos="1091"/>
              </w:tabs>
              <w:spacing w:after="0"/>
              <w:ind w:hanging="17"/>
              <w:rPr>
                <w:sz w:val="20"/>
                <w:szCs w:val="20"/>
              </w:rPr>
            </w:pPr>
          </w:p>
        </w:tc>
        <w:tc>
          <w:tcPr>
            <w:tcW w:w="2918" w:type="dxa"/>
          </w:tcPr>
          <w:p w14:paraId="2E77E8C8" w14:textId="77777777" w:rsidR="00074DD1" w:rsidRDefault="00000000">
            <w:pPr>
              <w:tabs>
                <w:tab w:val="left" w:pos="1091"/>
              </w:tabs>
              <w:spacing w:after="0"/>
              <w:ind w:hanging="17"/>
              <w:jc w:val="center"/>
              <w:rPr>
                <w:b/>
                <w:bCs/>
                <w:sz w:val="20"/>
                <w:szCs w:val="20"/>
              </w:rPr>
            </w:pPr>
            <w:r>
              <w:rPr>
                <w:b/>
                <w:bCs/>
                <w:sz w:val="20"/>
                <w:szCs w:val="20"/>
              </w:rPr>
              <w:t>Compatibil</w:t>
            </w:r>
          </w:p>
        </w:tc>
        <w:tc>
          <w:tcPr>
            <w:tcW w:w="2333" w:type="dxa"/>
            <w:vAlign w:val="center"/>
          </w:tcPr>
          <w:p w14:paraId="492A1207" w14:textId="77777777" w:rsidR="00074DD1" w:rsidRDefault="00074DD1">
            <w:pPr>
              <w:tabs>
                <w:tab w:val="left" w:pos="1091"/>
              </w:tabs>
              <w:spacing w:after="0"/>
              <w:ind w:hanging="17"/>
              <w:jc w:val="center"/>
              <w:rPr>
                <w:sz w:val="20"/>
                <w:szCs w:val="20"/>
              </w:rPr>
            </w:pPr>
          </w:p>
        </w:tc>
      </w:tr>
      <w:tr w:rsidR="00074DD1" w14:paraId="189246F5" w14:textId="77777777">
        <w:trPr>
          <w:trHeight w:val="356"/>
        </w:trPr>
        <w:tc>
          <w:tcPr>
            <w:tcW w:w="5049" w:type="dxa"/>
            <w:gridSpan w:val="2"/>
          </w:tcPr>
          <w:p w14:paraId="701F5FF1" w14:textId="77777777" w:rsidR="00074DD1" w:rsidRDefault="00000000">
            <w:pPr>
              <w:shd w:val="clear" w:color="auto" w:fill="FFFFFF"/>
              <w:spacing w:after="0"/>
              <w:jc w:val="both"/>
              <w:rPr>
                <w:sz w:val="20"/>
                <w:szCs w:val="20"/>
              </w:rPr>
            </w:pPr>
            <w:r>
              <w:rPr>
                <w:color w:val="000000"/>
                <w:sz w:val="20"/>
                <w:szCs w:val="20"/>
              </w:rPr>
              <w:t>(3) În cazul în care în anexa I nu sunt prevăzute niveluri maxime specifice la nivelul Uniunii pentru produsele alimentare destinate sugarilor și copiilor de vârstă mică, statele membre pot stabili niveluri maxime mai stricte pentru aceste produse alimentare.</w:t>
            </w:r>
          </w:p>
        </w:tc>
        <w:tc>
          <w:tcPr>
            <w:tcW w:w="4465" w:type="dxa"/>
          </w:tcPr>
          <w:p w14:paraId="7EB0912A" w14:textId="6D41F3A1" w:rsidR="00074DD1" w:rsidRPr="00957A9D" w:rsidRDefault="00957A9D" w:rsidP="00957A9D">
            <w:pPr>
              <w:tabs>
                <w:tab w:val="left" w:pos="1091"/>
              </w:tabs>
              <w:spacing w:after="0"/>
              <w:ind w:hanging="17"/>
              <w:jc w:val="both"/>
              <w:rPr>
                <w:sz w:val="20"/>
                <w:szCs w:val="20"/>
              </w:rPr>
            </w:pPr>
            <w:r>
              <w:rPr>
                <w:sz w:val="20"/>
                <w:szCs w:val="20"/>
              </w:rPr>
              <w:t>7</w:t>
            </w:r>
            <w:r>
              <w:rPr>
                <w:sz w:val="20"/>
                <w:szCs w:val="20"/>
                <w:vertAlign w:val="superscript"/>
              </w:rPr>
              <w:t>1</w:t>
            </w:r>
            <w:r>
              <w:rPr>
                <w:sz w:val="20"/>
                <w:szCs w:val="20"/>
              </w:rPr>
              <w:t xml:space="preserve">. </w:t>
            </w:r>
            <w:r w:rsidRPr="00957A9D">
              <w:rPr>
                <w:b/>
                <w:bCs/>
                <w:sz w:val="20"/>
                <w:szCs w:val="20"/>
              </w:rPr>
              <w:t xml:space="preserve">În cazul în care în Listă nu </w:t>
            </w:r>
            <w:r w:rsidRPr="00957A9D">
              <w:rPr>
                <w:b/>
                <w:bCs/>
                <w:color w:val="000000"/>
                <w:sz w:val="20"/>
                <w:szCs w:val="20"/>
              </w:rPr>
              <w:t xml:space="preserve">sunt prevăzute niveluri maxime specifice pentru produsele alimentare destinate sugarilor și copiilor de vârstă mică, </w:t>
            </w:r>
            <w:r>
              <w:rPr>
                <w:b/>
                <w:bCs/>
                <w:color w:val="000000"/>
                <w:sz w:val="20"/>
                <w:szCs w:val="20"/>
              </w:rPr>
              <w:t xml:space="preserve">Ministerul Sănătății </w:t>
            </w:r>
            <w:r w:rsidRPr="00957A9D">
              <w:rPr>
                <w:b/>
                <w:bCs/>
                <w:color w:val="000000"/>
                <w:sz w:val="20"/>
                <w:szCs w:val="20"/>
              </w:rPr>
              <w:t>po</w:t>
            </w:r>
            <w:r>
              <w:rPr>
                <w:b/>
                <w:bCs/>
                <w:color w:val="000000"/>
                <w:sz w:val="20"/>
                <w:szCs w:val="20"/>
              </w:rPr>
              <w:t>a</w:t>
            </w:r>
            <w:r w:rsidRPr="00957A9D">
              <w:rPr>
                <w:b/>
                <w:bCs/>
                <w:color w:val="000000"/>
                <w:sz w:val="20"/>
                <w:szCs w:val="20"/>
              </w:rPr>
              <w:t>t</w:t>
            </w:r>
            <w:r>
              <w:rPr>
                <w:b/>
                <w:bCs/>
                <w:color w:val="000000"/>
                <w:sz w:val="20"/>
                <w:szCs w:val="20"/>
              </w:rPr>
              <w:t>e</w:t>
            </w:r>
            <w:r w:rsidRPr="00957A9D">
              <w:rPr>
                <w:b/>
                <w:bCs/>
                <w:color w:val="000000"/>
                <w:sz w:val="20"/>
                <w:szCs w:val="20"/>
              </w:rPr>
              <w:t xml:space="preserve"> stabili niveluri maxime mai stricte pentru aceste produse alimentare.</w:t>
            </w:r>
            <w:r>
              <w:rPr>
                <w:sz w:val="20"/>
                <w:szCs w:val="20"/>
              </w:rPr>
              <w:t xml:space="preserve"> </w:t>
            </w:r>
          </w:p>
        </w:tc>
        <w:tc>
          <w:tcPr>
            <w:tcW w:w="2918" w:type="dxa"/>
            <w:vAlign w:val="center"/>
          </w:tcPr>
          <w:p w14:paraId="56BDF8C2" w14:textId="6E36C4DF" w:rsidR="00074DD1" w:rsidRDefault="00957A9D">
            <w:pPr>
              <w:tabs>
                <w:tab w:val="left" w:pos="1091"/>
              </w:tabs>
              <w:spacing w:after="0"/>
              <w:ind w:hanging="17"/>
              <w:jc w:val="center"/>
              <w:rPr>
                <w:b/>
                <w:bCs/>
                <w:sz w:val="20"/>
                <w:szCs w:val="20"/>
              </w:rPr>
            </w:pPr>
            <w:r>
              <w:rPr>
                <w:b/>
                <w:bCs/>
                <w:sz w:val="20"/>
                <w:szCs w:val="20"/>
              </w:rPr>
              <w:t>Compatibil</w:t>
            </w:r>
          </w:p>
        </w:tc>
        <w:tc>
          <w:tcPr>
            <w:tcW w:w="2333" w:type="dxa"/>
            <w:vAlign w:val="center"/>
          </w:tcPr>
          <w:p w14:paraId="4029C29E" w14:textId="77777777" w:rsidR="00626C8E" w:rsidRPr="00626C8E" w:rsidRDefault="00626C8E" w:rsidP="00626C8E">
            <w:pPr>
              <w:pStyle w:val="Titlu4"/>
              <w:shd w:val="clear" w:color="auto" w:fill="FFFFFF"/>
              <w:spacing w:before="165" w:after="165"/>
              <w:jc w:val="center"/>
              <w:rPr>
                <w:rFonts w:ascii="Times New Roman" w:hAnsi="Times New Roman" w:cs="Times New Roman"/>
                <w:i w:val="0"/>
                <w:iCs w:val="0"/>
                <w:color w:val="000000" w:themeColor="text1"/>
                <w:sz w:val="20"/>
                <w:szCs w:val="20"/>
              </w:rPr>
            </w:pPr>
            <w:r w:rsidRPr="00626C8E">
              <w:rPr>
                <w:rFonts w:ascii="Times New Roman" w:hAnsi="Times New Roman" w:cs="Times New Roman"/>
                <w:i w:val="0"/>
                <w:iCs w:val="0"/>
                <w:color w:val="000000" w:themeColor="text1"/>
                <w:sz w:val="20"/>
                <w:szCs w:val="20"/>
              </w:rPr>
              <w:t xml:space="preserve">În conformitate cu art.13 alin. (4) din Legea nr.306/2018 </w:t>
            </w:r>
            <w:r w:rsidRPr="00626C8E">
              <w:rPr>
                <w:rStyle w:val="Robust"/>
                <w:rFonts w:ascii="Times New Roman" w:hAnsi="Times New Roman" w:cs="Times New Roman"/>
                <w:b w:val="0"/>
                <w:bCs w:val="0"/>
                <w:i w:val="0"/>
                <w:iCs w:val="0"/>
                <w:color w:val="000000" w:themeColor="text1"/>
                <w:sz w:val="20"/>
                <w:szCs w:val="20"/>
              </w:rPr>
              <w:t>privind siguranța alimentelor</w:t>
            </w:r>
          </w:p>
          <w:p w14:paraId="50FD1819" w14:textId="1D1BEB83" w:rsidR="00074DD1" w:rsidRDefault="00074DD1">
            <w:pPr>
              <w:tabs>
                <w:tab w:val="left" w:pos="1091"/>
              </w:tabs>
              <w:spacing w:after="0"/>
              <w:ind w:hanging="17"/>
              <w:jc w:val="center"/>
              <w:rPr>
                <w:sz w:val="20"/>
                <w:szCs w:val="20"/>
              </w:rPr>
            </w:pPr>
          </w:p>
        </w:tc>
      </w:tr>
      <w:tr w:rsidR="00074DD1" w14:paraId="238EBCAF" w14:textId="77777777">
        <w:tc>
          <w:tcPr>
            <w:tcW w:w="5049" w:type="dxa"/>
            <w:gridSpan w:val="2"/>
          </w:tcPr>
          <w:p w14:paraId="3EB8F09B" w14:textId="77777777" w:rsidR="00074DD1" w:rsidRDefault="00000000">
            <w:pPr>
              <w:shd w:val="clear" w:color="auto" w:fill="FFFFFF"/>
              <w:spacing w:after="0"/>
              <w:jc w:val="both"/>
              <w:rPr>
                <w:i/>
                <w:iCs/>
                <w:color w:val="000000"/>
                <w:sz w:val="20"/>
                <w:szCs w:val="20"/>
              </w:rPr>
            </w:pPr>
            <w:r>
              <w:rPr>
                <w:i/>
                <w:iCs/>
                <w:color w:val="000000"/>
                <w:sz w:val="20"/>
                <w:szCs w:val="20"/>
              </w:rPr>
              <w:t>Articolul 4</w:t>
            </w:r>
          </w:p>
          <w:p w14:paraId="57F34EB6" w14:textId="77777777" w:rsidR="00074DD1" w:rsidRDefault="00000000">
            <w:pPr>
              <w:shd w:val="clear" w:color="auto" w:fill="FFFFFF"/>
              <w:spacing w:after="0"/>
              <w:jc w:val="both"/>
              <w:rPr>
                <w:b/>
                <w:bCs/>
                <w:color w:val="000000"/>
                <w:sz w:val="20"/>
                <w:szCs w:val="20"/>
              </w:rPr>
            </w:pPr>
            <w:r>
              <w:rPr>
                <w:b/>
                <w:bCs/>
                <w:color w:val="000000"/>
                <w:sz w:val="20"/>
                <w:szCs w:val="20"/>
              </w:rPr>
              <w:t>Interdicția de detoxificare</w:t>
            </w:r>
          </w:p>
          <w:p w14:paraId="2C1F853E" w14:textId="77777777" w:rsidR="00074DD1" w:rsidRDefault="00000000">
            <w:pPr>
              <w:shd w:val="clear" w:color="auto" w:fill="FFFFFF"/>
              <w:spacing w:after="0"/>
              <w:jc w:val="both"/>
              <w:rPr>
                <w:sz w:val="20"/>
                <w:szCs w:val="20"/>
              </w:rPr>
            </w:pPr>
            <w:r>
              <w:rPr>
                <w:color w:val="000000"/>
                <w:sz w:val="20"/>
                <w:szCs w:val="20"/>
              </w:rPr>
              <w:lastRenderedPageBreak/>
              <w:t>Produsele alimentare care conțin contaminanți enumerați în anexa I nu se detoxifică în mod deliberat prin tratamente chimice.</w:t>
            </w:r>
          </w:p>
        </w:tc>
        <w:tc>
          <w:tcPr>
            <w:tcW w:w="4465" w:type="dxa"/>
          </w:tcPr>
          <w:p w14:paraId="50476F4B" w14:textId="77777777" w:rsidR="00074DD1" w:rsidRDefault="00000000">
            <w:pPr>
              <w:shd w:val="clear" w:color="auto" w:fill="FFFFFF"/>
              <w:jc w:val="both"/>
              <w:rPr>
                <w:color w:val="000000"/>
                <w:sz w:val="20"/>
                <w:szCs w:val="20"/>
              </w:rPr>
            </w:pPr>
            <w:r>
              <w:rPr>
                <w:b/>
                <w:bCs/>
                <w:color w:val="000000"/>
                <w:sz w:val="20"/>
                <w:szCs w:val="20"/>
              </w:rPr>
              <w:lastRenderedPageBreak/>
              <w:t>VII. Interdicții de utilizare, amestecare</w:t>
            </w:r>
            <w:r>
              <w:rPr>
                <w:color w:val="000000"/>
                <w:sz w:val="20"/>
                <w:szCs w:val="20"/>
              </w:rPr>
              <w:t xml:space="preserve"> </w:t>
            </w:r>
            <w:r>
              <w:rPr>
                <w:b/>
                <w:bCs/>
                <w:color w:val="000000"/>
                <w:sz w:val="20"/>
                <w:szCs w:val="20"/>
              </w:rPr>
              <w:t>și detoxificare</w:t>
            </w:r>
          </w:p>
          <w:p w14:paraId="5F856CEE" w14:textId="77777777" w:rsidR="00074DD1" w:rsidRDefault="00000000">
            <w:pPr>
              <w:shd w:val="clear" w:color="auto" w:fill="FFFFFF"/>
              <w:tabs>
                <w:tab w:val="left" w:pos="1134"/>
              </w:tabs>
              <w:spacing w:after="0"/>
              <w:jc w:val="both"/>
              <w:rPr>
                <w:color w:val="000000"/>
                <w:sz w:val="20"/>
                <w:szCs w:val="20"/>
              </w:rPr>
            </w:pPr>
            <w:r>
              <w:rPr>
                <w:color w:val="000000"/>
                <w:sz w:val="20"/>
                <w:szCs w:val="20"/>
                <w:highlight w:val="white"/>
              </w:rPr>
              <w:lastRenderedPageBreak/>
              <w:t xml:space="preserve">         31. Se interzice detoxifierea în mod deliberat prin tratamente chimice</w:t>
            </w:r>
            <w:r>
              <w:rPr>
                <w:color w:val="000000"/>
                <w:sz w:val="20"/>
                <w:szCs w:val="20"/>
              </w:rPr>
              <w:t xml:space="preserve"> a p</w:t>
            </w:r>
            <w:r>
              <w:rPr>
                <w:color w:val="000000"/>
                <w:sz w:val="20"/>
                <w:szCs w:val="20"/>
                <w:highlight w:val="white"/>
              </w:rPr>
              <w:t>roduselor alimentare care conțin contaminanți enumerați în Listă.</w:t>
            </w:r>
          </w:p>
          <w:p w14:paraId="1CB0DAC1" w14:textId="77777777" w:rsidR="00074DD1" w:rsidRDefault="00074DD1">
            <w:pPr>
              <w:tabs>
                <w:tab w:val="left" w:pos="1091"/>
              </w:tabs>
              <w:spacing w:after="0"/>
              <w:rPr>
                <w:sz w:val="20"/>
                <w:szCs w:val="20"/>
              </w:rPr>
            </w:pPr>
          </w:p>
        </w:tc>
        <w:tc>
          <w:tcPr>
            <w:tcW w:w="2918" w:type="dxa"/>
            <w:vAlign w:val="center"/>
          </w:tcPr>
          <w:p w14:paraId="47C4CDFE" w14:textId="77777777" w:rsidR="00074DD1"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641F65BC" w14:textId="77777777" w:rsidR="00074DD1" w:rsidRDefault="00074DD1">
            <w:pPr>
              <w:tabs>
                <w:tab w:val="left" w:pos="1091"/>
              </w:tabs>
              <w:spacing w:after="0"/>
              <w:jc w:val="center"/>
              <w:rPr>
                <w:sz w:val="20"/>
                <w:szCs w:val="20"/>
              </w:rPr>
            </w:pPr>
          </w:p>
        </w:tc>
      </w:tr>
      <w:tr w:rsidR="00074DD1" w14:paraId="6920192A" w14:textId="77777777">
        <w:trPr>
          <w:trHeight w:val="421"/>
        </w:trPr>
        <w:tc>
          <w:tcPr>
            <w:tcW w:w="5049" w:type="dxa"/>
            <w:gridSpan w:val="2"/>
          </w:tcPr>
          <w:p w14:paraId="35E941D1" w14:textId="77777777" w:rsidR="00074DD1" w:rsidRDefault="00000000">
            <w:pPr>
              <w:shd w:val="clear" w:color="auto" w:fill="FFFFFF"/>
              <w:spacing w:after="0"/>
              <w:jc w:val="both"/>
              <w:rPr>
                <w:i/>
                <w:iCs/>
                <w:color w:val="000000"/>
                <w:sz w:val="20"/>
                <w:szCs w:val="20"/>
              </w:rPr>
            </w:pPr>
            <w:r>
              <w:rPr>
                <w:i/>
                <w:iCs/>
                <w:color w:val="000000"/>
                <w:sz w:val="20"/>
                <w:szCs w:val="20"/>
              </w:rPr>
              <w:t>Articolul 5</w:t>
            </w:r>
          </w:p>
          <w:p w14:paraId="508ECA43" w14:textId="77777777" w:rsidR="00074DD1" w:rsidRDefault="00000000">
            <w:pPr>
              <w:shd w:val="clear" w:color="auto" w:fill="FFFFFF"/>
              <w:spacing w:after="0"/>
              <w:jc w:val="both"/>
              <w:rPr>
                <w:b/>
                <w:bCs/>
                <w:color w:val="000000"/>
                <w:sz w:val="20"/>
                <w:szCs w:val="20"/>
              </w:rPr>
            </w:pPr>
            <w:r>
              <w:rPr>
                <w:b/>
                <w:bCs/>
                <w:color w:val="000000"/>
                <w:sz w:val="20"/>
                <w:szCs w:val="20"/>
              </w:rPr>
              <w:t>Produsele alimentare care urmează să fie supuse sortării sau altui tratament fizic înainte de introducerea pe piață pentru consumatorul final sau pentru utilizare ca ingrediente alimentare</w:t>
            </w:r>
          </w:p>
          <w:p w14:paraId="10F2564B" w14:textId="77777777" w:rsidR="00074DD1" w:rsidRDefault="00000000">
            <w:pPr>
              <w:shd w:val="clear" w:color="auto" w:fill="FFFFFF"/>
              <w:spacing w:after="0"/>
              <w:jc w:val="both"/>
              <w:rPr>
                <w:color w:val="000000"/>
                <w:sz w:val="20"/>
                <w:szCs w:val="20"/>
              </w:rPr>
            </w:pPr>
            <w:r>
              <w:rPr>
                <w:color w:val="000000"/>
                <w:sz w:val="20"/>
                <w:szCs w:val="20"/>
              </w:rPr>
              <w:t>(1)   În cazul în care în anexa I este prevăzut un nivel maxim pentru un contaminant, în special în ceea ce privește produsele alimentare care urmează să fie supuse sortării sau altui tratament fizic înainte de introducerea pe piață pentru consumatorul final sau pentru utilizare ca ingrediente alimentare, respectivele produse alimentare pot fi introduse pe piață cu condiția ca:</w:t>
            </w:r>
          </w:p>
          <w:p w14:paraId="3BE52894" w14:textId="77777777" w:rsidR="00074DD1" w:rsidRDefault="00000000">
            <w:pPr>
              <w:shd w:val="clear" w:color="auto" w:fill="FFFFFF"/>
              <w:spacing w:after="0"/>
              <w:jc w:val="both"/>
              <w:rPr>
                <w:color w:val="000000"/>
                <w:sz w:val="20"/>
                <w:szCs w:val="20"/>
              </w:rPr>
            </w:pPr>
            <w:r>
              <w:rPr>
                <w:color w:val="000000"/>
                <w:sz w:val="20"/>
                <w:szCs w:val="20"/>
              </w:rPr>
              <w:t>(a) să nu fie introduse pe piață pentru consumatorul final sau să nu fie utilizate ca ingrediente alimentare;</w:t>
            </w:r>
          </w:p>
          <w:p w14:paraId="61528B7B" w14:textId="77777777" w:rsidR="00074DD1" w:rsidRDefault="00000000">
            <w:pPr>
              <w:shd w:val="clear" w:color="auto" w:fill="FFFFFF"/>
              <w:spacing w:after="0"/>
              <w:jc w:val="both"/>
              <w:rPr>
                <w:color w:val="000000"/>
                <w:sz w:val="20"/>
                <w:szCs w:val="20"/>
              </w:rPr>
            </w:pPr>
            <w:r>
              <w:rPr>
                <w:color w:val="000000"/>
                <w:sz w:val="20"/>
                <w:szCs w:val="20"/>
              </w:rPr>
              <w:t>(b) să respecte nivelul maxim prevăzut în anexa I pentru contaminantul în cauză în respectivele produse alimentare care urmează să fie supuse sortării sau altui tratament fizic înainte de introducerea pe piață pentru consumatorul final sau pentru utilizare ca ingrediente alimentare; și</w:t>
            </w:r>
          </w:p>
          <w:p w14:paraId="36BDE618" w14:textId="77777777" w:rsidR="00074DD1" w:rsidRDefault="00000000">
            <w:pPr>
              <w:tabs>
                <w:tab w:val="left" w:pos="1091"/>
              </w:tabs>
              <w:spacing w:after="0"/>
              <w:rPr>
                <w:sz w:val="20"/>
                <w:szCs w:val="20"/>
              </w:rPr>
            </w:pPr>
            <w:r>
              <w:rPr>
                <w:color w:val="000000"/>
                <w:sz w:val="20"/>
                <w:szCs w:val="20"/>
              </w:rPr>
              <w:t>(c) să fie etichetate și marcate în conformitate cu alineatul (2).</w:t>
            </w:r>
          </w:p>
        </w:tc>
        <w:tc>
          <w:tcPr>
            <w:tcW w:w="4465" w:type="dxa"/>
          </w:tcPr>
          <w:p w14:paraId="2E30FC97" w14:textId="77777777" w:rsidR="00074DD1" w:rsidRDefault="00000000">
            <w:pPr>
              <w:shd w:val="clear" w:color="auto" w:fill="FFFFFF"/>
              <w:spacing w:after="0"/>
              <w:jc w:val="center"/>
              <w:rPr>
                <w:color w:val="000000"/>
                <w:sz w:val="20"/>
                <w:szCs w:val="20"/>
              </w:rPr>
            </w:pPr>
            <w:r>
              <w:rPr>
                <w:b/>
                <w:bCs/>
                <w:color w:val="000000"/>
                <w:sz w:val="20"/>
                <w:szCs w:val="20"/>
              </w:rPr>
              <w:t>III. PREVEDERI SPECIFICE PENTRU PRODUSELE ALIMENTARE DESTINATE SORTĂRII SAU TRATAMENTULUI FIZIC ÎNAINTE DE INTRODUCEREA PE PIAȚĂ</w:t>
            </w:r>
          </w:p>
          <w:p w14:paraId="2856E67A" w14:textId="77777777" w:rsidR="00074DD1" w:rsidRDefault="00000000">
            <w:pPr>
              <w:shd w:val="clear" w:color="auto" w:fill="FFFFFF"/>
              <w:jc w:val="both"/>
              <w:rPr>
                <w:color w:val="000000"/>
                <w:sz w:val="20"/>
                <w:szCs w:val="20"/>
              </w:rPr>
            </w:pPr>
            <w:bookmarkStart w:id="0" w:name="_heading=h.pxuyxdvabu0v" w:colFirst="0" w:colLast="0"/>
            <w:bookmarkEnd w:id="0"/>
            <w:r>
              <w:rPr>
                <w:color w:val="000000"/>
                <w:sz w:val="20"/>
                <w:szCs w:val="20"/>
                <w:highlight w:val="white"/>
              </w:rPr>
              <w:t xml:space="preserve">8. În cazul în care </w:t>
            </w:r>
            <w:r>
              <w:rPr>
                <w:color w:val="000000"/>
                <w:sz w:val="20"/>
                <w:szCs w:val="20"/>
              </w:rPr>
              <w:t>În cazul în care în Listă este  prevăzut un nivel maxim pentru un contaminant, în special în ceea ce privește produsele alimentare care urmează să fie supuse sortării sau altui tratament fizic înainte de introducerea pe piață pentru consumatorul final sau pentru utilizare ca ingrediente alimentare, respectivele produse alimentare pot fi introduse pe piață cu condiția ca:</w:t>
            </w:r>
          </w:p>
          <w:p w14:paraId="28D4A3F3" w14:textId="77777777" w:rsidR="00074DD1" w:rsidRDefault="00000000">
            <w:pPr>
              <w:numPr>
                <w:ilvl w:val="0"/>
                <w:numId w:val="7"/>
              </w:numPr>
              <w:pBdr>
                <w:top w:val="nil"/>
                <w:left w:val="nil"/>
                <w:bottom w:val="nil"/>
                <w:right w:val="nil"/>
                <w:between w:val="nil"/>
              </w:pBdr>
              <w:shd w:val="clear" w:color="auto" w:fill="FFFFFF"/>
              <w:spacing w:after="0"/>
              <w:ind w:left="0" w:firstLine="500"/>
              <w:jc w:val="both"/>
              <w:rPr>
                <w:color w:val="000000"/>
                <w:sz w:val="20"/>
                <w:szCs w:val="20"/>
              </w:rPr>
            </w:pPr>
            <w:r>
              <w:rPr>
                <w:color w:val="000000"/>
                <w:sz w:val="20"/>
                <w:szCs w:val="20"/>
              </w:rPr>
              <w:t>să nu fie introduse pe piață pentru consumatorul final sau să nu fie utilizate ca ingrediente alimentare;</w:t>
            </w:r>
          </w:p>
          <w:p w14:paraId="00A25BA7" w14:textId="77777777" w:rsidR="00074DD1" w:rsidRDefault="00000000">
            <w:pPr>
              <w:numPr>
                <w:ilvl w:val="0"/>
                <w:numId w:val="7"/>
              </w:numPr>
              <w:pBdr>
                <w:top w:val="nil"/>
                <w:left w:val="nil"/>
                <w:bottom w:val="nil"/>
                <w:right w:val="nil"/>
                <w:between w:val="nil"/>
              </w:pBdr>
              <w:shd w:val="clear" w:color="auto" w:fill="FFFFFF"/>
              <w:spacing w:after="0"/>
              <w:ind w:left="0" w:firstLine="500"/>
              <w:jc w:val="both"/>
              <w:rPr>
                <w:color w:val="000000"/>
                <w:sz w:val="20"/>
                <w:szCs w:val="20"/>
              </w:rPr>
            </w:pPr>
            <w:r>
              <w:rPr>
                <w:color w:val="000000"/>
                <w:sz w:val="20"/>
                <w:szCs w:val="20"/>
              </w:rPr>
              <w:t>să respecte nivelul maxim prevăzut în Listă pentru contaminantul în cauză în respectivele produse alimentare care urmează să fie supuse sortării sau altui tratament fizic înainte de introducerea pe piață pentru consumatorul final sau pentru utilizare ca ingrediente alimentare;</w:t>
            </w:r>
          </w:p>
          <w:p w14:paraId="6FA2B5E2" w14:textId="77777777" w:rsidR="00074DD1" w:rsidRDefault="00000000">
            <w:pPr>
              <w:numPr>
                <w:ilvl w:val="0"/>
                <w:numId w:val="7"/>
              </w:numPr>
              <w:pBdr>
                <w:top w:val="nil"/>
                <w:left w:val="nil"/>
                <w:bottom w:val="nil"/>
                <w:right w:val="nil"/>
                <w:between w:val="nil"/>
              </w:pBdr>
              <w:shd w:val="clear" w:color="auto" w:fill="FFFFFF"/>
              <w:spacing w:after="0"/>
              <w:ind w:left="0" w:firstLine="426"/>
              <w:jc w:val="both"/>
              <w:rPr>
                <w:color w:val="000000"/>
                <w:sz w:val="20"/>
                <w:szCs w:val="20"/>
              </w:rPr>
            </w:pPr>
            <w:r>
              <w:rPr>
                <w:color w:val="000000"/>
                <w:sz w:val="20"/>
                <w:szCs w:val="20"/>
              </w:rPr>
              <w:t>să fie etichetate și marcate în conformitate cu punctul 9.</w:t>
            </w:r>
          </w:p>
        </w:tc>
        <w:tc>
          <w:tcPr>
            <w:tcW w:w="2918" w:type="dxa"/>
            <w:vAlign w:val="center"/>
          </w:tcPr>
          <w:p w14:paraId="5028A35A" w14:textId="23621AF1" w:rsidR="00074DD1" w:rsidRDefault="00626C8E">
            <w:pPr>
              <w:tabs>
                <w:tab w:val="left" w:pos="1091"/>
              </w:tabs>
              <w:spacing w:after="0"/>
              <w:ind w:hanging="19"/>
              <w:jc w:val="center"/>
              <w:rPr>
                <w:b/>
                <w:bCs/>
                <w:sz w:val="20"/>
                <w:szCs w:val="20"/>
              </w:rPr>
            </w:pPr>
            <w:r>
              <w:rPr>
                <w:b/>
                <w:bCs/>
                <w:sz w:val="20"/>
                <w:szCs w:val="20"/>
              </w:rPr>
              <w:t>Compatibil</w:t>
            </w:r>
          </w:p>
        </w:tc>
        <w:tc>
          <w:tcPr>
            <w:tcW w:w="2333" w:type="dxa"/>
            <w:vAlign w:val="center"/>
          </w:tcPr>
          <w:p w14:paraId="420F89A3" w14:textId="77777777" w:rsidR="00074DD1" w:rsidRDefault="00074DD1">
            <w:pPr>
              <w:tabs>
                <w:tab w:val="left" w:pos="1091"/>
              </w:tabs>
              <w:spacing w:after="0"/>
              <w:ind w:hanging="19"/>
              <w:jc w:val="center"/>
              <w:rPr>
                <w:sz w:val="20"/>
                <w:szCs w:val="20"/>
              </w:rPr>
            </w:pPr>
          </w:p>
        </w:tc>
      </w:tr>
      <w:tr w:rsidR="00074DD1" w14:paraId="764D2297" w14:textId="77777777">
        <w:trPr>
          <w:trHeight w:val="175"/>
        </w:trPr>
        <w:tc>
          <w:tcPr>
            <w:tcW w:w="5049" w:type="dxa"/>
            <w:gridSpan w:val="2"/>
          </w:tcPr>
          <w:p w14:paraId="0F725021" w14:textId="77777777" w:rsidR="00074DD1" w:rsidRDefault="00000000">
            <w:pPr>
              <w:shd w:val="clear" w:color="auto" w:fill="FFFFFF"/>
              <w:spacing w:after="0"/>
              <w:jc w:val="both"/>
              <w:rPr>
                <w:sz w:val="20"/>
                <w:szCs w:val="20"/>
              </w:rPr>
            </w:pPr>
            <w:r>
              <w:rPr>
                <w:color w:val="000000"/>
                <w:sz w:val="20"/>
                <w:szCs w:val="20"/>
              </w:rPr>
              <w:t>(2)   Pe eticheta fiecărui ambalaj în parte și în documentele originale de însoțire ale produselor alimentare menționate la alineatul (1) litera (c) se indică în mod clar utilizarea lor preconizată și se menționează următoarele informații: „Produsul se supune sortării sau altui tratament fizic în scopul reducerii contaminării cu [denumirea contaminantului (contaminanților)] înainte de a fi introdus pe piață pentru consumatorul final sau de a fi utilizat ca ingredient alimentar”.</w:t>
            </w:r>
          </w:p>
        </w:tc>
        <w:tc>
          <w:tcPr>
            <w:tcW w:w="4465" w:type="dxa"/>
          </w:tcPr>
          <w:p w14:paraId="2F78BCBC" w14:textId="77777777" w:rsidR="00074DD1" w:rsidRDefault="00000000">
            <w:pPr>
              <w:pBdr>
                <w:top w:val="nil"/>
                <w:left w:val="nil"/>
                <w:bottom w:val="nil"/>
                <w:right w:val="nil"/>
                <w:between w:val="nil"/>
              </w:pBdr>
              <w:tabs>
                <w:tab w:val="left" w:pos="1134"/>
              </w:tabs>
              <w:spacing w:after="0"/>
              <w:ind w:firstLine="217"/>
              <w:jc w:val="both"/>
              <w:rPr>
                <w:color w:val="000000"/>
                <w:sz w:val="20"/>
                <w:szCs w:val="20"/>
              </w:rPr>
            </w:pPr>
            <w:r>
              <w:rPr>
                <w:color w:val="000000"/>
                <w:sz w:val="20"/>
                <w:szCs w:val="20"/>
              </w:rPr>
              <w:t>9. Pe eticheta fiecărui ambalaj în parte și în documentele originale de însoțire ale produselor alimentare menționate la punctul 8 subpunctul 3) se indică în mod clar utilizarea lor preconizată și se menționează următoarele informații: „Produsul se supune sortării sau altui tratament fizic în scopul reducerii contaminării cu [denumirea contaminantului (contaminanților)] înainte de a fi introdus pe piață pentru consumatorul final sau de a fi utilizat ca ingredient alimentar”.</w:t>
            </w:r>
          </w:p>
        </w:tc>
        <w:tc>
          <w:tcPr>
            <w:tcW w:w="2918" w:type="dxa"/>
            <w:vAlign w:val="center"/>
          </w:tcPr>
          <w:p w14:paraId="45ED3B5C" w14:textId="77777777" w:rsidR="00074DD1" w:rsidRDefault="00000000">
            <w:pPr>
              <w:tabs>
                <w:tab w:val="left" w:pos="1091"/>
              </w:tabs>
              <w:spacing w:after="0"/>
              <w:ind w:hanging="19"/>
              <w:jc w:val="center"/>
              <w:rPr>
                <w:b/>
                <w:bCs/>
                <w:sz w:val="20"/>
                <w:szCs w:val="20"/>
              </w:rPr>
            </w:pPr>
            <w:r>
              <w:rPr>
                <w:b/>
                <w:bCs/>
                <w:sz w:val="20"/>
                <w:szCs w:val="20"/>
              </w:rPr>
              <w:t>Compatibil</w:t>
            </w:r>
          </w:p>
        </w:tc>
        <w:tc>
          <w:tcPr>
            <w:tcW w:w="2333" w:type="dxa"/>
            <w:vAlign w:val="center"/>
          </w:tcPr>
          <w:p w14:paraId="390B01B4" w14:textId="77777777" w:rsidR="00074DD1" w:rsidRDefault="00074DD1">
            <w:pPr>
              <w:tabs>
                <w:tab w:val="left" w:pos="1091"/>
              </w:tabs>
              <w:spacing w:after="0"/>
              <w:ind w:hanging="19"/>
              <w:jc w:val="center"/>
              <w:rPr>
                <w:sz w:val="20"/>
                <w:szCs w:val="20"/>
              </w:rPr>
            </w:pPr>
          </w:p>
        </w:tc>
      </w:tr>
      <w:tr w:rsidR="00074DD1" w14:paraId="5CA91E65" w14:textId="77777777">
        <w:trPr>
          <w:trHeight w:val="421"/>
        </w:trPr>
        <w:tc>
          <w:tcPr>
            <w:tcW w:w="5049" w:type="dxa"/>
            <w:gridSpan w:val="2"/>
          </w:tcPr>
          <w:p w14:paraId="0834F0A5" w14:textId="77777777" w:rsidR="00074DD1" w:rsidRDefault="00000000">
            <w:pPr>
              <w:shd w:val="clear" w:color="auto" w:fill="FFFFFF"/>
              <w:spacing w:after="0"/>
              <w:jc w:val="both"/>
              <w:rPr>
                <w:sz w:val="20"/>
                <w:szCs w:val="20"/>
              </w:rPr>
            </w:pPr>
            <w:r>
              <w:rPr>
                <w:color w:val="000000"/>
                <w:sz w:val="20"/>
                <w:szCs w:val="20"/>
              </w:rPr>
              <w:t>Codul de identificare a transportului/lotului se inscripționează în mod indelebil pe fiecare ambalaj în parte al transportului și în documentul original de însoțire.</w:t>
            </w:r>
          </w:p>
        </w:tc>
        <w:tc>
          <w:tcPr>
            <w:tcW w:w="4465" w:type="dxa"/>
          </w:tcPr>
          <w:p w14:paraId="7200B218" w14:textId="77777777" w:rsidR="00074DD1" w:rsidRDefault="00000000">
            <w:pPr>
              <w:shd w:val="clear" w:color="auto" w:fill="FFFFFF"/>
              <w:tabs>
                <w:tab w:val="left" w:pos="925"/>
              </w:tabs>
              <w:spacing w:before="120"/>
              <w:jc w:val="both"/>
              <w:rPr>
                <w:sz w:val="20"/>
                <w:szCs w:val="20"/>
              </w:rPr>
            </w:pPr>
            <w:r>
              <w:rPr>
                <w:sz w:val="20"/>
                <w:szCs w:val="20"/>
              </w:rPr>
              <w:t xml:space="preserve"> </w:t>
            </w:r>
            <w:r>
              <w:rPr>
                <w:color w:val="000000"/>
                <w:sz w:val="20"/>
                <w:szCs w:val="20"/>
              </w:rPr>
              <w:t>10. Codul de identificare a transportului/lotului se inscripționează în mod indelebil pe fiecare ambalaj în parte al transportului și în documentul original de însoțire.</w:t>
            </w:r>
          </w:p>
        </w:tc>
        <w:tc>
          <w:tcPr>
            <w:tcW w:w="2918" w:type="dxa"/>
            <w:vAlign w:val="center"/>
          </w:tcPr>
          <w:p w14:paraId="1FBD3FDA" w14:textId="77777777" w:rsidR="00074DD1" w:rsidRDefault="00000000">
            <w:pPr>
              <w:tabs>
                <w:tab w:val="left" w:pos="1091"/>
              </w:tabs>
              <w:spacing w:after="0"/>
              <w:ind w:hanging="19"/>
              <w:jc w:val="center"/>
              <w:rPr>
                <w:b/>
                <w:bCs/>
                <w:sz w:val="20"/>
                <w:szCs w:val="20"/>
              </w:rPr>
            </w:pPr>
            <w:r>
              <w:rPr>
                <w:b/>
                <w:bCs/>
                <w:sz w:val="20"/>
                <w:szCs w:val="20"/>
              </w:rPr>
              <w:t>Compatibil</w:t>
            </w:r>
          </w:p>
        </w:tc>
        <w:tc>
          <w:tcPr>
            <w:tcW w:w="2333" w:type="dxa"/>
            <w:vAlign w:val="center"/>
          </w:tcPr>
          <w:p w14:paraId="3A474EDC" w14:textId="77777777" w:rsidR="00074DD1" w:rsidRDefault="00074DD1">
            <w:pPr>
              <w:tabs>
                <w:tab w:val="left" w:pos="1091"/>
              </w:tabs>
              <w:spacing w:after="0"/>
              <w:ind w:hanging="19"/>
              <w:jc w:val="center"/>
              <w:rPr>
                <w:sz w:val="20"/>
                <w:szCs w:val="20"/>
              </w:rPr>
            </w:pPr>
          </w:p>
        </w:tc>
      </w:tr>
      <w:tr w:rsidR="00074DD1" w14:paraId="0EC44D3B" w14:textId="77777777">
        <w:trPr>
          <w:trHeight w:val="733"/>
        </w:trPr>
        <w:tc>
          <w:tcPr>
            <w:tcW w:w="5049" w:type="dxa"/>
            <w:gridSpan w:val="2"/>
          </w:tcPr>
          <w:p w14:paraId="5EFFE5AD" w14:textId="77777777" w:rsidR="00074DD1" w:rsidRDefault="00000000">
            <w:pPr>
              <w:shd w:val="clear" w:color="auto" w:fill="FFFFFF"/>
              <w:spacing w:after="0"/>
              <w:jc w:val="both"/>
              <w:rPr>
                <w:sz w:val="20"/>
                <w:szCs w:val="20"/>
              </w:rPr>
            </w:pPr>
            <w:r>
              <w:rPr>
                <w:color w:val="000000"/>
                <w:sz w:val="20"/>
                <w:szCs w:val="20"/>
              </w:rPr>
              <w:lastRenderedPageBreak/>
              <w:t>(3) Produsele alimentare care urmează să fie supuse sortării sau altui tratament fizic în scopul reducerii nivelurilor de contaminare nu se amestecă în prealabil cu produse alimentare introduse pe piață pentru consumatorul final sau cu produse alimentare destinate utilizării ca ingrediente alimentare.</w:t>
            </w:r>
          </w:p>
        </w:tc>
        <w:tc>
          <w:tcPr>
            <w:tcW w:w="4465" w:type="dxa"/>
          </w:tcPr>
          <w:p w14:paraId="1A1B07A6" w14:textId="77777777" w:rsidR="00074DD1" w:rsidRDefault="00000000">
            <w:pPr>
              <w:tabs>
                <w:tab w:val="left" w:pos="1091"/>
              </w:tabs>
              <w:spacing w:after="0"/>
              <w:rPr>
                <w:sz w:val="20"/>
                <w:szCs w:val="20"/>
              </w:rPr>
            </w:pPr>
            <w:r>
              <w:rPr>
                <w:color w:val="000000"/>
                <w:sz w:val="20"/>
                <w:szCs w:val="20"/>
              </w:rPr>
              <w:t xml:space="preserve">          11.    Produsele alimentare care urmează să fie supuse sortării sau altui tratament fizic în scopul reducerii nivelurilor de contaminare nu se amestecă în prealabil cu produse alimentare introduse pe piață pentru consumatorul final sau cu produse alimentare destinate utilizării ca ingrediente alimentare.</w:t>
            </w:r>
          </w:p>
        </w:tc>
        <w:tc>
          <w:tcPr>
            <w:tcW w:w="2918" w:type="dxa"/>
            <w:vAlign w:val="center"/>
          </w:tcPr>
          <w:p w14:paraId="1A013111" w14:textId="77777777" w:rsidR="00074DD1" w:rsidRDefault="00000000">
            <w:pPr>
              <w:tabs>
                <w:tab w:val="left" w:pos="1091"/>
              </w:tabs>
              <w:spacing w:after="0"/>
              <w:ind w:hanging="19"/>
              <w:jc w:val="center"/>
              <w:rPr>
                <w:b/>
                <w:bCs/>
                <w:sz w:val="20"/>
                <w:szCs w:val="20"/>
              </w:rPr>
            </w:pPr>
            <w:r>
              <w:rPr>
                <w:b/>
                <w:bCs/>
                <w:sz w:val="20"/>
                <w:szCs w:val="20"/>
              </w:rPr>
              <w:t>Compatibil</w:t>
            </w:r>
          </w:p>
        </w:tc>
        <w:tc>
          <w:tcPr>
            <w:tcW w:w="2333" w:type="dxa"/>
            <w:vAlign w:val="center"/>
          </w:tcPr>
          <w:p w14:paraId="3AC410C6" w14:textId="77777777" w:rsidR="00074DD1" w:rsidRDefault="00074DD1">
            <w:pPr>
              <w:tabs>
                <w:tab w:val="left" w:pos="1091"/>
              </w:tabs>
              <w:spacing w:after="0"/>
              <w:ind w:hanging="19"/>
              <w:jc w:val="center"/>
              <w:rPr>
                <w:sz w:val="20"/>
                <w:szCs w:val="20"/>
              </w:rPr>
            </w:pPr>
          </w:p>
        </w:tc>
      </w:tr>
      <w:tr w:rsidR="00074DD1" w14:paraId="4B783D20" w14:textId="77777777">
        <w:trPr>
          <w:trHeight w:val="1086"/>
        </w:trPr>
        <w:tc>
          <w:tcPr>
            <w:tcW w:w="5049" w:type="dxa"/>
            <w:gridSpan w:val="2"/>
          </w:tcPr>
          <w:p w14:paraId="1BD386FC" w14:textId="77777777" w:rsidR="00074DD1" w:rsidRDefault="00000000">
            <w:pPr>
              <w:shd w:val="clear" w:color="auto" w:fill="FFFFFF"/>
              <w:spacing w:after="0"/>
              <w:jc w:val="both"/>
              <w:rPr>
                <w:sz w:val="20"/>
                <w:szCs w:val="20"/>
              </w:rPr>
            </w:pPr>
            <w:r>
              <w:rPr>
                <w:color w:val="000000"/>
                <w:sz w:val="20"/>
                <w:szCs w:val="20"/>
              </w:rPr>
              <w:t>(4) Produsele alimentare care au fost supuse sortării sau altui tratament fizic în scopul reducerii nivelurilor de contaminare pot fi introduse pe piață cu condiția ca nivelurile maxime prevăzute în anexa I pentru produsele alimentare introduse pe piață pentru consumatorul final sau pentru utilizare ca ingrediente alimentare să nu fie depășite și ca tratamentul utilizat să nu fi condus la prezența altor reziduuri nocive.</w:t>
            </w:r>
          </w:p>
        </w:tc>
        <w:tc>
          <w:tcPr>
            <w:tcW w:w="4465" w:type="dxa"/>
          </w:tcPr>
          <w:p w14:paraId="1CEE2E04" w14:textId="77777777" w:rsidR="00074DD1" w:rsidRDefault="00000000">
            <w:pPr>
              <w:pBdr>
                <w:top w:val="nil"/>
                <w:left w:val="nil"/>
                <w:bottom w:val="nil"/>
                <w:right w:val="nil"/>
                <w:between w:val="nil"/>
              </w:pBdr>
              <w:tabs>
                <w:tab w:val="left" w:pos="1134"/>
              </w:tabs>
              <w:spacing w:after="0"/>
              <w:jc w:val="both"/>
              <w:rPr>
                <w:color w:val="000000"/>
                <w:sz w:val="20"/>
                <w:szCs w:val="20"/>
              </w:rPr>
            </w:pPr>
            <w:r>
              <w:rPr>
                <w:color w:val="000000"/>
                <w:sz w:val="20"/>
                <w:szCs w:val="20"/>
              </w:rPr>
              <w:t xml:space="preserve">           12.   Produsele alimentare care au fost supuse sortării sau altui tratament fizic în scopul reducerii nivelurilor de contaminare pot fi introduse pe piață  cu condiția ca nivelurile maxime prevăzute în anexa nr. 1 pentru produsele alimentare introduse pe piață pentru consumatorul final sau pentru utilizare ca ingrediente alimentare să nu fie depășite și ca tratamentul utilizat să nu determine apariția altor reziduuri nocive.</w:t>
            </w:r>
            <w:r>
              <w:rPr>
                <w:b/>
                <w:bCs/>
                <w:color w:val="000000"/>
                <w:sz w:val="20"/>
                <w:szCs w:val="20"/>
              </w:rPr>
              <w:t xml:space="preserve"> </w:t>
            </w:r>
          </w:p>
        </w:tc>
        <w:tc>
          <w:tcPr>
            <w:tcW w:w="2918" w:type="dxa"/>
            <w:vAlign w:val="center"/>
          </w:tcPr>
          <w:p w14:paraId="78681954" w14:textId="77777777" w:rsidR="00074DD1" w:rsidRDefault="00000000">
            <w:pPr>
              <w:tabs>
                <w:tab w:val="left" w:pos="1091"/>
              </w:tabs>
              <w:spacing w:after="0"/>
              <w:ind w:hanging="19"/>
              <w:jc w:val="center"/>
              <w:rPr>
                <w:b/>
                <w:bCs/>
                <w:sz w:val="20"/>
                <w:szCs w:val="20"/>
              </w:rPr>
            </w:pPr>
            <w:r>
              <w:rPr>
                <w:b/>
                <w:bCs/>
                <w:sz w:val="20"/>
                <w:szCs w:val="20"/>
              </w:rPr>
              <w:t>Compatibil</w:t>
            </w:r>
          </w:p>
        </w:tc>
        <w:tc>
          <w:tcPr>
            <w:tcW w:w="2333" w:type="dxa"/>
            <w:vAlign w:val="center"/>
          </w:tcPr>
          <w:p w14:paraId="4CA0AF77" w14:textId="77777777" w:rsidR="00074DD1" w:rsidRDefault="00074DD1">
            <w:pPr>
              <w:tabs>
                <w:tab w:val="left" w:pos="1091"/>
              </w:tabs>
              <w:spacing w:after="0"/>
              <w:ind w:hanging="19"/>
              <w:jc w:val="center"/>
              <w:rPr>
                <w:sz w:val="20"/>
                <w:szCs w:val="20"/>
              </w:rPr>
            </w:pPr>
          </w:p>
        </w:tc>
      </w:tr>
      <w:tr w:rsidR="00074DD1" w14:paraId="3ABA4317" w14:textId="77777777">
        <w:trPr>
          <w:trHeight w:val="539"/>
        </w:trPr>
        <w:tc>
          <w:tcPr>
            <w:tcW w:w="5049" w:type="dxa"/>
            <w:gridSpan w:val="2"/>
          </w:tcPr>
          <w:p w14:paraId="5ECDC6BF" w14:textId="77777777" w:rsidR="00074DD1" w:rsidRDefault="00000000">
            <w:pPr>
              <w:shd w:val="clear" w:color="auto" w:fill="FFFFFF"/>
              <w:spacing w:after="0"/>
              <w:jc w:val="both"/>
              <w:rPr>
                <w:i/>
                <w:iCs/>
                <w:color w:val="000000"/>
                <w:sz w:val="20"/>
                <w:szCs w:val="20"/>
              </w:rPr>
            </w:pPr>
            <w:r>
              <w:rPr>
                <w:i/>
                <w:iCs/>
                <w:color w:val="000000"/>
                <w:sz w:val="20"/>
                <w:szCs w:val="20"/>
              </w:rPr>
              <w:t>Articolul 6</w:t>
            </w:r>
          </w:p>
          <w:p w14:paraId="174E6A3A" w14:textId="77777777" w:rsidR="00074DD1" w:rsidRDefault="00000000">
            <w:pPr>
              <w:shd w:val="clear" w:color="auto" w:fill="FFFFFF"/>
              <w:spacing w:after="0"/>
              <w:jc w:val="both"/>
              <w:rPr>
                <w:b/>
                <w:bCs/>
                <w:color w:val="000000"/>
                <w:sz w:val="20"/>
                <w:szCs w:val="20"/>
              </w:rPr>
            </w:pPr>
            <w:r>
              <w:rPr>
                <w:b/>
                <w:bCs/>
                <w:color w:val="000000"/>
                <w:sz w:val="20"/>
                <w:szCs w:val="20"/>
              </w:rPr>
              <w:t>Dispoziții privind etichetarea pentru alune de pământ (arahide), alte semințe oleaginoase, produse derivate din acestea și cereale</w:t>
            </w:r>
          </w:p>
          <w:p w14:paraId="364DE892" w14:textId="77777777" w:rsidR="00074DD1" w:rsidRDefault="00000000">
            <w:pPr>
              <w:shd w:val="clear" w:color="auto" w:fill="FFFFFF"/>
              <w:spacing w:after="0"/>
              <w:jc w:val="both"/>
              <w:rPr>
                <w:sz w:val="20"/>
                <w:szCs w:val="20"/>
              </w:rPr>
            </w:pPr>
            <w:r>
              <w:rPr>
                <w:color w:val="000000"/>
                <w:sz w:val="20"/>
                <w:szCs w:val="20"/>
              </w:rPr>
              <w:t>(1)   Pe eticheta fiecărui ambalaj în parte și în documentul original de însoțire al alunelor de pământ (arahidelor), al altor semințe oleaginoase, al produselor derivate din acestea și al cerealelor se indică în mod clar utilizarea preconizată.</w:t>
            </w:r>
          </w:p>
        </w:tc>
        <w:tc>
          <w:tcPr>
            <w:tcW w:w="4465" w:type="dxa"/>
          </w:tcPr>
          <w:p w14:paraId="65DFF70A" w14:textId="77777777" w:rsidR="00074DD1" w:rsidRDefault="00000000">
            <w:pPr>
              <w:shd w:val="clear" w:color="auto" w:fill="FFFFFF"/>
              <w:spacing w:before="240" w:after="120"/>
              <w:jc w:val="both"/>
              <w:rPr>
                <w:b/>
                <w:bCs/>
                <w:color w:val="000000"/>
                <w:sz w:val="20"/>
                <w:szCs w:val="20"/>
              </w:rPr>
            </w:pPr>
            <w:r>
              <w:rPr>
                <w:b/>
                <w:bCs/>
                <w:color w:val="000000"/>
                <w:sz w:val="20"/>
                <w:szCs w:val="20"/>
              </w:rPr>
              <w:t>IV. DISPOZIȚII PRIVIND ETICHETAREA PENTRU ALUNE DE PĂMÂNT (ARAHIDE), ALTE SEMINȚE OLEAGINOASE, PRODUSE DERIVATE DIN ACESTEA ȘI CEREALE</w:t>
            </w:r>
          </w:p>
          <w:p w14:paraId="5C1517D8" w14:textId="77777777" w:rsidR="00074DD1" w:rsidRDefault="00000000">
            <w:pPr>
              <w:shd w:val="clear" w:color="auto" w:fill="FFFFFF"/>
              <w:jc w:val="both"/>
              <w:rPr>
                <w:sz w:val="20"/>
                <w:szCs w:val="20"/>
              </w:rPr>
            </w:pPr>
            <w:r>
              <w:rPr>
                <w:color w:val="000000"/>
                <w:sz w:val="20"/>
                <w:szCs w:val="20"/>
              </w:rPr>
              <w:t xml:space="preserve">       13. Pe eticheta fiecărui ambalaj în parte și în documentul original de însoțire al alunelor de pământ (arahidelor), al altor semințe oleaginoase, al produselor derivate din acestea și al cerealelor se indică în mod clar utilizarea preconizată.</w:t>
            </w:r>
          </w:p>
        </w:tc>
        <w:tc>
          <w:tcPr>
            <w:tcW w:w="2918" w:type="dxa"/>
            <w:vAlign w:val="center"/>
          </w:tcPr>
          <w:p w14:paraId="304091CF" w14:textId="77777777" w:rsidR="00074DD1" w:rsidRDefault="00000000">
            <w:pPr>
              <w:tabs>
                <w:tab w:val="left" w:pos="1091"/>
              </w:tabs>
              <w:spacing w:after="0"/>
              <w:ind w:hanging="19"/>
              <w:jc w:val="center"/>
              <w:rPr>
                <w:b/>
                <w:bCs/>
                <w:sz w:val="20"/>
                <w:szCs w:val="20"/>
              </w:rPr>
            </w:pPr>
            <w:r>
              <w:rPr>
                <w:b/>
                <w:bCs/>
                <w:sz w:val="20"/>
                <w:szCs w:val="20"/>
              </w:rPr>
              <w:t>Compatibil</w:t>
            </w:r>
          </w:p>
        </w:tc>
        <w:tc>
          <w:tcPr>
            <w:tcW w:w="2333" w:type="dxa"/>
            <w:vAlign w:val="center"/>
          </w:tcPr>
          <w:p w14:paraId="382691F5" w14:textId="77777777" w:rsidR="00074DD1" w:rsidRDefault="00074DD1">
            <w:pPr>
              <w:tabs>
                <w:tab w:val="left" w:pos="1091"/>
              </w:tabs>
              <w:spacing w:after="0"/>
              <w:ind w:hanging="19"/>
              <w:jc w:val="center"/>
              <w:rPr>
                <w:sz w:val="20"/>
                <w:szCs w:val="20"/>
              </w:rPr>
            </w:pPr>
          </w:p>
        </w:tc>
      </w:tr>
      <w:tr w:rsidR="00074DD1" w14:paraId="7FB6D0CD" w14:textId="77777777">
        <w:trPr>
          <w:trHeight w:val="637"/>
        </w:trPr>
        <w:tc>
          <w:tcPr>
            <w:tcW w:w="5049" w:type="dxa"/>
            <w:gridSpan w:val="2"/>
          </w:tcPr>
          <w:p w14:paraId="16AC9017" w14:textId="77777777" w:rsidR="00074DD1" w:rsidRDefault="00000000">
            <w:pPr>
              <w:shd w:val="clear" w:color="auto" w:fill="FFFFFF"/>
              <w:spacing w:after="0"/>
              <w:jc w:val="both"/>
              <w:rPr>
                <w:color w:val="000000"/>
                <w:sz w:val="20"/>
                <w:szCs w:val="20"/>
              </w:rPr>
            </w:pPr>
            <w:r>
              <w:rPr>
                <w:color w:val="000000"/>
                <w:sz w:val="20"/>
                <w:szCs w:val="20"/>
              </w:rPr>
              <w:t>Codul de identificare a transportului/lotului se inscripționează în mod indelebil pe fiecare ambalaj în parte al transportului și în documentul original de însoțire. Domeniul de activitate al destinatarului transportului menționat în documentul de însoțire trebuie să fie compatibil cu utilizarea preconizată.</w:t>
            </w:r>
          </w:p>
          <w:p w14:paraId="752087D0" w14:textId="77777777" w:rsidR="00074DD1" w:rsidRDefault="00074DD1">
            <w:pPr>
              <w:tabs>
                <w:tab w:val="left" w:pos="1091"/>
              </w:tabs>
              <w:spacing w:after="0"/>
              <w:rPr>
                <w:sz w:val="20"/>
                <w:szCs w:val="20"/>
              </w:rPr>
            </w:pPr>
          </w:p>
        </w:tc>
        <w:tc>
          <w:tcPr>
            <w:tcW w:w="4465" w:type="dxa"/>
          </w:tcPr>
          <w:p w14:paraId="7C071F02" w14:textId="77777777" w:rsidR="00074DD1" w:rsidRDefault="00000000">
            <w:pPr>
              <w:tabs>
                <w:tab w:val="left" w:pos="1091"/>
              </w:tabs>
              <w:spacing w:after="0"/>
              <w:jc w:val="both"/>
              <w:rPr>
                <w:b/>
                <w:bCs/>
                <w:sz w:val="20"/>
                <w:szCs w:val="20"/>
              </w:rPr>
            </w:pPr>
            <w:r>
              <w:rPr>
                <w:color w:val="000000"/>
                <w:sz w:val="20"/>
                <w:szCs w:val="20"/>
              </w:rPr>
              <w:t xml:space="preserve">        14. Codul de identificare a transportului/lotului </w:t>
            </w:r>
            <w:r>
              <w:rPr>
                <w:color w:val="000000"/>
                <w:sz w:val="20"/>
                <w:szCs w:val="20"/>
                <w:highlight w:val="white"/>
              </w:rPr>
              <w:t xml:space="preserve">este aplicat </w:t>
            </w:r>
            <w:r>
              <w:rPr>
                <w:color w:val="000000"/>
                <w:sz w:val="20"/>
                <w:szCs w:val="20"/>
              </w:rPr>
              <w:t>în mod indelebil pe fiecare ambalaj în parte al transportului și în documentul original de însoțire. Domeniul de activitate al destinatarului transportului menționat în documentul de însoțire trebuie să fie compatibil cu utilizarea preconizată.</w:t>
            </w:r>
          </w:p>
        </w:tc>
        <w:tc>
          <w:tcPr>
            <w:tcW w:w="2918" w:type="dxa"/>
            <w:vAlign w:val="center"/>
          </w:tcPr>
          <w:p w14:paraId="383D9806" w14:textId="77777777" w:rsidR="00074DD1"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DFDE13E" w14:textId="77777777" w:rsidR="00074DD1" w:rsidRDefault="00074DD1">
            <w:pPr>
              <w:tabs>
                <w:tab w:val="left" w:pos="1091"/>
              </w:tabs>
              <w:spacing w:after="0"/>
              <w:jc w:val="center"/>
              <w:rPr>
                <w:sz w:val="20"/>
                <w:szCs w:val="20"/>
              </w:rPr>
            </w:pPr>
          </w:p>
        </w:tc>
      </w:tr>
      <w:tr w:rsidR="00074DD1" w14:paraId="3465720F" w14:textId="77777777">
        <w:trPr>
          <w:trHeight w:val="222"/>
        </w:trPr>
        <w:tc>
          <w:tcPr>
            <w:tcW w:w="5049" w:type="dxa"/>
            <w:gridSpan w:val="2"/>
          </w:tcPr>
          <w:p w14:paraId="23753B0A" w14:textId="77777777" w:rsidR="00074DD1" w:rsidRDefault="00000000">
            <w:pPr>
              <w:tabs>
                <w:tab w:val="left" w:pos="1091"/>
              </w:tabs>
              <w:spacing w:after="0"/>
              <w:rPr>
                <w:sz w:val="20"/>
                <w:szCs w:val="20"/>
              </w:rPr>
            </w:pPr>
            <w:r>
              <w:rPr>
                <w:color w:val="000000"/>
                <w:sz w:val="20"/>
                <w:szCs w:val="20"/>
              </w:rPr>
              <w:t>(2) În absența unor informații clare care să specifice că utilizarea preconizată nu este introducerea pe piață ca produse alimentare, nivelurile maxime prevăzute în anexa I se aplică tuturor alunelor de pământ (arahide), altor semințelor oleaginoase, produselor derivate din acestea și cerealelor introduse pe piață</w:t>
            </w:r>
          </w:p>
        </w:tc>
        <w:tc>
          <w:tcPr>
            <w:tcW w:w="4465" w:type="dxa"/>
          </w:tcPr>
          <w:p w14:paraId="6366BE21" w14:textId="77777777" w:rsidR="00074DD1" w:rsidRDefault="00000000">
            <w:pPr>
              <w:pBdr>
                <w:top w:val="nil"/>
                <w:left w:val="nil"/>
                <w:bottom w:val="nil"/>
                <w:right w:val="nil"/>
                <w:between w:val="nil"/>
              </w:pBdr>
              <w:tabs>
                <w:tab w:val="left" w:pos="1134"/>
              </w:tabs>
              <w:spacing w:after="0"/>
              <w:jc w:val="both"/>
              <w:rPr>
                <w:color w:val="000000"/>
                <w:sz w:val="20"/>
                <w:szCs w:val="20"/>
              </w:rPr>
            </w:pPr>
            <w:r>
              <w:rPr>
                <w:color w:val="000000"/>
                <w:sz w:val="20"/>
                <w:szCs w:val="20"/>
              </w:rPr>
              <w:t xml:space="preserve">     15. În absența unor informații clare care specifică că utilizarea preconizată nu este introducerea pe piață ca produse alimentare,  nivelurile maxime prevăzute în Listă se aplică tuturor alunelor de pământ (arahide), altor semințelor oleaginoase, produselor derivate din acestea și cerealelor introduse pe piață.</w:t>
            </w:r>
          </w:p>
        </w:tc>
        <w:tc>
          <w:tcPr>
            <w:tcW w:w="2918" w:type="dxa"/>
            <w:vAlign w:val="center"/>
          </w:tcPr>
          <w:p w14:paraId="7798ED79" w14:textId="77777777" w:rsidR="00074DD1"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0DB33F7" w14:textId="77777777" w:rsidR="00074DD1" w:rsidRDefault="00074DD1">
            <w:pPr>
              <w:tabs>
                <w:tab w:val="left" w:pos="1091"/>
              </w:tabs>
              <w:spacing w:after="0"/>
              <w:jc w:val="center"/>
              <w:rPr>
                <w:sz w:val="20"/>
                <w:szCs w:val="20"/>
              </w:rPr>
            </w:pPr>
          </w:p>
        </w:tc>
      </w:tr>
      <w:tr w:rsidR="00074DD1" w14:paraId="7CFC1DD6" w14:textId="77777777">
        <w:trPr>
          <w:trHeight w:val="160"/>
        </w:trPr>
        <w:tc>
          <w:tcPr>
            <w:tcW w:w="5049" w:type="dxa"/>
            <w:gridSpan w:val="2"/>
          </w:tcPr>
          <w:p w14:paraId="32D56F6F" w14:textId="77777777" w:rsidR="00074DD1" w:rsidRDefault="00000000">
            <w:pPr>
              <w:shd w:val="clear" w:color="auto" w:fill="FFFFFF"/>
              <w:spacing w:after="0"/>
              <w:jc w:val="both"/>
              <w:rPr>
                <w:color w:val="000000"/>
                <w:sz w:val="20"/>
                <w:szCs w:val="20"/>
              </w:rPr>
            </w:pPr>
            <w:r>
              <w:rPr>
                <w:color w:val="000000"/>
                <w:sz w:val="20"/>
                <w:szCs w:val="20"/>
              </w:rPr>
              <w:t>(3)   Exceptarea de la aplicarea nivelurilor maxime prevăzute în anexa I a alunelor de pământ (arahidelor) și a altor semințe oleaginoase destinate zdrobirii se aplică numai transporturilor care:</w:t>
            </w:r>
          </w:p>
          <w:p w14:paraId="4120C1D4" w14:textId="77777777" w:rsidR="00074DD1" w:rsidRDefault="00000000">
            <w:pPr>
              <w:shd w:val="clear" w:color="auto" w:fill="FFFFFF"/>
              <w:spacing w:after="0"/>
              <w:jc w:val="both"/>
              <w:rPr>
                <w:color w:val="000000"/>
                <w:sz w:val="20"/>
                <w:szCs w:val="20"/>
              </w:rPr>
            </w:pPr>
            <w:r>
              <w:rPr>
                <w:color w:val="000000"/>
                <w:sz w:val="20"/>
                <w:szCs w:val="20"/>
              </w:rPr>
              <w:lastRenderedPageBreak/>
              <w:t>(a) sunt etichetate clar în sensul utilizării preconizate;</w:t>
            </w:r>
          </w:p>
          <w:p w14:paraId="20B8A6F4" w14:textId="77777777" w:rsidR="00074DD1" w:rsidRDefault="00000000">
            <w:pPr>
              <w:shd w:val="clear" w:color="auto" w:fill="FFFFFF"/>
              <w:spacing w:after="0"/>
              <w:jc w:val="both"/>
              <w:rPr>
                <w:color w:val="000000"/>
                <w:sz w:val="20"/>
                <w:szCs w:val="20"/>
              </w:rPr>
            </w:pPr>
            <w:r>
              <w:rPr>
                <w:color w:val="000000"/>
                <w:sz w:val="20"/>
                <w:szCs w:val="20"/>
              </w:rPr>
              <w:t>(b) poartă pe eticheta fiecărui ambalaj individual și în documentul original de însoțire următoarea informație: „Produs care urmează să fie zdrobit în vederea fabricării de ulei vegetal rafinat”; și</w:t>
            </w:r>
          </w:p>
          <w:p w14:paraId="66E9964F" w14:textId="77777777" w:rsidR="00074DD1" w:rsidRDefault="00000000">
            <w:pPr>
              <w:shd w:val="clear" w:color="auto" w:fill="FFFFFF"/>
              <w:spacing w:after="0"/>
              <w:jc w:val="both"/>
              <w:rPr>
                <w:color w:val="000000"/>
                <w:sz w:val="20"/>
                <w:szCs w:val="20"/>
              </w:rPr>
            </w:pPr>
            <w:r>
              <w:rPr>
                <w:color w:val="000000"/>
                <w:sz w:val="20"/>
                <w:szCs w:val="20"/>
              </w:rPr>
              <w:t>(c) a căror destinație finală este o unitate de zdrobire.</w:t>
            </w:r>
          </w:p>
          <w:p w14:paraId="2A385354" w14:textId="77777777" w:rsidR="00074DD1" w:rsidRDefault="00074DD1">
            <w:pPr>
              <w:tabs>
                <w:tab w:val="left" w:pos="1091"/>
              </w:tabs>
              <w:spacing w:after="0"/>
              <w:rPr>
                <w:sz w:val="20"/>
                <w:szCs w:val="20"/>
              </w:rPr>
            </w:pPr>
          </w:p>
        </w:tc>
        <w:tc>
          <w:tcPr>
            <w:tcW w:w="4465" w:type="dxa"/>
          </w:tcPr>
          <w:p w14:paraId="4DE1964E" w14:textId="77777777" w:rsidR="00074DD1" w:rsidRDefault="00000000">
            <w:pPr>
              <w:numPr>
                <w:ilvl w:val="0"/>
                <w:numId w:val="9"/>
              </w:numPr>
              <w:pBdr>
                <w:top w:val="nil"/>
                <w:left w:val="nil"/>
                <w:bottom w:val="nil"/>
                <w:right w:val="nil"/>
                <w:between w:val="nil"/>
              </w:pBdr>
              <w:tabs>
                <w:tab w:val="left" w:pos="360"/>
              </w:tabs>
              <w:spacing w:after="0"/>
              <w:ind w:left="0" w:firstLine="217"/>
              <w:jc w:val="both"/>
              <w:rPr>
                <w:color w:val="000000"/>
                <w:sz w:val="20"/>
                <w:szCs w:val="20"/>
              </w:rPr>
            </w:pPr>
            <w:r>
              <w:rPr>
                <w:color w:val="000000"/>
                <w:sz w:val="20"/>
                <w:szCs w:val="20"/>
                <w:highlight w:val="white"/>
              </w:rPr>
              <w:lastRenderedPageBreak/>
              <w:t>Excepție de la aplicarea nivelurilor prevăzute în Listă pentru alunele de pământ( arahidelor) și alte semințe oleaginoase destinate zdrobirii este valabilă doar pentru transporturile care:</w:t>
            </w:r>
          </w:p>
          <w:p w14:paraId="6250118A" w14:textId="77777777" w:rsidR="00074DD1" w:rsidRDefault="00000000">
            <w:pPr>
              <w:numPr>
                <w:ilvl w:val="0"/>
                <w:numId w:val="8"/>
              </w:numPr>
              <w:pBdr>
                <w:top w:val="nil"/>
                <w:left w:val="nil"/>
                <w:bottom w:val="nil"/>
                <w:right w:val="nil"/>
                <w:between w:val="nil"/>
              </w:pBdr>
              <w:shd w:val="clear" w:color="auto" w:fill="FFFFFF"/>
              <w:spacing w:after="0"/>
              <w:ind w:left="0" w:firstLine="501"/>
              <w:jc w:val="both"/>
              <w:rPr>
                <w:color w:val="000000"/>
                <w:sz w:val="20"/>
                <w:szCs w:val="20"/>
              </w:rPr>
            </w:pPr>
            <w:r>
              <w:rPr>
                <w:color w:val="000000"/>
                <w:sz w:val="20"/>
                <w:szCs w:val="20"/>
              </w:rPr>
              <w:lastRenderedPageBreak/>
              <w:t>sunt etichetate clar în sensul utilizării preconizate;</w:t>
            </w:r>
          </w:p>
          <w:p w14:paraId="34BDC7DB" w14:textId="77777777" w:rsidR="00074DD1" w:rsidRDefault="00000000">
            <w:pPr>
              <w:numPr>
                <w:ilvl w:val="0"/>
                <w:numId w:val="8"/>
              </w:numPr>
              <w:pBdr>
                <w:top w:val="nil"/>
                <w:left w:val="nil"/>
                <w:bottom w:val="nil"/>
                <w:right w:val="nil"/>
                <w:between w:val="nil"/>
              </w:pBdr>
              <w:shd w:val="clear" w:color="auto" w:fill="FFFFFF"/>
              <w:spacing w:after="0"/>
              <w:ind w:left="0" w:firstLine="501"/>
              <w:jc w:val="both"/>
              <w:rPr>
                <w:color w:val="000000"/>
                <w:sz w:val="20"/>
                <w:szCs w:val="20"/>
              </w:rPr>
            </w:pPr>
            <w:r>
              <w:rPr>
                <w:color w:val="000000"/>
                <w:sz w:val="20"/>
                <w:szCs w:val="20"/>
              </w:rPr>
              <w:t xml:space="preserve">poartă pe eticheta fiecărui ambalaj individual și în documentul original de însoțire următoarea informație: „Produs care urmează să fie zdrobit în vederea fabricării de ulei vegetal rafinat”; </w:t>
            </w:r>
          </w:p>
          <w:p w14:paraId="6FA8E589" w14:textId="77777777" w:rsidR="00074DD1" w:rsidRDefault="00000000">
            <w:pPr>
              <w:numPr>
                <w:ilvl w:val="0"/>
                <w:numId w:val="8"/>
              </w:numPr>
              <w:pBdr>
                <w:top w:val="nil"/>
                <w:left w:val="nil"/>
                <w:bottom w:val="nil"/>
                <w:right w:val="nil"/>
                <w:between w:val="nil"/>
              </w:pBdr>
              <w:shd w:val="clear" w:color="auto" w:fill="FFFFFF"/>
              <w:spacing w:after="0"/>
              <w:ind w:left="0" w:firstLine="501"/>
              <w:jc w:val="both"/>
              <w:rPr>
                <w:b/>
                <w:bCs/>
                <w:color w:val="000000"/>
                <w:sz w:val="20"/>
                <w:szCs w:val="20"/>
              </w:rPr>
            </w:pPr>
            <w:r>
              <w:rPr>
                <w:color w:val="000000"/>
                <w:sz w:val="20"/>
                <w:szCs w:val="20"/>
              </w:rPr>
              <w:t>a căror destinație finală este o unitate de zdrobire.</w:t>
            </w:r>
          </w:p>
        </w:tc>
        <w:tc>
          <w:tcPr>
            <w:tcW w:w="2918" w:type="dxa"/>
            <w:vAlign w:val="center"/>
          </w:tcPr>
          <w:p w14:paraId="3D7AB5D3" w14:textId="77777777" w:rsidR="00074DD1"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279E3FA3" w14:textId="77777777" w:rsidR="00074DD1" w:rsidRDefault="00074DD1">
            <w:pPr>
              <w:tabs>
                <w:tab w:val="left" w:pos="1091"/>
              </w:tabs>
              <w:spacing w:after="0"/>
              <w:jc w:val="center"/>
              <w:rPr>
                <w:sz w:val="20"/>
                <w:szCs w:val="20"/>
              </w:rPr>
            </w:pPr>
          </w:p>
        </w:tc>
      </w:tr>
      <w:tr w:rsidR="00074DD1" w14:paraId="1C319C8D" w14:textId="77777777">
        <w:trPr>
          <w:trHeight w:val="260"/>
        </w:trPr>
        <w:tc>
          <w:tcPr>
            <w:tcW w:w="5049" w:type="dxa"/>
            <w:gridSpan w:val="2"/>
          </w:tcPr>
          <w:p w14:paraId="6F11A1D6" w14:textId="77777777" w:rsidR="00074DD1"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7</w:t>
            </w:r>
          </w:p>
          <w:p w14:paraId="127A7BC4" w14:textId="77777777" w:rsidR="00074DD1"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Derogări de la articolul 2</w:t>
            </w:r>
          </w:p>
          <w:p w14:paraId="7FEACCC4" w14:textId="77777777" w:rsidR="00074DD1" w:rsidRDefault="00000000">
            <w:pPr>
              <w:shd w:val="clear" w:color="auto" w:fill="FFFFFF"/>
              <w:spacing w:after="0"/>
              <w:jc w:val="both"/>
              <w:rPr>
                <w:color w:val="000000"/>
                <w:sz w:val="20"/>
                <w:szCs w:val="20"/>
              </w:rPr>
            </w:pPr>
            <w:r>
              <w:rPr>
                <w:color w:val="000000"/>
                <w:sz w:val="20"/>
                <w:szCs w:val="20"/>
              </w:rPr>
              <w:t>(1)   Prin derogare de la articolul 2, Letonia, Finlanda și Suedia pot autoriza introducerea pe piețele lor interne respective pentru consumatorul final, în limitele cotelor lor anuale prevăzute în Regulamentul (UE) nr. 1380/2013 al Parlamentului European și al Consiliului (</w:t>
            </w:r>
            <w:hyperlink r:id="rId12" w:anchor="E0003">
              <w:r>
                <w:rPr>
                  <w:color w:val="337AB7"/>
                  <w:sz w:val="20"/>
                  <w:szCs w:val="20"/>
                  <w:u w:val="single"/>
                </w:rPr>
                <w:t> </w:t>
              </w:r>
            </w:hyperlink>
            <w:hyperlink r:id="rId13" w:anchor="E0003">
              <w:r>
                <w:rPr>
                  <w:color w:val="337AB7"/>
                  <w:sz w:val="20"/>
                  <w:szCs w:val="20"/>
                  <w:vertAlign w:val="superscript"/>
                </w:rPr>
                <w:t>3</w:t>
              </w:r>
            </w:hyperlink>
            <w:hyperlink r:id="rId14" w:anchor="E0003">
              <w:r>
                <w:rPr>
                  <w:color w:val="337AB7"/>
                  <w:sz w:val="20"/>
                  <w:szCs w:val="20"/>
                  <w:u w:val="single"/>
                </w:rPr>
                <w:t> </w:t>
              </w:r>
            </w:hyperlink>
            <w:r>
              <w:rPr>
                <w:color w:val="000000"/>
                <w:sz w:val="20"/>
                <w:szCs w:val="20"/>
              </w:rPr>
              <w:t>), a somonului sălbatic capturat (</w:t>
            </w:r>
            <w:r>
              <w:rPr>
                <w:i/>
                <w:iCs/>
                <w:color w:val="000000"/>
                <w:sz w:val="20"/>
                <w:szCs w:val="20"/>
              </w:rPr>
              <w:t>Salmo salar</w:t>
            </w:r>
            <w:r>
              <w:rPr>
                <w:color w:val="000000"/>
                <w:sz w:val="20"/>
                <w:szCs w:val="20"/>
              </w:rPr>
              <w:t>) și a produselor derivate din acesta, provenite din zona baltică, cu niveluri de dioxine și/sau de DL-PCB-uri și/sau de NDL-PCB-uri mai mari decât cele prevăzute la punctul 4.1.5 din anexa I, cu condiția:</w:t>
            </w:r>
          </w:p>
          <w:p w14:paraId="6DBE6EBD" w14:textId="77777777" w:rsidR="00074DD1" w:rsidRDefault="00000000">
            <w:pPr>
              <w:shd w:val="clear" w:color="auto" w:fill="FFFFFF"/>
              <w:spacing w:after="0"/>
              <w:jc w:val="both"/>
              <w:rPr>
                <w:color w:val="000000"/>
                <w:sz w:val="20"/>
                <w:szCs w:val="20"/>
              </w:rPr>
            </w:pPr>
            <w:r>
              <w:rPr>
                <w:color w:val="000000"/>
                <w:sz w:val="20"/>
                <w:szCs w:val="20"/>
              </w:rPr>
              <w:t>(a) să existe un sistem care să asigure completa informare a consumatorilor finali cu privire la recomandările nutriționale naționale referitoare la restricțiile impuse consumului de somon sălbatic capturat provenind din zona baltică și de produse derivate din acesta de către categorii identificate de populație vulnerabilă în scopul evitării eventualelor riscuri pentru sănătate;</w:t>
            </w:r>
          </w:p>
          <w:p w14:paraId="3DAB4C76" w14:textId="77777777" w:rsidR="00074DD1" w:rsidRDefault="00000000">
            <w:pPr>
              <w:shd w:val="clear" w:color="auto" w:fill="FFFFFF"/>
              <w:spacing w:after="0"/>
              <w:jc w:val="both"/>
              <w:rPr>
                <w:color w:val="000000"/>
                <w:sz w:val="20"/>
                <w:szCs w:val="20"/>
              </w:rPr>
            </w:pPr>
            <w:r>
              <w:rPr>
                <w:color w:val="000000"/>
                <w:sz w:val="20"/>
                <w:szCs w:val="20"/>
              </w:rPr>
              <w:t>(b) Letonia, Finlanda și Suedia să continue să pună în aplicare măsurile necesare pentru a asigura faptul că somonul sălbatic capturat și produsele derivate din acesta care nu respectă dispozițiile menționate la punctul 4.1.5 din anexa I nu se introduc pe piață în alte state membre;</w:t>
            </w:r>
          </w:p>
          <w:p w14:paraId="6FA111D2" w14:textId="77777777" w:rsidR="00074DD1" w:rsidRDefault="00000000">
            <w:pPr>
              <w:shd w:val="clear" w:color="auto" w:fill="FFFFFF"/>
              <w:spacing w:after="0"/>
              <w:jc w:val="both"/>
              <w:rPr>
                <w:color w:val="000000"/>
                <w:sz w:val="20"/>
                <w:szCs w:val="20"/>
              </w:rPr>
            </w:pPr>
            <w:r>
              <w:rPr>
                <w:color w:val="000000"/>
                <w:sz w:val="20"/>
                <w:szCs w:val="20"/>
              </w:rPr>
              <w:t>(c) Letonia, Finlanda și Suedia să raporteze anual Comisiei măsurile luate pentru informarea eficientă a consumatorilor finali cu privire la recomandările nutriționale și pentru a asigura faptul că somonul sălbatic capturat și produsele derivate din acesta care nu respectă nivelurile maxime nu se comercializează în alte state membre și să furnizeze dovezi ale eficacității măsurilor respective.</w:t>
            </w:r>
          </w:p>
          <w:p w14:paraId="1135A605" w14:textId="77777777" w:rsidR="00074DD1" w:rsidRDefault="00000000">
            <w:pPr>
              <w:shd w:val="clear" w:color="auto" w:fill="FFFFFF"/>
              <w:spacing w:after="0"/>
              <w:jc w:val="both"/>
              <w:rPr>
                <w:color w:val="000000"/>
                <w:sz w:val="20"/>
                <w:szCs w:val="20"/>
              </w:rPr>
            </w:pPr>
            <w:r>
              <w:rPr>
                <w:color w:val="000000"/>
                <w:sz w:val="20"/>
                <w:szCs w:val="20"/>
              </w:rPr>
              <w:t>(2) Prin derogare de la articolul 2, Finlanda și Suedia pot autoriza introducerea pe piețele lor interne respective, în limitele cotelor lor anuale prevăzute în Regulamentul (UE) nr. 1380/2013, a heringului baltic sălbatic capturat cu o lungime de peste 17 cm (</w:t>
            </w:r>
            <w:r>
              <w:rPr>
                <w:i/>
                <w:iCs/>
                <w:color w:val="000000"/>
                <w:sz w:val="20"/>
                <w:szCs w:val="20"/>
              </w:rPr>
              <w:t>Clupea harengus membras</w:t>
            </w:r>
            <w:r>
              <w:rPr>
                <w:color w:val="000000"/>
                <w:sz w:val="20"/>
                <w:szCs w:val="20"/>
              </w:rPr>
              <w:t>)</w:t>
            </w:r>
            <w:r>
              <w:rPr>
                <w:i/>
                <w:iCs/>
                <w:color w:val="000000"/>
                <w:sz w:val="20"/>
                <w:szCs w:val="20"/>
              </w:rPr>
              <w:t>,</w:t>
            </w:r>
            <w:r>
              <w:rPr>
                <w:color w:val="000000"/>
                <w:sz w:val="20"/>
                <w:szCs w:val="20"/>
              </w:rPr>
              <w:t xml:space="preserve"> a </w:t>
            </w:r>
            <w:r>
              <w:rPr>
                <w:color w:val="000000"/>
                <w:sz w:val="20"/>
                <w:szCs w:val="20"/>
              </w:rPr>
              <w:lastRenderedPageBreak/>
              <w:t>păstrăvului de lac sălbatic capturat (</w:t>
            </w:r>
            <w:r>
              <w:rPr>
                <w:i/>
                <w:iCs/>
                <w:color w:val="000000"/>
                <w:sz w:val="20"/>
                <w:szCs w:val="20"/>
              </w:rPr>
              <w:t>Salvelinus</w:t>
            </w:r>
            <w:r>
              <w:rPr>
                <w:color w:val="000000"/>
                <w:sz w:val="20"/>
                <w:szCs w:val="20"/>
              </w:rPr>
              <w:t> spp.), a chișcarului de râu sălbatic capturat (</w:t>
            </w:r>
            <w:r>
              <w:rPr>
                <w:i/>
                <w:iCs/>
                <w:color w:val="000000"/>
                <w:sz w:val="20"/>
                <w:szCs w:val="20"/>
              </w:rPr>
              <w:t>Lampetra fluviatilis</w:t>
            </w:r>
            <w:r>
              <w:rPr>
                <w:color w:val="000000"/>
                <w:sz w:val="20"/>
                <w:szCs w:val="20"/>
              </w:rPr>
              <w:t>) și a păstrăvului de mare sălbatic capturat (</w:t>
            </w:r>
            <w:r>
              <w:rPr>
                <w:i/>
                <w:iCs/>
                <w:color w:val="000000"/>
                <w:sz w:val="20"/>
                <w:szCs w:val="20"/>
              </w:rPr>
              <w:t>Salmo trutta</w:t>
            </w:r>
            <w:r>
              <w:rPr>
                <w:color w:val="000000"/>
                <w:sz w:val="20"/>
                <w:szCs w:val="20"/>
              </w:rPr>
              <w:t>) și a produselor derivate din ei, care provin din zona baltică, cu niveluri de dioxine și/sau de DL-PCB-uri și/sau de NDL-PCB-uri mai mari decât cele prevăzute la punctul 4.1.5 din anexa I, cu condiția:</w:t>
            </w:r>
          </w:p>
          <w:p w14:paraId="522EC3B0" w14:textId="77777777" w:rsidR="00074DD1" w:rsidRDefault="00000000">
            <w:pPr>
              <w:shd w:val="clear" w:color="auto" w:fill="FFFFFF"/>
              <w:spacing w:after="0"/>
              <w:jc w:val="both"/>
              <w:rPr>
                <w:color w:val="000000"/>
                <w:sz w:val="20"/>
                <w:szCs w:val="20"/>
              </w:rPr>
            </w:pPr>
            <w:r>
              <w:rPr>
                <w:color w:val="000000"/>
                <w:sz w:val="20"/>
                <w:szCs w:val="20"/>
              </w:rPr>
              <w:t>(a) să existe un sistem care să asigure deplina informare a consumatorilor finali cu privire la recomandările nutriționale referitoare la restricțiile impuse consumului de hering baltic sălbatic capturat cu o lungime de peste 17 cm, de păstrăv de lac sălbatic capturat, de chișcar de rău sălbatic capturat și de păstrăv de mare sălbatic capturat, precum și de produse derivate din ei, pentru categoriile de populație vulnerabile identificate, în scopul evitării eventualelor riscuri pentru sănătate;</w:t>
            </w:r>
          </w:p>
          <w:p w14:paraId="671627C7" w14:textId="77777777" w:rsidR="00074DD1" w:rsidRDefault="00000000">
            <w:pPr>
              <w:shd w:val="clear" w:color="auto" w:fill="FFFFFF"/>
              <w:spacing w:after="0"/>
              <w:jc w:val="both"/>
              <w:rPr>
                <w:color w:val="000000"/>
                <w:sz w:val="20"/>
                <w:szCs w:val="20"/>
              </w:rPr>
            </w:pPr>
            <w:r>
              <w:rPr>
                <w:color w:val="000000"/>
                <w:sz w:val="20"/>
                <w:szCs w:val="20"/>
              </w:rPr>
              <w:t>(b) ca Finlanda și Suedia să continue să pună în aplicare măsurile necesare pentru a asigura faptul că heringul baltic sălbatic capturat cu o lungime de peste 17 cm, păstrăvul de lac sălbatic capturat, chișcarul de râu sălbatic capturat și păstrăvul de mare sălbatic capturat, precum și produsele derivate din ei, care nu respectă dispozițiile prevăzute la punctul 4.1.5 din anexa I nu se introduc pe piață în alte state membre;</w:t>
            </w:r>
          </w:p>
          <w:p w14:paraId="5800EC43" w14:textId="77777777" w:rsidR="00074DD1" w:rsidRDefault="00000000">
            <w:pPr>
              <w:shd w:val="clear" w:color="auto" w:fill="FFFFFF"/>
              <w:spacing w:after="0"/>
              <w:jc w:val="both"/>
              <w:rPr>
                <w:color w:val="000000"/>
                <w:sz w:val="20"/>
                <w:szCs w:val="20"/>
              </w:rPr>
            </w:pPr>
            <w:r>
              <w:rPr>
                <w:color w:val="000000"/>
                <w:sz w:val="20"/>
                <w:szCs w:val="20"/>
              </w:rPr>
              <w:t>(c) ca Finlanda și Suedia să raporteze anual Comisiei măsurile luate pentru informarea eficientă a categoriilor de populație vulnerabile identificate cu privire la recomandările nutriționale și pentru a asigura faptul că peștele și produsele derivate din pește care nu respectă nivelurile maxime nu se comercializează în alte state membre și să furnizeze dovezi ale eficacității măsurilor respective.</w:t>
            </w:r>
          </w:p>
          <w:p w14:paraId="3674A08E" w14:textId="77777777" w:rsidR="00074DD1" w:rsidRDefault="00000000">
            <w:pPr>
              <w:shd w:val="clear" w:color="auto" w:fill="FFFFFF"/>
              <w:spacing w:after="0"/>
              <w:jc w:val="both"/>
              <w:rPr>
                <w:color w:val="000000"/>
                <w:sz w:val="20"/>
                <w:szCs w:val="20"/>
              </w:rPr>
            </w:pPr>
            <w:r>
              <w:rPr>
                <w:color w:val="000000"/>
                <w:sz w:val="20"/>
                <w:szCs w:val="20"/>
              </w:rPr>
              <w:t>(3)   Prin derogare de la articolul 2, următoarele state membre pot autoriza introducerea pe piețele lor interne respective pentru consumatorul final a următoarelor tipuri de carne afumată și de produse din carne afumate, supuse afumării în mod tradițional pe teritoriul lor și având niveluri de HAP-uri mai mari decât cele prevăzute la punctul 5.1.6 din anexa I, cu condiția ca respectivele produse să nu conțină o cantitate mai mare de 5,0 μg/kg pentru benzo(a)piren și de 30,0 μg/kg pentru suma dintre benzo(a)piren, benzo(a)antracen, benzo(b)fluoranten și crisen:</w:t>
            </w:r>
          </w:p>
          <w:p w14:paraId="334035BD" w14:textId="77777777" w:rsidR="00074DD1" w:rsidRDefault="00000000">
            <w:pPr>
              <w:shd w:val="clear" w:color="auto" w:fill="FFFFFF"/>
              <w:spacing w:after="0"/>
              <w:jc w:val="both"/>
              <w:rPr>
                <w:color w:val="000000"/>
                <w:sz w:val="20"/>
                <w:szCs w:val="20"/>
              </w:rPr>
            </w:pPr>
            <w:r>
              <w:rPr>
                <w:color w:val="000000"/>
                <w:sz w:val="20"/>
                <w:szCs w:val="20"/>
              </w:rPr>
              <w:t>(a) Irlanda, Croația, Cipru, Spania, Polonia și Portugalia: carne afumată și produse din carne afumate în mod tradițional;</w:t>
            </w:r>
          </w:p>
          <w:p w14:paraId="415A5872" w14:textId="77777777" w:rsidR="00074DD1" w:rsidRDefault="00000000">
            <w:pPr>
              <w:shd w:val="clear" w:color="auto" w:fill="FFFFFF"/>
              <w:spacing w:after="0"/>
              <w:jc w:val="both"/>
              <w:rPr>
                <w:color w:val="000000"/>
                <w:sz w:val="20"/>
                <w:szCs w:val="20"/>
              </w:rPr>
            </w:pPr>
            <w:r>
              <w:rPr>
                <w:color w:val="000000"/>
                <w:sz w:val="20"/>
                <w:szCs w:val="20"/>
              </w:rPr>
              <w:lastRenderedPageBreak/>
              <w:t>(b) Letonia: carne de porc afumată în mod tradițional, carne de pui afumată la cald, cârnați afumați la cald și carne de vânat afumată la cald;</w:t>
            </w:r>
          </w:p>
          <w:p w14:paraId="41FFDD83" w14:textId="77777777" w:rsidR="00074DD1" w:rsidRDefault="00000000">
            <w:pPr>
              <w:shd w:val="clear" w:color="auto" w:fill="FFFFFF"/>
              <w:spacing w:after="0"/>
              <w:jc w:val="both"/>
              <w:rPr>
                <w:color w:val="000000"/>
                <w:sz w:val="20"/>
                <w:szCs w:val="20"/>
              </w:rPr>
            </w:pPr>
            <w:r>
              <w:rPr>
                <w:color w:val="000000"/>
                <w:sz w:val="20"/>
                <w:szCs w:val="20"/>
              </w:rPr>
              <w:t>(c) Slovacia: carne sărată afumată în mod tradițional, șuncă afumată în mod tradițional, cârnați afumați în mod tradițional (klobása), unde „afumat în mod tradițional” înseamnă producerea de fum prin arderea lemnului (bușteni, rumeguș de lemn, așchii de lemn) într-o afumătoare;</w:t>
            </w:r>
          </w:p>
          <w:p w14:paraId="0FE1CB1A" w14:textId="77777777" w:rsidR="00074DD1" w:rsidRDefault="00000000">
            <w:pPr>
              <w:shd w:val="clear" w:color="auto" w:fill="FFFFFF"/>
              <w:spacing w:after="0"/>
              <w:jc w:val="both"/>
              <w:rPr>
                <w:color w:val="000000"/>
                <w:sz w:val="20"/>
                <w:szCs w:val="20"/>
              </w:rPr>
            </w:pPr>
            <w:r>
              <w:rPr>
                <w:color w:val="000000"/>
                <w:sz w:val="20"/>
                <w:szCs w:val="20"/>
              </w:rPr>
              <w:t>(d) Finlanda: carne afumată și produse din carne afumate la cald în mod tradițional;</w:t>
            </w:r>
          </w:p>
          <w:p w14:paraId="6439561F" w14:textId="77777777" w:rsidR="00074DD1" w:rsidRDefault="00000000">
            <w:pPr>
              <w:shd w:val="clear" w:color="auto" w:fill="FFFFFF"/>
              <w:spacing w:after="0"/>
              <w:jc w:val="both"/>
              <w:rPr>
                <w:color w:val="000000"/>
                <w:sz w:val="20"/>
                <w:szCs w:val="20"/>
              </w:rPr>
            </w:pPr>
            <w:r>
              <w:rPr>
                <w:color w:val="000000"/>
                <w:sz w:val="20"/>
                <w:szCs w:val="20"/>
              </w:rPr>
              <w:t>(e) Suedia: carne afumată și produse din carne afumate cu ajutorul lemnului incandescent sau al altor materii vegetale.</w:t>
            </w:r>
          </w:p>
          <w:p w14:paraId="06A9CD84" w14:textId="77777777" w:rsidR="00074DD1"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Statele membre respective și operatorii din sectorul alimentar în cauză monitorizează în continuare prezența HAP-urilor în carnea afumată și în produsele din carne afumate în mod tradițional menționate la primul paragraf și asigură faptul că bunele practici de afumare sunt aplicate acolo unde este posibil, fără a se pierde caracteristicile organoleptice tipice ale acestor produse.</w:t>
            </w:r>
          </w:p>
          <w:p w14:paraId="3B3DE3CC" w14:textId="77777777" w:rsidR="00074DD1" w:rsidRDefault="00000000">
            <w:pPr>
              <w:shd w:val="clear" w:color="auto" w:fill="FFFFFF"/>
              <w:spacing w:after="0"/>
              <w:jc w:val="both"/>
              <w:rPr>
                <w:color w:val="000000"/>
                <w:sz w:val="20"/>
                <w:szCs w:val="20"/>
              </w:rPr>
            </w:pPr>
            <w:r>
              <w:rPr>
                <w:color w:val="000000"/>
                <w:sz w:val="20"/>
                <w:szCs w:val="20"/>
              </w:rPr>
              <w:t>(4)   Prin derogare de la articolul 2, următoarele state membre pot autoriza introducerea pe piețele lor interne respective pentru consumatorul final a următoarelor tipuri de pește afumat și de produse pescărești afumate, supuse afumării în mod tradițional pe teritoriul lor și având niveluri de HAP-uri mai mari decât cele prevăzute la punctul 5.1.7 din anexa I, cu condiția ca respectivele produse afumate să nu aibă o concentrație mai mare de 5,0 μg/kg pentru benzo(a)piren și de 30,0 μg/kg pentru suma dintre benzo(a)piren, benz(a)antracen, benzo(b)fluoranten și crisen:</w:t>
            </w:r>
          </w:p>
          <w:p w14:paraId="5058CE58" w14:textId="77777777" w:rsidR="00074DD1" w:rsidRDefault="00000000">
            <w:pPr>
              <w:shd w:val="clear" w:color="auto" w:fill="FFFFFF"/>
              <w:spacing w:after="0"/>
              <w:jc w:val="both"/>
              <w:rPr>
                <w:color w:val="000000"/>
                <w:sz w:val="20"/>
                <w:szCs w:val="20"/>
              </w:rPr>
            </w:pPr>
            <w:r>
              <w:rPr>
                <w:color w:val="000000"/>
                <w:sz w:val="20"/>
                <w:szCs w:val="20"/>
              </w:rPr>
              <w:t>(a) Letonia: pește afumat la cald în mod tradițional;</w:t>
            </w:r>
          </w:p>
          <w:p w14:paraId="79F0D983" w14:textId="77777777" w:rsidR="00074DD1" w:rsidRDefault="00000000">
            <w:pPr>
              <w:shd w:val="clear" w:color="auto" w:fill="FFFFFF"/>
              <w:spacing w:after="0"/>
              <w:jc w:val="both"/>
              <w:rPr>
                <w:color w:val="000000"/>
                <w:sz w:val="20"/>
                <w:szCs w:val="20"/>
              </w:rPr>
            </w:pPr>
            <w:r>
              <w:rPr>
                <w:color w:val="000000"/>
                <w:sz w:val="20"/>
                <w:szCs w:val="20"/>
              </w:rPr>
              <w:t>(b)Finlanda: pești mici și produse pescărești fabricate din pești mici, afumați/afumate la cald prin metodă tradițională;</w:t>
            </w:r>
          </w:p>
          <w:p w14:paraId="27D564BC" w14:textId="77777777" w:rsidR="00074DD1" w:rsidRDefault="00000000">
            <w:pPr>
              <w:shd w:val="clear" w:color="auto" w:fill="FFFFFF"/>
              <w:spacing w:after="0"/>
              <w:jc w:val="both"/>
              <w:rPr>
                <w:color w:val="000000"/>
                <w:sz w:val="20"/>
                <w:szCs w:val="20"/>
              </w:rPr>
            </w:pPr>
            <w:r>
              <w:rPr>
                <w:color w:val="000000"/>
                <w:sz w:val="20"/>
                <w:szCs w:val="20"/>
              </w:rPr>
              <w:t>(c) Suedia: pește afumat și produse pescărești afumate cu ajutorul lemnului incandescent sau al altor materii vegetale.</w:t>
            </w:r>
          </w:p>
          <w:p w14:paraId="40865ABC" w14:textId="77777777" w:rsidR="00074DD1" w:rsidRDefault="00000000">
            <w:pPr>
              <w:tabs>
                <w:tab w:val="left" w:pos="1091"/>
              </w:tabs>
              <w:spacing w:after="0"/>
              <w:rPr>
                <w:sz w:val="20"/>
                <w:szCs w:val="20"/>
              </w:rPr>
            </w:pPr>
            <w:r>
              <w:rPr>
                <w:color w:val="000000"/>
                <w:sz w:val="20"/>
                <w:szCs w:val="20"/>
              </w:rPr>
              <w:t>Statele membre respective și operatorii din sectorul alimentar în cauză monitorizează în continuare prezența HAP-urilor în peștele afumat și în produsele pescărești afumate în mod tradițional menționate la primul paragraf și asigură faptul că bunele practici de afumare sunt aplicate acolo unde este posibil, fără a se pierde caracteristicile organoleptice tipice ale acestor produse.</w:t>
            </w:r>
          </w:p>
        </w:tc>
        <w:tc>
          <w:tcPr>
            <w:tcW w:w="4465" w:type="dxa"/>
          </w:tcPr>
          <w:p w14:paraId="7D53C159" w14:textId="77777777" w:rsidR="00074DD1" w:rsidRDefault="00000000">
            <w:pPr>
              <w:shd w:val="clear" w:color="auto" w:fill="FFFFFF"/>
              <w:tabs>
                <w:tab w:val="left" w:pos="1134"/>
              </w:tabs>
              <w:spacing w:after="0"/>
              <w:jc w:val="both"/>
              <w:rPr>
                <w:color w:val="000000"/>
                <w:sz w:val="20"/>
                <w:szCs w:val="20"/>
              </w:rPr>
            </w:pPr>
            <w:r>
              <w:rPr>
                <w:color w:val="000000"/>
                <w:sz w:val="20"/>
                <w:szCs w:val="20"/>
              </w:rPr>
              <w:lastRenderedPageBreak/>
              <w:t xml:space="preserve">       32. Se interzice introducerea pe piață a produselor din pește care depășesc nivelurile maxime de contaminanți enumerați în Listă.</w:t>
            </w:r>
          </w:p>
          <w:p w14:paraId="112D787C" w14:textId="77777777" w:rsidR="00074DD1" w:rsidRDefault="00074DD1">
            <w:pPr>
              <w:tabs>
                <w:tab w:val="left" w:pos="1091"/>
              </w:tabs>
              <w:spacing w:after="0"/>
              <w:rPr>
                <w:sz w:val="20"/>
                <w:szCs w:val="20"/>
              </w:rPr>
            </w:pPr>
          </w:p>
        </w:tc>
        <w:tc>
          <w:tcPr>
            <w:tcW w:w="2918" w:type="dxa"/>
            <w:vAlign w:val="center"/>
          </w:tcPr>
          <w:p w14:paraId="1873D7FC" w14:textId="77777777" w:rsidR="00074DD1"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F319519" w14:textId="77777777" w:rsidR="00074DD1" w:rsidRDefault="00074DD1">
            <w:pPr>
              <w:tabs>
                <w:tab w:val="left" w:pos="1091"/>
              </w:tabs>
              <w:spacing w:after="0"/>
              <w:jc w:val="center"/>
              <w:rPr>
                <w:sz w:val="20"/>
                <w:szCs w:val="20"/>
              </w:rPr>
            </w:pPr>
          </w:p>
        </w:tc>
      </w:tr>
      <w:tr w:rsidR="00074DD1" w14:paraId="57C8ED15" w14:textId="77777777">
        <w:trPr>
          <w:trHeight w:val="252"/>
        </w:trPr>
        <w:tc>
          <w:tcPr>
            <w:tcW w:w="5049" w:type="dxa"/>
            <w:gridSpan w:val="2"/>
          </w:tcPr>
          <w:p w14:paraId="364F971A" w14:textId="77777777" w:rsidR="00074DD1" w:rsidRDefault="00000000">
            <w:pPr>
              <w:shd w:val="clear" w:color="auto" w:fill="FFFFFF"/>
              <w:spacing w:after="0"/>
              <w:jc w:val="both"/>
              <w:rPr>
                <w:i/>
                <w:iCs/>
                <w:color w:val="000000"/>
                <w:sz w:val="20"/>
                <w:szCs w:val="20"/>
              </w:rPr>
            </w:pPr>
            <w:r>
              <w:rPr>
                <w:i/>
                <w:iCs/>
                <w:color w:val="000000"/>
                <w:sz w:val="20"/>
                <w:szCs w:val="20"/>
              </w:rPr>
              <w:lastRenderedPageBreak/>
              <w:t>Articolul 8</w:t>
            </w:r>
          </w:p>
          <w:p w14:paraId="26649E08" w14:textId="77777777" w:rsidR="00074DD1" w:rsidRDefault="00000000">
            <w:pPr>
              <w:shd w:val="clear" w:color="auto" w:fill="FFFFFF"/>
              <w:spacing w:after="0"/>
              <w:jc w:val="both"/>
              <w:rPr>
                <w:b/>
                <w:bCs/>
                <w:color w:val="000000"/>
                <w:sz w:val="20"/>
                <w:szCs w:val="20"/>
              </w:rPr>
            </w:pPr>
            <w:r>
              <w:rPr>
                <w:b/>
                <w:bCs/>
                <w:color w:val="000000"/>
                <w:sz w:val="20"/>
                <w:szCs w:val="20"/>
              </w:rPr>
              <w:t>Monitorizare și raportare</w:t>
            </w:r>
          </w:p>
          <w:p w14:paraId="7D0F6DB9" w14:textId="77777777" w:rsidR="00074DD1" w:rsidRDefault="00000000">
            <w:pPr>
              <w:shd w:val="clear" w:color="auto" w:fill="FFFFFF"/>
              <w:spacing w:after="0"/>
              <w:jc w:val="both"/>
              <w:rPr>
                <w:color w:val="000000"/>
                <w:sz w:val="20"/>
                <w:szCs w:val="20"/>
              </w:rPr>
            </w:pPr>
            <w:r>
              <w:rPr>
                <w:color w:val="000000"/>
                <w:sz w:val="20"/>
                <w:szCs w:val="20"/>
              </w:rPr>
              <w:lastRenderedPageBreak/>
              <w:t>(1)   Statele membre și părțile interesate comunică Comisiei, până la 1 iulie 2023, rezultatele investigațiilor efectuate și progresele înregistrate în ceea ce privește aplicarea măsurilor de prevenire pentru evitarea contaminării cu scleroții ergotului și cu alcaloizii ergotului a secarei și a produselor rezultate din măcinarea secarei și cu alcaloizii ergotului a produselor rezultate din măcinarea boabelor de orz, grâu, alac și ovăz.</w:t>
            </w:r>
          </w:p>
          <w:p w14:paraId="53F143B9" w14:textId="77777777" w:rsidR="00074DD1" w:rsidRDefault="00000000">
            <w:pPr>
              <w:shd w:val="clear" w:color="auto" w:fill="FFFFFF"/>
              <w:spacing w:after="0"/>
              <w:jc w:val="both"/>
              <w:rPr>
                <w:color w:val="000000"/>
                <w:sz w:val="20"/>
                <w:szCs w:val="20"/>
              </w:rPr>
            </w:pPr>
            <w:r>
              <w:rPr>
                <w:color w:val="000000"/>
                <w:sz w:val="20"/>
                <w:szCs w:val="20"/>
              </w:rPr>
              <w:t>Statele membre și părțile interesate raportează anual Autorității Europene pentru Siguranța Alimentară („autoritatea”) datele privind incidența scleroților ergotului și a alcaloizilor ergotului în secară și în produsele rezultate din măcinarea secarei și datele privind incidența alcaloizilor ergotului în produsele rezultate din măcinarea boabelor de orz, grâu, alac și ovăz.</w:t>
            </w:r>
          </w:p>
          <w:p w14:paraId="69BFF13D" w14:textId="77777777" w:rsidR="00074DD1" w:rsidRDefault="00000000">
            <w:pPr>
              <w:shd w:val="clear" w:color="auto" w:fill="FFFFFF"/>
              <w:spacing w:after="0"/>
              <w:jc w:val="both"/>
              <w:rPr>
                <w:color w:val="000000"/>
                <w:sz w:val="20"/>
                <w:szCs w:val="20"/>
              </w:rPr>
            </w:pPr>
            <w:r>
              <w:rPr>
                <w:color w:val="000000"/>
                <w:sz w:val="20"/>
                <w:szCs w:val="20"/>
              </w:rPr>
              <w:t>(2)   Statele membre comunică Comisiei, la cerere, investigațiile efectuate și sursele relevante identificate în urma recomandărilor Comisiei pentru monitorizarea prezenței contaminanților în produsele alimentare, precum și progresele înregistrate în ceea ce privește aplicarea măsurilor de prevenire pentru evitarea contaminării.</w:t>
            </w:r>
          </w:p>
          <w:p w14:paraId="0396939F" w14:textId="77777777" w:rsidR="00074DD1" w:rsidRDefault="00000000">
            <w:pPr>
              <w:shd w:val="clear" w:color="auto" w:fill="FFFFFF"/>
              <w:spacing w:after="0"/>
              <w:jc w:val="both"/>
              <w:rPr>
                <w:color w:val="000000"/>
                <w:sz w:val="20"/>
                <w:szCs w:val="20"/>
              </w:rPr>
            </w:pPr>
            <w:r>
              <w:rPr>
                <w:color w:val="000000"/>
                <w:sz w:val="20"/>
                <w:szCs w:val="20"/>
              </w:rPr>
              <w:t>(3) Statele membre raportează autorității datele colectate privind incidența altor contaminanți decât cei menționați la alineatul (1). Operatorii din sectorul alimentar și alte părți interesate pot transmite autorității respectivele date privind incidența.</w:t>
            </w:r>
          </w:p>
          <w:p w14:paraId="42A9E1CD" w14:textId="77777777" w:rsidR="00074DD1" w:rsidRDefault="00000000">
            <w:pPr>
              <w:shd w:val="clear" w:color="auto" w:fill="FFFFFF"/>
              <w:spacing w:after="0"/>
              <w:jc w:val="both"/>
              <w:rPr>
                <w:color w:val="000000"/>
                <w:sz w:val="20"/>
                <w:szCs w:val="20"/>
              </w:rPr>
            </w:pPr>
            <w:r>
              <w:rPr>
                <w:color w:val="000000"/>
                <w:sz w:val="20"/>
                <w:szCs w:val="20"/>
              </w:rPr>
              <w:t>(4)   Statele membre, operatorii din sectorul alimentar și alte părți interesate furnizează autorității datele privind incidența în conformitate cu cerințele de raportare ale autorității.</w:t>
            </w:r>
          </w:p>
          <w:p w14:paraId="0A48414E" w14:textId="77777777" w:rsidR="00074DD1" w:rsidRDefault="00074DD1">
            <w:pPr>
              <w:tabs>
                <w:tab w:val="left" w:pos="1091"/>
              </w:tabs>
              <w:spacing w:after="0"/>
              <w:rPr>
                <w:sz w:val="20"/>
                <w:szCs w:val="20"/>
              </w:rPr>
            </w:pPr>
          </w:p>
        </w:tc>
        <w:tc>
          <w:tcPr>
            <w:tcW w:w="4465" w:type="dxa"/>
          </w:tcPr>
          <w:p w14:paraId="10FDF9EC" w14:textId="77777777" w:rsidR="00074DD1" w:rsidRDefault="00074DD1">
            <w:pPr>
              <w:tabs>
                <w:tab w:val="left" w:pos="1091"/>
              </w:tabs>
              <w:spacing w:after="0"/>
              <w:ind w:hanging="22"/>
              <w:jc w:val="both"/>
              <w:rPr>
                <w:sz w:val="20"/>
                <w:szCs w:val="20"/>
              </w:rPr>
            </w:pPr>
          </w:p>
        </w:tc>
        <w:tc>
          <w:tcPr>
            <w:tcW w:w="2918" w:type="dxa"/>
            <w:vAlign w:val="center"/>
          </w:tcPr>
          <w:p w14:paraId="7A698921" w14:textId="77777777" w:rsidR="00074DD1"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3DBEB23F" w14:textId="77777777" w:rsidR="00074DD1" w:rsidRDefault="00000000">
            <w:pPr>
              <w:tabs>
                <w:tab w:val="left" w:pos="1091"/>
              </w:tabs>
              <w:spacing w:after="0"/>
              <w:ind w:hanging="17"/>
              <w:jc w:val="center"/>
              <w:rPr>
                <w:sz w:val="20"/>
                <w:szCs w:val="20"/>
              </w:rPr>
            </w:pPr>
            <w:r>
              <w:rPr>
                <w:sz w:val="20"/>
                <w:szCs w:val="20"/>
              </w:rPr>
              <w:t>Prevederea se referă la Comisia Europeană.</w:t>
            </w:r>
          </w:p>
        </w:tc>
      </w:tr>
      <w:tr w:rsidR="00074DD1" w14:paraId="7276CBEA" w14:textId="77777777">
        <w:trPr>
          <w:trHeight w:val="252"/>
        </w:trPr>
        <w:tc>
          <w:tcPr>
            <w:tcW w:w="5049" w:type="dxa"/>
            <w:gridSpan w:val="2"/>
          </w:tcPr>
          <w:p w14:paraId="523C226F" w14:textId="77777777" w:rsidR="00074DD1" w:rsidRDefault="00074DD1">
            <w:pPr>
              <w:shd w:val="clear" w:color="auto" w:fill="FFFFFF"/>
              <w:spacing w:after="0"/>
              <w:jc w:val="both"/>
              <w:rPr>
                <w:i/>
                <w:iCs/>
                <w:color w:val="000000"/>
                <w:sz w:val="20"/>
                <w:szCs w:val="20"/>
              </w:rPr>
            </w:pPr>
          </w:p>
        </w:tc>
        <w:tc>
          <w:tcPr>
            <w:tcW w:w="4465" w:type="dxa"/>
          </w:tcPr>
          <w:p w14:paraId="6801D410" w14:textId="77777777" w:rsidR="00074DD1" w:rsidRDefault="00000000">
            <w:pPr>
              <w:shd w:val="clear" w:color="auto" w:fill="FFFFFF"/>
              <w:spacing w:after="0"/>
              <w:jc w:val="both"/>
              <w:rPr>
                <w:b/>
                <w:bCs/>
                <w:color w:val="000000"/>
                <w:sz w:val="20"/>
                <w:szCs w:val="20"/>
              </w:rPr>
            </w:pPr>
            <w:r>
              <w:rPr>
                <w:b/>
                <w:bCs/>
                <w:color w:val="000000"/>
                <w:sz w:val="20"/>
                <w:szCs w:val="20"/>
              </w:rPr>
              <w:t>X. Responsabilitatea autorităților</w:t>
            </w:r>
          </w:p>
          <w:p w14:paraId="29315E8D" w14:textId="77777777" w:rsidR="00074DD1" w:rsidRDefault="00000000">
            <w:pPr>
              <w:shd w:val="clear" w:color="auto" w:fill="FFFFFF"/>
              <w:spacing w:after="0"/>
              <w:jc w:val="both"/>
              <w:rPr>
                <w:color w:val="000000"/>
                <w:sz w:val="20"/>
                <w:szCs w:val="20"/>
              </w:rPr>
            </w:pPr>
            <w:r>
              <w:rPr>
                <w:b/>
                <w:bCs/>
                <w:color w:val="000000"/>
                <w:sz w:val="20"/>
                <w:szCs w:val="20"/>
              </w:rPr>
              <w:t xml:space="preserve">     </w:t>
            </w:r>
            <w:r>
              <w:rPr>
                <w:color w:val="000000"/>
                <w:sz w:val="20"/>
                <w:szCs w:val="20"/>
              </w:rPr>
              <w:t>33. ANSA elaborează programe de monitorizare și supraveghere în conformitate cu prevederile articolului 7, alin. (1), lit. d) din Legea nr. 50/2013 cu privire la controalele oficiale pentru verificarea conformităţii cu legislaţia privind hrana pentru animale şi produsele alimentare şi cu normele de sănătate şi de bunăstare a animalelor.</w:t>
            </w:r>
          </w:p>
          <w:p w14:paraId="660520E9" w14:textId="77777777" w:rsidR="00074DD1" w:rsidRDefault="00074DD1">
            <w:pPr>
              <w:pBdr>
                <w:top w:val="nil"/>
                <w:left w:val="nil"/>
                <w:bottom w:val="nil"/>
                <w:right w:val="nil"/>
                <w:between w:val="nil"/>
              </w:pBdr>
              <w:spacing w:after="0"/>
              <w:jc w:val="both"/>
              <w:rPr>
                <w:b/>
                <w:bCs/>
                <w:color w:val="000000"/>
                <w:sz w:val="20"/>
                <w:szCs w:val="20"/>
                <w:highlight w:val="white"/>
              </w:rPr>
            </w:pPr>
          </w:p>
          <w:p w14:paraId="6DCC74BE" w14:textId="77777777" w:rsidR="00074DD1" w:rsidRDefault="00000000">
            <w:pPr>
              <w:pBdr>
                <w:top w:val="nil"/>
                <w:left w:val="nil"/>
                <w:bottom w:val="nil"/>
                <w:right w:val="nil"/>
                <w:between w:val="nil"/>
              </w:pBdr>
              <w:spacing w:after="0"/>
              <w:jc w:val="both"/>
              <w:rPr>
                <w:b/>
                <w:bCs/>
                <w:color w:val="000000"/>
                <w:sz w:val="20"/>
                <w:szCs w:val="20"/>
              </w:rPr>
            </w:pPr>
            <w:r>
              <w:rPr>
                <w:b/>
                <w:bCs/>
                <w:color w:val="000000"/>
                <w:sz w:val="20"/>
                <w:szCs w:val="20"/>
                <w:highlight w:val="white"/>
              </w:rPr>
              <w:t>33</w:t>
            </w:r>
            <w:r>
              <w:rPr>
                <w:b/>
                <w:bCs/>
                <w:color w:val="000000"/>
                <w:sz w:val="20"/>
                <w:szCs w:val="20"/>
                <w:highlight w:val="white"/>
                <w:vertAlign w:val="superscript"/>
              </w:rPr>
              <w:t>1</w:t>
            </w:r>
            <w:r>
              <w:rPr>
                <w:b/>
                <w:bCs/>
                <w:color w:val="000000"/>
                <w:sz w:val="20"/>
                <w:szCs w:val="20"/>
                <w:highlight w:val="white"/>
              </w:rPr>
              <w:t xml:space="preserve"> Ministerul Agriculturii și Industriei Alimentare aprobă recomandări de monitorizare a unor contaminanți din produsele alimentare, în vederea colectării de date informaționale pentru </w:t>
            </w:r>
            <w:r>
              <w:rPr>
                <w:b/>
                <w:bCs/>
                <w:color w:val="000000"/>
                <w:sz w:val="20"/>
                <w:szCs w:val="20"/>
                <w:highlight w:val="white"/>
              </w:rPr>
              <w:lastRenderedPageBreak/>
              <w:t>evaluarea riscurilor prezentate de acestea în alimente.</w:t>
            </w:r>
          </w:p>
          <w:p w14:paraId="57A77EA7" w14:textId="77777777" w:rsidR="00074DD1" w:rsidRDefault="00074DD1">
            <w:pPr>
              <w:shd w:val="clear" w:color="auto" w:fill="FFFFFF"/>
              <w:spacing w:after="0"/>
              <w:jc w:val="both"/>
              <w:rPr>
                <w:color w:val="000000"/>
                <w:sz w:val="20"/>
                <w:szCs w:val="20"/>
              </w:rPr>
            </w:pPr>
          </w:p>
          <w:p w14:paraId="4FB2C095" w14:textId="77777777" w:rsidR="00074DD1" w:rsidRDefault="00000000">
            <w:pPr>
              <w:shd w:val="clear" w:color="auto" w:fill="FFFFFF"/>
              <w:spacing w:after="0"/>
              <w:jc w:val="both"/>
              <w:rPr>
                <w:color w:val="000000"/>
                <w:sz w:val="20"/>
                <w:szCs w:val="20"/>
              </w:rPr>
            </w:pPr>
            <w:r>
              <w:rPr>
                <w:color w:val="000000"/>
                <w:sz w:val="20"/>
                <w:szCs w:val="20"/>
              </w:rPr>
              <w:t xml:space="preserve">     34.  Produsele alimentare și hrana pentru animale depistate neconforme prezentului Regulament și nivelurilor maxime aprobate, sunt retrase de pe piață în temeiul prescripției emise de către ANSA în conformitate cu Legea nr. 306/2018 privind siguranța alimentelor.</w:t>
            </w:r>
          </w:p>
          <w:p w14:paraId="1792EDE5" w14:textId="77777777" w:rsidR="00074DD1" w:rsidRDefault="00000000">
            <w:pPr>
              <w:shd w:val="clear" w:color="auto" w:fill="FFFFFF"/>
              <w:spacing w:after="0"/>
              <w:jc w:val="both"/>
              <w:rPr>
                <w:color w:val="000000"/>
                <w:sz w:val="20"/>
                <w:szCs w:val="20"/>
              </w:rPr>
            </w:pPr>
            <w:r>
              <w:rPr>
                <w:b/>
                <w:bCs/>
                <w:color w:val="000000"/>
                <w:sz w:val="20"/>
                <w:szCs w:val="20"/>
              </w:rPr>
              <w:t xml:space="preserve">     </w:t>
            </w:r>
            <w:r>
              <w:rPr>
                <w:color w:val="000000"/>
                <w:sz w:val="20"/>
                <w:szCs w:val="20"/>
              </w:rPr>
              <w:t>35. ANSA informează consumatorii, în mod deschis și transparent, despre fiecare caz de depistare a produselor alimentare cu depășiri ale valorilor maxime de contaminanți  care sunt introduse pe piață.</w:t>
            </w:r>
          </w:p>
          <w:p w14:paraId="7ABD34E4" w14:textId="77777777" w:rsidR="00074DD1" w:rsidRDefault="00000000">
            <w:pPr>
              <w:pBdr>
                <w:top w:val="nil"/>
                <w:left w:val="nil"/>
                <w:bottom w:val="nil"/>
                <w:right w:val="nil"/>
                <w:between w:val="nil"/>
              </w:pBdr>
              <w:tabs>
                <w:tab w:val="left" w:pos="1134"/>
              </w:tabs>
              <w:spacing w:after="0"/>
              <w:jc w:val="both"/>
              <w:rPr>
                <w:color w:val="000000"/>
                <w:sz w:val="20"/>
                <w:szCs w:val="20"/>
              </w:rPr>
            </w:pPr>
            <w:r>
              <w:rPr>
                <w:b/>
                <w:bCs/>
                <w:color w:val="000000"/>
                <w:sz w:val="20"/>
                <w:szCs w:val="20"/>
              </w:rPr>
              <w:t xml:space="preserve">      </w:t>
            </w:r>
            <w:r>
              <w:rPr>
                <w:color w:val="000000"/>
                <w:sz w:val="20"/>
                <w:szCs w:val="20"/>
              </w:rPr>
              <w:t>36. Agenția Națională pentru Sănătate Publică exercită următoarele atribuții din perspectiva sănătății publice:</w:t>
            </w:r>
          </w:p>
          <w:p w14:paraId="47A312B4" w14:textId="77777777" w:rsidR="00074DD1" w:rsidRDefault="00000000">
            <w:pPr>
              <w:numPr>
                <w:ilvl w:val="0"/>
                <w:numId w:val="10"/>
              </w:numPr>
              <w:pBdr>
                <w:top w:val="nil"/>
                <w:left w:val="nil"/>
                <w:bottom w:val="nil"/>
                <w:right w:val="nil"/>
                <w:between w:val="nil"/>
              </w:pBdr>
              <w:shd w:val="clear" w:color="auto" w:fill="FFFFFF"/>
              <w:spacing w:after="0"/>
              <w:ind w:left="0" w:firstLine="709"/>
              <w:jc w:val="both"/>
              <w:rPr>
                <w:color w:val="000000"/>
                <w:sz w:val="20"/>
                <w:szCs w:val="20"/>
              </w:rPr>
            </w:pPr>
            <w:r>
              <w:rPr>
                <w:color w:val="000000"/>
                <w:sz w:val="20"/>
                <w:szCs w:val="20"/>
              </w:rPr>
              <w:t xml:space="preserve"> evaluează și comunică riscurile pentru sănătate la care sunt supuși consumatorii din cauza contaminaților din produsele alimentare;</w:t>
            </w:r>
          </w:p>
          <w:p w14:paraId="5611513D" w14:textId="77777777" w:rsidR="00074DD1" w:rsidRDefault="00000000">
            <w:pPr>
              <w:numPr>
                <w:ilvl w:val="0"/>
                <w:numId w:val="10"/>
              </w:numPr>
              <w:pBdr>
                <w:top w:val="nil"/>
                <w:left w:val="nil"/>
                <w:bottom w:val="nil"/>
                <w:right w:val="nil"/>
                <w:between w:val="nil"/>
              </w:pBdr>
              <w:shd w:val="clear" w:color="auto" w:fill="FFFFFF"/>
              <w:spacing w:after="0"/>
              <w:ind w:left="0" w:firstLine="709"/>
              <w:jc w:val="both"/>
              <w:rPr>
                <w:color w:val="000000"/>
                <w:sz w:val="20"/>
                <w:szCs w:val="20"/>
              </w:rPr>
            </w:pPr>
            <w:r>
              <w:rPr>
                <w:color w:val="000000"/>
                <w:sz w:val="20"/>
                <w:szCs w:val="20"/>
              </w:rPr>
              <w:t>elaborează și publică recomandări pentru populație, despre modul de consum responsabil și precauții de siguranță pentru a minimaliza expunerea la produse alimentare care conțin contaminanți.</w:t>
            </w:r>
            <w:r>
              <w:rPr>
                <w:b/>
                <w:bCs/>
                <w:color w:val="000000"/>
                <w:sz w:val="20"/>
                <w:szCs w:val="20"/>
              </w:rPr>
              <w:t xml:space="preserve">            </w:t>
            </w:r>
          </w:p>
          <w:p w14:paraId="716686CB" w14:textId="77777777" w:rsidR="00074DD1" w:rsidRDefault="00000000">
            <w:pPr>
              <w:pBdr>
                <w:top w:val="nil"/>
                <w:left w:val="nil"/>
                <w:bottom w:val="nil"/>
                <w:right w:val="nil"/>
                <w:between w:val="nil"/>
              </w:pBdr>
              <w:shd w:val="clear" w:color="auto" w:fill="FFFFFF"/>
              <w:tabs>
                <w:tab w:val="left" w:pos="1134"/>
              </w:tabs>
              <w:spacing w:after="0"/>
              <w:jc w:val="both"/>
              <w:rPr>
                <w:color w:val="000000"/>
                <w:sz w:val="20"/>
                <w:szCs w:val="20"/>
              </w:rPr>
            </w:pPr>
            <w:r>
              <w:rPr>
                <w:color w:val="000000"/>
                <w:sz w:val="20"/>
                <w:szCs w:val="20"/>
              </w:rPr>
              <w:t xml:space="preserve">        37</w:t>
            </w:r>
            <w:r>
              <w:rPr>
                <w:b/>
                <w:bCs/>
                <w:color w:val="000000"/>
                <w:sz w:val="20"/>
                <w:szCs w:val="20"/>
              </w:rPr>
              <w:t>.</w:t>
            </w:r>
            <w:r>
              <w:rPr>
                <w:color w:val="000000"/>
                <w:sz w:val="20"/>
                <w:szCs w:val="20"/>
              </w:rPr>
              <w:t xml:space="preserve"> În cazurile depășirii  nivelurilor maxime pentru anumiți contaminanți din produsele alimentare și hrană pentru animale, în vederea protejării sănătății consumatorilor, se aplică măsurile de urgență conform prevederilor art. 28 din Legea nr. 306/2006 privind siguranța alimentelor.  </w:t>
            </w:r>
          </w:p>
          <w:p w14:paraId="054E20B2" w14:textId="77777777" w:rsidR="00074DD1" w:rsidRDefault="00000000">
            <w:pPr>
              <w:numPr>
                <w:ilvl w:val="0"/>
                <w:numId w:val="11"/>
              </w:numPr>
              <w:pBdr>
                <w:top w:val="nil"/>
                <w:left w:val="nil"/>
                <w:bottom w:val="nil"/>
                <w:right w:val="nil"/>
                <w:between w:val="nil"/>
              </w:pBdr>
              <w:shd w:val="clear" w:color="auto" w:fill="FFFFFF"/>
              <w:tabs>
                <w:tab w:val="left" w:pos="360"/>
                <w:tab w:val="left" w:pos="784"/>
              </w:tabs>
              <w:spacing w:after="0"/>
              <w:ind w:left="0" w:firstLine="501"/>
              <w:jc w:val="both"/>
              <w:rPr>
                <w:color w:val="000000"/>
                <w:sz w:val="20"/>
                <w:szCs w:val="20"/>
              </w:rPr>
            </w:pPr>
            <w:r>
              <w:rPr>
                <w:color w:val="000000"/>
                <w:sz w:val="20"/>
                <w:szCs w:val="20"/>
              </w:rPr>
              <w:t xml:space="preserve"> Anexele nr.1 și nr. 2 vor fi actualizate în conformitate cu legislația RM ținând cont de modificările operate la nivel UE.</w:t>
            </w:r>
          </w:p>
          <w:p w14:paraId="21490563" w14:textId="77777777" w:rsidR="00074DD1" w:rsidRDefault="00000000">
            <w:pPr>
              <w:pBdr>
                <w:top w:val="nil"/>
                <w:left w:val="nil"/>
                <w:bottom w:val="nil"/>
                <w:right w:val="nil"/>
                <w:between w:val="nil"/>
              </w:pBdr>
              <w:shd w:val="clear" w:color="auto" w:fill="FFFFFF"/>
              <w:tabs>
                <w:tab w:val="left" w:pos="1134"/>
              </w:tabs>
              <w:spacing w:after="0"/>
              <w:ind w:firstLine="217"/>
              <w:jc w:val="both"/>
              <w:rPr>
                <w:color w:val="000000"/>
                <w:sz w:val="20"/>
                <w:szCs w:val="20"/>
              </w:rPr>
            </w:pPr>
            <w:r>
              <w:rPr>
                <w:color w:val="000000"/>
                <w:sz w:val="20"/>
                <w:szCs w:val="20"/>
              </w:rPr>
              <w:t xml:space="preserve"> </w:t>
            </w:r>
          </w:p>
          <w:p w14:paraId="09606DB3" w14:textId="77777777" w:rsidR="00074DD1" w:rsidRDefault="00074DD1">
            <w:pPr>
              <w:tabs>
                <w:tab w:val="left" w:pos="1091"/>
              </w:tabs>
              <w:spacing w:after="0"/>
              <w:ind w:hanging="22"/>
              <w:jc w:val="both"/>
              <w:rPr>
                <w:sz w:val="20"/>
                <w:szCs w:val="20"/>
              </w:rPr>
            </w:pPr>
          </w:p>
        </w:tc>
        <w:tc>
          <w:tcPr>
            <w:tcW w:w="2918" w:type="dxa"/>
            <w:vAlign w:val="center"/>
          </w:tcPr>
          <w:p w14:paraId="535D317C" w14:textId="77777777" w:rsidR="00074DD1" w:rsidRDefault="00000000">
            <w:pPr>
              <w:tabs>
                <w:tab w:val="left" w:pos="1091"/>
              </w:tabs>
              <w:spacing w:after="0"/>
              <w:ind w:hanging="22"/>
              <w:jc w:val="center"/>
              <w:rPr>
                <w:b/>
                <w:bCs/>
                <w:sz w:val="20"/>
                <w:szCs w:val="20"/>
              </w:rPr>
            </w:pPr>
            <w:r>
              <w:rPr>
                <w:b/>
                <w:bCs/>
                <w:sz w:val="20"/>
                <w:szCs w:val="20"/>
              </w:rPr>
              <w:lastRenderedPageBreak/>
              <w:t>Prevederi  naționale</w:t>
            </w:r>
          </w:p>
        </w:tc>
        <w:tc>
          <w:tcPr>
            <w:tcW w:w="2333" w:type="dxa"/>
            <w:vAlign w:val="center"/>
          </w:tcPr>
          <w:p w14:paraId="39404A7F" w14:textId="77777777" w:rsidR="00074DD1" w:rsidRDefault="00074DD1">
            <w:pPr>
              <w:tabs>
                <w:tab w:val="left" w:pos="1091"/>
              </w:tabs>
              <w:spacing w:after="0"/>
              <w:ind w:hanging="22"/>
              <w:jc w:val="center"/>
              <w:rPr>
                <w:sz w:val="20"/>
                <w:szCs w:val="20"/>
              </w:rPr>
            </w:pPr>
          </w:p>
        </w:tc>
      </w:tr>
      <w:tr w:rsidR="00074DD1" w14:paraId="21C46B6D" w14:textId="77777777">
        <w:trPr>
          <w:trHeight w:val="487"/>
        </w:trPr>
        <w:tc>
          <w:tcPr>
            <w:tcW w:w="5049" w:type="dxa"/>
            <w:gridSpan w:val="2"/>
          </w:tcPr>
          <w:p w14:paraId="5279D1C8" w14:textId="77777777" w:rsidR="00074DD1" w:rsidRDefault="00000000">
            <w:pPr>
              <w:shd w:val="clear" w:color="auto" w:fill="FFFFFF"/>
              <w:spacing w:after="0"/>
              <w:jc w:val="both"/>
              <w:rPr>
                <w:i/>
                <w:iCs/>
                <w:color w:val="000000"/>
                <w:sz w:val="20"/>
                <w:szCs w:val="20"/>
              </w:rPr>
            </w:pPr>
            <w:r>
              <w:rPr>
                <w:i/>
                <w:iCs/>
                <w:color w:val="000000"/>
                <w:sz w:val="20"/>
                <w:szCs w:val="20"/>
              </w:rPr>
              <w:t>Articolul 9</w:t>
            </w:r>
          </w:p>
          <w:p w14:paraId="2671D693" w14:textId="77777777" w:rsidR="00074DD1" w:rsidRDefault="00000000">
            <w:pPr>
              <w:shd w:val="clear" w:color="auto" w:fill="FFFFFF"/>
              <w:spacing w:after="0"/>
              <w:jc w:val="both"/>
              <w:rPr>
                <w:b/>
                <w:bCs/>
                <w:color w:val="000000"/>
                <w:sz w:val="20"/>
                <w:szCs w:val="20"/>
              </w:rPr>
            </w:pPr>
            <w:r>
              <w:rPr>
                <w:b/>
                <w:bCs/>
                <w:color w:val="000000"/>
                <w:sz w:val="20"/>
                <w:szCs w:val="20"/>
              </w:rPr>
              <w:t>Abrogare</w:t>
            </w:r>
          </w:p>
          <w:p w14:paraId="784194F9" w14:textId="77777777" w:rsidR="00074DD1" w:rsidRDefault="00000000">
            <w:pPr>
              <w:shd w:val="clear" w:color="auto" w:fill="FFFFFF"/>
              <w:spacing w:after="0"/>
              <w:jc w:val="both"/>
              <w:rPr>
                <w:color w:val="000000"/>
                <w:sz w:val="20"/>
                <w:szCs w:val="20"/>
              </w:rPr>
            </w:pPr>
            <w:r>
              <w:rPr>
                <w:color w:val="000000"/>
                <w:sz w:val="20"/>
                <w:szCs w:val="20"/>
              </w:rPr>
              <w:t>Regulamentul (CE) nr. 1881/2006 se abrogă.</w:t>
            </w:r>
          </w:p>
          <w:p w14:paraId="06FD10EB" w14:textId="77777777" w:rsidR="00074DD1" w:rsidRDefault="00000000">
            <w:pPr>
              <w:shd w:val="clear" w:color="auto" w:fill="FFFFFF"/>
              <w:spacing w:after="0"/>
              <w:jc w:val="both"/>
              <w:rPr>
                <w:sz w:val="20"/>
                <w:szCs w:val="20"/>
              </w:rPr>
            </w:pPr>
            <w:r>
              <w:rPr>
                <w:color w:val="000000"/>
                <w:sz w:val="20"/>
                <w:szCs w:val="20"/>
              </w:rPr>
              <w:t>Trimiterile la regulamentul abrogat se interpretează ca trimiteri la prezentul regulament și se interpretează în conformitate cu tabelul de corespondență din anexa II.</w:t>
            </w:r>
          </w:p>
        </w:tc>
        <w:tc>
          <w:tcPr>
            <w:tcW w:w="4465" w:type="dxa"/>
            <w:vAlign w:val="center"/>
          </w:tcPr>
          <w:p w14:paraId="357EAF9C" w14:textId="77777777" w:rsidR="00074DD1" w:rsidRDefault="00074DD1">
            <w:pPr>
              <w:tabs>
                <w:tab w:val="left" w:pos="1091"/>
              </w:tabs>
              <w:spacing w:after="0"/>
              <w:ind w:hanging="22"/>
              <w:rPr>
                <w:sz w:val="20"/>
                <w:szCs w:val="20"/>
              </w:rPr>
            </w:pPr>
          </w:p>
        </w:tc>
        <w:tc>
          <w:tcPr>
            <w:tcW w:w="2918" w:type="dxa"/>
            <w:vAlign w:val="center"/>
          </w:tcPr>
          <w:p w14:paraId="5823BBE7" w14:textId="77777777" w:rsidR="00074DD1"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6DEC6AA7" w14:textId="77777777" w:rsidR="00074DD1" w:rsidRDefault="00074DD1">
            <w:pPr>
              <w:tabs>
                <w:tab w:val="left" w:pos="1091"/>
              </w:tabs>
              <w:spacing w:after="0"/>
              <w:ind w:hanging="22"/>
              <w:jc w:val="center"/>
              <w:rPr>
                <w:sz w:val="20"/>
                <w:szCs w:val="20"/>
              </w:rPr>
            </w:pPr>
          </w:p>
        </w:tc>
      </w:tr>
      <w:tr w:rsidR="00074DD1" w14:paraId="697B8730" w14:textId="77777777">
        <w:trPr>
          <w:trHeight w:val="342"/>
        </w:trPr>
        <w:tc>
          <w:tcPr>
            <w:tcW w:w="5049" w:type="dxa"/>
            <w:gridSpan w:val="2"/>
          </w:tcPr>
          <w:p w14:paraId="0759F7AA" w14:textId="77777777" w:rsidR="00074DD1" w:rsidRDefault="00000000">
            <w:pPr>
              <w:shd w:val="clear" w:color="auto" w:fill="FFFFFF"/>
              <w:spacing w:after="0"/>
              <w:jc w:val="both"/>
              <w:rPr>
                <w:i/>
                <w:iCs/>
                <w:color w:val="000000"/>
                <w:sz w:val="20"/>
                <w:szCs w:val="20"/>
              </w:rPr>
            </w:pPr>
            <w:r>
              <w:rPr>
                <w:i/>
                <w:iCs/>
                <w:color w:val="000000"/>
                <w:sz w:val="20"/>
                <w:szCs w:val="20"/>
              </w:rPr>
              <w:t>Articolul 10</w:t>
            </w:r>
          </w:p>
          <w:p w14:paraId="217ED7AD" w14:textId="77777777" w:rsidR="00074DD1" w:rsidRDefault="00000000">
            <w:pPr>
              <w:shd w:val="clear" w:color="auto" w:fill="FFFFFF"/>
              <w:spacing w:after="0"/>
              <w:jc w:val="both"/>
              <w:rPr>
                <w:b/>
                <w:bCs/>
                <w:color w:val="000000"/>
                <w:sz w:val="20"/>
                <w:szCs w:val="20"/>
              </w:rPr>
            </w:pPr>
            <w:r>
              <w:rPr>
                <w:b/>
                <w:bCs/>
                <w:color w:val="000000"/>
                <w:sz w:val="20"/>
                <w:szCs w:val="20"/>
              </w:rPr>
              <w:t>Măsuri tranzitorii</w:t>
            </w:r>
          </w:p>
          <w:p w14:paraId="1A24D40D" w14:textId="77777777" w:rsidR="00074DD1" w:rsidRDefault="00000000">
            <w:pPr>
              <w:shd w:val="clear" w:color="auto" w:fill="FFFFFF"/>
              <w:spacing w:after="0"/>
              <w:jc w:val="both"/>
              <w:rPr>
                <w:color w:val="000000"/>
                <w:sz w:val="20"/>
                <w:szCs w:val="20"/>
              </w:rPr>
            </w:pPr>
            <w:r>
              <w:rPr>
                <w:color w:val="000000"/>
                <w:sz w:val="20"/>
                <w:szCs w:val="20"/>
              </w:rPr>
              <w:lastRenderedPageBreak/>
              <w:t>(1)   Produsele alimentare introduse pe piață în mod legal înainte de datele menționate la literele (a)-(k) pot rămâne pe piață până la data durabilității lor minimale sau până la data lor-limită de consum:</w:t>
            </w:r>
          </w:p>
          <w:p w14:paraId="11E7C626" w14:textId="77777777" w:rsidR="00074DD1" w:rsidRDefault="00000000">
            <w:pPr>
              <w:shd w:val="clear" w:color="auto" w:fill="FFFFFF"/>
              <w:spacing w:after="0"/>
              <w:jc w:val="both"/>
              <w:rPr>
                <w:color w:val="000000"/>
                <w:sz w:val="20"/>
                <w:szCs w:val="20"/>
              </w:rPr>
            </w:pPr>
            <w:r>
              <w:rPr>
                <w:color w:val="000000"/>
                <w:sz w:val="20"/>
                <w:szCs w:val="20"/>
              </w:rPr>
              <w:t>(a) 19 septembrie 2021, în ceea ce privește nivelurile maxime de alcaloizi tropanici în produsele alimentare ușor masticabile și ingerabile destinate copiilor de vârstă mică și în produsele alimentare pe bază de cereale prelucrate destinate sugarilor și copiilor de vârstă mică, care conțin porumb sau produse derivate din acesta, prevăzute la punctul 2.2.1 din anexa I;</w:t>
            </w:r>
          </w:p>
          <w:p w14:paraId="03A967F7" w14:textId="77777777" w:rsidR="00074DD1" w:rsidRDefault="00000000">
            <w:pPr>
              <w:shd w:val="clear" w:color="auto" w:fill="FFFFFF"/>
              <w:spacing w:after="0"/>
              <w:jc w:val="both"/>
              <w:rPr>
                <w:color w:val="000000"/>
                <w:sz w:val="20"/>
                <w:szCs w:val="20"/>
              </w:rPr>
            </w:pPr>
            <w:r>
              <w:rPr>
                <w:color w:val="000000"/>
                <w:sz w:val="20"/>
                <w:szCs w:val="20"/>
              </w:rPr>
              <w:t>(b) 1 ianuarie 2022, în ceea ce privește nivelurile maxime pentru scleroții ergotului și alcaloizii ergotului prevăzute la punctul 1.8 din anexa I;</w:t>
            </w:r>
          </w:p>
          <w:p w14:paraId="15061F23" w14:textId="77777777" w:rsidR="00074DD1" w:rsidRDefault="00000000">
            <w:pPr>
              <w:shd w:val="clear" w:color="auto" w:fill="FFFFFF"/>
              <w:spacing w:after="0"/>
              <w:jc w:val="both"/>
              <w:rPr>
                <w:color w:val="000000"/>
                <w:sz w:val="20"/>
                <w:szCs w:val="20"/>
              </w:rPr>
            </w:pPr>
            <w:r>
              <w:rPr>
                <w:color w:val="000000"/>
                <w:sz w:val="20"/>
                <w:szCs w:val="20"/>
              </w:rPr>
              <w:t>(c) 3 mai 2022, în ceea ce privește nivelurile maxime de mercur prevăzute la punctul 3.3 din anexa I;</w:t>
            </w:r>
          </w:p>
          <w:p w14:paraId="26E5423B" w14:textId="77777777" w:rsidR="00074DD1" w:rsidRDefault="00000000">
            <w:pPr>
              <w:shd w:val="clear" w:color="auto" w:fill="FFFFFF"/>
              <w:spacing w:after="0"/>
              <w:jc w:val="both"/>
              <w:rPr>
                <w:color w:val="000000"/>
                <w:sz w:val="20"/>
                <w:szCs w:val="20"/>
              </w:rPr>
            </w:pPr>
            <w:r>
              <w:rPr>
                <w:color w:val="000000"/>
                <w:sz w:val="20"/>
                <w:szCs w:val="20"/>
              </w:rPr>
              <w:t>(d) 1 iulie 2022, în ceea ce privește nivelurile maxime pentru alcaloizii din opiu prevăzute la punctul 2.5 din anexa I;</w:t>
            </w:r>
          </w:p>
          <w:p w14:paraId="442A93F8" w14:textId="77777777" w:rsidR="00074DD1" w:rsidRDefault="00000000">
            <w:pPr>
              <w:shd w:val="clear" w:color="auto" w:fill="FFFFFF"/>
              <w:spacing w:after="0"/>
              <w:jc w:val="both"/>
              <w:rPr>
                <w:color w:val="000000"/>
                <w:sz w:val="20"/>
                <w:szCs w:val="20"/>
              </w:rPr>
            </w:pPr>
            <w:r>
              <w:rPr>
                <w:color w:val="000000"/>
                <w:sz w:val="20"/>
                <w:szCs w:val="20"/>
              </w:rPr>
              <w:t>(e) 1 septembrie 2022, în ceea ce privește nivelurile maxime pentru alcaloizii tropanici, prevăzute la punctele 2.2.2-2.2.9 din anexa I;</w:t>
            </w:r>
          </w:p>
          <w:p w14:paraId="307B7653" w14:textId="77777777" w:rsidR="00074DD1" w:rsidRDefault="00000000">
            <w:pPr>
              <w:shd w:val="clear" w:color="auto" w:fill="FFFFFF"/>
              <w:spacing w:after="0"/>
              <w:jc w:val="both"/>
              <w:rPr>
                <w:color w:val="000000"/>
                <w:sz w:val="20"/>
                <w:szCs w:val="20"/>
              </w:rPr>
            </w:pPr>
            <w:r>
              <w:rPr>
                <w:color w:val="000000"/>
                <w:sz w:val="20"/>
                <w:szCs w:val="20"/>
              </w:rPr>
              <w:t>(f) 1 ianuarie 2023, în ceea ce privește nivelurile maxime de ochratoxină A, prevăzute la punctul 1.2 din anexa I;</w:t>
            </w:r>
          </w:p>
          <w:p w14:paraId="0B7710D8" w14:textId="77777777" w:rsidR="00074DD1" w:rsidRDefault="00000000">
            <w:pPr>
              <w:shd w:val="clear" w:color="auto" w:fill="FFFFFF"/>
              <w:spacing w:after="0"/>
              <w:jc w:val="both"/>
              <w:rPr>
                <w:color w:val="000000"/>
                <w:sz w:val="20"/>
                <w:szCs w:val="20"/>
              </w:rPr>
            </w:pPr>
            <w:r>
              <w:rPr>
                <w:color w:val="000000"/>
                <w:sz w:val="20"/>
                <w:szCs w:val="20"/>
              </w:rPr>
              <w:t>(g) 1 ianuarie 2023, în ceea ce privește nivelurile maxime pentru acid cianhidric prevăzute la punctul 2.3 din anexa I;</w:t>
            </w:r>
          </w:p>
          <w:p w14:paraId="71CDD4E7" w14:textId="77777777" w:rsidR="00074DD1" w:rsidRDefault="00000000">
            <w:pPr>
              <w:shd w:val="clear" w:color="auto" w:fill="FFFFFF"/>
              <w:spacing w:after="0"/>
              <w:jc w:val="both"/>
              <w:rPr>
                <w:color w:val="000000"/>
                <w:sz w:val="20"/>
                <w:szCs w:val="20"/>
              </w:rPr>
            </w:pPr>
            <w:r>
              <w:rPr>
                <w:color w:val="000000"/>
                <w:sz w:val="20"/>
                <w:szCs w:val="20"/>
              </w:rPr>
              <w:t>(h) 1 ianuarie 2023, în ceea ce privește nivelurile maxime pentru suma dintre Δ</w:t>
            </w:r>
            <w:r>
              <w:rPr>
                <w:color w:val="000000"/>
                <w:sz w:val="20"/>
                <w:szCs w:val="20"/>
                <w:vertAlign w:val="superscript"/>
              </w:rPr>
              <w:t>9</w:t>
            </w:r>
            <w:r>
              <w:rPr>
                <w:color w:val="000000"/>
                <w:sz w:val="20"/>
                <w:szCs w:val="20"/>
              </w:rPr>
              <w:t>-THC și Δ</w:t>
            </w:r>
            <w:r>
              <w:rPr>
                <w:color w:val="000000"/>
                <w:sz w:val="20"/>
                <w:szCs w:val="20"/>
                <w:vertAlign w:val="superscript"/>
              </w:rPr>
              <w:t>9</w:t>
            </w:r>
            <w:r>
              <w:rPr>
                <w:color w:val="000000"/>
                <w:sz w:val="20"/>
                <w:szCs w:val="20"/>
              </w:rPr>
              <w:t>-THCA, prevăzute la punctul 2.6 din anexa I;</w:t>
            </w:r>
          </w:p>
          <w:p w14:paraId="006DA918" w14:textId="77777777" w:rsidR="00074DD1" w:rsidRDefault="00000000">
            <w:pPr>
              <w:shd w:val="clear" w:color="auto" w:fill="FFFFFF"/>
              <w:spacing w:after="0"/>
              <w:jc w:val="both"/>
              <w:rPr>
                <w:color w:val="000000"/>
                <w:sz w:val="20"/>
                <w:szCs w:val="20"/>
              </w:rPr>
            </w:pPr>
            <w:r>
              <w:rPr>
                <w:color w:val="000000"/>
                <w:sz w:val="20"/>
                <w:szCs w:val="20"/>
              </w:rPr>
              <w:t>(i) 1 ianuarie 2023, în ceea ce privește nivelurile maxime pentru suma dioxinelor și pentru suma dintre dioxine și DL-PCB-uri prevăzute la punctele 4.1.1, 4.1.2, 4.1.11 și 4.1.12 din anexa I;</w:t>
            </w:r>
          </w:p>
          <w:p w14:paraId="09FCA4E9" w14:textId="77777777" w:rsidR="00074DD1" w:rsidRDefault="00000000">
            <w:pPr>
              <w:shd w:val="clear" w:color="auto" w:fill="FFFFFF"/>
              <w:spacing w:after="0"/>
              <w:jc w:val="both"/>
              <w:rPr>
                <w:color w:val="000000"/>
                <w:sz w:val="20"/>
                <w:szCs w:val="20"/>
              </w:rPr>
            </w:pPr>
            <w:r>
              <w:rPr>
                <w:color w:val="000000"/>
                <w:sz w:val="20"/>
                <w:szCs w:val="20"/>
              </w:rPr>
              <w:t>(j) 1 ianuarie 2023, în ceea ce privește nivelurile maxime pentru suma substanțelor perfluoroalchilate prevăzute la punctul 4.2 din anexa I;</w:t>
            </w:r>
          </w:p>
          <w:p w14:paraId="3C4F320C" w14:textId="77777777" w:rsidR="00074DD1" w:rsidRDefault="00000000">
            <w:pPr>
              <w:shd w:val="clear" w:color="auto" w:fill="FFFFFF"/>
              <w:spacing w:after="0"/>
              <w:jc w:val="both"/>
              <w:rPr>
                <w:color w:val="000000"/>
                <w:sz w:val="20"/>
                <w:szCs w:val="20"/>
              </w:rPr>
            </w:pPr>
            <w:r>
              <w:rPr>
                <w:color w:val="000000"/>
                <w:sz w:val="20"/>
                <w:szCs w:val="20"/>
              </w:rPr>
              <w:t>(k) 26 martie 2023, în ceea ce privește nivelurile maxime de arsen prevăzute la punctul 3.4 din anexa I.</w:t>
            </w:r>
          </w:p>
          <w:p w14:paraId="453FCC90" w14:textId="77777777" w:rsidR="00074DD1" w:rsidRDefault="00000000">
            <w:pPr>
              <w:shd w:val="clear" w:color="auto" w:fill="FFFFFF"/>
              <w:spacing w:after="0"/>
              <w:jc w:val="both"/>
              <w:rPr>
                <w:color w:val="000000"/>
                <w:sz w:val="20"/>
                <w:szCs w:val="20"/>
              </w:rPr>
            </w:pPr>
            <w:r>
              <w:rPr>
                <w:color w:val="000000"/>
                <w:sz w:val="20"/>
                <w:szCs w:val="20"/>
              </w:rPr>
              <w:t>(2)   Produsele alimentare introduse pe piață în mod legal înainte de 1 iulie 2022 pot rămâne pe piață până la 31 decembrie 2023 din perspectiva nivelurilor maxime pentru alcaloizii pirolizidinici prevăzute la punctul 2.4 din anexa I.</w:t>
            </w:r>
          </w:p>
          <w:p w14:paraId="3B979C82" w14:textId="77777777" w:rsidR="00074DD1" w:rsidRDefault="00000000">
            <w:pPr>
              <w:shd w:val="clear" w:color="auto" w:fill="FFFFFF"/>
              <w:spacing w:after="0"/>
              <w:jc w:val="both"/>
              <w:rPr>
                <w:color w:val="000000"/>
                <w:sz w:val="20"/>
                <w:szCs w:val="20"/>
              </w:rPr>
            </w:pPr>
            <w:r>
              <w:rPr>
                <w:color w:val="000000"/>
                <w:sz w:val="20"/>
                <w:szCs w:val="20"/>
              </w:rPr>
              <w:lastRenderedPageBreak/>
              <w:t>(3)   Sarcina prezentării dovezii privind data la care produsele au fost introduse pe piață în mod legal îi revine operatorului din sectorul alimentar.</w:t>
            </w:r>
          </w:p>
          <w:p w14:paraId="425C0C28" w14:textId="77777777" w:rsidR="00074DD1" w:rsidRDefault="00074DD1">
            <w:pPr>
              <w:tabs>
                <w:tab w:val="left" w:pos="1091"/>
              </w:tabs>
              <w:spacing w:after="0"/>
              <w:rPr>
                <w:sz w:val="20"/>
                <w:szCs w:val="20"/>
              </w:rPr>
            </w:pPr>
          </w:p>
        </w:tc>
        <w:tc>
          <w:tcPr>
            <w:tcW w:w="4465" w:type="dxa"/>
            <w:vAlign w:val="center"/>
          </w:tcPr>
          <w:p w14:paraId="604B27B5" w14:textId="77777777" w:rsidR="00074DD1" w:rsidRDefault="00074DD1">
            <w:pPr>
              <w:tabs>
                <w:tab w:val="left" w:pos="1091"/>
              </w:tabs>
              <w:spacing w:after="0"/>
              <w:ind w:hanging="22"/>
              <w:jc w:val="center"/>
              <w:rPr>
                <w:sz w:val="20"/>
                <w:szCs w:val="20"/>
              </w:rPr>
            </w:pPr>
          </w:p>
        </w:tc>
        <w:tc>
          <w:tcPr>
            <w:tcW w:w="2918" w:type="dxa"/>
            <w:vAlign w:val="center"/>
          </w:tcPr>
          <w:p w14:paraId="3E3F280A" w14:textId="77777777" w:rsidR="00074DD1"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17EFE6F2" w14:textId="77777777" w:rsidR="00074DD1" w:rsidRDefault="00074DD1">
            <w:pPr>
              <w:tabs>
                <w:tab w:val="left" w:pos="1091"/>
              </w:tabs>
              <w:spacing w:after="0"/>
              <w:ind w:hanging="22"/>
              <w:jc w:val="center"/>
              <w:rPr>
                <w:sz w:val="20"/>
                <w:szCs w:val="20"/>
              </w:rPr>
            </w:pPr>
          </w:p>
        </w:tc>
      </w:tr>
      <w:tr w:rsidR="00074DD1" w14:paraId="41BF9377" w14:textId="77777777">
        <w:trPr>
          <w:trHeight w:val="418"/>
        </w:trPr>
        <w:tc>
          <w:tcPr>
            <w:tcW w:w="5049" w:type="dxa"/>
            <w:gridSpan w:val="2"/>
          </w:tcPr>
          <w:p w14:paraId="42FE1BE5" w14:textId="77777777" w:rsidR="00074DD1" w:rsidRDefault="00000000">
            <w:pPr>
              <w:shd w:val="clear" w:color="auto" w:fill="FFFFFF"/>
              <w:spacing w:after="0"/>
              <w:jc w:val="both"/>
              <w:rPr>
                <w:i/>
                <w:iCs/>
                <w:color w:val="000000"/>
                <w:sz w:val="20"/>
                <w:szCs w:val="20"/>
              </w:rPr>
            </w:pPr>
            <w:r>
              <w:rPr>
                <w:i/>
                <w:iCs/>
                <w:color w:val="000000"/>
                <w:sz w:val="20"/>
                <w:szCs w:val="20"/>
              </w:rPr>
              <w:lastRenderedPageBreak/>
              <w:t>Articolul 11</w:t>
            </w:r>
          </w:p>
          <w:p w14:paraId="298109C4" w14:textId="77777777" w:rsidR="00074DD1" w:rsidRDefault="00000000">
            <w:pPr>
              <w:shd w:val="clear" w:color="auto" w:fill="FFFFFF"/>
              <w:spacing w:after="0"/>
              <w:jc w:val="both"/>
              <w:rPr>
                <w:b/>
                <w:bCs/>
                <w:color w:val="000000"/>
                <w:sz w:val="20"/>
                <w:szCs w:val="20"/>
              </w:rPr>
            </w:pPr>
            <w:r>
              <w:rPr>
                <w:b/>
                <w:bCs/>
                <w:color w:val="000000"/>
                <w:sz w:val="20"/>
                <w:szCs w:val="20"/>
              </w:rPr>
              <w:t>Intrare în vigoare</w:t>
            </w:r>
          </w:p>
          <w:p w14:paraId="56607B6B" w14:textId="77777777" w:rsidR="00074DD1" w:rsidRDefault="00000000">
            <w:pPr>
              <w:shd w:val="clear" w:color="auto" w:fill="FFFFFF"/>
              <w:spacing w:after="0"/>
              <w:jc w:val="both"/>
              <w:rPr>
                <w:color w:val="000000"/>
                <w:sz w:val="20"/>
                <w:szCs w:val="20"/>
              </w:rPr>
            </w:pPr>
            <w:r>
              <w:rPr>
                <w:color w:val="000000"/>
                <w:sz w:val="20"/>
                <w:szCs w:val="20"/>
              </w:rPr>
              <w:t>Prezentul regulament intră în vigoare în a douăzecea zi de la data publicării în </w:t>
            </w:r>
            <w:r>
              <w:rPr>
                <w:i/>
                <w:iCs/>
                <w:color w:val="000000"/>
                <w:sz w:val="20"/>
                <w:szCs w:val="20"/>
              </w:rPr>
              <w:t>Jurnalul Oficial al Uniunii Europene.</w:t>
            </w:r>
          </w:p>
          <w:p w14:paraId="4E6BA232" w14:textId="77777777" w:rsidR="00074DD1" w:rsidRDefault="00000000">
            <w:pPr>
              <w:shd w:val="clear" w:color="auto" w:fill="FFFFFF"/>
              <w:spacing w:after="0"/>
              <w:jc w:val="both"/>
              <w:rPr>
                <w:sz w:val="20"/>
                <w:szCs w:val="20"/>
              </w:rPr>
            </w:pPr>
            <w:r>
              <w:rPr>
                <w:color w:val="000000"/>
                <w:sz w:val="20"/>
                <w:szCs w:val="20"/>
              </w:rPr>
              <w:t>Prezentul regulament este obligatoriu în toate elementele sale și se aplică direct în toate statele membre.</w:t>
            </w:r>
          </w:p>
        </w:tc>
        <w:tc>
          <w:tcPr>
            <w:tcW w:w="4465" w:type="dxa"/>
            <w:vAlign w:val="center"/>
          </w:tcPr>
          <w:p w14:paraId="123A2857" w14:textId="77777777" w:rsidR="00074DD1" w:rsidRDefault="00074DD1">
            <w:pPr>
              <w:spacing w:after="0"/>
              <w:rPr>
                <w:sz w:val="20"/>
                <w:szCs w:val="20"/>
              </w:rPr>
            </w:pPr>
          </w:p>
        </w:tc>
        <w:tc>
          <w:tcPr>
            <w:tcW w:w="2918" w:type="dxa"/>
            <w:vAlign w:val="center"/>
          </w:tcPr>
          <w:p w14:paraId="5C2A52B7" w14:textId="77777777" w:rsidR="00074DD1"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5EB430C3" w14:textId="77777777" w:rsidR="00074DD1" w:rsidRDefault="00074DD1">
            <w:pPr>
              <w:tabs>
                <w:tab w:val="left" w:pos="1091"/>
              </w:tabs>
              <w:spacing w:after="0"/>
              <w:ind w:hanging="22"/>
              <w:jc w:val="center"/>
              <w:rPr>
                <w:sz w:val="20"/>
                <w:szCs w:val="20"/>
              </w:rPr>
            </w:pPr>
          </w:p>
        </w:tc>
      </w:tr>
      <w:tr w:rsidR="00074DD1" w14:paraId="77EC198C" w14:textId="77777777">
        <w:trPr>
          <w:trHeight w:val="60"/>
        </w:trPr>
        <w:tc>
          <w:tcPr>
            <w:tcW w:w="5049" w:type="dxa"/>
            <w:gridSpan w:val="2"/>
          </w:tcPr>
          <w:p w14:paraId="6D8901E9" w14:textId="77777777" w:rsidR="00074DD1" w:rsidRDefault="00000000">
            <w:pPr>
              <w:shd w:val="clear" w:color="auto" w:fill="FFFFFF"/>
              <w:spacing w:after="0"/>
              <w:jc w:val="both"/>
              <w:rPr>
                <w:i/>
                <w:iCs/>
                <w:color w:val="000000"/>
                <w:sz w:val="20"/>
                <w:szCs w:val="20"/>
              </w:rPr>
            </w:pPr>
            <w:r>
              <w:rPr>
                <w:i/>
                <w:iCs/>
                <w:color w:val="000000"/>
                <w:sz w:val="20"/>
                <w:szCs w:val="20"/>
              </w:rPr>
              <w:t>ANEXA I</w:t>
            </w:r>
          </w:p>
          <w:p w14:paraId="3C1B4500" w14:textId="77777777" w:rsidR="00074DD1" w:rsidRDefault="00000000">
            <w:pPr>
              <w:shd w:val="clear" w:color="auto" w:fill="FFFFFF"/>
              <w:spacing w:after="0"/>
              <w:jc w:val="both"/>
              <w:rPr>
                <w:b/>
                <w:bCs/>
                <w:color w:val="000000"/>
                <w:sz w:val="20"/>
                <w:szCs w:val="20"/>
              </w:rPr>
            </w:pPr>
            <w:r>
              <w:rPr>
                <w:b/>
                <w:bCs/>
                <w:color w:val="000000"/>
                <w:sz w:val="20"/>
                <w:szCs w:val="20"/>
              </w:rPr>
              <w:t>Niveluri maxime pentru anumiți contaminanți din produse alimentare (</w:t>
            </w:r>
            <w:r>
              <w:rPr>
                <w:b/>
                <w:bCs/>
                <w:color w:val="000000"/>
                <w:sz w:val="20"/>
                <w:szCs w:val="20"/>
                <w:vertAlign w:val="superscript"/>
              </w:rPr>
              <w:t>1</w:t>
            </w:r>
            <w:r>
              <w:rPr>
                <w:b/>
                <w:bCs/>
                <w:color w:val="000000"/>
                <w:sz w:val="20"/>
                <w:szCs w:val="20"/>
              </w:rPr>
              <w:t>)</w:t>
            </w:r>
          </w:p>
          <w:p w14:paraId="7D32E67D" w14:textId="77777777" w:rsidR="00074DD1" w:rsidRDefault="00074DD1">
            <w:pPr>
              <w:tabs>
                <w:tab w:val="left" w:pos="1091"/>
              </w:tabs>
              <w:spacing w:after="0"/>
              <w:rPr>
                <w:sz w:val="20"/>
                <w:szCs w:val="20"/>
              </w:rPr>
            </w:pPr>
          </w:p>
        </w:tc>
        <w:tc>
          <w:tcPr>
            <w:tcW w:w="4465" w:type="dxa"/>
          </w:tcPr>
          <w:p w14:paraId="24C15348" w14:textId="77777777" w:rsidR="00074DD1" w:rsidRDefault="00000000">
            <w:pPr>
              <w:widowControl w:val="0"/>
              <w:numPr>
                <w:ilvl w:val="0"/>
                <w:numId w:val="12"/>
              </w:numPr>
              <w:pBdr>
                <w:top w:val="nil"/>
                <w:left w:val="nil"/>
                <w:bottom w:val="nil"/>
                <w:right w:val="nil"/>
                <w:between w:val="nil"/>
              </w:pBdr>
              <w:shd w:val="clear" w:color="auto" w:fill="FFFFFF"/>
              <w:spacing w:after="0"/>
              <w:ind w:left="0" w:firstLine="360"/>
              <w:jc w:val="center"/>
              <w:rPr>
                <w:b/>
                <w:bCs/>
                <w:color w:val="000000"/>
                <w:sz w:val="20"/>
                <w:szCs w:val="20"/>
              </w:rPr>
            </w:pPr>
            <w:r>
              <w:rPr>
                <w:b/>
                <w:bCs/>
                <w:color w:val="000000"/>
                <w:sz w:val="20"/>
                <w:szCs w:val="20"/>
              </w:rPr>
              <w:t>Niveluri maxime pentru anumiți contaminanți din produse alimentare</w:t>
            </w:r>
          </w:p>
          <w:p w14:paraId="27A4AD07" w14:textId="77777777" w:rsidR="00074DD1" w:rsidRDefault="00074DD1">
            <w:pPr>
              <w:spacing w:after="0"/>
              <w:rPr>
                <w:sz w:val="20"/>
                <w:szCs w:val="20"/>
              </w:rPr>
            </w:pPr>
          </w:p>
        </w:tc>
        <w:tc>
          <w:tcPr>
            <w:tcW w:w="2918" w:type="dxa"/>
            <w:vAlign w:val="center"/>
          </w:tcPr>
          <w:p w14:paraId="738E9E09" w14:textId="77777777" w:rsidR="00074DD1" w:rsidRDefault="00000000">
            <w:pPr>
              <w:tabs>
                <w:tab w:val="left" w:pos="1091"/>
              </w:tabs>
              <w:spacing w:after="0"/>
              <w:ind w:hanging="22"/>
              <w:rPr>
                <w:b/>
                <w:bCs/>
                <w:sz w:val="20"/>
                <w:szCs w:val="20"/>
              </w:rPr>
            </w:pPr>
            <w:r>
              <w:rPr>
                <w:b/>
                <w:bCs/>
                <w:sz w:val="20"/>
                <w:szCs w:val="20"/>
              </w:rPr>
              <w:t>Compatibil</w:t>
            </w:r>
          </w:p>
        </w:tc>
        <w:tc>
          <w:tcPr>
            <w:tcW w:w="2333" w:type="dxa"/>
            <w:vAlign w:val="center"/>
          </w:tcPr>
          <w:p w14:paraId="4151BDD3" w14:textId="77777777" w:rsidR="00074DD1" w:rsidRDefault="00000000">
            <w:pPr>
              <w:tabs>
                <w:tab w:val="left" w:pos="1091"/>
              </w:tabs>
              <w:spacing w:after="0"/>
              <w:ind w:hanging="22"/>
              <w:jc w:val="center"/>
              <w:rPr>
                <w:sz w:val="20"/>
                <w:szCs w:val="20"/>
              </w:rPr>
            </w:pPr>
            <w:r>
              <w:rPr>
                <w:sz w:val="20"/>
                <w:szCs w:val="20"/>
              </w:rPr>
              <w:t>Prin modificarea Hotărârii Guvernului 724/2024 pentru aprobarea Regulamentului sanitar privind nivelurile maxime pentru anumiți contaminanți din produsele alimentare, anexa va fi preluată prin ordin al ministrului sănătății.</w:t>
            </w:r>
          </w:p>
        </w:tc>
      </w:tr>
      <w:tr w:rsidR="00074DD1" w14:paraId="12DBCA93" w14:textId="77777777">
        <w:trPr>
          <w:trHeight w:val="60"/>
        </w:trPr>
        <w:tc>
          <w:tcPr>
            <w:tcW w:w="5049" w:type="dxa"/>
            <w:gridSpan w:val="2"/>
          </w:tcPr>
          <w:p w14:paraId="379CFE28" w14:textId="77777777" w:rsidR="00074DD1" w:rsidRDefault="00074DD1">
            <w:pPr>
              <w:shd w:val="clear" w:color="auto" w:fill="FFFFFF"/>
              <w:spacing w:after="0"/>
              <w:jc w:val="both"/>
              <w:rPr>
                <w:i/>
                <w:iCs/>
                <w:color w:val="000000"/>
                <w:sz w:val="20"/>
                <w:szCs w:val="20"/>
              </w:rPr>
            </w:pPr>
          </w:p>
        </w:tc>
        <w:tc>
          <w:tcPr>
            <w:tcW w:w="4465" w:type="dxa"/>
          </w:tcPr>
          <w:p w14:paraId="1CCF0665" w14:textId="77777777" w:rsidR="00074DD1" w:rsidRDefault="00074DD1">
            <w:pPr>
              <w:widowControl w:val="0"/>
              <w:pBdr>
                <w:top w:val="nil"/>
                <w:left w:val="nil"/>
                <w:bottom w:val="nil"/>
                <w:right w:val="nil"/>
                <w:between w:val="nil"/>
              </w:pBdr>
              <w:spacing w:after="0"/>
              <w:jc w:val="right"/>
              <w:rPr>
                <w:color w:val="000000"/>
                <w:sz w:val="20"/>
                <w:szCs w:val="20"/>
              </w:rPr>
            </w:pPr>
          </w:p>
        </w:tc>
        <w:tc>
          <w:tcPr>
            <w:tcW w:w="2918" w:type="dxa"/>
            <w:vAlign w:val="center"/>
          </w:tcPr>
          <w:p w14:paraId="4D351D91" w14:textId="77777777" w:rsidR="00074DD1" w:rsidRDefault="00074DD1">
            <w:pPr>
              <w:tabs>
                <w:tab w:val="left" w:pos="1091"/>
              </w:tabs>
              <w:spacing w:after="0"/>
              <w:ind w:hanging="22"/>
              <w:rPr>
                <w:b/>
                <w:bCs/>
                <w:sz w:val="20"/>
                <w:szCs w:val="20"/>
              </w:rPr>
            </w:pPr>
          </w:p>
        </w:tc>
        <w:tc>
          <w:tcPr>
            <w:tcW w:w="2333" w:type="dxa"/>
            <w:vAlign w:val="center"/>
          </w:tcPr>
          <w:p w14:paraId="09BC2B75" w14:textId="77777777" w:rsidR="00074DD1" w:rsidRDefault="00074DD1">
            <w:pPr>
              <w:tabs>
                <w:tab w:val="left" w:pos="1091"/>
              </w:tabs>
              <w:spacing w:after="0"/>
              <w:ind w:hanging="22"/>
              <w:jc w:val="center"/>
              <w:rPr>
                <w:sz w:val="20"/>
                <w:szCs w:val="20"/>
              </w:rPr>
            </w:pPr>
          </w:p>
        </w:tc>
      </w:tr>
    </w:tbl>
    <w:p w14:paraId="14F71D2E" w14:textId="77777777" w:rsidR="00074DD1" w:rsidRDefault="00074DD1">
      <w:pPr>
        <w:spacing w:after="0"/>
        <w:jc w:val="both"/>
        <w:rPr>
          <w:b/>
          <w:bCs/>
          <w:sz w:val="20"/>
          <w:szCs w:val="20"/>
        </w:rPr>
      </w:pPr>
    </w:p>
    <w:sectPr w:rsidR="00074DD1">
      <w:pgSz w:w="16838" w:h="11906" w:orient="landscape"/>
      <w:pgMar w:top="450" w:right="1134" w:bottom="1276"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11C93770-F7AD-4027-8403-19434983AC90}"/>
  </w:font>
  <w:font w:name="Aptos">
    <w:charset w:val="00"/>
    <w:family w:val="swiss"/>
    <w:pitch w:val="variable"/>
    <w:sig w:usb0="20000287" w:usb1="00000003" w:usb2="00000000" w:usb3="00000000" w:csb0="0000019F" w:csb1="00000000"/>
    <w:embedRegular r:id="rId2" w:fontKey="{BBBFC8DC-5742-4557-8F63-242A2AFFE34A}"/>
    <w:embedItalic r:id="rId3" w:fontKey="{A2E1CD07-ADE6-401B-A540-2E12E1303C94}"/>
  </w:font>
  <w:font w:name="Aptos Display">
    <w:charset w:val="00"/>
    <w:family w:val="swiss"/>
    <w:pitch w:val="variable"/>
    <w:sig w:usb0="20000287" w:usb1="00000003" w:usb2="00000000" w:usb3="00000000" w:csb0="0000019F" w:csb1="00000000"/>
    <w:embedRegular r:id="rId4" w:fontKey="{16F2869A-76AA-47E2-BEF7-0038A4D94BAE}"/>
  </w:font>
  <w:font w:name="Segoe UI">
    <w:panose1 w:val="020B0502040204020203"/>
    <w:charset w:val="CC"/>
    <w:family w:val="swiss"/>
    <w:pitch w:val="variable"/>
    <w:sig w:usb0="E4002EFF" w:usb1="C000E47F" w:usb2="00000009" w:usb3="00000000" w:csb0="000001FF" w:csb1="00000000"/>
    <w:embedRegular r:id="rId5" w:fontKey="{F72F6B76-6B24-4E2E-A657-4772723A5B01}"/>
  </w:font>
  <w:font w:name="Calibri">
    <w:panose1 w:val="020F0502020204030204"/>
    <w:charset w:val="CC"/>
    <w:family w:val="swiss"/>
    <w:pitch w:val="variable"/>
    <w:sig w:usb0="E4002EFF" w:usb1="C200247B" w:usb2="00000009" w:usb3="00000000" w:csb0="000001FF" w:csb1="00000000"/>
    <w:embedRegular r:id="rId6" w:fontKey="{7E327521-EC8E-4543-92DE-9D2DF772DC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74F"/>
    <w:multiLevelType w:val="multilevel"/>
    <w:tmpl w:val="4240142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62B88"/>
    <w:multiLevelType w:val="multilevel"/>
    <w:tmpl w:val="8F7CF91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3F79DF"/>
    <w:multiLevelType w:val="multilevel"/>
    <w:tmpl w:val="78B6582A"/>
    <w:lvl w:ilvl="0">
      <w:start w:val="3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105251"/>
    <w:multiLevelType w:val="multilevel"/>
    <w:tmpl w:val="658637D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8A429FA"/>
    <w:multiLevelType w:val="multilevel"/>
    <w:tmpl w:val="3A1EEC7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1311FD"/>
    <w:multiLevelType w:val="multilevel"/>
    <w:tmpl w:val="033A335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6" w15:restartNumberingAfterBreak="0">
    <w:nsid w:val="4A316FEC"/>
    <w:multiLevelType w:val="multilevel"/>
    <w:tmpl w:val="EDAA3E1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4A531D8C"/>
    <w:multiLevelType w:val="multilevel"/>
    <w:tmpl w:val="7660D0EC"/>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530C3656"/>
    <w:multiLevelType w:val="multilevel"/>
    <w:tmpl w:val="8D5EB9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D441E5"/>
    <w:multiLevelType w:val="multilevel"/>
    <w:tmpl w:val="6F440F2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DF653C"/>
    <w:multiLevelType w:val="multilevel"/>
    <w:tmpl w:val="0FB02472"/>
    <w:lvl w:ilvl="0">
      <w:start w:val="27"/>
      <w:numFmt w:val="decimal"/>
      <w:lvlText w:val="%1."/>
      <w:lvlJc w:val="left"/>
      <w:pPr>
        <w:ind w:left="36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11" w15:restartNumberingAfterBreak="0">
    <w:nsid w:val="7F2746F7"/>
    <w:multiLevelType w:val="multilevel"/>
    <w:tmpl w:val="5DB0AC8C"/>
    <w:lvl w:ilvl="0">
      <w:start w:val="1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4291993">
    <w:abstractNumId w:val="5"/>
  </w:num>
  <w:num w:numId="2" w16cid:durableId="1351370346">
    <w:abstractNumId w:val="4"/>
  </w:num>
  <w:num w:numId="3" w16cid:durableId="1997301733">
    <w:abstractNumId w:val="10"/>
  </w:num>
  <w:num w:numId="4" w16cid:durableId="736591456">
    <w:abstractNumId w:val="0"/>
  </w:num>
  <w:num w:numId="5" w16cid:durableId="2058431370">
    <w:abstractNumId w:val="9"/>
  </w:num>
  <w:num w:numId="6" w16cid:durableId="1273316769">
    <w:abstractNumId w:val="1"/>
  </w:num>
  <w:num w:numId="7" w16cid:durableId="731582496">
    <w:abstractNumId w:val="6"/>
  </w:num>
  <w:num w:numId="8" w16cid:durableId="183787547">
    <w:abstractNumId w:val="8"/>
  </w:num>
  <w:num w:numId="9" w16cid:durableId="1318415938">
    <w:abstractNumId w:val="11"/>
  </w:num>
  <w:num w:numId="10" w16cid:durableId="1289123049">
    <w:abstractNumId w:val="3"/>
  </w:num>
  <w:num w:numId="11" w16cid:durableId="604576962">
    <w:abstractNumId w:val="2"/>
  </w:num>
  <w:num w:numId="12" w16cid:durableId="1067458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DD1"/>
    <w:rsid w:val="00074DD1"/>
    <w:rsid w:val="00626C8E"/>
    <w:rsid w:val="00837D45"/>
    <w:rsid w:val="00957A9D"/>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C6DD"/>
  <w15:docId w15:val="{D7A31EDC-71A2-438D-AD08-4AF044AF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MD" w:eastAsia="ru-MD"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pPr>
      <w:keepNext/>
      <w:keepLines/>
      <w:spacing w:before="360" w:after="80"/>
      <w:outlineLvl w:val="0"/>
    </w:pPr>
    <w:rPr>
      <w:rFonts w:ascii="Play" w:eastAsia="Play" w:hAnsi="Play" w:cs="Play"/>
      <w:color w:val="0F4761"/>
      <w:sz w:val="40"/>
      <w:szCs w:val="40"/>
    </w:rPr>
  </w:style>
  <w:style w:type="paragraph" w:styleId="Titlu2">
    <w:name w:val="heading 2"/>
    <w:basedOn w:val="Normal"/>
    <w:next w:val="Normal"/>
    <w:link w:val="Titlu2Caracter"/>
    <w:uiPriority w:val="9"/>
    <w:semiHidden/>
    <w:unhideWhenUsed/>
    <w:qFormat/>
    <w:pPr>
      <w:keepNext/>
      <w:keepLines/>
      <w:spacing w:before="160" w:after="80"/>
      <w:outlineLvl w:val="1"/>
    </w:pPr>
    <w:rPr>
      <w:rFonts w:ascii="Play" w:eastAsia="Play" w:hAnsi="Play" w:cs="Play"/>
      <w:color w:val="0F4761"/>
      <w:sz w:val="32"/>
      <w:szCs w:val="32"/>
    </w:rPr>
  </w:style>
  <w:style w:type="paragraph" w:styleId="Titlu3">
    <w:name w:val="heading 3"/>
    <w:basedOn w:val="Normal"/>
    <w:next w:val="Normal"/>
    <w:link w:val="Titlu3Caracter"/>
    <w:uiPriority w:val="9"/>
    <w:semiHidden/>
    <w:unhideWhenUsed/>
    <w:qFormat/>
    <w:pPr>
      <w:keepNext/>
      <w:keepLines/>
      <w:spacing w:before="160" w:after="80"/>
      <w:outlineLvl w:val="2"/>
    </w:pPr>
    <w:rPr>
      <w:rFonts w:ascii="Aptos" w:eastAsia="Aptos" w:hAnsi="Aptos" w:cs="Aptos"/>
      <w:color w:val="0F4761"/>
    </w:rPr>
  </w:style>
  <w:style w:type="paragraph" w:styleId="Titlu4">
    <w:name w:val="heading 4"/>
    <w:basedOn w:val="Normal"/>
    <w:next w:val="Normal"/>
    <w:link w:val="Titlu4Caracter"/>
    <w:uiPriority w:val="9"/>
    <w:semiHidden/>
    <w:unhideWhenUsed/>
    <w:qFormat/>
    <w:pPr>
      <w:keepNext/>
      <w:keepLines/>
      <w:spacing w:before="80" w:after="40"/>
      <w:outlineLvl w:val="3"/>
    </w:pPr>
    <w:rPr>
      <w:rFonts w:ascii="Aptos" w:eastAsia="Aptos" w:hAnsi="Aptos" w:cs="Aptos"/>
      <w:i/>
      <w:iCs/>
      <w:color w:val="0F4761"/>
    </w:rPr>
  </w:style>
  <w:style w:type="paragraph" w:styleId="Titlu5">
    <w:name w:val="heading 5"/>
    <w:basedOn w:val="Normal"/>
    <w:next w:val="Normal"/>
    <w:link w:val="Titlu5Caracter"/>
    <w:uiPriority w:val="9"/>
    <w:semiHidden/>
    <w:unhideWhenUsed/>
    <w:qFormat/>
    <w:pPr>
      <w:keepNext/>
      <w:keepLines/>
      <w:spacing w:before="80" w:after="40"/>
      <w:outlineLvl w:val="4"/>
    </w:pPr>
    <w:rPr>
      <w:rFonts w:ascii="Aptos" w:eastAsia="Aptos" w:hAnsi="Aptos" w:cs="Aptos"/>
      <w:color w:val="0F4761"/>
    </w:rPr>
  </w:style>
  <w:style w:type="paragraph" w:styleId="Titlu6">
    <w:name w:val="heading 6"/>
    <w:basedOn w:val="Normal"/>
    <w:next w:val="Normal"/>
    <w:link w:val="Titlu6Caracter"/>
    <w:uiPriority w:val="9"/>
    <w:semiHidden/>
    <w:unhideWhenUsed/>
    <w:qFormat/>
    <w:pPr>
      <w:keepNext/>
      <w:keepLines/>
      <w:spacing w:before="40" w:after="0"/>
      <w:outlineLvl w:val="5"/>
    </w:pPr>
    <w:rPr>
      <w:rFonts w:ascii="Aptos" w:eastAsia="Aptos" w:hAnsi="Aptos" w:cs="Aptos"/>
      <w:i/>
      <w:iCs/>
      <w:color w:val="595959"/>
    </w:rPr>
  </w:style>
  <w:style w:type="paragraph" w:styleId="Titlu7">
    <w:name w:val="heading 7"/>
    <w:basedOn w:val="Normal"/>
    <w:next w:val="Normal"/>
    <w:link w:val="Titlu7Caracte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rPr>
  </w:style>
  <w:style w:type="paragraph" w:styleId="Titlu8">
    <w:name w:val="heading 8"/>
    <w:basedOn w:val="Normal"/>
    <w:next w:val="Normal"/>
    <w:link w:val="Titlu8Caracte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rPr>
  </w:style>
  <w:style w:type="paragraph" w:styleId="Titlu9">
    <w:name w:val="heading 9"/>
    <w:basedOn w:val="Normal"/>
    <w:next w:val="Normal"/>
    <w:link w:val="Titlu9Caracte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link w:val="TitluCaracter"/>
    <w:uiPriority w:val="10"/>
    <w:qFormat/>
    <w:pPr>
      <w:spacing w:after="80"/>
    </w:pPr>
    <w:rPr>
      <w:rFonts w:ascii="Play" w:eastAsia="Play" w:hAnsi="Play" w:cs="Play"/>
      <w:sz w:val="56"/>
      <w:szCs w:val="56"/>
    </w:rPr>
  </w:style>
  <w:style w:type="character" w:customStyle="1" w:styleId="Titlu1Caracter">
    <w:name w:val="Titlu 1 Caracter"/>
    <w:basedOn w:val="Fontdeparagrafimplicit"/>
    <w:link w:val="Titlu1"/>
    <w:uiPriority w:val="9"/>
    <w:rsid w:val="006F3790"/>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6F3790"/>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6F3790"/>
    <w:rPr>
      <w:rFonts w:eastAsiaTheme="majorEastAsia" w:cstheme="majorBidi"/>
      <w:i/>
      <w:iCs/>
      <w:color w:val="0F4761" w:themeColor="accent1" w:themeShade="BF"/>
      <w:sz w:val="28"/>
    </w:rPr>
  </w:style>
  <w:style w:type="character" w:customStyle="1" w:styleId="Titlu5Caracter">
    <w:name w:val="Titlu 5 Caracter"/>
    <w:basedOn w:val="Fontdeparagrafimplicit"/>
    <w:link w:val="Titlu5"/>
    <w:uiPriority w:val="9"/>
    <w:semiHidden/>
    <w:rsid w:val="006F3790"/>
    <w:rPr>
      <w:rFonts w:eastAsiaTheme="majorEastAsia" w:cstheme="majorBidi"/>
      <w:color w:val="0F4761" w:themeColor="accent1" w:themeShade="BF"/>
      <w:sz w:val="28"/>
    </w:rPr>
  </w:style>
  <w:style w:type="character" w:customStyle="1" w:styleId="Titlu6Caracter">
    <w:name w:val="Titlu 6 Caracter"/>
    <w:basedOn w:val="Fontdeparagrafimplicit"/>
    <w:link w:val="Titlu6"/>
    <w:uiPriority w:val="9"/>
    <w:semiHidden/>
    <w:rsid w:val="006F3790"/>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6F3790"/>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6F3790"/>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6F3790"/>
    <w:rPr>
      <w:rFonts w:eastAsiaTheme="majorEastAsia" w:cstheme="majorBidi"/>
      <w:color w:val="272727" w:themeColor="text1" w:themeTint="D8"/>
      <w:sz w:val="28"/>
    </w:rPr>
  </w:style>
  <w:style w:type="character" w:customStyle="1" w:styleId="TitluCaracter">
    <w:name w:val="Titlu Caracter"/>
    <w:basedOn w:val="Fontdeparagrafimplicit"/>
    <w:link w:val="Titlu"/>
    <w:uiPriority w:val="10"/>
    <w:rsid w:val="006F3790"/>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link w:val="Subtitlu"/>
    <w:uiPriority w:val="11"/>
    <w:rsid w:val="006F379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F3790"/>
    <w:pPr>
      <w:spacing w:before="160"/>
      <w:jc w:val="center"/>
    </w:pPr>
    <w:rPr>
      <w:rFonts w:eastAsiaTheme="minorHAnsi" w:cstheme="minorBidi"/>
      <w:i/>
      <w:iCs/>
      <w:color w:val="404040" w:themeColor="text1" w:themeTint="BF"/>
      <w:kern w:val="2"/>
      <w:lang w:val="ru-RU"/>
    </w:rPr>
  </w:style>
  <w:style w:type="character" w:customStyle="1" w:styleId="CitatCaracter">
    <w:name w:val="Citat Caracter"/>
    <w:basedOn w:val="Fontdeparagrafimplicit"/>
    <w:link w:val="Citat"/>
    <w:uiPriority w:val="29"/>
    <w:rsid w:val="006F3790"/>
    <w:rPr>
      <w:rFonts w:ascii="Times New Roman" w:hAnsi="Times New Roman"/>
      <w:i/>
      <w:iCs/>
      <w:color w:val="404040" w:themeColor="text1" w:themeTint="BF"/>
      <w:sz w:val="28"/>
    </w:rPr>
  </w:style>
  <w:style w:type="paragraph" w:styleId="Listparagraf">
    <w:name w:val="List Paragraph"/>
    <w:basedOn w:val="Normal"/>
    <w:uiPriority w:val="34"/>
    <w:qFormat/>
    <w:rsid w:val="006F3790"/>
    <w:pPr>
      <w:ind w:left="720"/>
      <w:contextualSpacing/>
    </w:pPr>
    <w:rPr>
      <w:rFonts w:eastAsiaTheme="minorHAnsi" w:cstheme="minorBidi"/>
      <w:kern w:val="2"/>
      <w:lang w:val="ru-RU"/>
    </w:rPr>
  </w:style>
  <w:style w:type="character" w:styleId="Accentuareintens">
    <w:name w:val="Intense Emphasis"/>
    <w:basedOn w:val="Fontdeparagrafimplicit"/>
    <w:uiPriority w:val="21"/>
    <w:qFormat/>
    <w:rsid w:val="006F3790"/>
    <w:rPr>
      <w:i/>
      <w:iCs/>
      <w:color w:val="0F4761" w:themeColor="accent1" w:themeShade="BF"/>
    </w:rPr>
  </w:style>
  <w:style w:type="paragraph" w:styleId="Citatintens">
    <w:name w:val="Intense Quote"/>
    <w:basedOn w:val="Normal"/>
    <w:next w:val="Normal"/>
    <w:link w:val="CitatintensCaracte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rPr>
  </w:style>
  <w:style w:type="character" w:customStyle="1" w:styleId="CitatintensCaracter">
    <w:name w:val="Citat intens Caracter"/>
    <w:basedOn w:val="Fontdeparagrafimplicit"/>
    <w:link w:val="Citatintens"/>
    <w:uiPriority w:val="30"/>
    <w:rsid w:val="006F3790"/>
    <w:rPr>
      <w:rFonts w:ascii="Times New Roman" w:hAnsi="Times New Roman"/>
      <w:i/>
      <w:iCs/>
      <w:color w:val="0F4761" w:themeColor="accent1" w:themeShade="BF"/>
      <w:sz w:val="28"/>
    </w:rPr>
  </w:style>
  <w:style w:type="character" w:styleId="Referireintens">
    <w:name w:val="Intense Reference"/>
    <w:basedOn w:val="Fontdeparagrafimplicit"/>
    <w:uiPriority w:val="32"/>
    <w:qFormat/>
    <w:rsid w:val="006F3790"/>
    <w:rPr>
      <w:b/>
      <w:bCs/>
      <w:smallCaps/>
      <w:color w:val="0F4761" w:themeColor="accent1" w:themeShade="BF"/>
      <w:spacing w:val="5"/>
    </w:rPr>
  </w:style>
  <w:style w:type="paragraph" w:styleId="TextnBalon">
    <w:name w:val="Balloon Text"/>
    <w:basedOn w:val="Normal"/>
    <w:link w:val="TextnBalonCaracter"/>
    <w:uiPriority w:val="99"/>
    <w:semiHidden/>
    <w:unhideWhenUsed/>
    <w:rsid w:val="00CC5DB0"/>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C5DB0"/>
    <w:rPr>
      <w:rFonts w:ascii="Segoe UI" w:eastAsia="Times New Roman" w:hAnsi="Segoe UI" w:cs="Segoe UI"/>
      <w:kern w:val="0"/>
      <w:sz w:val="18"/>
      <w:szCs w:val="18"/>
      <w:lang w:val="ro-RO"/>
    </w:rPr>
  </w:style>
  <w:style w:type="character" w:styleId="Hyperlink">
    <w:name w:val="Hyperlink"/>
    <w:basedOn w:val="Fontdeparagrafimplicit"/>
    <w:uiPriority w:val="99"/>
    <w:unhideWhenUsed/>
    <w:rsid w:val="00B478A9"/>
    <w:rPr>
      <w:color w:val="467886" w:themeColor="hyperlink"/>
      <w:u w:val="single"/>
    </w:rPr>
  </w:style>
  <w:style w:type="character" w:styleId="Referincomentariu">
    <w:name w:val="annotation reference"/>
    <w:basedOn w:val="Fontdeparagrafimplicit"/>
    <w:uiPriority w:val="99"/>
    <w:semiHidden/>
    <w:unhideWhenUsed/>
    <w:rsid w:val="004B6507"/>
    <w:rPr>
      <w:sz w:val="16"/>
      <w:szCs w:val="16"/>
    </w:rPr>
  </w:style>
  <w:style w:type="paragraph" w:styleId="Textcomentariu">
    <w:name w:val="annotation text"/>
    <w:basedOn w:val="Normal"/>
    <w:link w:val="TextcomentariuCaracter"/>
    <w:uiPriority w:val="99"/>
    <w:unhideWhenUsed/>
    <w:rsid w:val="004B6507"/>
    <w:rPr>
      <w:sz w:val="20"/>
      <w:szCs w:val="20"/>
    </w:rPr>
  </w:style>
  <w:style w:type="character" w:customStyle="1" w:styleId="TextcomentariuCaracter">
    <w:name w:val="Text comentariu Caracter"/>
    <w:basedOn w:val="Fontdeparagrafimplicit"/>
    <w:link w:val="Textcomentariu"/>
    <w:uiPriority w:val="99"/>
    <w:rsid w:val="004B6507"/>
    <w:rPr>
      <w:rFonts w:ascii="Times New Roman" w:eastAsia="Times New Roman" w:hAnsi="Times New Roman" w:cs="Times New Roman"/>
      <w:kern w:val="0"/>
      <w:sz w:val="20"/>
      <w:szCs w:val="20"/>
      <w:lang w:val="ro-RO"/>
    </w:rPr>
  </w:style>
  <w:style w:type="paragraph" w:styleId="SubiectComentariu">
    <w:name w:val="annotation subject"/>
    <w:basedOn w:val="Textcomentariu"/>
    <w:next w:val="Textcomentariu"/>
    <w:link w:val="SubiectComentariuCaracter"/>
    <w:uiPriority w:val="99"/>
    <w:semiHidden/>
    <w:unhideWhenUsed/>
    <w:rsid w:val="004B6507"/>
    <w:rPr>
      <w:b/>
      <w:bCs/>
    </w:rPr>
  </w:style>
  <w:style w:type="character" w:customStyle="1" w:styleId="SubiectComentariuCaracter">
    <w:name w:val="Subiect Comentariu Caracter"/>
    <w:basedOn w:val="TextcomentariuCaracter"/>
    <w:link w:val="SubiectComentariu"/>
    <w:uiPriority w:val="99"/>
    <w:semiHidden/>
    <w:rsid w:val="004B6507"/>
    <w:rPr>
      <w:rFonts w:ascii="Times New Roman" w:eastAsia="Times New Roman" w:hAnsi="Times New Roman" w:cs="Times New Roman"/>
      <w:b/>
      <w:bCs/>
      <w:kern w:val="0"/>
      <w:sz w:val="20"/>
      <w:szCs w:val="20"/>
      <w:lang w:val="ro-RO"/>
    </w:rPr>
  </w:style>
  <w:style w:type="paragraph" w:customStyle="1" w:styleId="title-article-norm">
    <w:name w:val="title-article-norm"/>
    <w:basedOn w:val="Normal"/>
    <w:rsid w:val="00084574"/>
    <w:pPr>
      <w:spacing w:before="100" w:beforeAutospacing="1" w:after="100" w:afterAutospacing="1"/>
    </w:pPr>
    <w:rPr>
      <w:sz w:val="24"/>
      <w:szCs w:val="24"/>
      <w:lang w:eastAsia="ro-RO"/>
    </w:rPr>
  </w:style>
  <w:style w:type="paragraph" w:customStyle="1" w:styleId="norm">
    <w:name w:val="norm"/>
    <w:basedOn w:val="Normal"/>
    <w:rsid w:val="00084574"/>
    <w:pPr>
      <w:spacing w:before="100" w:beforeAutospacing="1" w:after="100" w:afterAutospacing="1"/>
    </w:pPr>
    <w:rPr>
      <w:sz w:val="24"/>
      <w:szCs w:val="24"/>
      <w:lang w:eastAsia="ro-RO"/>
    </w:rPr>
  </w:style>
  <w:style w:type="character" w:customStyle="1" w:styleId="no-parag">
    <w:name w:val="no-parag"/>
    <w:basedOn w:val="Fontdeparagrafimplicit"/>
    <w:rsid w:val="00A84A2B"/>
  </w:style>
  <w:style w:type="character" w:customStyle="1" w:styleId="italics">
    <w:name w:val="italics"/>
    <w:basedOn w:val="Fontdeparagrafimplicit"/>
    <w:rsid w:val="00A84A2B"/>
  </w:style>
  <w:style w:type="paragraph" w:customStyle="1" w:styleId="title-annex-1">
    <w:name w:val="title-annex-1"/>
    <w:basedOn w:val="Normal"/>
    <w:rsid w:val="00A84A2B"/>
    <w:pPr>
      <w:spacing w:before="100" w:beforeAutospacing="1" w:after="100" w:afterAutospacing="1"/>
    </w:pPr>
    <w:rPr>
      <w:sz w:val="24"/>
      <w:szCs w:val="24"/>
      <w:lang w:eastAsia="ro-RO"/>
    </w:rPr>
  </w:style>
  <w:style w:type="paragraph" w:styleId="NormalWeb">
    <w:name w:val="Normal (Web)"/>
    <w:basedOn w:val="Normal"/>
    <w:uiPriority w:val="99"/>
    <w:unhideWhenUsed/>
    <w:rsid w:val="00A84A2B"/>
    <w:pPr>
      <w:spacing w:before="100" w:beforeAutospacing="1" w:after="100" w:afterAutospacing="1"/>
    </w:pPr>
    <w:rPr>
      <w:sz w:val="24"/>
      <w:szCs w:val="24"/>
      <w:lang w:eastAsia="ro-RO"/>
    </w:rPr>
  </w:style>
  <w:style w:type="paragraph" w:customStyle="1" w:styleId="title-table">
    <w:name w:val="title-table"/>
    <w:basedOn w:val="Normal"/>
    <w:rsid w:val="00A84A2B"/>
    <w:pPr>
      <w:spacing w:before="100" w:beforeAutospacing="1" w:after="100" w:afterAutospacing="1"/>
    </w:pPr>
    <w:rPr>
      <w:sz w:val="24"/>
      <w:szCs w:val="24"/>
      <w:lang w:eastAsia="ro-RO"/>
    </w:rPr>
  </w:style>
  <w:style w:type="character" w:customStyle="1" w:styleId="boldface">
    <w:name w:val="boldface"/>
    <w:basedOn w:val="Fontdeparagrafimplicit"/>
    <w:rsid w:val="00A84A2B"/>
  </w:style>
  <w:style w:type="character" w:customStyle="1" w:styleId="superscript">
    <w:name w:val="superscript"/>
    <w:basedOn w:val="Fontdeparagrafimplicit"/>
    <w:rsid w:val="00A84A2B"/>
  </w:style>
  <w:style w:type="paragraph" w:customStyle="1" w:styleId="hd-column">
    <w:name w:val="hd-column"/>
    <w:basedOn w:val="Normal"/>
    <w:rsid w:val="00A84A2B"/>
    <w:pPr>
      <w:spacing w:before="100" w:beforeAutospacing="1" w:after="100" w:afterAutospacing="1"/>
    </w:pPr>
    <w:rPr>
      <w:sz w:val="24"/>
      <w:szCs w:val="24"/>
      <w:lang w:eastAsia="ro-RO"/>
    </w:rPr>
  </w:style>
  <w:style w:type="paragraph" w:customStyle="1" w:styleId="tbl-norm">
    <w:name w:val="tbl-norm"/>
    <w:basedOn w:val="Normal"/>
    <w:rsid w:val="00A84A2B"/>
    <w:pPr>
      <w:spacing w:before="100" w:beforeAutospacing="1" w:after="100" w:afterAutospacing="1"/>
    </w:pPr>
    <w:rPr>
      <w:sz w:val="24"/>
      <w:szCs w:val="24"/>
      <w:lang w:eastAsia="ro-RO"/>
    </w:rPr>
  </w:style>
  <w:style w:type="paragraph" w:customStyle="1" w:styleId="inline-element">
    <w:name w:val="inline-element"/>
    <w:basedOn w:val="Normal"/>
    <w:rsid w:val="00A84A2B"/>
    <w:pPr>
      <w:spacing w:before="100" w:beforeAutospacing="1" w:after="100" w:afterAutospacing="1"/>
    </w:pPr>
    <w:rPr>
      <w:sz w:val="24"/>
      <w:szCs w:val="24"/>
      <w:lang w:eastAsia="ro-RO"/>
    </w:rPr>
  </w:style>
  <w:style w:type="paragraph" w:customStyle="1" w:styleId="modref">
    <w:name w:val="modref"/>
    <w:basedOn w:val="Normal"/>
    <w:rsid w:val="00A84A2B"/>
    <w:pPr>
      <w:spacing w:before="100" w:beforeAutospacing="1" w:after="100" w:afterAutospacing="1"/>
    </w:pPr>
    <w:rPr>
      <w:sz w:val="24"/>
      <w:szCs w:val="24"/>
      <w:lang w:eastAsia="ro-RO"/>
    </w:rPr>
  </w:style>
  <w:style w:type="paragraph" w:customStyle="1" w:styleId="title-annex-2">
    <w:name w:val="title-annex-2"/>
    <w:basedOn w:val="Normal"/>
    <w:rsid w:val="00A84A2B"/>
    <w:pPr>
      <w:spacing w:before="100" w:beforeAutospacing="1" w:after="100" w:afterAutospacing="1"/>
    </w:pPr>
    <w:rPr>
      <w:sz w:val="24"/>
      <w:szCs w:val="24"/>
      <w:lang w:eastAsia="ro-RO"/>
    </w:rPr>
  </w:style>
  <w:style w:type="paragraph" w:customStyle="1" w:styleId="title-gr-seq-level-1">
    <w:name w:val="title-gr-seq-level-1"/>
    <w:basedOn w:val="Normal"/>
    <w:rsid w:val="00A84A2B"/>
    <w:pPr>
      <w:spacing w:before="100" w:beforeAutospacing="1" w:after="100" w:afterAutospacing="1"/>
    </w:pPr>
    <w:rPr>
      <w:sz w:val="24"/>
      <w:szCs w:val="24"/>
      <w:lang w:eastAsia="ro-RO"/>
    </w:rPr>
  </w:style>
  <w:style w:type="paragraph" w:customStyle="1" w:styleId="title-gr-seq-level-2">
    <w:name w:val="title-gr-seq-level-2"/>
    <w:basedOn w:val="Normal"/>
    <w:rsid w:val="00A84A2B"/>
    <w:pPr>
      <w:spacing w:before="100" w:beforeAutospacing="1" w:after="100" w:afterAutospacing="1"/>
    </w:pPr>
    <w:rPr>
      <w:sz w:val="24"/>
      <w:szCs w:val="24"/>
      <w:lang w:eastAsia="ro-RO"/>
    </w:rPr>
  </w:style>
  <w:style w:type="paragraph" w:customStyle="1" w:styleId="title-gr-seq-level-3">
    <w:name w:val="title-gr-seq-level-3"/>
    <w:basedOn w:val="Normal"/>
    <w:rsid w:val="00A84A2B"/>
    <w:pPr>
      <w:spacing w:before="100" w:beforeAutospacing="1" w:after="100" w:afterAutospacing="1"/>
    </w:pPr>
    <w:rPr>
      <w:sz w:val="24"/>
      <w:szCs w:val="24"/>
      <w:lang w:eastAsia="ro-RO"/>
    </w:rPr>
  </w:style>
  <w:style w:type="paragraph" w:customStyle="1" w:styleId="List1">
    <w:name w:val="Listă1"/>
    <w:basedOn w:val="Normal"/>
    <w:rsid w:val="00A84A2B"/>
    <w:pPr>
      <w:spacing w:before="100" w:beforeAutospacing="1" w:after="100" w:afterAutospacing="1"/>
    </w:pPr>
    <w:rPr>
      <w:sz w:val="24"/>
      <w:szCs w:val="24"/>
      <w:lang w:eastAsia="ro-RO"/>
    </w:rPr>
  </w:style>
  <w:style w:type="character" w:customStyle="1" w:styleId="AntetCaracter">
    <w:name w:val="Antet Caracter"/>
    <w:basedOn w:val="Fontdeparagrafimplicit"/>
    <w:link w:val="Antet"/>
    <w:uiPriority w:val="99"/>
    <w:rsid w:val="005B679B"/>
    <w:rPr>
      <w:rFonts w:ascii="Times New Roman" w:eastAsia="Times New Roman" w:hAnsi="Times New Roman" w:cs="Times New Roman"/>
      <w:kern w:val="0"/>
      <w:sz w:val="20"/>
      <w:szCs w:val="20"/>
      <w:lang w:val="en-US"/>
    </w:rPr>
  </w:style>
  <w:style w:type="paragraph" w:styleId="Antet">
    <w:name w:val="header"/>
    <w:basedOn w:val="Normal"/>
    <w:link w:val="AntetCaracter"/>
    <w:uiPriority w:val="99"/>
    <w:unhideWhenUsed/>
    <w:rsid w:val="005B679B"/>
    <w:pPr>
      <w:tabs>
        <w:tab w:val="center" w:pos="4844"/>
        <w:tab w:val="right" w:pos="9689"/>
      </w:tabs>
      <w:spacing w:after="0"/>
      <w:ind w:firstLine="720"/>
      <w:jc w:val="both"/>
    </w:pPr>
    <w:rPr>
      <w:sz w:val="20"/>
      <w:szCs w:val="20"/>
      <w:lang w:val="en-US"/>
    </w:rPr>
  </w:style>
  <w:style w:type="character" w:customStyle="1" w:styleId="SubsolCaracter">
    <w:name w:val="Subsol Caracter"/>
    <w:basedOn w:val="Fontdeparagrafimplicit"/>
    <w:link w:val="Subsol"/>
    <w:uiPriority w:val="99"/>
    <w:rsid w:val="005B679B"/>
    <w:rPr>
      <w:rFonts w:ascii="Times New Roman" w:eastAsia="Times New Roman" w:hAnsi="Times New Roman" w:cs="Times New Roman"/>
      <w:kern w:val="0"/>
      <w:sz w:val="20"/>
      <w:szCs w:val="20"/>
      <w:lang w:val="en-US"/>
    </w:rPr>
  </w:style>
  <w:style w:type="paragraph" w:styleId="Subsol">
    <w:name w:val="footer"/>
    <w:basedOn w:val="Normal"/>
    <w:link w:val="SubsolCaracter"/>
    <w:uiPriority w:val="99"/>
    <w:unhideWhenUsed/>
    <w:rsid w:val="005B679B"/>
    <w:pPr>
      <w:tabs>
        <w:tab w:val="center" w:pos="4844"/>
        <w:tab w:val="right" w:pos="9689"/>
      </w:tabs>
      <w:spacing w:after="0"/>
      <w:ind w:firstLine="720"/>
      <w:jc w:val="both"/>
    </w:pPr>
    <w:rPr>
      <w:sz w:val="20"/>
      <w:szCs w:val="20"/>
      <w:lang w:val="en-US"/>
    </w:rPr>
  </w:style>
  <w:style w:type="paragraph" w:customStyle="1" w:styleId="doc-ti">
    <w:name w:val="doc-ti"/>
    <w:basedOn w:val="Normal"/>
    <w:rsid w:val="009022B4"/>
    <w:pPr>
      <w:spacing w:before="100" w:beforeAutospacing="1" w:after="100" w:afterAutospacing="1"/>
    </w:pPr>
    <w:rPr>
      <w:sz w:val="24"/>
      <w:szCs w:val="24"/>
      <w:lang w:val="ru-RU" w:eastAsia="ru-RU"/>
    </w:rPr>
  </w:style>
  <w:style w:type="paragraph" w:customStyle="1" w:styleId="1">
    <w:name w:val="Обычный1"/>
    <w:basedOn w:val="Normal"/>
    <w:rsid w:val="00C57D6B"/>
    <w:pPr>
      <w:spacing w:before="100" w:beforeAutospacing="1" w:after="100" w:afterAutospacing="1"/>
    </w:pPr>
    <w:rPr>
      <w:sz w:val="24"/>
      <w:szCs w:val="24"/>
      <w:lang w:val="ru-RU" w:eastAsia="ru-RU"/>
    </w:rPr>
  </w:style>
  <w:style w:type="paragraph" w:customStyle="1" w:styleId="ti-grseq-1">
    <w:name w:val="ti-grseq-1"/>
    <w:basedOn w:val="Normal"/>
    <w:rsid w:val="00C57D6B"/>
    <w:pPr>
      <w:spacing w:before="100" w:beforeAutospacing="1" w:after="100" w:afterAutospacing="1"/>
    </w:pPr>
    <w:rPr>
      <w:sz w:val="24"/>
      <w:szCs w:val="24"/>
      <w:lang w:val="ru-RU" w:eastAsia="ru-RU"/>
    </w:rPr>
  </w:style>
  <w:style w:type="paragraph" w:customStyle="1" w:styleId="footnote">
    <w:name w:val="footnote"/>
    <w:basedOn w:val="Normal"/>
    <w:rsid w:val="00C57D6B"/>
    <w:pPr>
      <w:spacing w:before="100" w:beforeAutospacing="1" w:after="100" w:afterAutospacing="1"/>
    </w:pPr>
    <w:rPr>
      <w:sz w:val="24"/>
      <w:szCs w:val="24"/>
    </w:rPr>
  </w:style>
  <w:style w:type="table" w:customStyle="1" w:styleId="TableNormal1">
    <w:name w:val="Table Normal1"/>
    <w:rsid w:val="00E22713"/>
    <w:pPr>
      <w:spacing w:after="200" w:line="276" w:lineRule="auto"/>
    </w:pPr>
    <w:rPr>
      <w:sz w:val="20"/>
      <w:szCs w:val="20"/>
      <w:lang w:val="ro-RO" w:eastAsia="ro-RO"/>
    </w:rPr>
    <w:tblPr>
      <w:tblCellMar>
        <w:top w:w="0" w:type="dxa"/>
        <w:left w:w="0" w:type="dxa"/>
        <w:bottom w:w="0" w:type="dxa"/>
        <w:right w:w="0" w:type="dxa"/>
      </w:tblCellMar>
    </w:tblPr>
  </w:style>
  <w:style w:type="character" w:styleId="Accentuat">
    <w:name w:val="Emphasis"/>
    <w:basedOn w:val="Fontdeparagrafimplicit"/>
    <w:uiPriority w:val="20"/>
    <w:qFormat/>
    <w:rsid w:val="00E22713"/>
    <w:rPr>
      <w:i/>
      <w:iCs/>
    </w:rPr>
  </w:style>
  <w:style w:type="character" w:styleId="Robust">
    <w:name w:val="Strong"/>
    <w:basedOn w:val="Fontdeparagrafimplicit"/>
    <w:uiPriority w:val="22"/>
    <w:qFormat/>
    <w:rsid w:val="00E22713"/>
    <w:rPr>
      <w:b/>
      <w:bCs/>
    </w:rPr>
  </w:style>
  <w:style w:type="paragraph" w:customStyle="1" w:styleId="stitle-article-norm">
    <w:name w:val="stitle-article-norm"/>
    <w:basedOn w:val="Normal"/>
    <w:rsid w:val="00D453E8"/>
    <w:pPr>
      <w:spacing w:before="100" w:beforeAutospacing="1" w:after="100" w:afterAutospacing="1"/>
    </w:pPr>
    <w:rPr>
      <w:sz w:val="24"/>
      <w:szCs w:val="24"/>
      <w:lang w:eastAsia="ro-RO"/>
    </w:rPr>
  </w:style>
  <w:style w:type="paragraph" w:customStyle="1" w:styleId="Normal1">
    <w:name w:val="Normal1"/>
    <w:basedOn w:val="Normal"/>
    <w:rsid w:val="00D453E8"/>
    <w:pPr>
      <w:spacing w:before="100" w:beforeAutospacing="1" w:after="100" w:afterAutospacing="1"/>
    </w:pPr>
    <w:rPr>
      <w:sz w:val="24"/>
      <w:szCs w:val="24"/>
      <w:lang w:val="ru-RU" w:eastAsia="ru-RU"/>
    </w:rPr>
  </w:style>
  <w:style w:type="paragraph" w:customStyle="1" w:styleId="title-division-1">
    <w:name w:val="title-division-1"/>
    <w:basedOn w:val="Normal"/>
    <w:rsid w:val="004F1B58"/>
    <w:pPr>
      <w:spacing w:before="100" w:beforeAutospacing="1" w:after="100" w:afterAutospacing="1"/>
    </w:pPr>
    <w:rPr>
      <w:sz w:val="24"/>
      <w:szCs w:val="24"/>
      <w:lang w:eastAsia="ro-RO"/>
    </w:rPr>
  </w:style>
  <w:style w:type="character" w:styleId="HyperlinkParcurs">
    <w:name w:val="FollowedHyperlink"/>
    <w:basedOn w:val="Fontdeparagrafimplicit"/>
    <w:uiPriority w:val="99"/>
    <w:semiHidden/>
    <w:unhideWhenUsed/>
    <w:rsid w:val="004F1B58"/>
    <w:rPr>
      <w:color w:val="800080"/>
      <w:u w:val="single"/>
    </w:rPr>
  </w:style>
  <w:style w:type="table" w:styleId="Tabelgril">
    <w:name w:val="Table Grid"/>
    <w:basedOn w:val="TabelNormal"/>
    <w:uiPriority w:val="59"/>
    <w:rsid w:val="004F1B58"/>
    <w:pPr>
      <w:spacing w:after="0"/>
    </w:pPr>
    <w:rPr>
      <w:rFonts w:ascii="Calibri" w:eastAsia="Calibri" w:hAnsi="Calibri"/>
      <w:sz w:val="20"/>
      <w:szCs w:val="20"/>
      <w:lang w:val="en-US"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rsid w:val="00D464B1"/>
    <w:pPr>
      <w:spacing w:after="0"/>
      <w:jc w:val="both"/>
    </w:pPr>
    <w:rPr>
      <w:sz w:val="24"/>
      <w:szCs w:val="24"/>
      <w:lang w:eastAsia="ru-RU"/>
    </w:rPr>
  </w:style>
  <w:style w:type="paragraph" w:customStyle="1" w:styleId="Normal20">
    <w:name w:val="Normal2"/>
    <w:basedOn w:val="Normal"/>
    <w:rsid w:val="00D464B1"/>
    <w:pPr>
      <w:spacing w:before="100" w:beforeAutospacing="1" w:after="100" w:afterAutospacing="1"/>
    </w:pPr>
    <w:rPr>
      <w:sz w:val="24"/>
      <w:szCs w:val="24"/>
      <w:lang w:val="ru-RU" w:eastAsia="ru-RU"/>
    </w:rPr>
  </w:style>
  <w:style w:type="paragraph" w:customStyle="1" w:styleId="oj-ti-art">
    <w:name w:val="oj-ti-art"/>
    <w:basedOn w:val="Normal"/>
    <w:uiPriority w:val="99"/>
    <w:rsid w:val="00D464B1"/>
    <w:pPr>
      <w:spacing w:before="100" w:beforeAutospacing="1" w:after="100" w:afterAutospacing="1"/>
    </w:pPr>
    <w:rPr>
      <w:sz w:val="24"/>
      <w:szCs w:val="24"/>
      <w:lang w:val="ru-RU" w:eastAsia="ru-RU"/>
    </w:rPr>
  </w:style>
  <w:style w:type="paragraph" w:customStyle="1" w:styleId="List3">
    <w:name w:val="Listă3"/>
    <w:basedOn w:val="Normal"/>
    <w:rsid w:val="00D464B1"/>
    <w:pPr>
      <w:spacing w:before="100" w:beforeAutospacing="1" w:after="100" w:afterAutospacing="1"/>
    </w:pPr>
    <w:rPr>
      <w:sz w:val="24"/>
      <w:szCs w:val="24"/>
      <w:lang w:val="ru-RU" w:eastAsia="ru-RU"/>
    </w:rPr>
  </w:style>
  <w:style w:type="paragraph" w:customStyle="1" w:styleId="TableParagraph">
    <w:name w:val="Table Paragraph"/>
    <w:basedOn w:val="Normal"/>
    <w:uiPriority w:val="1"/>
    <w:qFormat/>
    <w:rsid w:val="008E6C31"/>
    <w:pPr>
      <w:widowControl w:val="0"/>
      <w:autoSpaceDE w:val="0"/>
      <w:autoSpaceDN w:val="0"/>
      <w:spacing w:after="0"/>
    </w:pPr>
    <w:rPr>
      <w:sz w:val="22"/>
    </w:rPr>
  </w:style>
  <w:style w:type="paragraph" w:styleId="Subtitlu">
    <w:name w:val="Subtitle"/>
    <w:basedOn w:val="Normal"/>
    <w:next w:val="Normal"/>
    <w:link w:val="SubtitluCaracter"/>
    <w:uiPriority w:val="11"/>
    <w:qFormat/>
    <w:rPr>
      <w:rFonts w:ascii="Aptos" w:eastAsia="Aptos" w:hAnsi="Aptos" w:cs="Aptos"/>
      <w:color w:val="595959"/>
    </w:rPr>
  </w:style>
  <w:style w:type="table" w:customStyle="1" w:styleId="a">
    <w:basedOn w:val="Tabel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02023R0915-20230810" TargetMode="External"/><Relationship Id="rId13" Type="http://schemas.openxmlformats.org/officeDocument/2006/relationships/hyperlink" Target="https://eur-lex.europa.eu/legal-content/RO/TXT/HTML/?uri=CELEX:02023R0915-20230810" TargetMode="External"/><Relationship Id="rId3" Type="http://schemas.openxmlformats.org/officeDocument/2006/relationships/styles" Target="styles.xml"/><Relationship Id="rId7" Type="http://schemas.openxmlformats.org/officeDocument/2006/relationships/hyperlink" Target="https://eur-lex.europa.eu/legal-content/RO/TXT/HTML/?uri=CELEX:02023R0915-20230810" TargetMode="External"/><Relationship Id="rId12" Type="http://schemas.openxmlformats.org/officeDocument/2006/relationships/hyperlink" Target="https://eur-lex.europa.eu/legal-content/RO/TXT/HTML/?uri=CELEX:02023R0915-202308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ur-lex.europa.eu/legal-content/RO/TXT/HTML/?uri=CELEX:02023R0915-20230810" TargetMode="External"/><Relationship Id="rId11" Type="http://schemas.openxmlformats.org/officeDocument/2006/relationships/hyperlink" Target="https://eur-lex.europa.eu/legal-content/RO/TXT/HTML/?uri=CELEX:02023R0915-20230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RO/TXT/HTML/?uri=CELEX:02023R0915-20230810" TargetMode="External"/><Relationship Id="rId4" Type="http://schemas.openxmlformats.org/officeDocument/2006/relationships/settings" Target="settings.xml"/><Relationship Id="rId9" Type="http://schemas.openxmlformats.org/officeDocument/2006/relationships/hyperlink" Target="https://eur-lex.europa.eu/legal-content/RO/TXT/HTML/?uri=CELEX:02023R0915-20230810" TargetMode="External"/><Relationship Id="rId14" Type="http://schemas.openxmlformats.org/officeDocument/2006/relationships/hyperlink" Target="https://eur-lex.europa.eu/legal-content/RO/TXT/HTML/?uri=CELEX:02023R0915-2023081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b+d5OTrNq31Kn6caGUbMMourXQ==">CgMxLjAyDmgucHh1eXhkdmFidTB2OAByITFFRXE2VFZLb3B2S1o0YklLWUs5S2ZrMnl0eF9hbExvVA==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4800</Words>
  <Characters>27362</Characters>
  <Application>Microsoft Office Word</Application>
  <DocSecurity>0</DocSecurity>
  <Lines>228</Lines>
  <Paragraphs>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Violina Lungu</dc:creator>
  <cp:lastModifiedBy>Mihaela Popa</cp:lastModifiedBy>
  <cp:revision>2</cp:revision>
  <dcterms:created xsi:type="dcterms:W3CDTF">2026-02-09T20:29:00Z</dcterms:created>
  <dcterms:modified xsi:type="dcterms:W3CDTF">2026-03-16T19:40:00Z</dcterms:modified>
</cp:coreProperties>
</file>