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0411" w14:textId="77777777" w:rsidR="00342CCD" w:rsidRDefault="00E729E2">
      <w:pPr>
        <w:spacing w:after="0"/>
        <w:ind w:firstLine="709"/>
        <w:jc w:val="center"/>
        <w:rPr>
          <w:b/>
          <w:bCs/>
          <w:sz w:val="20"/>
          <w:szCs w:val="20"/>
        </w:rPr>
      </w:pPr>
      <w:r>
        <w:rPr>
          <w:b/>
          <w:bCs/>
          <w:sz w:val="20"/>
          <w:szCs w:val="20"/>
        </w:rPr>
        <w:t>TABEL DE CONCORDANȚĂ</w:t>
      </w:r>
    </w:p>
    <w:p w14:paraId="0B8ABF45" w14:textId="77777777" w:rsidR="00342CCD" w:rsidRDefault="00342CCD">
      <w:pPr>
        <w:spacing w:after="0"/>
        <w:ind w:firstLine="709"/>
        <w:jc w:val="both"/>
        <w:rPr>
          <w:b/>
          <w:bCs/>
          <w:sz w:val="20"/>
          <w:szCs w:val="20"/>
        </w:rPr>
      </w:pPr>
    </w:p>
    <w:tbl>
      <w:tblPr>
        <w:tblStyle w:val="a0"/>
        <w:tblW w:w="14540"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4577"/>
        <w:gridCol w:w="4394"/>
        <w:gridCol w:w="6"/>
        <w:gridCol w:w="2867"/>
        <w:gridCol w:w="6"/>
        <w:gridCol w:w="2289"/>
        <w:gridCol w:w="9"/>
      </w:tblGrid>
      <w:tr w:rsidR="00342CCD" w14:paraId="4E9B913B" w14:textId="77777777">
        <w:trPr>
          <w:gridAfter w:val="1"/>
          <w:wAfter w:w="9" w:type="dxa"/>
          <w:trHeight w:val="975"/>
        </w:trPr>
        <w:tc>
          <w:tcPr>
            <w:tcW w:w="392" w:type="dxa"/>
          </w:tcPr>
          <w:p w14:paraId="64D86B4B" w14:textId="77777777" w:rsidR="00342CCD" w:rsidRDefault="00E729E2">
            <w:pPr>
              <w:spacing w:after="0"/>
              <w:ind w:firstLine="22"/>
              <w:jc w:val="both"/>
              <w:rPr>
                <w:b/>
                <w:bCs/>
                <w:color w:val="0D0D0D"/>
                <w:sz w:val="20"/>
                <w:szCs w:val="20"/>
              </w:rPr>
            </w:pPr>
            <w:r>
              <w:rPr>
                <w:b/>
                <w:bCs/>
                <w:color w:val="0D0D0D"/>
                <w:sz w:val="20"/>
                <w:szCs w:val="20"/>
              </w:rPr>
              <w:t>1</w:t>
            </w:r>
          </w:p>
        </w:tc>
        <w:tc>
          <w:tcPr>
            <w:tcW w:w="14139" w:type="dxa"/>
            <w:gridSpan w:val="6"/>
          </w:tcPr>
          <w:p w14:paraId="5D99030C" w14:textId="77777777" w:rsidR="00342CCD" w:rsidRDefault="00E729E2">
            <w:pPr>
              <w:spacing w:after="0"/>
              <w:ind w:firstLine="22"/>
              <w:jc w:val="both"/>
              <w:rPr>
                <w:b/>
                <w:bCs/>
                <w:sz w:val="20"/>
                <w:szCs w:val="20"/>
              </w:rPr>
            </w:pPr>
            <w:r>
              <w:rPr>
                <w:b/>
                <w:bCs/>
                <w:sz w:val="20"/>
                <w:szCs w:val="20"/>
              </w:rPr>
              <w:t xml:space="preserve">Titlul actului UE, inclusiv cea mai recentă modificare, nr. CELEX </w:t>
            </w:r>
          </w:p>
          <w:p w14:paraId="5216C54A" w14:textId="77777777" w:rsidR="00342CCD" w:rsidRDefault="00E729E2">
            <w:pPr>
              <w:spacing w:after="0"/>
              <w:ind w:firstLine="22"/>
              <w:jc w:val="both"/>
              <w:rPr>
                <w:color w:val="0D0D0D"/>
                <w:sz w:val="20"/>
                <w:szCs w:val="20"/>
              </w:rPr>
            </w:pPr>
            <w:r>
              <w:rPr>
                <w:sz w:val="20"/>
                <w:szCs w:val="20"/>
                <w:highlight w:val="white"/>
              </w:rPr>
              <w:t xml:space="preserve">Regulamentul de punere în aplicare (UE) nr. 1321/2013 al Comisiei din 10 decembrie 2013 de stabilire a listei Uniunii cu produse primare autorizate pentru arome de fum, destinate utilizării ca atare în sau pe alimente și/sau pentru producerea de arome de fum derivate, JO L 333, 12.12.2013, p. 54–67, CELEX: 32013R1321, astfel cum a fost modificat ultima dată  prin Regulamentul de punere în aplicare (UE) 2024/2067 al Comisiei din 31 iulie 2024. </w:t>
            </w:r>
          </w:p>
        </w:tc>
      </w:tr>
      <w:tr w:rsidR="00342CCD" w14:paraId="2628CB31" w14:textId="77777777">
        <w:trPr>
          <w:gridAfter w:val="1"/>
          <w:wAfter w:w="9" w:type="dxa"/>
          <w:trHeight w:val="920"/>
        </w:trPr>
        <w:tc>
          <w:tcPr>
            <w:tcW w:w="392" w:type="dxa"/>
          </w:tcPr>
          <w:p w14:paraId="411F6D1C" w14:textId="77777777" w:rsidR="00342CCD" w:rsidRDefault="00E729E2">
            <w:pPr>
              <w:spacing w:after="0"/>
              <w:ind w:firstLine="22"/>
              <w:jc w:val="both"/>
              <w:rPr>
                <w:b/>
                <w:bCs/>
                <w:color w:val="0D0D0D"/>
                <w:sz w:val="20"/>
                <w:szCs w:val="20"/>
              </w:rPr>
            </w:pPr>
            <w:r>
              <w:rPr>
                <w:b/>
                <w:bCs/>
                <w:color w:val="0D0D0D"/>
                <w:sz w:val="20"/>
                <w:szCs w:val="20"/>
              </w:rPr>
              <w:t>2</w:t>
            </w:r>
          </w:p>
        </w:tc>
        <w:tc>
          <w:tcPr>
            <w:tcW w:w="14139" w:type="dxa"/>
            <w:gridSpan w:val="6"/>
          </w:tcPr>
          <w:p w14:paraId="6DA99B7E" w14:textId="77777777" w:rsidR="00342CCD" w:rsidRDefault="00E729E2">
            <w:pPr>
              <w:spacing w:after="0"/>
              <w:ind w:firstLine="22"/>
              <w:jc w:val="both"/>
              <w:rPr>
                <w:b/>
                <w:bCs/>
                <w:sz w:val="20"/>
                <w:szCs w:val="20"/>
              </w:rPr>
            </w:pPr>
            <w:r>
              <w:rPr>
                <w:b/>
                <w:bCs/>
                <w:sz w:val="20"/>
                <w:szCs w:val="20"/>
              </w:rPr>
              <w:t>Titlul proiectului de act normativ național</w:t>
            </w:r>
          </w:p>
          <w:p w14:paraId="1EBF2630" w14:textId="77777777" w:rsidR="00342CCD" w:rsidRDefault="00E729E2">
            <w:pPr>
              <w:spacing w:after="0"/>
              <w:ind w:firstLine="22"/>
              <w:jc w:val="both"/>
              <w:rPr>
                <w:color w:val="0D0D0D"/>
                <w:sz w:val="20"/>
                <w:szCs w:val="20"/>
              </w:rPr>
            </w:pPr>
            <w:r>
              <w:rPr>
                <w:sz w:val="20"/>
                <w:szCs w:val="20"/>
              </w:rPr>
              <w:t xml:space="preserve">Proiect de Hotărâre de Guvern cu privire la modificarea a Hotărârii Guvernului </w:t>
            </w:r>
            <w:r>
              <w:rPr>
                <w:b/>
                <w:bCs/>
                <w:sz w:val="20"/>
                <w:szCs w:val="20"/>
              </w:rPr>
              <w:t> </w:t>
            </w:r>
            <w:r>
              <w:rPr>
                <w:sz w:val="20"/>
                <w:szCs w:val="20"/>
              </w:rPr>
              <w:t>nr. 1245/2018</w:t>
            </w:r>
            <w:r>
              <w:rPr>
                <w:b/>
                <w:bCs/>
                <w:sz w:val="20"/>
                <w:szCs w:val="20"/>
              </w:rPr>
              <w:t xml:space="preserve"> </w:t>
            </w:r>
            <w:r>
              <w:rPr>
                <w:sz w:val="20"/>
                <w:szCs w:val="20"/>
              </w:rPr>
              <w:t>cu privire la aprobarea regulamentelor sanitare privind aromele şi anumite ingrediente alimentare cu proprietăţi aromatizante destinate utilizării în şi pe produsele alimentare și privind aromele de fum utilizate sau destinate utilizării în sau pe produsele alimentare, Anexa nr.2</w:t>
            </w:r>
          </w:p>
        </w:tc>
      </w:tr>
      <w:tr w:rsidR="00342CCD" w14:paraId="4D5B194A" w14:textId="77777777">
        <w:trPr>
          <w:gridAfter w:val="1"/>
          <w:wAfter w:w="9" w:type="dxa"/>
          <w:trHeight w:val="460"/>
        </w:trPr>
        <w:tc>
          <w:tcPr>
            <w:tcW w:w="392" w:type="dxa"/>
          </w:tcPr>
          <w:p w14:paraId="0607E2C8" w14:textId="77777777" w:rsidR="00342CCD" w:rsidRDefault="00E729E2">
            <w:pPr>
              <w:spacing w:after="0"/>
              <w:ind w:firstLine="22"/>
              <w:jc w:val="both"/>
              <w:rPr>
                <w:b/>
                <w:bCs/>
                <w:color w:val="0D0D0D"/>
                <w:sz w:val="20"/>
                <w:szCs w:val="20"/>
              </w:rPr>
            </w:pPr>
            <w:r>
              <w:rPr>
                <w:b/>
                <w:bCs/>
                <w:color w:val="0D0D0D"/>
                <w:sz w:val="20"/>
                <w:szCs w:val="20"/>
              </w:rPr>
              <w:t>3</w:t>
            </w:r>
          </w:p>
        </w:tc>
        <w:tc>
          <w:tcPr>
            <w:tcW w:w="14139" w:type="dxa"/>
            <w:gridSpan w:val="6"/>
          </w:tcPr>
          <w:p w14:paraId="7793CD2C" w14:textId="77777777" w:rsidR="00342CCD" w:rsidRDefault="00E729E2">
            <w:pPr>
              <w:spacing w:after="0"/>
              <w:ind w:firstLine="22"/>
              <w:jc w:val="both"/>
              <w:rPr>
                <w:b/>
                <w:bCs/>
                <w:sz w:val="20"/>
                <w:szCs w:val="20"/>
              </w:rPr>
            </w:pPr>
            <w:r>
              <w:rPr>
                <w:b/>
                <w:bCs/>
                <w:sz w:val="20"/>
                <w:szCs w:val="20"/>
              </w:rPr>
              <w:t>Gradul general de compatibilitate</w:t>
            </w:r>
          </w:p>
          <w:p w14:paraId="7C330BDD" w14:textId="77777777" w:rsidR="00342CCD" w:rsidRDefault="00E729E2">
            <w:pPr>
              <w:spacing w:after="0"/>
              <w:ind w:firstLine="22"/>
              <w:jc w:val="both"/>
              <w:rPr>
                <w:color w:val="0D0D0D"/>
                <w:sz w:val="20"/>
                <w:szCs w:val="20"/>
              </w:rPr>
            </w:pPr>
            <w:r>
              <w:rPr>
                <w:sz w:val="20"/>
                <w:szCs w:val="20"/>
              </w:rPr>
              <w:t xml:space="preserve">Compatibil </w:t>
            </w:r>
          </w:p>
        </w:tc>
      </w:tr>
      <w:tr w:rsidR="00342CCD" w14:paraId="5C964256" w14:textId="77777777">
        <w:trPr>
          <w:gridAfter w:val="1"/>
          <w:wAfter w:w="9" w:type="dxa"/>
          <w:trHeight w:val="702"/>
        </w:trPr>
        <w:tc>
          <w:tcPr>
            <w:tcW w:w="392" w:type="dxa"/>
          </w:tcPr>
          <w:p w14:paraId="3AE61D66" w14:textId="77777777" w:rsidR="00342CCD" w:rsidRDefault="00E729E2">
            <w:pPr>
              <w:spacing w:after="0"/>
              <w:ind w:firstLine="22"/>
              <w:jc w:val="both"/>
              <w:rPr>
                <w:b/>
                <w:bCs/>
                <w:color w:val="0D0D0D"/>
                <w:sz w:val="20"/>
                <w:szCs w:val="20"/>
              </w:rPr>
            </w:pPr>
            <w:r>
              <w:rPr>
                <w:b/>
                <w:bCs/>
                <w:color w:val="0D0D0D"/>
                <w:sz w:val="20"/>
                <w:szCs w:val="20"/>
              </w:rPr>
              <w:t>4</w:t>
            </w:r>
          </w:p>
        </w:tc>
        <w:tc>
          <w:tcPr>
            <w:tcW w:w="14139" w:type="dxa"/>
            <w:gridSpan w:val="6"/>
          </w:tcPr>
          <w:p w14:paraId="2902B303" w14:textId="77777777" w:rsidR="00342CCD" w:rsidRDefault="00E729E2">
            <w:pPr>
              <w:spacing w:after="0"/>
              <w:ind w:firstLine="22"/>
              <w:jc w:val="both"/>
              <w:rPr>
                <w:b/>
                <w:bCs/>
                <w:sz w:val="20"/>
                <w:szCs w:val="20"/>
              </w:rPr>
            </w:pPr>
            <w:r>
              <w:rPr>
                <w:b/>
                <w:bCs/>
                <w:sz w:val="20"/>
                <w:szCs w:val="20"/>
              </w:rPr>
              <w:t xml:space="preserve">Autoritatea/persoana responsabilă </w:t>
            </w:r>
          </w:p>
          <w:p w14:paraId="679A5593" w14:textId="77777777" w:rsidR="00342CCD" w:rsidRDefault="00E729E2">
            <w:pPr>
              <w:spacing w:after="0"/>
              <w:rPr>
                <w:sz w:val="20"/>
                <w:szCs w:val="20"/>
              </w:rPr>
            </w:pPr>
            <w:r>
              <w:rPr>
                <w:sz w:val="20"/>
                <w:szCs w:val="20"/>
              </w:rPr>
              <w:t>Mihaela Popa, Ministerul Sănătății, Direcția Politici de Sănătate Publică și Urgențe de Sănătate Publică</w:t>
            </w:r>
          </w:p>
          <w:p w14:paraId="26D1E04A" w14:textId="77777777" w:rsidR="00342CCD" w:rsidRDefault="00E729E2">
            <w:pPr>
              <w:spacing w:after="0"/>
              <w:rPr>
                <w:color w:val="0D0D0D"/>
                <w:sz w:val="20"/>
                <w:szCs w:val="20"/>
              </w:rPr>
            </w:pPr>
            <w:r>
              <w:rPr>
                <w:sz w:val="20"/>
                <w:szCs w:val="20"/>
              </w:rPr>
              <w:t>Vasile Odobescu,  Agenția Națională pentru Sănătate Publică</w:t>
            </w:r>
          </w:p>
        </w:tc>
      </w:tr>
      <w:tr w:rsidR="00342CCD" w14:paraId="04851DE4" w14:textId="77777777">
        <w:trPr>
          <w:gridAfter w:val="1"/>
          <w:wAfter w:w="9" w:type="dxa"/>
          <w:trHeight w:val="460"/>
        </w:trPr>
        <w:tc>
          <w:tcPr>
            <w:tcW w:w="392" w:type="dxa"/>
          </w:tcPr>
          <w:p w14:paraId="0B7BB3B7" w14:textId="77777777" w:rsidR="00342CCD" w:rsidRDefault="00E729E2">
            <w:pPr>
              <w:spacing w:after="0"/>
              <w:ind w:firstLine="22"/>
              <w:jc w:val="both"/>
              <w:rPr>
                <w:b/>
                <w:bCs/>
                <w:color w:val="0D0D0D"/>
                <w:sz w:val="20"/>
                <w:szCs w:val="20"/>
              </w:rPr>
            </w:pPr>
            <w:r>
              <w:rPr>
                <w:b/>
                <w:bCs/>
                <w:color w:val="0D0D0D"/>
                <w:sz w:val="20"/>
                <w:szCs w:val="20"/>
              </w:rPr>
              <w:t>5</w:t>
            </w:r>
          </w:p>
        </w:tc>
        <w:tc>
          <w:tcPr>
            <w:tcW w:w="14139" w:type="dxa"/>
            <w:gridSpan w:val="6"/>
          </w:tcPr>
          <w:p w14:paraId="23AA181F" w14:textId="77777777" w:rsidR="00342CCD" w:rsidRDefault="00E729E2">
            <w:pPr>
              <w:spacing w:after="0"/>
              <w:ind w:firstLine="22"/>
              <w:jc w:val="both"/>
              <w:rPr>
                <w:b/>
                <w:bCs/>
                <w:sz w:val="20"/>
                <w:szCs w:val="20"/>
              </w:rPr>
            </w:pPr>
            <w:r>
              <w:rPr>
                <w:b/>
                <w:bCs/>
                <w:sz w:val="20"/>
                <w:szCs w:val="20"/>
              </w:rPr>
              <w:t>Data întocmirii/actualizării</w:t>
            </w:r>
          </w:p>
          <w:p w14:paraId="4F6C3048" w14:textId="77777777" w:rsidR="00342CCD" w:rsidRDefault="00E729E2">
            <w:pPr>
              <w:spacing w:after="0"/>
              <w:ind w:firstLine="22"/>
              <w:jc w:val="both"/>
              <w:rPr>
                <w:b/>
                <w:bCs/>
                <w:color w:val="0D0D0D"/>
                <w:sz w:val="20"/>
                <w:szCs w:val="20"/>
              </w:rPr>
            </w:pPr>
            <w:r>
              <w:rPr>
                <w:b/>
                <w:bCs/>
                <w:color w:val="0D0D0D"/>
                <w:sz w:val="20"/>
                <w:szCs w:val="20"/>
              </w:rPr>
              <w:t>09.02.2026</w:t>
            </w:r>
          </w:p>
        </w:tc>
      </w:tr>
      <w:tr w:rsidR="00342CCD" w14:paraId="59252B38" w14:textId="77777777">
        <w:trPr>
          <w:gridAfter w:val="1"/>
          <w:wAfter w:w="9" w:type="dxa"/>
          <w:trHeight w:val="460"/>
          <w:tblHeader/>
        </w:trPr>
        <w:tc>
          <w:tcPr>
            <w:tcW w:w="4969" w:type="dxa"/>
            <w:gridSpan w:val="2"/>
            <w:tcBorders>
              <w:top w:val="single" w:sz="4" w:space="0" w:color="000000"/>
              <w:left w:val="single" w:sz="4" w:space="0" w:color="000000"/>
              <w:bottom w:val="single" w:sz="4" w:space="0" w:color="000000"/>
              <w:right w:val="single" w:sz="4" w:space="0" w:color="000000"/>
            </w:tcBorders>
          </w:tcPr>
          <w:p w14:paraId="01D85E3E" w14:textId="77777777" w:rsidR="00342CCD" w:rsidRDefault="00E729E2">
            <w:pPr>
              <w:spacing w:after="0"/>
              <w:ind w:firstLine="22"/>
              <w:jc w:val="center"/>
              <w:rPr>
                <w:b/>
                <w:bCs/>
                <w:color w:val="0D0D0D"/>
                <w:sz w:val="20"/>
                <w:szCs w:val="20"/>
              </w:rPr>
            </w:pPr>
            <w:r>
              <w:rPr>
                <w:b/>
                <w:bCs/>
                <w:color w:val="0D0D0D"/>
                <w:sz w:val="20"/>
                <w:szCs w:val="20"/>
              </w:rPr>
              <w:t>Actul Uniunii Europene</w:t>
            </w:r>
          </w:p>
          <w:p w14:paraId="64A41CA7" w14:textId="77777777" w:rsidR="00342CCD" w:rsidRDefault="00E729E2">
            <w:pPr>
              <w:tabs>
                <w:tab w:val="left" w:pos="1091"/>
              </w:tabs>
              <w:spacing w:after="0"/>
              <w:jc w:val="center"/>
              <w:rPr>
                <w:b/>
                <w:bCs/>
                <w:sz w:val="20"/>
                <w:szCs w:val="20"/>
              </w:rPr>
            </w:pPr>
            <w:r>
              <w:rPr>
                <w:b/>
                <w:bCs/>
                <w:color w:val="0D0D0D"/>
                <w:sz w:val="20"/>
                <w:szCs w:val="20"/>
              </w:rPr>
              <w:t>6</w:t>
            </w:r>
          </w:p>
        </w:tc>
        <w:tc>
          <w:tcPr>
            <w:tcW w:w="4394" w:type="dxa"/>
            <w:tcBorders>
              <w:top w:val="single" w:sz="4" w:space="0" w:color="000000"/>
              <w:left w:val="single" w:sz="4" w:space="0" w:color="000000"/>
              <w:bottom w:val="single" w:sz="4" w:space="0" w:color="000000"/>
              <w:right w:val="single" w:sz="4" w:space="0" w:color="000000"/>
            </w:tcBorders>
          </w:tcPr>
          <w:p w14:paraId="06EC325A" w14:textId="77777777" w:rsidR="00342CCD" w:rsidRDefault="00E729E2">
            <w:pPr>
              <w:spacing w:after="0"/>
              <w:ind w:firstLine="22"/>
              <w:jc w:val="center"/>
              <w:rPr>
                <w:b/>
                <w:bCs/>
                <w:color w:val="0D0D0D"/>
                <w:sz w:val="20"/>
                <w:szCs w:val="20"/>
              </w:rPr>
            </w:pPr>
            <w:r>
              <w:rPr>
                <w:b/>
                <w:bCs/>
                <w:color w:val="0D0D0D"/>
                <w:sz w:val="20"/>
                <w:szCs w:val="20"/>
              </w:rPr>
              <w:t>Proiectul de act normativ național</w:t>
            </w:r>
          </w:p>
          <w:p w14:paraId="2E545E98" w14:textId="77777777" w:rsidR="00342CCD" w:rsidRDefault="00E729E2">
            <w:pPr>
              <w:tabs>
                <w:tab w:val="left" w:pos="1091"/>
              </w:tabs>
              <w:spacing w:after="0"/>
              <w:jc w:val="center"/>
              <w:rPr>
                <w:b/>
                <w:bCs/>
                <w:sz w:val="20"/>
                <w:szCs w:val="20"/>
              </w:rPr>
            </w:pPr>
            <w:r>
              <w:rPr>
                <w:b/>
                <w:bCs/>
                <w:color w:val="0D0D0D"/>
                <w:sz w:val="20"/>
                <w:szCs w:val="20"/>
              </w:rPr>
              <w:t>7</w:t>
            </w:r>
          </w:p>
        </w:tc>
        <w:tc>
          <w:tcPr>
            <w:tcW w:w="2873" w:type="dxa"/>
            <w:gridSpan w:val="2"/>
            <w:tcBorders>
              <w:top w:val="single" w:sz="4" w:space="0" w:color="000000"/>
              <w:left w:val="single" w:sz="4" w:space="0" w:color="000000"/>
              <w:bottom w:val="single" w:sz="4" w:space="0" w:color="000000"/>
              <w:right w:val="single" w:sz="4" w:space="0" w:color="000000"/>
            </w:tcBorders>
          </w:tcPr>
          <w:p w14:paraId="75BDB406" w14:textId="77777777" w:rsidR="00342CCD" w:rsidRDefault="00E729E2">
            <w:pPr>
              <w:spacing w:after="0"/>
              <w:ind w:firstLine="22"/>
              <w:jc w:val="center"/>
              <w:rPr>
                <w:b/>
                <w:bCs/>
                <w:color w:val="0D0D0D"/>
                <w:sz w:val="20"/>
                <w:szCs w:val="20"/>
              </w:rPr>
            </w:pPr>
            <w:r>
              <w:rPr>
                <w:b/>
                <w:bCs/>
                <w:color w:val="0D0D0D"/>
                <w:sz w:val="20"/>
                <w:szCs w:val="20"/>
              </w:rPr>
              <w:t>Gradul de compatibilitate</w:t>
            </w:r>
          </w:p>
          <w:p w14:paraId="09B03CF9" w14:textId="77777777" w:rsidR="00342CCD" w:rsidRDefault="00E729E2">
            <w:pPr>
              <w:tabs>
                <w:tab w:val="left" w:pos="1091"/>
              </w:tabs>
              <w:spacing w:after="0"/>
              <w:jc w:val="center"/>
              <w:rPr>
                <w:b/>
                <w:bCs/>
                <w:sz w:val="20"/>
                <w:szCs w:val="20"/>
              </w:rPr>
            </w:pPr>
            <w:r>
              <w:rPr>
                <w:b/>
                <w:bCs/>
                <w:color w:val="0D0D0D"/>
                <w:sz w:val="20"/>
                <w:szCs w:val="20"/>
              </w:rPr>
              <w:t>8</w:t>
            </w:r>
          </w:p>
        </w:tc>
        <w:tc>
          <w:tcPr>
            <w:tcW w:w="2295" w:type="dxa"/>
            <w:gridSpan w:val="2"/>
            <w:tcBorders>
              <w:top w:val="single" w:sz="4" w:space="0" w:color="000000"/>
              <w:left w:val="single" w:sz="4" w:space="0" w:color="000000"/>
              <w:bottom w:val="single" w:sz="4" w:space="0" w:color="000000"/>
              <w:right w:val="single" w:sz="4" w:space="0" w:color="000000"/>
            </w:tcBorders>
          </w:tcPr>
          <w:p w14:paraId="491FDA6C" w14:textId="77777777" w:rsidR="00342CCD" w:rsidRDefault="00E729E2">
            <w:pPr>
              <w:spacing w:after="0"/>
              <w:ind w:firstLine="22"/>
              <w:jc w:val="center"/>
              <w:rPr>
                <w:b/>
                <w:bCs/>
                <w:color w:val="0D0D0D"/>
                <w:sz w:val="20"/>
                <w:szCs w:val="20"/>
              </w:rPr>
            </w:pPr>
            <w:r>
              <w:rPr>
                <w:b/>
                <w:bCs/>
                <w:color w:val="0D0D0D"/>
                <w:sz w:val="20"/>
                <w:szCs w:val="20"/>
              </w:rPr>
              <w:t>Observații</w:t>
            </w:r>
          </w:p>
          <w:p w14:paraId="660B4363" w14:textId="77777777" w:rsidR="00342CCD" w:rsidRDefault="00E729E2">
            <w:pPr>
              <w:tabs>
                <w:tab w:val="left" w:pos="1091"/>
              </w:tabs>
              <w:spacing w:after="0"/>
              <w:jc w:val="center"/>
              <w:rPr>
                <w:b/>
                <w:bCs/>
                <w:sz w:val="20"/>
                <w:szCs w:val="20"/>
              </w:rPr>
            </w:pPr>
            <w:r>
              <w:rPr>
                <w:b/>
                <w:bCs/>
                <w:color w:val="0D0D0D"/>
                <w:sz w:val="20"/>
                <w:szCs w:val="20"/>
              </w:rPr>
              <w:t>9</w:t>
            </w:r>
          </w:p>
        </w:tc>
      </w:tr>
      <w:tr w:rsidR="00342CCD" w14:paraId="0ED3D9F1" w14:textId="77777777">
        <w:trPr>
          <w:gridAfter w:val="1"/>
          <w:wAfter w:w="9" w:type="dxa"/>
          <w:trHeight w:val="205"/>
        </w:trPr>
        <w:tc>
          <w:tcPr>
            <w:tcW w:w="4969" w:type="dxa"/>
            <w:gridSpan w:val="2"/>
          </w:tcPr>
          <w:p w14:paraId="01F7DFA9" w14:textId="77777777" w:rsidR="00342CCD" w:rsidRDefault="00E729E2">
            <w:pPr>
              <w:pBdr>
                <w:top w:val="nil"/>
                <w:left w:val="nil"/>
                <w:bottom w:val="nil"/>
                <w:right w:val="nil"/>
                <w:between w:val="nil"/>
              </w:pBdr>
              <w:shd w:val="clear" w:color="auto" w:fill="FFFFFF"/>
              <w:spacing w:after="0"/>
              <w:jc w:val="center"/>
              <w:rPr>
                <w:i/>
                <w:iCs/>
                <w:color w:val="333333"/>
                <w:sz w:val="18"/>
                <w:szCs w:val="18"/>
              </w:rPr>
            </w:pPr>
            <w:r>
              <w:rPr>
                <w:i/>
                <w:iCs/>
                <w:color w:val="333333"/>
                <w:sz w:val="18"/>
                <w:szCs w:val="18"/>
              </w:rPr>
              <w:t>Articolul 1</w:t>
            </w:r>
          </w:p>
          <w:p w14:paraId="1D4C017B" w14:textId="77777777" w:rsidR="00342CCD" w:rsidRDefault="00E729E2">
            <w:pPr>
              <w:pBdr>
                <w:top w:val="nil"/>
                <w:left w:val="nil"/>
                <w:bottom w:val="nil"/>
                <w:right w:val="nil"/>
                <w:between w:val="nil"/>
              </w:pBdr>
              <w:shd w:val="clear" w:color="auto" w:fill="FFFFFF"/>
              <w:spacing w:after="0"/>
              <w:jc w:val="both"/>
              <w:rPr>
                <w:color w:val="333333"/>
                <w:sz w:val="20"/>
                <w:szCs w:val="20"/>
              </w:rPr>
            </w:pPr>
            <w:r>
              <w:rPr>
                <w:color w:val="333333"/>
                <w:sz w:val="18"/>
                <w:szCs w:val="18"/>
              </w:rPr>
              <w:t>Lista de produse primare de arome de fum autorizate în Uniune, toate celelalte fiind excluse, în vederea utilizării în sau pe produsele alimentare și/sau pentru producerea aromelor de fum derivate, astfel cum se prevede la articolul 6 din Regulamentul (CE) nr. 2065/2003, este prezentată în anexa la prezentul regulament.</w:t>
            </w:r>
          </w:p>
        </w:tc>
        <w:tc>
          <w:tcPr>
            <w:tcW w:w="4394" w:type="dxa"/>
          </w:tcPr>
          <w:p w14:paraId="07E1902D" w14:textId="2D5C2F42" w:rsidR="00342CCD" w:rsidRPr="00AD420F" w:rsidRDefault="00D21C55" w:rsidP="00D21C55">
            <w:pPr>
              <w:tabs>
                <w:tab w:val="left" w:pos="1091"/>
              </w:tabs>
              <w:spacing w:after="0"/>
              <w:jc w:val="both"/>
              <w:rPr>
                <w:b/>
                <w:bCs/>
                <w:sz w:val="22"/>
                <w:szCs w:val="22"/>
              </w:rPr>
            </w:pPr>
            <w:r w:rsidRPr="00AD420F">
              <w:rPr>
                <w:color w:val="000000"/>
                <w:sz w:val="22"/>
                <w:szCs w:val="22"/>
                <w:lang w:val="it-IT"/>
              </w:rPr>
              <w:t xml:space="preserve">11. </w:t>
            </w:r>
            <w:r w:rsidRPr="00AD420F">
              <w:rPr>
                <w:color w:val="000000"/>
                <w:sz w:val="22"/>
                <w:szCs w:val="22"/>
              </w:rPr>
              <w:t xml:space="preserve">Lista  produselor primare </w:t>
            </w:r>
            <w:r w:rsidRPr="00AD420F">
              <w:rPr>
                <w:color w:val="000000"/>
                <w:sz w:val="22"/>
                <w:szCs w:val="22"/>
                <w:lang w:val="it-IT" w:eastAsia="ru-RU"/>
              </w:rPr>
              <w:t>de arome de fum permise pentru utilizarea ca atare în sau pe produsele alimentare și/sau pentru producerea aromelor de fum derivate este prezentată în anexa nr.2.</w:t>
            </w:r>
          </w:p>
        </w:tc>
        <w:tc>
          <w:tcPr>
            <w:tcW w:w="2873" w:type="dxa"/>
            <w:gridSpan w:val="2"/>
            <w:vAlign w:val="center"/>
          </w:tcPr>
          <w:p w14:paraId="7364B336" w14:textId="1314D9B1" w:rsidR="00342CCD" w:rsidRDefault="00D21C55">
            <w:pPr>
              <w:tabs>
                <w:tab w:val="left" w:pos="1091"/>
              </w:tabs>
              <w:spacing w:after="0"/>
              <w:jc w:val="center"/>
              <w:rPr>
                <w:b/>
                <w:bCs/>
                <w:sz w:val="20"/>
                <w:szCs w:val="20"/>
              </w:rPr>
            </w:pPr>
            <w:r>
              <w:rPr>
                <w:b/>
                <w:bCs/>
                <w:sz w:val="20"/>
                <w:szCs w:val="20"/>
              </w:rPr>
              <w:t>Compatibil</w:t>
            </w:r>
          </w:p>
        </w:tc>
        <w:tc>
          <w:tcPr>
            <w:tcW w:w="2295" w:type="dxa"/>
            <w:gridSpan w:val="2"/>
            <w:vAlign w:val="center"/>
          </w:tcPr>
          <w:p w14:paraId="793C068A" w14:textId="77777777" w:rsidR="00342CCD" w:rsidRDefault="00342CCD">
            <w:pPr>
              <w:tabs>
                <w:tab w:val="left" w:pos="1091"/>
              </w:tabs>
              <w:spacing w:after="0"/>
              <w:jc w:val="center"/>
              <w:rPr>
                <w:sz w:val="20"/>
                <w:szCs w:val="20"/>
              </w:rPr>
            </w:pPr>
          </w:p>
        </w:tc>
      </w:tr>
      <w:tr w:rsidR="00342CCD" w14:paraId="459CC99B" w14:textId="77777777">
        <w:trPr>
          <w:gridAfter w:val="1"/>
          <w:wAfter w:w="9" w:type="dxa"/>
          <w:trHeight w:val="859"/>
        </w:trPr>
        <w:tc>
          <w:tcPr>
            <w:tcW w:w="4969" w:type="dxa"/>
            <w:gridSpan w:val="2"/>
          </w:tcPr>
          <w:p w14:paraId="705CA520" w14:textId="77777777" w:rsidR="00342CCD" w:rsidRDefault="00E729E2">
            <w:pPr>
              <w:pBdr>
                <w:top w:val="nil"/>
                <w:left w:val="nil"/>
                <w:bottom w:val="nil"/>
                <w:right w:val="nil"/>
                <w:between w:val="nil"/>
              </w:pBdr>
              <w:shd w:val="clear" w:color="auto" w:fill="FFFFFF"/>
              <w:spacing w:after="0"/>
              <w:jc w:val="center"/>
              <w:rPr>
                <w:i/>
                <w:iCs/>
                <w:color w:val="333333"/>
                <w:sz w:val="18"/>
                <w:szCs w:val="18"/>
              </w:rPr>
            </w:pPr>
            <w:r>
              <w:rPr>
                <w:i/>
                <w:iCs/>
                <w:color w:val="333333"/>
                <w:sz w:val="18"/>
                <w:szCs w:val="18"/>
              </w:rPr>
              <w:t>Articolul 2</w:t>
            </w:r>
          </w:p>
          <w:p w14:paraId="2D37ADC5" w14:textId="77777777" w:rsidR="00342CCD" w:rsidRDefault="00E729E2">
            <w:pPr>
              <w:pBdr>
                <w:top w:val="nil"/>
                <w:left w:val="nil"/>
                <w:bottom w:val="nil"/>
                <w:right w:val="nil"/>
                <w:between w:val="nil"/>
              </w:pBdr>
              <w:shd w:val="clear" w:color="auto" w:fill="FFFFFF"/>
              <w:spacing w:after="0"/>
              <w:jc w:val="both"/>
              <w:rPr>
                <w:color w:val="333333"/>
                <w:sz w:val="18"/>
                <w:szCs w:val="18"/>
              </w:rPr>
            </w:pPr>
            <w:r>
              <w:rPr>
                <w:color w:val="333333"/>
                <w:sz w:val="18"/>
                <w:szCs w:val="18"/>
              </w:rPr>
              <w:t>Prezentul regulament intră în vigoare în a douăzecea zi de la data publicării în </w:t>
            </w:r>
            <w:r>
              <w:rPr>
                <w:i/>
                <w:iCs/>
                <w:color w:val="333333"/>
                <w:sz w:val="18"/>
                <w:szCs w:val="18"/>
              </w:rPr>
              <w:t>Jurnalul Oficial al Uniunii Europene</w:t>
            </w:r>
            <w:r>
              <w:rPr>
                <w:color w:val="333333"/>
                <w:sz w:val="18"/>
                <w:szCs w:val="18"/>
              </w:rPr>
              <w:t>.</w:t>
            </w:r>
          </w:p>
          <w:p w14:paraId="4C121CD5" w14:textId="77777777" w:rsidR="00342CCD" w:rsidRDefault="00E729E2">
            <w:pPr>
              <w:pBdr>
                <w:top w:val="nil"/>
                <w:left w:val="nil"/>
                <w:bottom w:val="nil"/>
                <w:right w:val="nil"/>
                <w:between w:val="nil"/>
              </w:pBdr>
              <w:shd w:val="clear" w:color="auto" w:fill="FFFFFF"/>
              <w:spacing w:after="0"/>
              <w:jc w:val="both"/>
              <w:rPr>
                <w:color w:val="333333"/>
                <w:sz w:val="18"/>
                <w:szCs w:val="18"/>
              </w:rPr>
            </w:pPr>
            <w:r>
              <w:rPr>
                <w:color w:val="333333"/>
                <w:sz w:val="18"/>
                <w:szCs w:val="18"/>
              </w:rPr>
              <w:t>Lista de arome de fum autorizate intră în vigoare la 1 ianuarie 2014.</w:t>
            </w:r>
          </w:p>
          <w:p w14:paraId="6DE8EF0B" w14:textId="77777777" w:rsidR="00342CCD" w:rsidRDefault="00E729E2">
            <w:pPr>
              <w:pBdr>
                <w:top w:val="nil"/>
                <w:left w:val="nil"/>
                <w:bottom w:val="nil"/>
                <w:right w:val="nil"/>
                <w:between w:val="nil"/>
              </w:pBdr>
              <w:shd w:val="clear" w:color="auto" w:fill="FFFFFF"/>
              <w:spacing w:after="0"/>
              <w:jc w:val="both"/>
              <w:rPr>
                <w:color w:val="333333"/>
                <w:sz w:val="20"/>
                <w:szCs w:val="20"/>
              </w:rPr>
            </w:pPr>
            <w:r>
              <w:rPr>
                <w:color w:val="333333"/>
                <w:sz w:val="18"/>
                <w:szCs w:val="18"/>
              </w:rPr>
              <w:t>Prezentul regulament este obligatoriu în toate elementele sale și se aplică direct în toate statele membre.</w:t>
            </w:r>
          </w:p>
        </w:tc>
        <w:tc>
          <w:tcPr>
            <w:tcW w:w="4394" w:type="dxa"/>
          </w:tcPr>
          <w:p w14:paraId="1C2766C5" w14:textId="77777777" w:rsidR="00342CCD" w:rsidRDefault="00342CCD">
            <w:pPr>
              <w:tabs>
                <w:tab w:val="left" w:pos="1091"/>
              </w:tabs>
              <w:spacing w:after="0"/>
              <w:rPr>
                <w:b/>
                <w:bCs/>
                <w:sz w:val="20"/>
                <w:szCs w:val="20"/>
              </w:rPr>
            </w:pPr>
          </w:p>
        </w:tc>
        <w:tc>
          <w:tcPr>
            <w:tcW w:w="2873" w:type="dxa"/>
            <w:gridSpan w:val="2"/>
            <w:vAlign w:val="center"/>
          </w:tcPr>
          <w:p w14:paraId="2E9E4B17" w14:textId="77777777" w:rsidR="00342CCD" w:rsidRDefault="00E729E2">
            <w:pPr>
              <w:tabs>
                <w:tab w:val="left" w:pos="1091"/>
              </w:tabs>
              <w:spacing w:after="0"/>
              <w:jc w:val="center"/>
              <w:rPr>
                <w:b/>
                <w:bCs/>
                <w:sz w:val="20"/>
                <w:szCs w:val="20"/>
              </w:rPr>
            </w:pPr>
            <w:r>
              <w:rPr>
                <w:b/>
                <w:bCs/>
                <w:sz w:val="20"/>
                <w:szCs w:val="20"/>
              </w:rPr>
              <w:t>Norme UE neaplicabile</w:t>
            </w:r>
          </w:p>
        </w:tc>
        <w:tc>
          <w:tcPr>
            <w:tcW w:w="2295" w:type="dxa"/>
            <w:gridSpan w:val="2"/>
            <w:vAlign w:val="center"/>
          </w:tcPr>
          <w:p w14:paraId="09B37BB0" w14:textId="77777777" w:rsidR="00342CCD" w:rsidRDefault="00342CCD">
            <w:pPr>
              <w:tabs>
                <w:tab w:val="left" w:pos="1091"/>
              </w:tabs>
              <w:spacing w:after="0"/>
              <w:jc w:val="center"/>
              <w:rPr>
                <w:sz w:val="20"/>
                <w:szCs w:val="20"/>
              </w:rPr>
            </w:pPr>
          </w:p>
        </w:tc>
      </w:tr>
      <w:tr w:rsidR="00342CCD" w14:paraId="4B9ED411" w14:textId="77777777">
        <w:trPr>
          <w:trHeight w:val="60"/>
        </w:trPr>
        <w:tc>
          <w:tcPr>
            <w:tcW w:w="4969" w:type="dxa"/>
            <w:gridSpan w:val="2"/>
            <w:tcBorders>
              <w:bottom w:val="single" w:sz="4" w:space="0" w:color="000000"/>
            </w:tcBorders>
          </w:tcPr>
          <w:p w14:paraId="2AEF21C4" w14:textId="77777777" w:rsidR="00342CCD" w:rsidRDefault="00E729E2">
            <w:pPr>
              <w:pBdr>
                <w:top w:val="nil"/>
                <w:left w:val="nil"/>
                <w:bottom w:val="nil"/>
                <w:right w:val="nil"/>
                <w:between w:val="nil"/>
              </w:pBdr>
              <w:shd w:val="clear" w:color="auto" w:fill="FFFFFF"/>
              <w:spacing w:after="0"/>
              <w:jc w:val="center"/>
              <w:rPr>
                <w:i/>
                <w:iCs/>
                <w:color w:val="333333"/>
                <w:sz w:val="18"/>
                <w:szCs w:val="18"/>
              </w:rPr>
            </w:pPr>
            <w:r>
              <w:rPr>
                <w:i/>
                <w:iCs/>
                <w:color w:val="333333"/>
                <w:sz w:val="18"/>
                <w:szCs w:val="18"/>
              </w:rPr>
              <w:t>ANEXĂ</w:t>
            </w:r>
          </w:p>
          <w:p w14:paraId="32EF299B" w14:textId="77777777" w:rsidR="00342CCD" w:rsidRDefault="00E729E2">
            <w:pPr>
              <w:pBdr>
                <w:top w:val="nil"/>
                <w:left w:val="nil"/>
                <w:bottom w:val="nil"/>
                <w:right w:val="nil"/>
                <w:between w:val="nil"/>
              </w:pBdr>
              <w:shd w:val="clear" w:color="auto" w:fill="FFFFFF"/>
              <w:spacing w:after="0"/>
              <w:rPr>
                <w:b/>
                <w:bCs/>
                <w:color w:val="333333"/>
                <w:sz w:val="18"/>
                <w:szCs w:val="18"/>
              </w:rPr>
            </w:pPr>
            <w:r>
              <w:rPr>
                <w:b/>
                <w:bCs/>
                <w:color w:val="333333"/>
                <w:sz w:val="18"/>
                <w:szCs w:val="18"/>
              </w:rPr>
              <w:t>Lista Uniunii de produse primare de arome de fum autorizate pentru utilizarea ca atare în sau pe produsele alimentare și/sau pentru producerea aromelor de fum derivate</w:t>
            </w:r>
          </w:p>
          <w:p w14:paraId="1C1BEB23" w14:textId="77777777" w:rsidR="00342CCD" w:rsidRDefault="00E729E2">
            <w:pPr>
              <w:shd w:val="clear" w:color="auto" w:fill="FFFFFF"/>
              <w:spacing w:after="0"/>
              <w:jc w:val="both"/>
              <w:rPr>
                <w:b/>
                <w:bCs/>
                <w:color w:val="333333"/>
                <w:sz w:val="20"/>
                <w:szCs w:val="20"/>
              </w:rPr>
            </w:pPr>
            <w:r>
              <w:rPr>
                <w:b/>
                <w:bCs/>
                <w:color w:val="333333"/>
                <w:sz w:val="20"/>
                <w:szCs w:val="20"/>
              </w:rPr>
              <w:t>Lista Uniunii de produse primare de arome de fum autorizate pentru utilizarea ca atare în sau pe produsele alimentare și/sau pentru producerea aromelor de fum derivate</w:t>
            </w:r>
          </w:p>
          <w:p w14:paraId="761870A8" w14:textId="77777777" w:rsidR="00342CCD" w:rsidRDefault="00E729E2">
            <w:pPr>
              <w:shd w:val="clear" w:color="auto" w:fill="FFFFFF"/>
              <w:spacing w:after="0"/>
              <w:jc w:val="both"/>
              <w:rPr>
                <w:color w:val="333333"/>
                <w:sz w:val="20"/>
                <w:szCs w:val="20"/>
              </w:rPr>
            </w:pPr>
            <w:r>
              <w:rPr>
                <w:i/>
                <w:iCs/>
                <w:color w:val="333333"/>
                <w:sz w:val="20"/>
                <w:szCs w:val="20"/>
              </w:rPr>
              <w:lastRenderedPageBreak/>
              <w:t>Nota 1:</w:t>
            </w:r>
            <w:r>
              <w:rPr>
                <w:color w:val="333333"/>
                <w:sz w:val="20"/>
                <w:szCs w:val="20"/>
              </w:rPr>
              <w:t xml:space="preserve">  Nivelurile maxime se referă la nivelurile prezente în sau pe alimente, în forma în care sunt comercializate. Prin derogare de la acest principiu, pentru produse alimentare deshidratate și/sau concentrate ce trebuie reconstituite, nivelurile maxime se aplică produselor alimentare în forma reconstituită conform instrucțiunilor de pe etichetă, ținând seama de factorul de diluare minimă. În cazul în care produsele primare sunt utilizate în producția de arome de fum derivate, nivelurile maxime se ajustează în </w:t>
            </w:r>
            <w:r>
              <w:rPr>
                <w:color w:val="333333"/>
                <w:sz w:val="20"/>
                <w:szCs w:val="20"/>
              </w:rPr>
              <w:t>consecință.</w:t>
            </w:r>
          </w:p>
          <w:p w14:paraId="22A6E028" w14:textId="77777777" w:rsidR="00342CCD" w:rsidRDefault="00E729E2">
            <w:pPr>
              <w:shd w:val="clear" w:color="auto" w:fill="FFFFFF"/>
              <w:spacing w:after="0"/>
              <w:jc w:val="both"/>
              <w:rPr>
                <w:color w:val="333333"/>
                <w:sz w:val="20"/>
                <w:szCs w:val="20"/>
              </w:rPr>
            </w:pPr>
            <w:r>
              <w:rPr>
                <w:i/>
                <w:iCs/>
                <w:color w:val="333333"/>
                <w:sz w:val="20"/>
                <w:szCs w:val="20"/>
              </w:rPr>
              <w:t>Nota 2:</w:t>
            </w:r>
            <w:r>
              <w:rPr>
                <w:color w:val="333333"/>
                <w:sz w:val="20"/>
                <w:szCs w:val="20"/>
              </w:rPr>
              <w:t>  Atunci când aromele de fum se folosesc în combinație în sau pe produsele alimentare, nivelurile individuale se reduc proporțional.</w:t>
            </w:r>
          </w:p>
          <w:p w14:paraId="76F23392" w14:textId="77777777" w:rsidR="00342CCD" w:rsidRDefault="00E729E2">
            <w:pPr>
              <w:shd w:val="clear" w:color="auto" w:fill="FFFFFF"/>
              <w:spacing w:after="0"/>
              <w:jc w:val="both"/>
              <w:rPr>
                <w:color w:val="333333"/>
                <w:sz w:val="20"/>
                <w:szCs w:val="20"/>
              </w:rPr>
            </w:pPr>
            <w:r>
              <w:rPr>
                <w:i/>
                <w:iCs/>
                <w:color w:val="333333"/>
                <w:sz w:val="20"/>
                <w:szCs w:val="20"/>
              </w:rPr>
              <w:t>Nota 3:</w:t>
            </w:r>
            <w:r>
              <w:rPr>
                <w:color w:val="333333"/>
                <w:sz w:val="20"/>
                <w:szCs w:val="20"/>
              </w:rPr>
              <w:t>  În cazul în care aromele de fum sunt autorizate pentru a fi utilizate în carnea prelucrată (categoria de alimente 8.2) sau în pește și produse pescărești prelucrate (categoria de alimente 9.2) și aceste alimente sunt afumate în camera de afumare prin expunere la fum regenerat prin utilizarea acestor arome de fum permise, utilizarea trebuie să fie în conformitate cu bunele practici de fabricație.</w:t>
            </w:r>
          </w:p>
          <w:p w14:paraId="44B16E76" w14:textId="77777777" w:rsidR="00342CCD" w:rsidRDefault="00E729E2">
            <w:pPr>
              <w:shd w:val="clear" w:color="auto" w:fill="FFFFFF"/>
              <w:spacing w:after="0"/>
              <w:jc w:val="both"/>
              <w:rPr>
                <w:color w:val="333333"/>
                <w:sz w:val="20"/>
                <w:szCs w:val="20"/>
              </w:rPr>
            </w:pPr>
            <w:r>
              <w:rPr>
                <w:i/>
                <w:iCs/>
                <w:color w:val="333333"/>
                <w:sz w:val="20"/>
                <w:szCs w:val="20"/>
              </w:rPr>
              <w:t>Nota 4:</w:t>
            </w:r>
            <w:r>
              <w:rPr>
                <w:color w:val="333333"/>
                <w:sz w:val="20"/>
                <w:szCs w:val="20"/>
              </w:rPr>
              <w:t>  Prezența unei arome de fum este permisă:</w:t>
            </w:r>
          </w:p>
          <w:p w14:paraId="65E7799C" w14:textId="77777777" w:rsidR="00342CCD" w:rsidRDefault="00E729E2">
            <w:pPr>
              <w:shd w:val="clear" w:color="auto" w:fill="FFFFFF"/>
              <w:spacing w:after="0"/>
              <w:jc w:val="both"/>
              <w:rPr>
                <w:color w:val="333333"/>
                <w:sz w:val="20"/>
                <w:szCs w:val="20"/>
              </w:rPr>
            </w:pPr>
            <w:r>
              <w:rPr>
                <w:color w:val="333333"/>
                <w:sz w:val="20"/>
                <w:szCs w:val="20"/>
              </w:rPr>
              <w:t>(a) </w:t>
            </w:r>
          </w:p>
          <w:p w14:paraId="7C314037" w14:textId="77777777" w:rsidR="00342CCD" w:rsidRDefault="00E729E2">
            <w:pPr>
              <w:shd w:val="clear" w:color="auto" w:fill="FFFFFF"/>
              <w:spacing w:after="0"/>
              <w:jc w:val="both"/>
              <w:rPr>
                <w:color w:val="333333"/>
                <w:sz w:val="20"/>
                <w:szCs w:val="20"/>
              </w:rPr>
            </w:pPr>
            <w:r>
              <w:rPr>
                <w:color w:val="333333"/>
                <w:sz w:val="20"/>
                <w:szCs w:val="20"/>
              </w:rPr>
              <w:t>într-un aliment compus, altul decât cele prevăzute în anexă, în cazul în care produsul primar este permis în unul dintre ingredientele alimentului compus;</w:t>
            </w:r>
          </w:p>
          <w:p w14:paraId="0879896D" w14:textId="77777777" w:rsidR="00342CCD" w:rsidRDefault="00E729E2">
            <w:pPr>
              <w:shd w:val="clear" w:color="auto" w:fill="FFFFFF"/>
              <w:spacing w:after="0"/>
              <w:jc w:val="both"/>
              <w:rPr>
                <w:color w:val="333333"/>
                <w:sz w:val="20"/>
                <w:szCs w:val="20"/>
              </w:rPr>
            </w:pPr>
            <w:r>
              <w:rPr>
                <w:color w:val="333333"/>
                <w:sz w:val="20"/>
                <w:szCs w:val="20"/>
              </w:rPr>
              <w:t>(b) </w:t>
            </w:r>
          </w:p>
          <w:p w14:paraId="3999CF6C" w14:textId="77777777" w:rsidR="00342CCD" w:rsidRDefault="00E729E2">
            <w:pPr>
              <w:shd w:val="clear" w:color="auto" w:fill="FFFFFF"/>
              <w:spacing w:after="0"/>
              <w:jc w:val="both"/>
              <w:rPr>
                <w:color w:val="333333"/>
                <w:sz w:val="20"/>
                <w:szCs w:val="20"/>
              </w:rPr>
            </w:pPr>
            <w:r>
              <w:rPr>
                <w:color w:val="333333"/>
                <w:sz w:val="20"/>
                <w:szCs w:val="20"/>
              </w:rPr>
              <w:t>într-un aliment destinat exclusiv preparării unui aliment compus, cu condiția ca acesta din urmă să fie în conformitate cu prezentul regulament.</w:t>
            </w:r>
          </w:p>
          <w:p w14:paraId="5CB73E3F" w14:textId="77777777" w:rsidR="00342CCD" w:rsidRDefault="00E729E2">
            <w:pPr>
              <w:shd w:val="clear" w:color="auto" w:fill="FFFFFF"/>
              <w:spacing w:after="0"/>
              <w:jc w:val="both"/>
              <w:rPr>
                <w:color w:val="333333"/>
                <w:sz w:val="20"/>
                <w:szCs w:val="20"/>
              </w:rPr>
            </w:pPr>
            <w:r>
              <w:rPr>
                <w:color w:val="333333"/>
                <w:sz w:val="20"/>
                <w:szCs w:val="20"/>
              </w:rPr>
              <w:t>Acestea nu se aplică preparatelor pentru sugari, preparatelor de continuare, alimentelor prelucrate pe bază de cereale și alimentelor pentru copii mici și alimentelor dietetice pentru scopuri medicale speciale destinate sugarilor și copiilor de vârstă mică, astfel cum sunt menționate în Directiva 2009/39/CE a Parlamentului European și a Consiliului din 6 mai 2009 privind produsele alimentare cu destinație nutrițională specială (</w:t>
            </w:r>
            <w:hyperlink r:id="rId7" w:anchor="E0001">
              <w:r w:rsidR="00342CCD">
                <w:rPr>
                  <w:color w:val="467886"/>
                  <w:sz w:val="20"/>
                  <w:szCs w:val="20"/>
                  <w:u w:val="single"/>
                </w:rPr>
                <w:t> </w:t>
              </w:r>
            </w:hyperlink>
            <w:hyperlink r:id="rId8" w:anchor="E0001">
              <w:r w:rsidR="00342CCD">
                <w:rPr>
                  <w:color w:val="467886"/>
                  <w:sz w:val="20"/>
                  <w:szCs w:val="20"/>
                  <w:u w:val="single"/>
                  <w:vertAlign w:val="superscript"/>
                </w:rPr>
                <w:t>1</w:t>
              </w:r>
            </w:hyperlink>
            <w:hyperlink r:id="rId9" w:anchor="E0001">
              <w:r w:rsidR="00342CCD">
                <w:rPr>
                  <w:color w:val="467886"/>
                  <w:sz w:val="20"/>
                  <w:szCs w:val="20"/>
                  <w:u w:val="single"/>
                </w:rPr>
                <w:t> </w:t>
              </w:r>
            </w:hyperlink>
            <w:r>
              <w:rPr>
                <w:color w:val="333333"/>
                <w:sz w:val="20"/>
                <w:szCs w:val="20"/>
              </w:rPr>
              <w:t>).</w:t>
            </w:r>
          </w:p>
          <w:p w14:paraId="7CDBD2D2" w14:textId="77777777" w:rsidR="00342CCD" w:rsidRDefault="00342CCD">
            <w:pPr>
              <w:shd w:val="clear" w:color="auto" w:fill="FFFFFF"/>
              <w:spacing w:after="0"/>
              <w:jc w:val="both"/>
              <w:rPr>
                <w:color w:val="333333"/>
                <w:sz w:val="20"/>
                <w:szCs w:val="20"/>
              </w:rPr>
            </w:pPr>
          </w:p>
        </w:tc>
        <w:tc>
          <w:tcPr>
            <w:tcW w:w="4400" w:type="dxa"/>
            <w:gridSpan w:val="2"/>
            <w:tcBorders>
              <w:bottom w:val="single" w:sz="4" w:space="0" w:color="000000"/>
            </w:tcBorders>
          </w:tcPr>
          <w:p w14:paraId="1833BDA0" w14:textId="77777777" w:rsidR="00342CCD" w:rsidRDefault="00E729E2">
            <w:pPr>
              <w:spacing w:after="0"/>
              <w:ind w:right="136"/>
              <w:jc w:val="right"/>
              <w:rPr>
                <w:b/>
                <w:bCs/>
                <w:sz w:val="20"/>
                <w:szCs w:val="20"/>
              </w:rPr>
            </w:pPr>
            <w:r>
              <w:rPr>
                <w:sz w:val="20"/>
                <w:szCs w:val="20"/>
              </w:rPr>
              <w:lastRenderedPageBreak/>
              <w:t xml:space="preserve">Anexa nr.2 </w:t>
            </w:r>
          </w:p>
          <w:p w14:paraId="13FE5601" w14:textId="77777777" w:rsidR="00342CCD" w:rsidRDefault="00E729E2">
            <w:pPr>
              <w:spacing w:after="0"/>
              <w:ind w:right="136"/>
              <w:jc w:val="right"/>
              <w:rPr>
                <w:sz w:val="20"/>
                <w:szCs w:val="20"/>
              </w:rPr>
            </w:pPr>
            <w:r>
              <w:rPr>
                <w:sz w:val="20"/>
                <w:szCs w:val="20"/>
              </w:rPr>
              <w:t xml:space="preserve">la Regulamentul sanitar privind aromele </w:t>
            </w:r>
          </w:p>
          <w:p w14:paraId="1F3624A7" w14:textId="77777777" w:rsidR="00342CCD" w:rsidRDefault="00E729E2">
            <w:pPr>
              <w:spacing w:after="0"/>
              <w:ind w:right="136"/>
              <w:jc w:val="right"/>
              <w:rPr>
                <w:sz w:val="20"/>
                <w:szCs w:val="20"/>
              </w:rPr>
            </w:pPr>
            <w:r>
              <w:rPr>
                <w:sz w:val="20"/>
                <w:szCs w:val="20"/>
              </w:rPr>
              <w:t xml:space="preserve">de fum utilizate sau destinate utilizării </w:t>
            </w:r>
          </w:p>
          <w:p w14:paraId="7B28EEA9" w14:textId="77777777" w:rsidR="00342CCD" w:rsidRDefault="00E729E2">
            <w:pPr>
              <w:spacing w:after="0"/>
              <w:ind w:right="136"/>
              <w:jc w:val="right"/>
              <w:rPr>
                <w:sz w:val="20"/>
                <w:szCs w:val="20"/>
              </w:rPr>
            </w:pPr>
            <w:r>
              <w:rPr>
                <w:sz w:val="20"/>
                <w:szCs w:val="20"/>
              </w:rPr>
              <w:t>în sau pe produsele alimentare și de stabilire</w:t>
            </w:r>
          </w:p>
          <w:p w14:paraId="6C58BAFC" w14:textId="77777777" w:rsidR="00342CCD" w:rsidRDefault="00E729E2">
            <w:pPr>
              <w:spacing w:after="0"/>
              <w:ind w:right="136"/>
              <w:jc w:val="right"/>
              <w:rPr>
                <w:sz w:val="20"/>
                <w:szCs w:val="20"/>
              </w:rPr>
            </w:pPr>
            <w:r>
              <w:rPr>
                <w:sz w:val="20"/>
                <w:szCs w:val="20"/>
              </w:rPr>
              <w:t xml:space="preserve"> listei de produse primare de arome de</w:t>
            </w:r>
          </w:p>
          <w:p w14:paraId="230A3D79" w14:textId="77777777" w:rsidR="00342CCD" w:rsidRDefault="00E729E2">
            <w:pPr>
              <w:spacing w:after="0"/>
              <w:ind w:right="136"/>
              <w:jc w:val="right"/>
              <w:rPr>
                <w:sz w:val="20"/>
                <w:szCs w:val="20"/>
              </w:rPr>
            </w:pPr>
            <w:r>
              <w:rPr>
                <w:sz w:val="20"/>
                <w:szCs w:val="20"/>
              </w:rPr>
              <w:t xml:space="preserve"> fum autorizate pentru utilizarea ca atare în sau</w:t>
            </w:r>
          </w:p>
          <w:p w14:paraId="5AE52266" w14:textId="77777777" w:rsidR="00342CCD" w:rsidRDefault="00E729E2">
            <w:pPr>
              <w:spacing w:after="0"/>
              <w:ind w:right="136"/>
              <w:jc w:val="right"/>
              <w:rPr>
                <w:sz w:val="20"/>
                <w:szCs w:val="20"/>
              </w:rPr>
            </w:pPr>
            <w:r>
              <w:rPr>
                <w:sz w:val="20"/>
                <w:szCs w:val="20"/>
              </w:rPr>
              <w:t xml:space="preserve"> pe produsele alimentare şi/sau pentru producerea</w:t>
            </w:r>
          </w:p>
          <w:p w14:paraId="23657BEC" w14:textId="77777777" w:rsidR="00342CCD" w:rsidRDefault="00E729E2">
            <w:pPr>
              <w:spacing w:after="0"/>
              <w:ind w:right="136"/>
              <w:jc w:val="right"/>
              <w:rPr>
                <w:sz w:val="20"/>
                <w:szCs w:val="20"/>
              </w:rPr>
            </w:pPr>
            <w:r>
              <w:rPr>
                <w:sz w:val="20"/>
                <w:szCs w:val="20"/>
              </w:rPr>
              <w:t xml:space="preserve"> aromelor de fum derivate</w:t>
            </w:r>
            <w:r>
              <w:rPr>
                <w:b/>
                <w:bCs/>
                <w:sz w:val="20"/>
                <w:szCs w:val="20"/>
              </w:rPr>
              <w:t xml:space="preserve"> </w:t>
            </w:r>
          </w:p>
          <w:p w14:paraId="074FD08C" w14:textId="77777777" w:rsidR="00342CCD" w:rsidRDefault="00342CCD">
            <w:pPr>
              <w:rPr>
                <w:sz w:val="18"/>
                <w:szCs w:val="18"/>
              </w:rPr>
            </w:pPr>
          </w:p>
          <w:p w14:paraId="1C004D19" w14:textId="77777777" w:rsidR="00342CCD" w:rsidRDefault="00E729E2">
            <w:pPr>
              <w:spacing w:after="0"/>
              <w:jc w:val="center"/>
              <w:rPr>
                <w:b/>
                <w:bCs/>
                <w:sz w:val="18"/>
                <w:szCs w:val="18"/>
              </w:rPr>
            </w:pPr>
            <w:r>
              <w:rPr>
                <w:b/>
                <w:bCs/>
                <w:sz w:val="18"/>
                <w:szCs w:val="18"/>
              </w:rPr>
              <w:lastRenderedPageBreak/>
              <w:t xml:space="preserve">Anexa nr.2 </w:t>
            </w:r>
          </w:p>
          <w:p w14:paraId="529A8170" w14:textId="77777777" w:rsidR="00342CCD" w:rsidRDefault="00E729E2">
            <w:pPr>
              <w:spacing w:after="0"/>
              <w:jc w:val="center"/>
              <w:rPr>
                <w:b/>
                <w:bCs/>
                <w:sz w:val="18"/>
                <w:szCs w:val="18"/>
              </w:rPr>
            </w:pPr>
            <w:r>
              <w:rPr>
                <w:b/>
                <w:bCs/>
                <w:sz w:val="18"/>
                <w:szCs w:val="18"/>
              </w:rPr>
              <w:t xml:space="preserve">la Regulamentul sanitar privind aromele </w:t>
            </w:r>
          </w:p>
          <w:p w14:paraId="0C6478DD" w14:textId="77777777" w:rsidR="00342CCD" w:rsidRDefault="00E729E2">
            <w:pPr>
              <w:spacing w:after="0"/>
              <w:jc w:val="center"/>
              <w:rPr>
                <w:b/>
                <w:bCs/>
                <w:sz w:val="18"/>
                <w:szCs w:val="18"/>
              </w:rPr>
            </w:pPr>
            <w:r>
              <w:rPr>
                <w:b/>
                <w:bCs/>
                <w:sz w:val="18"/>
                <w:szCs w:val="18"/>
              </w:rPr>
              <w:t xml:space="preserve">de fum utilizate sau destinate utilizării </w:t>
            </w:r>
          </w:p>
          <w:p w14:paraId="057D5B3B" w14:textId="77777777" w:rsidR="00342CCD" w:rsidRDefault="00E729E2">
            <w:pPr>
              <w:spacing w:after="0"/>
              <w:jc w:val="center"/>
              <w:rPr>
                <w:b/>
                <w:bCs/>
                <w:sz w:val="18"/>
                <w:szCs w:val="18"/>
              </w:rPr>
            </w:pPr>
            <w:r>
              <w:rPr>
                <w:b/>
                <w:bCs/>
                <w:sz w:val="18"/>
                <w:szCs w:val="18"/>
              </w:rPr>
              <w:t>în sau pe produsele alimentare și de stabilire</w:t>
            </w:r>
          </w:p>
          <w:p w14:paraId="3521889A" w14:textId="77777777" w:rsidR="00342CCD" w:rsidRDefault="00E729E2">
            <w:pPr>
              <w:spacing w:after="0"/>
              <w:jc w:val="center"/>
              <w:rPr>
                <w:b/>
                <w:bCs/>
                <w:sz w:val="18"/>
                <w:szCs w:val="18"/>
              </w:rPr>
            </w:pPr>
            <w:r>
              <w:rPr>
                <w:b/>
                <w:bCs/>
                <w:sz w:val="18"/>
                <w:szCs w:val="18"/>
              </w:rPr>
              <w:t xml:space="preserve"> listei de produse primare de arome de</w:t>
            </w:r>
          </w:p>
          <w:p w14:paraId="62824F30" w14:textId="77777777" w:rsidR="00342CCD" w:rsidRDefault="00E729E2">
            <w:pPr>
              <w:spacing w:after="0"/>
              <w:jc w:val="center"/>
              <w:rPr>
                <w:b/>
                <w:bCs/>
                <w:sz w:val="18"/>
                <w:szCs w:val="18"/>
              </w:rPr>
            </w:pPr>
            <w:r>
              <w:rPr>
                <w:b/>
                <w:bCs/>
                <w:sz w:val="18"/>
                <w:szCs w:val="18"/>
              </w:rPr>
              <w:t xml:space="preserve"> fum autorizate pentru utilizarea ca atare în sau</w:t>
            </w:r>
          </w:p>
          <w:p w14:paraId="3C24DD13" w14:textId="77777777" w:rsidR="00342CCD" w:rsidRDefault="00E729E2">
            <w:pPr>
              <w:spacing w:after="0"/>
              <w:jc w:val="center"/>
              <w:rPr>
                <w:b/>
                <w:bCs/>
                <w:sz w:val="18"/>
                <w:szCs w:val="18"/>
              </w:rPr>
            </w:pPr>
            <w:r>
              <w:rPr>
                <w:b/>
                <w:bCs/>
                <w:sz w:val="18"/>
                <w:szCs w:val="18"/>
              </w:rPr>
              <w:t xml:space="preserve"> pe produsele alimentare şi/sau pentru producerea</w:t>
            </w:r>
          </w:p>
          <w:p w14:paraId="6D41E64F" w14:textId="77777777" w:rsidR="00342CCD" w:rsidRDefault="00E729E2">
            <w:pPr>
              <w:spacing w:after="0"/>
              <w:jc w:val="center"/>
              <w:rPr>
                <w:b/>
                <w:bCs/>
                <w:sz w:val="18"/>
                <w:szCs w:val="18"/>
              </w:rPr>
            </w:pPr>
            <w:r>
              <w:rPr>
                <w:b/>
                <w:bCs/>
                <w:sz w:val="18"/>
                <w:szCs w:val="18"/>
              </w:rPr>
              <w:t xml:space="preserve"> aromelor de fum derivate </w:t>
            </w:r>
          </w:p>
          <w:p w14:paraId="142D5EAF" w14:textId="77777777" w:rsidR="00342CCD" w:rsidRDefault="00342CCD">
            <w:pPr>
              <w:spacing w:after="0"/>
              <w:jc w:val="center"/>
              <w:rPr>
                <w:b/>
                <w:bCs/>
                <w:sz w:val="18"/>
                <w:szCs w:val="18"/>
              </w:rPr>
            </w:pPr>
          </w:p>
          <w:p w14:paraId="2B962E53" w14:textId="77777777" w:rsidR="00342CCD" w:rsidRDefault="00E729E2">
            <w:pPr>
              <w:spacing w:after="0"/>
              <w:jc w:val="both"/>
              <w:rPr>
                <w:sz w:val="18"/>
                <w:szCs w:val="18"/>
              </w:rPr>
            </w:pPr>
            <w:r>
              <w:rPr>
                <w:sz w:val="18"/>
                <w:szCs w:val="18"/>
              </w:rPr>
              <w:t>Lista națională de produse primare de arome de fum autorizate pentru utilizarea ca atare în sau pe produsele alimentare și/sau pentru producerea aromelor de fum derivate</w:t>
            </w:r>
          </w:p>
          <w:p w14:paraId="3B7BFC52" w14:textId="77777777" w:rsidR="00342CCD" w:rsidRDefault="00E729E2">
            <w:pPr>
              <w:spacing w:after="0"/>
              <w:jc w:val="both"/>
              <w:rPr>
                <w:sz w:val="18"/>
                <w:szCs w:val="18"/>
              </w:rPr>
            </w:pPr>
            <w:r>
              <w:rPr>
                <w:sz w:val="18"/>
                <w:szCs w:val="18"/>
              </w:rPr>
              <w:t>1. Nivelurile maxime se referă la nivelurile prezente în sau pe alimente, în forma în care sînt comercializate. Prin derogare de la acest principiu, pentru produse alimentare deshidratate și/sau concentrate ce trebuie reconstituite, nivelurile maxime se aplică produselor alimentare în forma reconstituită conform instrucțiunilor de pe etichetă, ținînd seama de factorul de diluare minimă. În cazul în care produsele primare sînt utilizate în producția de arome de fum derivate, nivelurile maxime se ajustează în</w:t>
            </w:r>
            <w:r>
              <w:rPr>
                <w:sz w:val="18"/>
                <w:szCs w:val="18"/>
              </w:rPr>
              <w:t xml:space="preserve"> consecință.</w:t>
            </w:r>
          </w:p>
          <w:p w14:paraId="1E8BAB49" w14:textId="77777777" w:rsidR="00342CCD" w:rsidRDefault="00342CCD">
            <w:pPr>
              <w:spacing w:after="0"/>
              <w:jc w:val="both"/>
              <w:rPr>
                <w:sz w:val="18"/>
                <w:szCs w:val="18"/>
              </w:rPr>
            </w:pPr>
          </w:p>
          <w:p w14:paraId="6F36CCA9" w14:textId="77777777" w:rsidR="00342CCD" w:rsidRDefault="00E729E2">
            <w:pPr>
              <w:spacing w:after="0"/>
              <w:jc w:val="both"/>
              <w:rPr>
                <w:sz w:val="18"/>
                <w:szCs w:val="18"/>
              </w:rPr>
            </w:pPr>
            <w:r>
              <w:rPr>
                <w:sz w:val="18"/>
                <w:szCs w:val="18"/>
              </w:rPr>
              <w:t>2. Atunci cînd aromele de fum se folosesc în combinație în sau pe produsele alimentare, nivelurile individuale se reduc proporțional.</w:t>
            </w:r>
          </w:p>
          <w:p w14:paraId="245651A1" w14:textId="77777777" w:rsidR="00342CCD" w:rsidRDefault="00342CCD">
            <w:pPr>
              <w:spacing w:after="0"/>
              <w:jc w:val="both"/>
              <w:rPr>
                <w:sz w:val="18"/>
                <w:szCs w:val="18"/>
              </w:rPr>
            </w:pPr>
          </w:p>
          <w:p w14:paraId="1E864610" w14:textId="77777777" w:rsidR="00342CCD" w:rsidRDefault="00E729E2">
            <w:pPr>
              <w:spacing w:after="0"/>
              <w:jc w:val="both"/>
              <w:rPr>
                <w:sz w:val="18"/>
                <w:szCs w:val="18"/>
              </w:rPr>
            </w:pPr>
            <w:r>
              <w:rPr>
                <w:sz w:val="18"/>
                <w:szCs w:val="18"/>
              </w:rPr>
              <w:t>3. În cazul în care aromele de fum sînt autorizate pentru a fi utilizate în carnea prelucrată sau în pește și produse pescărești prelucrate și aceste alimente sînt afumate în camera de afumare prin expunere la fum regenerat prin utilizarea acestor arome de fum permise, utilizarea trebuie să fie în conformitate cu bunele practici de fabricație.</w:t>
            </w:r>
          </w:p>
          <w:p w14:paraId="203A8C9C" w14:textId="77777777" w:rsidR="00342CCD" w:rsidRDefault="00342CCD">
            <w:pPr>
              <w:spacing w:after="0"/>
              <w:jc w:val="both"/>
              <w:rPr>
                <w:sz w:val="18"/>
                <w:szCs w:val="18"/>
              </w:rPr>
            </w:pPr>
          </w:p>
          <w:p w14:paraId="01310A60" w14:textId="77777777" w:rsidR="00342CCD" w:rsidRDefault="00E729E2">
            <w:pPr>
              <w:spacing w:after="0"/>
              <w:jc w:val="both"/>
              <w:rPr>
                <w:sz w:val="18"/>
                <w:szCs w:val="18"/>
              </w:rPr>
            </w:pPr>
            <w:r>
              <w:rPr>
                <w:sz w:val="18"/>
                <w:szCs w:val="18"/>
              </w:rPr>
              <w:t xml:space="preserve">4. Prezența unei arome de fum este permisă: </w:t>
            </w:r>
          </w:p>
          <w:p w14:paraId="5167C636" w14:textId="77777777" w:rsidR="00342CCD" w:rsidRDefault="00E729E2">
            <w:pPr>
              <w:spacing w:after="0"/>
              <w:jc w:val="both"/>
              <w:rPr>
                <w:sz w:val="18"/>
                <w:szCs w:val="18"/>
              </w:rPr>
            </w:pPr>
            <w:r>
              <w:rPr>
                <w:sz w:val="18"/>
                <w:szCs w:val="18"/>
              </w:rPr>
              <w:t>1)</w:t>
            </w:r>
            <w:r>
              <w:rPr>
                <w:sz w:val="18"/>
                <w:szCs w:val="18"/>
              </w:rPr>
              <w:tab/>
              <w:t>într-un aliment compus, altul decît cele prevăzute în anexă, în cazul în care produsul primar este permis în unul dintre ingredientele alimentului compus;</w:t>
            </w:r>
          </w:p>
          <w:p w14:paraId="152BEE72" w14:textId="77777777" w:rsidR="00342CCD" w:rsidRDefault="00E729E2">
            <w:pPr>
              <w:spacing w:after="0"/>
              <w:jc w:val="both"/>
              <w:rPr>
                <w:sz w:val="18"/>
                <w:szCs w:val="18"/>
              </w:rPr>
            </w:pPr>
            <w:r>
              <w:rPr>
                <w:sz w:val="18"/>
                <w:szCs w:val="18"/>
              </w:rPr>
              <w:t>2)</w:t>
            </w:r>
            <w:r>
              <w:rPr>
                <w:sz w:val="18"/>
                <w:szCs w:val="18"/>
              </w:rPr>
              <w:tab/>
              <w:t>într-un aliment destinat exclusiv preparării unui aliment compus, cu condiția ca acesta din urmă să fie în conformitate cu prezentul Regulament.</w:t>
            </w:r>
          </w:p>
          <w:p w14:paraId="51674EC6" w14:textId="77777777" w:rsidR="00342CCD" w:rsidRDefault="00E729E2">
            <w:pPr>
              <w:spacing w:after="0"/>
              <w:jc w:val="both"/>
              <w:rPr>
                <w:sz w:val="18"/>
                <w:szCs w:val="18"/>
              </w:rPr>
            </w:pPr>
            <w:r>
              <w:rPr>
                <w:sz w:val="18"/>
                <w:szCs w:val="18"/>
              </w:rPr>
              <w:t xml:space="preserve">Acestea nu se aplică preparatelor pentru sugari, preparatelor de continuare, alimentelor prelucrate pe bază de cereale și alimentelor pentru copii mici și alimentelor dietetice pentru scopuri medicale speciale destinate </w:t>
            </w:r>
            <w:r>
              <w:rPr>
                <w:sz w:val="18"/>
                <w:szCs w:val="18"/>
              </w:rPr>
              <w:lastRenderedPageBreak/>
              <w:t>sugarilor și copiilor de vîrstă mică, astfel cum sînt menționate în anexa nr. 1 la Hotărîrea Guvernului nr.179/2018 cu privire la aprobarea regulamentelor sanitare privind alimentele destinate sugarilor şi copiilor de vîrstă mică, alimentele destinate unor scopuri medicale speciale şi înlocuitorii unei diete totale pentru controlul greutăţii</w:t>
            </w:r>
            <w:r>
              <w:rPr>
                <w:b/>
                <w:bCs/>
                <w:sz w:val="18"/>
                <w:szCs w:val="18"/>
              </w:rPr>
              <w:t xml:space="preserve">. </w:t>
            </w:r>
          </w:p>
          <w:p w14:paraId="0345E716" w14:textId="77777777" w:rsidR="00342CCD" w:rsidRDefault="00342CCD">
            <w:pPr>
              <w:tabs>
                <w:tab w:val="left" w:pos="1091"/>
              </w:tabs>
              <w:spacing w:after="0"/>
              <w:rPr>
                <w:b/>
                <w:bCs/>
                <w:sz w:val="20"/>
                <w:szCs w:val="20"/>
              </w:rPr>
            </w:pPr>
          </w:p>
        </w:tc>
        <w:tc>
          <w:tcPr>
            <w:tcW w:w="2873" w:type="dxa"/>
            <w:gridSpan w:val="2"/>
            <w:tcBorders>
              <w:bottom w:val="single" w:sz="4" w:space="0" w:color="000000"/>
            </w:tcBorders>
          </w:tcPr>
          <w:p w14:paraId="2BBEF2B6" w14:textId="77777777" w:rsidR="00342CCD" w:rsidRDefault="00E729E2">
            <w:pPr>
              <w:tabs>
                <w:tab w:val="left" w:pos="1091"/>
              </w:tabs>
              <w:spacing w:after="0"/>
              <w:jc w:val="center"/>
              <w:rPr>
                <w:b/>
                <w:bCs/>
                <w:sz w:val="20"/>
                <w:szCs w:val="20"/>
              </w:rPr>
            </w:pPr>
            <w:r>
              <w:rPr>
                <w:b/>
                <w:bCs/>
                <w:sz w:val="20"/>
                <w:szCs w:val="20"/>
              </w:rPr>
              <w:lastRenderedPageBreak/>
              <w:t>Compatibil</w:t>
            </w:r>
          </w:p>
        </w:tc>
        <w:tc>
          <w:tcPr>
            <w:tcW w:w="2298" w:type="dxa"/>
            <w:gridSpan w:val="2"/>
            <w:tcBorders>
              <w:bottom w:val="single" w:sz="4" w:space="0" w:color="000000"/>
            </w:tcBorders>
            <w:vAlign w:val="center"/>
          </w:tcPr>
          <w:p w14:paraId="5772010A" w14:textId="77777777" w:rsidR="00342CCD" w:rsidRDefault="00342CCD">
            <w:pPr>
              <w:tabs>
                <w:tab w:val="left" w:pos="1091"/>
              </w:tabs>
              <w:spacing w:after="0"/>
              <w:jc w:val="center"/>
              <w:rPr>
                <w:sz w:val="20"/>
                <w:szCs w:val="20"/>
              </w:rPr>
            </w:pPr>
          </w:p>
        </w:tc>
      </w:tr>
      <w:tr w:rsidR="00342CCD" w14:paraId="6BCFD8B4" w14:textId="77777777">
        <w:trPr>
          <w:trHeight w:val="244"/>
        </w:trPr>
        <w:tc>
          <w:tcPr>
            <w:tcW w:w="4969" w:type="dxa"/>
            <w:gridSpan w:val="2"/>
            <w:tcBorders>
              <w:bottom w:val="single" w:sz="4" w:space="0" w:color="000000"/>
            </w:tcBorders>
          </w:tcPr>
          <w:p w14:paraId="45E2E6D6" w14:textId="22163907" w:rsidR="00A31F75" w:rsidRDefault="00A31F75" w:rsidP="00A31F75">
            <w:pPr>
              <w:shd w:val="clear" w:color="auto" w:fill="FFFFFF"/>
              <w:tabs>
                <w:tab w:val="left" w:pos="1170"/>
              </w:tabs>
              <w:spacing w:after="0"/>
              <w:jc w:val="both"/>
              <w:rPr>
                <w:color w:val="333333"/>
                <w:sz w:val="20"/>
                <w:szCs w:val="20"/>
              </w:rPr>
            </w:pPr>
          </w:p>
          <w:p w14:paraId="2408A6C2" w14:textId="77777777" w:rsidR="00A31F75" w:rsidRDefault="00A31F75" w:rsidP="00A31F75">
            <w:pPr>
              <w:shd w:val="clear" w:color="auto" w:fill="FFFFFF"/>
              <w:spacing w:after="0"/>
              <w:jc w:val="both"/>
              <w:rPr>
                <w:color w:val="333333"/>
                <w:sz w:val="20"/>
                <w:szCs w:val="20"/>
              </w:rPr>
            </w:pPr>
          </w:p>
          <w:p w14:paraId="1379B82A" w14:textId="2CBE8532" w:rsidR="00A31F75" w:rsidRPr="00A31F75" w:rsidRDefault="00A31F75" w:rsidP="00A31F75">
            <w:pPr>
              <w:shd w:val="clear" w:color="auto" w:fill="FFFFFF"/>
              <w:spacing w:after="0"/>
              <w:jc w:val="both"/>
              <w:rPr>
                <w:color w:val="333333"/>
                <w:sz w:val="20"/>
                <w:szCs w:val="20"/>
              </w:rPr>
            </w:pPr>
            <w:r w:rsidRPr="00A31F75">
              <w:rPr>
                <w:color w:val="333333"/>
                <w:sz w:val="20"/>
                <w:szCs w:val="20"/>
              </w:rPr>
              <w:t>1)   Produsele alimentare care conțin produsele primare de arome de fum SF-001, SF-002, SF-003, SF-004, SF-005, SF-006, SF-008 sau SF-009 care respectă dispozițiile prevăzute pentru respectivele produse primare de arome de fum din lista Uniunii înainte de 21 august 2024 pot continua să fie introduse pe piață și să rămână pe piață până la data durabilității minimale sau până la data-limită de consum dacă sunt introduse pe piață înainte de următoarele date:</w:t>
            </w:r>
          </w:p>
          <w:tbl>
            <w:tblPr>
              <w:tblW w:w="5000" w:type="pct"/>
              <w:tblCellMar>
                <w:left w:w="0" w:type="dxa"/>
                <w:right w:w="0" w:type="dxa"/>
              </w:tblCellMar>
              <w:tblLook w:val="04A0" w:firstRow="1" w:lastRow="0" w:firstColumn="1" w:lastColumn="0" w:noHBand="0" w:noVBand="1"/>
            </w:tblPr>
            <w:tblGrid>
              <w:gridCol w:w="145"/>
              <w:gridCol w:w="4594"/>
            </w:tblGrid>
            <w:tr w:rsidR="00A31F75" w:rsidRPr="00A31F75" w14:paraId="4D4B6A43" w14:textId="77777777">
              <w:tc>
                <w:tcPr>
                  <w:tcW w:w="267" w:type="dxa"/>
                  <w:hideMark/>
                </w:tcPr>
                <w:p w14:paraId="3F9AEE30" w14:textId="77777777" w:rsidR="00A31F75" w:rsidRPr="00A31F75" w:rsidRDefault="00A31F75" w:rsidP="00A31F75">
                  <w:pPr>
                    <w:shd w:val="clear" w:color="auto" w:fill="FFFFFF"/>
                    <w:spacing w:after="0"/>
                    <w:jc w:val="both"/>
                    <w:rPr>
                      <w:color w:val="333333"/>
                      <w:sz w:val="20"/>
                      <w:szCs w:val="20"/>
                    </w:rPr>
                  </w:pPr>
                  <w:r w:rsidRPr="00A31F75">
                    <w:rPr>
                      <w:color w:val="333333"/>
                      <w:sz w:val="20"/>
                      <w:szCs w:val="20"/>
                    </w:rPr>
                    <w:t>(a)</w:t>
                  </w:r>
                </w:p>
              </w:tc>
              <w:tc>
                <w:tcPr>
                  <w:tcW w:w="9093" w:type="dxa"/>
                  <w:hideMark/>
                </w:tcPr>
                <w:p w14:paraId="35B0737E" w14:textId="77777777" w:rsidR="00A31F75" w:rsidRPr="00A31F75" w:rsidRDefault="00A31F75" w:rsidP="00A31F75">
                  <w:pPr>
                    <w:shd w:val="clear" w:color="auto" w:fill="FFFFFF"/>
                    <w:spacing w:after="0"/>
                    <w:jc w:val="both"/>
                    <w:rPr>
                      <w:color w:val="333333"/>
                      <w:sz w:val="20"/>
                      <w:szCs w:val="20"/>
                    </w:rPr>
                  </w:pPr>
                  <w:r w:rsidRPr="00A31F75">
                    <w:rPr>
                      <w:color w:val="333333"/>
                      <w:sz w:val="20"/>
                      <w:szCs w:val="20"/>
                    </w:rPr>
                    <w:t>1 iulie 2029 pentru categoriile de produse alimentare 1.7 (Brânză și brânzeturi), 8 (Carne), 9.2 (Pește și produse de pescărie prelucrate, inclusiv crustacee și moluște), 9.3 (Icre) și subcategoriile corespunzătoare acestora;</w:t>
                  </w:r>
                </w:p>
              </w:tc>
            </w:tr>
          </w:tbl>
          <w:p w14:paraId="61385CBC" w14:textId="77777777" w:rsidR="00A31F75" w:rsidRPr="00A31F75" w:rsidRDefault="00A31F75" w:rsidP="00A31F75">
            <w:pPr>
              <w:shd w:val="clear" w:color="auto" w:fill="FFFFFF"/>
              <w:spacing w:after="0"/>
              <w:jc w:val="both"/>
              <w:rPr>
                <w:vanish/>
                <w:color w:val="333333"/>
                <w:sz w:val="20"/>
                <w:szCs w:val="20"/>
              </w:rPr>
            </w:pPr>
          </w:p>
          <w:tbl>
            <w:tblPr>
              <w:tblW w:w="5000" w:type="pct"/>
              <w:tblCellMar>
                <w:left w:w="0" w:type="dxa"/>
                <w:right w:w="0" w:type="dxa"/>
              </w:tblCellMar>
              <w:tblLook w:val="04A0" w:firstRow="1" w:lastRow="0" w:firstColumn="1" w:lastColumn="0" w:noHBand="0" w:noVBand="1"/>
            </w:tblPr>
            <w:tblGrid>
              <w:gridCol w:w="210"/>
              <w:gridCol w:w="4529"/>
            </w:tblGrid>
            <w:tr w:rsidR="00A31F75" w:rsidRPr="00A31F75" w14:paraId="0C75B0F4" w14:textId="77777777">
              <w:tc>
                <w:tcPr>
                  <w:tcW w:w="396" w:type="dxa"/>
                  <w:hideMark/>
                </w:tcPr>
                <w:p w14:paraId="4A4A94AD" w14:textId="77777777" w:rsidR="00A31F75" w:rsidRPr="00A31F75" w:rsidRDefault="00A31F75" w:rsidP="00A31F75">
                  <w:pPr>
                    <w:shd w:val="clear" w:color="auto" w:fill="FFFFFF"/>
                    <w:spacing w:after="0"/>
                    <w:jc w:val="both"/>
                    <w:rPr>
                      <w:color w:val="333333"/>
                      <w:sz w:val="20"/>
                      <w:szCs w:val="20"/>
                    </w:rPr>
                  </w:pPr>
                  <w:r w:rsidRPr="00A31F75">
                    <w:rPr>
                      <w:color w:val="333333"/>
                      <w:sz w:val="20"/>
                      <w:szCs w:val="20"/>
                    </w:rPr>
                    <w:t>(b)</w:t>
                  </w:r>
                </w:p>
              </w:tc>
              <w:tc>
                <w:tcPr>
                  <w:tcW w:w="8964" w:type="dxa"/>
                  <w:hideMark/>
                </w:tcPr>
                <w:p w14:paraId="17409A74" w14:textId="77777777" w:rsidR="00A31F75" w:rsidRDefault="00A31F75" w:rsidP="00A31F75">
                  <w:pPr>
                    <w:shd w:val="clear" w:color="auto" w:fill="FFFFFF"/>
                    <w:spacing w:after="0"/>
                    <w:jc w:val="both"/>
                    <w:rPr>
                      <w:color w:val="333333"/>
                      <w:sz w:val="20"/>
                      <w:szCs w:val="20"/>
                    </w:rPr>
                  </w:pPr>
                  <w:r w:rsidRPr="00A31F75">
                    <w:rPr>
                      <w:color w:val="333333"/>
                      <w:sz w:val="20"/>
                      <w:szCs w:val="20"/>
                    </w:rPr>
                    <w:t>1 iulie 2026 pentru toate celelalte categorii de produse alimentare.</w:t>
                  </w:r>
                </w:p>
                <w:p w14:paraId="7E02529C" w14:textId="77777777" w:rsidR="00A31F75" w:rsidRDefault="00A31F75" w:rsidP="00A31F75">
                  <w:pPr>
                    <w:shd w:val="clear" w:color="auto" w:fill="FFFFFF"/>
                    <w:spacing w:after="0"/>
                    <w:jc w:val="both"/>
                    <w:rPr>
                      <w:color w:val="333333"/>
                      <w:sz w:val="20"/>
                      <w:szCs w:val="20"/>
                    </w:rPr>
                  </w:pPr>
                </w:p>
                <w:p w14:paraId="2F19268B" w14:textId="77777777" w:rsidR="00A31F75" w:rsidRDefault="00A31F75" w:rsidP="00A31F75">
                  <w:pPr>
                    <w:shd w:val="clear" w:color="auto" w:fill="FFFFFF"/>
                    <w:spacing w:after="0"/>
                    <w:jc w:val="both"/>
                    <w:rPr>
                      <w:color w:val="333333"/>
                      <w:sz w:val="20"/>
                      <w:szCs w:val="20"/>
                    </w:rPr>
                  </w:pPr>
                </w:p>
                <w:p w14:paraId="5ADFED75" w14:textId="77777777" w:rsidR="00A31F75" w:rsidRDefault="00A31F75" w:rsidP="00A31F75">
                  <w:pPr>
                    <w:shd w:val="clear" w:color="auto" w:fill="FFFFFF"/>
                    <w:spacing w:after="0"/>
                    <w:jc w:val="both"/>
                    <w:rPr>
                      <w:color w:val="333333"/>
                      <w:sz w:val="20"/>
                      <w:szCs w:val="20"/>
                    </w:rPr>
                  </w:pPr>
                </w:p>
                <w:p w14:paraId="78D5557B" w14:textId="77777777" w:rsidR="00A31F75" w:rsidRDefault="00A31F75" w:rsidP="00A31F75">
                  <w:pPr>
                    <w:shd w:val="clear" w:color="auto" w:fill="FFFFFF"/>
                    <w:spacing w:after="0"/>
                    <w:jc w:val="both"/>
                    <w:rPr>
                      <w:color w:val="333333"/>
                      <w:sz w:val="20"/>
                      <w:szCs w:val="20"/>
                    </w:rPr>
                  </w:pPr>
                </w:p>
                <w:p w14:paraId="2A369EC5" w14:textId="77777777" w:rsidR="00A31F75" w:rsidRPr="00A31F75" w:rsidRDefault="00A31F75" w:rsidP="00A31F75">
                  <w:pPr>
                    <w:shd w:val="clear" w:color="auto" w:fill="FFFFFF"/>
                    <w:spacing w:after="0"/>
                    <w:jc w:val="both"/>
                    <w:rPr>
                      <w:color w:val="333333"/>
                      <w:sz w:val="20"/>
                      <w:szCs w:val="20"/>
                    </w:rPr>
                  </w:pPr>
                </w:p>
              </w:tc>
            </w:tr>
          </w:tbl>
          <w:p w14:paraId="1A123BC3" w14:textId="77777777" w:rsidR="00A31F75" w:rsidRPr="00A31F75" w:rsidRDefault="00A31F75" w:rsidP="00A31F75">
            <w:pPr>
              <w:shd w:val="clear" w:color="auto" w:fill="FFFFFF"/>
              <w:spacing w:after="0"/>
              <w:jc w:val="both"/>
              <w:rPr>
                <w:color w:val="333333"/>
                <w:sz w:val="20"/>
                <w:szCs w:val="20"/>
              </w:rPr>
            </w:pPr>
            <w:r w:rsidRPr="00A31F75">
              <w:rPr>
                <w:color w:val="333333"/>
                <w:sz w:val="20"/>
                <w:szCs w:val="20"/>
              </w:rPr>
              <w:t>(2)   Preparatele care conțin produsele primare de arome de fum SF-001, SF-002, SF-003, SF-004, SF-005, SF-006, SF-008 sau SF-009 și care nu sunt destinate consumului ca atare pot fi introduse pe piață până la 1 iulie 2029 pentru a fi utilizate în categoriile de produse alimentare enumerate la alineatul (1) litera (a) și până la 1 iulie 2026 pentru toate celelalte categorii de produse alimentare.</w:t>
            </w:r>
          </w:p>
          <w:p w14:paraId="273A7E8C" w14:textId="77777777" w:rsidR="00342CCD" w:rsidRDefault="00342CCD">
            <w:pPr>
              <w:shd w:val="clear" w:color="auto" w:fill="FFFFFF"/>
              <w:spacing w:after="0"/>
              <w:jc w:val="both"/>
              <w:rPr>
                <w:color w:val="333333"/>
                <w:sz w:val="20"/>
                <w:szCs w:val="20"/>
              </w:rPr>
            </w:pPr>
          </w:p>
        </w:tc>
        <w:tc>
          <w:tcPr>
            <w:tcW w:w="4400" w:type="dxa"/>
            <w:gridSpan w:val="2"/>
            <w:tcBorders>
              <w:bottom w:val="single" w:sz="4" w:space="0" w:color="000000"/>
            </w:tcBorders>
          </w:tcPr>
          <w:p w14:paraId="0A1589B1" w14:textId="1DD33873" w:rsidR="00342CCD" w:rsidRDefault="00E729E2">
            <w:pPr>
              <w:shd w:val="clear" w:color="auto" w:fill="FFFFFF"/>
              <w:spacing w:after="280"/>
              <w:jc w:val="both"/>
              <w:rPr>
                <w:b/>
                <w:bCs/>
                <w:sz w:val="20"/>
                <w:szCs w:val="20"/>
              </w:rPr>
            </w:pPr>
            <w:r>
              <w:rPr>
                <w:b/>
                <w:bCs/>
                <w:sz w:val="20"/>
                <w:szCs w:val="20"/>
              </w:rPr>
              <w:t xml:space="preserve">17. </w:t>
            </w:r>
            <w:r w:rsidR="00054DA4" w:rsidRPr="00054DA4">
              <w:rPr>
                <w:b/>
                <w:bCs/>
                <w:color w:val="000000"/>
                <w:sz w:val="20"/>
                <w:szCs w:val="20"/>
                <w:lang w:eastAsia="ru-MD"/>
              </w:rPr>
              <w:t>Produsele alimentare care conțin produse primare de arome de fum SF-001, SF-002, SF-003, SF-004, SF-005, SF-006, SF-008 sau SF-009 ,</w:t>
            </w:r>
            <w:r w:rsidR="00054DA4" w:rsidRPr="00054DA4">
              <w:rPr>
                <w:b/>
                <w:bCs/>
                <w:color w:val="000000"/>
                <w:sz w:val="20"/>
                <w:szCs w:val="20"/>
                <w:lang w:eastAsia="ru-MD"/>
              </w:rPr>
              <w:t xml:space="preserve"> </w:t>
            </w:r>
            <w:r w:rsidR="00054DA4" w:rsidRPr="00054DA4">
              <w:rPr>
                <w:b/>
                <w:bCs/>
                <w:color w:val="000000"/>
                <w:sz w:val="20"/>
                <w:szCs w:val="20"/>
                <w:lang w:eastAsia="ru-MD"/>
              </w:rPr>
              <w:t>care respectă dispozițiile aplicabile respectivelor produse primare de arome de fum prevăzute în</w:t>
            </w:r>
            <w:r w:rsidR="00054DA4" w:rsidRPr="00054DA4">
              <w:rPr>
                <w:b/>
                <w:bCs/>
                <w:color w:val="000000"/>
                <w:sz w:val="20"/>
                <w:szCs w:val="20"/>
                <w:lang w:val="it-IT" w:eastAsia="ru-RU"/>
              </w:rPr>
              <w:t xml:space="preserve"> anexa nr. 2 înainte de 21 august 2024</w:t>
            </w:r>
            <w:r w:rsidR="00054DA4" w:rsidRPr="00054DA4">
              <w:rPr>
                <w:b/>
                <w:bCs/>
                <w:color w:val="000000"/>
                <w:sz w:val="20"/>
                <w:szCs w:val="20"/>
                <w:lang w:eastAsia="ru-MD"/>
              </w:rPr>
              <w:t xml:space="preserve"> pot continua să fie introduse pe piață și să rămână pe piață până la data durabilității minimale sau până la data-limită de consum dacă sunt introduse pe piață pe piață înainte de</w:t>
            </w:r>
            <w:r w:rsidRPr="00054DA4">
              <w:rPr>
                <w:b/>
                <w:bCs/>
                <w:sz w:val="20"/>
                <w:szCs w:val="20"/>
              </w:rPr>
              <w:t>:</w:t>
            </w:r>
          </w:p>
          <w:p w14:paraId="7750140E" w14:textId="77777777" w:rsidR="00342CCD" w:rsidRDefault="00E729E2">
            <w:pPr>
              <w:shd w:val="clear" w:color="auto" w:fill="FFFFFF"/>
              <w:spacing w:before="280" w:after="280"/>
              <w:jc w:val="both"/>
              <w:rPr>
                <w:b/>
                <w:bCs/>
                <w:sz w:val="20"/>
                <w:szCs w:val="20"/>
              </w:rPr>
            </w:pPr>
            <w:r>
              <w:rPr>
                <w:b/>
                <w:bCs/>
                <w:sz w:val="20"/>
                <w:szCs w:val="20"/>
              </w:rPr>
              <w:t>17.1. 1 iulie 2029 pentru categoriile de produse alimentare 1.7 (Brânză și brânzeturi), 8 (Carne), 9.2 (Pește și produse de pescărie prelucrate, inclusiv crustacee și moluște), 9.3 (Icre) și subcategoriile corespunzătoare acestora;</w:t>
            </w:r>
          </w:p>
          <w:p w14:paraId="561E453C" w14:textId="77777777" w:rsidR="00342CCD" w:rsidRDefault="00E729E2">
            <w:pPr>
              <w:shd w:val="clear" w:color="auto" w:fill="FFFFFF"/>
              <w:spacing w:after="165"/>
              <w:jc w:val="both"/>
              <w:rPr>
                <w:b/>
                <w:bCs/>
                <w:sz w:val="20"/>
                <w:szCs w:val="20"/>
              </w:rPr>
            </w:pPr>
            <w:r>
              <w:rPr>
                <w:b/>
                <w:bCs/>
                <w:sz w:val="20"/>
                <w:szCs w:val="20"/>
              </w:rPr>
              <w:t>17.2. 1 iulie 2026 pentru toate celelalte categorii de produse alimentare.</w:t>
            </w:r>
          </w:p>
          <w:p w14:paraId="6252FB37" w14:textId="01926B31" w:rsidR="00342CCD" w:rsidRDefault="00E729E2">
            <w:pPr>
              <w:tabs>
                <w:tab w:val="left" w:pos="1091"/>
              </w:tabs>
              <w:spacing w:after="0"/>
              <w:ind w:hanging="22"/>
              <w:jc w:val="both"/>
              <w:rPr>
                <w:b/>
                <w:bCs/>
                <w:sz w:val="20"/>
                <w:szCs w:val="20"/>
              </w:rPr>
            </w:pPr>
            <w:r>
              <w:rPr>
                <w:b/>
                <w:bCs/>
                <w:sz w:val="20"/>
                <w:szCs w:val="20"/>
              </w:rPr>
              <w:t xml:space="preserve">18. Preparatele care conțin produsele primare de arome de fum </w:t>
            </w:r>
            <w:r w:rsidR="00A31F75" w:rsidRPr="00A31F75">
              <w:rPr>
                <w:b/>
                <w:bCs/>
                <w:color w:val="000000"/>
                <w:sz w:val="20"/>
                <w:szCs w:val="20"/>
                <w:lang w:eastAsia="ru-MD"/>
              </w:rPr>
              <w:t>SF-001 SF-002, SF-003, SF-004, SF-005, SF-006, SF-008 sau SF-009</w:t>
            </w:r>
            <w:r w:rsidR="00A31F75" w:rsidRPr="00A31F75">
              <w:rPr>
                <w:color w:val="000000"/>
                <w:sz w:val="20"/>
                <w:szCs w:val="20"/>
                <w:lang w:eastAsia="ru-MD"/>
              </w:rPr>
              <w:t> </w:t>
            </w:r>
            <w:r>
              <w:rPr>
                <w:b/>
                <w:bCs/>
                <w:sz w:val="20"/>
                <w:szCs w:val="20"/>
              </w:rPr>
              <w:t>și care nu sunt destinate consumului ca atare pot fi introduse pe piață până la 1 iulie 2029 pentru a fi utilizate în categoriile de produse alimentare enumerate la sbpct. 17.1. și până la 1 iulie 2026 pentru toate celelalte categorii de produse alimentare.</w:t>
            </w:r>
          </w:p>
          <w:p w14:paraId="247C66D1" w14:textId="77777777" w:rsidR="00342CCD" w:rsidRDefault="00342CCD">
            <w:pPr>
              <w:tabs>
                <w:tab w:val="left" w:pos="1091"/>
              </w:tabs>
              <w:spacing w:after="0"/>
              <w:ind w:hanging="22"/>
              <w:jc w:val="both"/>
              <w:rPr>
                <w:b/>
                <w:bCs/>
                <w:sz w:val="20"/>
                <w:szCs w:val="20"/>
              </w:rPr>
            </w:pPr>
          </w:p>
          <w:p w14:paraId="538120BD" w14:textId="77777777" w:rsidR="00342CCD" w:rsidRDefault="00342CCD">
            <w:pPr>
              <w:tabs>
                <w:tab w:val="left" w:pos="1091"/>
              </w:tabs>
              <w:spacing w:after="0"/>
              <w:ind w:hanging="22"/>
              <w:jc w:val="both"/>
              <w:rPr>
                <w:rFonts w:ascii="Roboto" w:eastAsia="Roboto" w:hAnsi="Roboto" w:cs="Roboto"/>
                <w:b/>
                <w:bCs/>
                <w:sz w:val="20"/>
                <w:szCs w:val="20"/>
                <w:highlight w:val="white"/>
              </w:rPr>
            </w:pPr>
          </w:p>
        </w:tc>
        <w:tc>
          <w:tcPr>
            <w:tcW w:w="2873" w:type="dxa"/>
            <w:gridSpan w:val="2"/>
            <w:tcBorders>
              <w:bottom w:val="single" w:sz="4" w:space="0" w:color="000000"/>
            </w:tcBorders>
          </w:tcPr>
          <w:p w14:paraId="1BD1D113" w14:textId="77777777" w:rsidR="00342CCD" w:rsidRDefault="00E729E2">
            <w:pPr>
              <w:tabs>
                <w:tab w:val="left" w:pos="1091"/>
              </w:tabs>
              <w:spacing w:after="0"/>
              <w:jc w:val="center"/>
              <w:rPr>
                <w:b/>
                <w:bCs/>
                <w:sz w:val="20"/>
                <w:szCs w:val="20"/>
              </w:rPr>
            </w:pPr>
            <w:r>
              <w:rPr>
                <w:b/>
                <w:bCs/>
                <w:sz w:val="20"/>
                <w:szCs w:val="20"/>
              </w:rPr>
              <w:t>Compatibil</w:t>
            </w:r>
          </w:p>
        </w:tc>
        <w:tc>
          <w:tcPr>
            <w:tcW w:w="2298" w:type="dxa"/>
            <w:gridSpan w:val="2"/>
            <w:tcBorders>
              <w:bottom w:val="single" w:sz="4" w:space="0" w:color="000000"/>
            </w:tcBorders>
            <w:vAlign w:val="center"/>
          </w:tcPr>
          <w:p w14:paraId="5B4E7448" w14:textId="77777777" w:rsidR="00342CCD" w:rsidRDefault="00E729E2">
            <w:pPr>
              <w:tabs>
                <w:tab w:val="left" w:pos="1091"/>
              </w:tabs>
              <w:spacing w:after="0"/>
              <w:jc w:val="both"/>
              <w:rPr>
                <w:sz w:val="20"/>
                <w:szCs w:val="20"/>
              </w:rPr>
            </w:pPr>
            <w:r>
              <w:rPr>
                <w:sz w:val="20"/>
                <w:szCs w:val="20"/>
              </w:rPr>
              <w:t xml:space="preserve">Prevederi incluse în contextul ultimei modificări a </w:t>
            </w:r>
            <w:r>
              <w:rPr>
                <w:sz w:val="20"/>
                <w:szCs w:val="20"/>
                <w:highlight w:val="white"/>
              </w:rPr>
              <w:t xml:space="preserve">Regulamentului de punere în aplicare (UE) nr. 1321/2013 care s-a efectuat prin Regulamentul de punere în aplicare (UE) 2024/2067 </w:t>
            </w:r>
            <w:r>
              <w:rPr>
                <w:i/>
                <w:iCs/>
                <w:sz w:val="20"/>
                <w:szCs w:val="20"/>
                <w:highlight w:val="white"/>
              </w:rPr>
              <w:t>al Comisiei din 31 iulie 2024 de modificare a Regulamentului de punere în aplicare (UE) nr. 1321/2013 în ceea ce privește eliminarea rubricilor SF-001-SF-010 din lista Uniunii cu produse primare de arome de fum autorizat</w:t>
            </w:r>
            <w:r>
              <w:rPr>
                <w:sz w:val="20"/>
                <w:szCs w:val="20"/>
                <w:highlight w:val="white"/>
              </w:rPr>
              <w:t>e</w:t>
            </w:r>
          </w:p>
        </w:tc>
      </w:tr>
    </w:tbl>
    <w:p w14:paraId="1FB95679" w14:textId="77777777" w:rsidR="00342CCD" w:rsidRDefault="00342CCD">
      <w:pPr>
        <w:spacing w:after="0"/>
        <w:jc w:val="both"/>
        <w:rPr>
          <w:b/>
          <w:bCs/>
          <w:sz w:val="20"/>
          <w:szCs w:val="20"/>
        </w:rPr>
      </w:pPr>
    </w:p>
    <w:sectPr w:rsidR="00342CCD">
      <w:headerReference w:type="default" r:id="rId10"/>
      <w:pgSz w:w="16838" w:h="11906" w:orient="landscape"/>
      <w:pgMar w:top="851" w:right="1134" w:bottom="1276"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A33DA" w14:textId="77777777" w:rsidR="00E729E2" w:rsidRDefault="00E729E2">
      <w:pPr>
        <w:spacing w:after="0"/>
      </w:pPr>
      <w:r>
        <w:separator/>
      </w:r>
    </w:p>
  </w:endnote>
  <w:endnote w:type="continuationSeparator" w:id="0">
    <w:p w14:paraId="36B62365" w14:textId="77777777" w:rsidR="00E729E2" w:rsidRDefault="00E729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C6D2A319-672D-4EB3-86C2-D86D360E6EF6}"/>
  </w:font>
  <w:font w:name="Aptos">
    <w:charset w:val="00"/>
    <w:family w:val="swiss"/>
    <w:pitch w:val="variable"/>
    <w:sig w:usb0="20000287" w:usb1="00000003" w:usb2="00000000" w:usb3="00000000" w:csb0="0000019F" w:csb1="00000000"/>
    <w:embedRegular r:id="rId2" w:fontKey="{34788762-8BC6-4A0B-922D-2FB9A2B30BE9}"/>
    <w:embedItalic r:id="rId3" w:fontKey="{503F23C0-FF0E-431B-A532-B04132CD0A1D}"/>
  </w:font>
  <w:font w:name="Aptos Display">
    <w:charset w:val="00"/>
    <w:family w:val="swiss"/>
    <w:pitch w:val="variable"/>
    <w:sig w:usb0="20000287" w:usb1="00000003" w:usb2="00000000" w:usb3="00000000" w:csb0="0000019F" w:csb1="00000000"/>
    <w:embedRegular r:id="rId4" w:fontKey="{AAE3314B-A80D-4255-93E6-17DEBFA627CE}"/>
  </w:font>
  <w:font w:name="Segoe UI">
    <w:panose1 w:val="020B0502040204020203"/>
    <w:charset w:val="00"/>
    <w:family w:val="swiss"/>
    <w:pitch w:val="variable"/>
    <w:sig w:usb0="E4002EFF" w:usb1="C000E47F" w:usb2="00000009" w:usb3="00000000" w:csb0="000001FF" w:csb1="00000000"/>
    <w:embedRegular r:id="rId5" w:fontKey="{3A7A9431-B3D9-416F-AD74-1BFB30E0E8FC}"/>
  </w:font>
  <w:font w:name="Roboto">
    <w:charset w:val="00"/>
    <w:family w:val="auto"/>
    <w:pitch w:val="variable"/>
    <w:sig w:usb0="E0000AFF" w:usb1="5000217F" w:usb2="00000021" w:usb3="00000000" w:csb0="0000019F" w:csb1="00000000"/>
    <w:embedBold r:id="rId6" w:fontKey="{3A4EB965-B99E-4EF6-8550-845D81594A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796B" w14:textId="77777777" w:rsidR="00E729E2" w:rsidRDefault="00E729E2">
      <w:pPr>
        <w:spacing w:after="0"/>
      </w:pPr>
      <w:r>
        <w:separator/>
      </w:r>
    </w:p>
  </w:footnote>
  <w:footnote w:type="continuationSeparator" w:id="0">
    <w:p w14:paraId="1C977925" w14:textId="77777777" w:rsidR="00E729E2" w:rsidRDefault="00E729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DA97" w14:textId="77777777" w:rsidR="00342CCD" w:rsidRDefault="00342CCD">
    <w:pPr>
      <w:pBdr>
        <w:top w:val="nil"/>
        <w:left w:val="nil"/>
        <w:bottom w:val="nil"/>
        <w:right w:val="nil"/>
        <w:between w:val="nil"/>
      </w:pBdr>
      <w:tabs>
        <w:tab w:val="center" w:pos="4844"/>
        <w:tab w:val="right" w:pos="9689"/>
      </w:tabs>
      <w:spacing w:after="0"/>
      <w:ind w:firstLine="720"/>
      <w:jc w:val="both"/>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CCD"/>
    <w:rsid w:val="00054DA4"/>
    <w:rsid w:val="00342CCD"/>
    <w:rsid w:val="0093445F"/>
    <w:rsid w:val="00A31F75"/>
    <w:rsid w:val="00AD420F"/>
    <w:rsid w:val="00BE05EF"/>
    <w:rsid w:val="00D21C55"/>
    <w:rsid w:val="00E64692"/>
    <w:rsid w:val="00E666AB"/>
    <w:rsid w:val="00E729E2"/>
    <w:rsid w:val="00F95CA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0BAB"/>
  <w15:docId w15:val="{B9C15EA7-87CA-4C0A-A355-69CBB2C4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MD" w:eastAsia="ro-MD"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BalloonText">
    <w:name w:val="Balloon Text"/>
    <w:basedOn w:val="Normal"/>
    <w:link w:val="BalloonTextChar"/>
    <w:uiPriority w:val="99"/>
    <w:semiHidden/>
    <w:unhideWhenUsed/>
    <w:rsid w:val="00CC5D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DB0"/>
    <w:rPr>
      <w:rFonts w:ascii="Segoe UI" w:eastAsia="Times New Roman" w:hAnsi="Segoe UI" w:cs="Segoe UI"/>
      <w:kern w:val="0"/>
      <w:sz w:val="18"/>
      <w:szCs w:val="18"/>
      <w:lang w:val="ro-RO"/>
    </w:rPr>
  </w:style>
  <w:style w:type="character" w:styleId="Hyperlink">
    <w:name w:val="Hyperlink"/>
    <w:basedOn w:val="DefaultParagraphFont"/>
    <w:uiPriority w:val="99"/>
    <w:unhideWhenUsed/>
    <w:rsid w:val="00B478A9"/>
    <w:rPr>
      <w:color w:val="467886" w:themeColor="hyperlink"/>
      <w:u w:val="single"/>
    </w:rPr>
  </w:style>
  <w:style w:type="character" w:styleId="CommentReference">
    <w:name w:val="annotation reference"/>
    <w:basedOn w:val="DefaultParagraphFont"/>
    <w:uiPriority w:val="99"/>
    <w:semiHidden/>
    <w:unhideWhenUsed/>
    <w:rsid w:val="004B6507"/>
    <w:rPr>
      <w:sz w:val="16"/>
      <w:szCs w:val="16"/>
    </w:rPr>
  </w:style>
  <w:style w:type="paragraph" w:styleId="CommentText">
    <w:name w:val="annotation text"/>
    <w:basedOn w:val="Normal"/>
    <w:link w:val="CommentTextChar"/>
    <w:uiPriority w:val="99"/>
    <w:unhideWhenUsed/>
    <w:rsid w:val="004B6507"/>
    <w:rPr>
      <w:sz w:val="20"/>
      <w:szCs w:val="20"/>
    </w:rPr>
  </w:style>
  <w:style w:type="character" w:customStyle="1" w:styleId="CommentTextChar">
    <w:name w:val="Comment Text Char"/>
    <w:basedOn w:val="DefaultParagraphFont"/>
    <w:link w:val="CommentText"/>
    <w:uiPriority w:val="99"/>
    <w:rsid w:val="004B6507"/>
    <w:rPr>
      <w:rFonts w:ascii="Times New Roman" w:eastAsia="Times New Roman" w:hAnsi="Times New Roman"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4B6507"/>
    <w:rPr>
      <w:b/>
      <w:bCs/>
    </w:rPr>
  </w:style>
  <w:style w:type="character" w:customStyle="1" w:styleId="CommentSubjectChar">
    <w:name w:val="Comment Subject Char"/>
    <w:basedOn w:val="CommentTextChar"/>
    <w:link w:val="CommentSubject"/>
    <w:uiPriority w:val="99"/>
    <w:semiHidden/>
    <w:rsid w:val="004B6507"/>
    <w:rPr>
      <w:rFonts w:ascii="Times New Roman" w:eastAsia="Times New Roman" w:hAnsi="Times New Roman" w:cs="Times New Roman"/>
      <w:b/>
      <w:bCs/>
      <w:kern w:val="0"/>
      <w:sz w:val="20"/>
      <w:szCs w:val="20"/>
      <w:lang w:val="ro-RO"/>
    </w:rPr>
  </w:style>
  <w:style w:type="paragraph" w:customStyle="1" w:styleId="title-article-norm">
    <w:name w:val="title-article-norm"/>
    <w:basedOn w:val="Normal"/>
    <w:rsid w:val="00084574"/>
    <w:pPr>
      <w:spacing w:before="100" w:beforeAutospacing="1" w:after="100" w:afterAutospacing="1"/>
    </w:pPr>
    <w:rPr>
      <w:sz w:val="24"/>
      <w:szCs w:val="24"/>
      <w:lang w:eastAsia="ro-RO"/>
    </w:rPr>
  </w:style>
  <w:style w:type="paragraph" w:customStyle="1" w:styleId="norm">
    <w:name w:val="norm"/>
    <w:basedOn w:val="Normal"/>
    <w:rsid w:val="00084574"/>
    <w:pPr>
      <w:spacing w:before="100" w:beforeAutospacing="1" w:after="100" w:afterAutospacing="1"/>
    </w:pPr>
    <w:rPr>
      <w:sz w:val="24"/>
      <w:szCs w:val="24"/>
      <w:lang w:eastAsia="ro-RO"/>
    </w:rPr>
  </w:style>
  <w:style w:type="character" w:customStyle="1" w:styleId="no-parag">
    <w:name w:val="no-parag"/>
    <w:basedOn w:val="DefaultParagraphFont"/>
    <w:rsid w:val="00A84A2B"/>
  </w:style>
  <w:style w:type="character" w:customStyle="1" w:styleId="italics">
    <w:name w:val="italics"/>
    <w:basedOn w:val="DefaultParagraphFont"/>
    <w:rsid w:val="00A84A2B"/>
  </w:style>
  <w:style w:type="paragraph" w:customStyle="1" w:styleId="title-annex-1">
    <w:name w:val="title-annex-1"/>
    <w:basedOn w:val="Normal"/>
    <w:rsid w:val="00A84A2B"/>
    <w:pPr>
      <w:spacing w:before="100" w:beforeAutospacing="1" w:after="100" w:afterAutospacing="1"/>
    </w:pPr>
    <w:rPr>
      <w:sz w:val="24"/>
      <w:szCs w:val="24"/>
      <w:lang w:eastAsia="ro-RO"/>
    </w:rPr>
  </w:style>
  <w:style w:type="paragraph" w:styleId="NormalWeb">
    <w:name w:val="Normal (Web)"/>
    <w:basedOn w:val="Normal"/>
    <w:uiPriority w:val="99"/>
    <w:unhideWhenUsed/>
    <w:rsid w:val="00A84A2B"/>
    <w:pPr>
      <w:spacing w:before="100" w:beforeAutospacing="1" w:after="100" w:afterAutospacing="1"/>
    </w:pPr>
    <w:rPr>
      <w:sz w:val="24"/>
      <w:szCs w:val="24"/>
      <w:lang w:eastAsia="ro-RO"/>
    </w:rPr>
  </w:style>
  <w:style w:type="paragraph" w:customStyle="1" w:styleId="title-table">
    <w:name w:val="title-table"/>
    <w:basedOn w:val="Normal"/>
    <w:rsid w:val="00A84A2B"/>
    <w:pPr>
      <w:spacing w:before="100" w:beforeAutospacing="1" w:after="100" w:afterAutospacing="1"/>
    </w:pPr>
    <w:rPr>
      <w:sz w:val="24"/>
      <w:szCs w:val="24"/>
      <w:lang w:eastAsia="ro-RO"/>
    </w:rPr>
  </w:style>
  <w:style w:type="character" w:customStyle="1" w:styleId="boldface">
    <w:name w:val="boldface"/>
    <w:basedOn w:val="DefaultParagraphFont"/>
    <w:rsid w:val="00A84A2B"/>
  </w:style>
  <w:style w:type="character" w:customStyle="1" w:styleId="superscript">
    <w:name w:val="superscript"/>
    <w:basedOn w:val="DefaultParagraphFont"/>
    <w:rsid w:val="00A84A2B"/>
  </w:style>
  <w:style w:type="paragraph" w:customStyle="1" w:styleId="hd-column">
    <w:name w:val="hd-column"/>
    <w:basedOn w:val="Normal"/>
    <w:rsid w:val="00A84A2B"/>
    <w:pPr>
      <w:spacing w:before="100" w:beforeAutospacing="1" w:after="100" w:afterAutospacing="1"/>
    </w:pPr>
    <w:rPr>
      <w:sz w:val="24"/>
      <w:szCs w:val="24"/>
      <w:lang w:eastAsia="ro-RO"/>
    </w:rPr>
  </w:style>
  <w:style w:type="paragraph" w:customStyle="1" w:styleId="tbl-norm">
    <w:name w:val="tbl-norm"/>
    <w:basedOn w:val="Normal"/>
    <w:rsid w:val="00A84A2B"/>
    <w:pPr>
      <w:spacing w:before="100" w:beforeAutospacing="1" w:after="100" w:afterAutospacing="1"/>
    </w:pPr>
    <w:rPr>
      <w:sz w:val="24"/>
      <w:szCs w:val="24"/>
      <w:lang w:eastAsia="ro-RO"/>
    </w:rPr>
  </w:style>
  <w:style w:type="paragraph" w:customStyle="1" w:styleId="inline-element">
    <w:name w:val="inline-element"/>
    <w:basedOn w:val="Normal"/>
    <w:rsid w:val="00A84A2B"/>
    <w:pPr>
      <w:spacing w:before="100" w:beforeAutospacing="1" w:after="100" w:afterAutospacing="1"/>
    </w:pPr>
    <w:rPr>
      <w:sz w:val="24"/>
      <w:szCs w:val="24"/>
      <w:lang w:eastAsia="ro-RO"/>
    </w:rPr>
  </w:style>
  <w:style w:type="paragraph" w:customStyle="1" w:styleId="modref">
    <w:name w:val="modref"/>
    <w:basedOn w:val="Normal"/>
    <w:rsid w:val="00A84A2B"/>
    <w:pPr>
      <w:spacing w:before="100" w:beforeAutospacing="1" w:after="100" w:afterAutospacing="1"/>
    </w:pPr>
    <w:rPr>
      <w:sz w:val="24"/>
      <w:szCs w:val="24"/>
      <w:lang w:eastAsia="ro-RO"/>
    </w:rPr>
  </w:style>
  <w:style w:type="paragraph" w:customStyle="1" w:styleId="title-annex-2">
    <w:name w:val="title-annex-2"/>
    <w:basedOn w:val="Normal"/>
    <w:rsid w:val="00A84A2B"/>
    <w:pPr>
      <w:spacing w:before="100" w:beforeAutospacing="1" w:after="100" w:afterAutospacing="1"/>
    </w:pPr>
    <w:rPr>
      <w:sz w:val="24"/>
      <w:szCs w:val="24"/>
      <w:lang w:eastAsia="ro-RO"/>
    </w:rPr>
  </w:style>
  <w:style w:type="paragraph" w:customStyle="1" w:styleId="title-gr-seq-level-1">
    <w:name w:val="title-gr-seq-level-1"/>
    <w:basedOn w:val="Normal"/>
    <w:rsid w:val="00A84A2B"/>
    <w:pPr>
      <w:spacing w:before="100" w:beforeAutospacing="1" w:after="100" w:afterAutospacing="1"/>
    </w:pPr>
    <w:rPr>
      <w:sz w:val="24"/>
      <w:szCs w:val="24"/>
      <w:lang w:eastAsia="ro-RO"/>
    </w:rPr>
  </w:style>
  <w:style w:type="paragraph" w:customStyle="1" w:styleId="title-gr-seq-level-2">
    <w:name w:val="title-gr-seq-level-2"/>
    <w:basedOn w:val="Normal"/>
    <w:rsid w:val="00A84A2B"/>
    <w:pPr>
      <w:spacing w:before="100" w:beforeAutospacing="1" w:after="100" w:afterAutospacing="1"/>
    </w:pPr>
    <w:rPr>
      <w:sz w:val="24"/>
      <w:szCs w:val="24"/>
      <w:lang w:eastAsia="ro-RO"/>
    </w:rPr>
  </w:style>
  <w:style w:type="paragraph" w:customStyle="1" w:styleId="title-gr-seq-level-3">
    <w:name w:val="title-gr-seq-level-3"/>
    <w:basedOn w:val="Normal"/>
    <w:rsid w:val="00A84A2B"/>
    <w:pPr>
      <w:spacing w:before="100" w:beforeAutospacing="1" w:after="100" w:afterAutospacing="1"/>
    </w:pPr>
    <w:rPr>
      <w:sz w:val="24"/>
      <w:szCs w:val="24"/>
      <w:lang w:eastAsia="ro-RO"/>
    </w:rPr>
  </w:style>
  <w:style w:type="paragraph" w:customStyle="1" w:styleId="List1">
    <w:name w:val="Listă1"/>
    <w:basedOn w:val="Normal"/>
    <w:rsid w:val="00A84A2B"/>
    <w:pPr>
      <w:spacing w:before="100" w:beforeAutospacing="1" w:after="100" w:afterAutospacing="1"/>
    </w:pPr>
    <w:rPr>
      <w:sz w:val="24"/>
      <w:szCs w:val="24"/>
      <w:lang w:eastAsia="ro-RO"/>
    </w:rPr>
  </w:style>
  <w:style w:type="character" w:customStyle="1" w:styleId="HeaderChar">
    <w:name w:val="Header Char"/>
    <w:basedOn w:val="DefaultParagraphFont"/>
    <w:link w:val="Header"/>
    <w:uiPriority w:val="99"/>
    <w:rsid w:val="005B679B"/>
    <w:rPr>
      <w:rFonts w:ascii="Times New Roman" w:eastAsia="Times New Roman" w:hAnsi="Times New Roman" w:cs="Times New Roman"/>
      <w:kern w:val="0"/>
      <w:sz w:val="20"/>
      <w:szCs w:val="20"/>
      <w:lang w:val="en-US"/>
    </w:rPr>
  </w:style>
  <w:style w:type="paragraph" w:styleId="Header">
    <w:name w:val="header"/>
    <w:basedOn w:val="Normal"/>
    <w:link w:val="HeaderChar"/>
    <w:uiPriority w:val="99"/>
    <w:unhideWhenUsed/>
    <w:rsid w:val="005B679B"/>
    <w:pPr>
      <w:tabs>
        <w:tab w:val="center" w:pos="4844"/>
        <w:tab w:val="right" w:pos="9689"/>
      </w:tabs>
      <w:spacing w:after="0"/>
      <w:ind w:firstLine="720"/>
      <w:jc w:val="both"/>
    </w:pPr>
    <w:rPr>
      <w:sz w:val="20"/>
      <w:szCs w:val="20"/>
      <w:lang w:val="en-US"/>
    </w:rPr>
  </w:style>
  <w:style w:type="character" w:customStyle="1" w:styleId="FooterChar">
    <w:name w:val="Footer Char"/>
    <w:basedOn w:val="DefaultParagraphFont"/>
    <w:link w:val="Footer"/>
    <w:uiPriority w:val="99"/>
    <w:rsid w:val="005B679B"/>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unhideWhenUsed/>
    <w:rsid w:val="005B679B"/>
    <w:pPr>
      <w:tabs>
        <w:tab w:val="center" w:pos="4844"/>
        <w:tab w:val="right" w:pos="9689"/>
      </w:tabs>
      <w:spacing w:after="0"/>
      <w:ind w:firstLine="720"/>
      <w:jc w:val="both"/>
    </w:pPr>
    <w:rPr>
      <w:sz w:val="20"/>
      <w:szCs w:val="20"/>
      <w:lang w:val="en-US"/>
    </w:rPr>
  </w:style>
  <w:style w:type="paragraph" w:customStyle="1" w:styleId="doc-ti">
    <w:name w:val="doc-ti"/>
    <w:basedOn w:val="Normal"/>
    <w:rsid w:val="009022B4"/>
    <w:pPr>
      <w:spacing w:before="100" w:beforeAutospacing="1" w:after="100" w:afterAutospacing="1"/>
    </w:pPr>
    <w:rPr>
      <w:sz w:val="24"/>
      <w:szCs w:val="24"/>
      <w:lang w:val="ru-RU" w:eastAsia="ru-RU"/>
    </w:rPr>
  </w:style>
  <w:style w:type="paragraph" w:customStyle="1" w:styleId="1">
    <w:name w:val="Обычный1"/>
    <w:basedOn w:val="Normal"/>
    <w:rsid w:val="00C57D6B"/>
    <w:pPr>
      <w:spacing w:before="100" w:beforeAutospacing="1" w:after="100" w:afterAutospacing="1"/>
    </w:pPr>
    <w:rPr>
      <w:sz w:val="24"/>
      <w:szCs w:val="24"/>
      <w:lang w:val="ru-RU" w:eastAsia="ru-RU"/>
    </w:rPr>
  </w:style>
  <w:style w:type="paragraph" w:customStyle="1" w:styleId="ti-grseq-1">
    <w:name w:val="ti-grseq-1"/>
    <w:basedOn w:val="Normal"/>
    <w:rsid w:val="00C57D6B"/>
    <w:pPr>
      <w:spacing w:before="100" w:beforeAutospacing="1" w:after="100" w:afterAutospacing="1"/>
    </w:pPr>
    <w:rPr>
      <w:sz w:val="24"/>
      <w:szCs w:val="24"/>
      <w:lang w:val="ru-RU" w:eastAsia="ru-RU"/>
    </w:rPr>
  </w:style>
  <w:style w:type="paragraph" w:customStyle="1" w:styleId="footnote">
    <w:name w:val="footnote"/>
    <w:basedOn w:val="Normal"/>
    <w:rsid w:val="00C57D6B"/>
    <w:pPr>
      <w:spacing w:before="100" w:beforeAutospacing="1" w:after="100" w:afterAutospacing="1"/>
    </w:pPr>
    <w:rPr>
      <w:sz w:val="24"/>
      <w:szCs w:val="24"/>
      <w:lang w:val="ru-MD" w:eastAsia="ru-MD"/>
    </w:rPr>
  </w:style>
  <w:style w:type="table" w:customStyle="1" w:styleId="TableNormal10">
    <w:name w:val="Table Normal1"/>
    <w:rsid w:val="00E22713"/>
    <w:pPr>
      <w:spacing w:after="200" w:line="276" w:lineRule="auto"/>
    </w:pPr>
    <w:rPr>
      <w:sz w:val="20"/>
      <w:szCs w:val="20"/>
      <w:lang w:val="ro-RO" w:eastAsia="ro-RO"/>
    </w:rPr>
    <w:tblPr>
      <w:tblCellMar>
        <w:top w:w="0" w:type="dxa"/>
        <w:left w:w="0" w:type="dxa"/>
        <w:bottom w:w="0" w:type="dxa"/>
        <w:right w:w="0" w:type="dxa"/>
      </w:tblCellMar>
    </w:tblPr>
  </w:style>
  <w:style w:type="character" w:styleId="Emphasis">
    <w:name w:val="Emphasis"/>
    <w:basedOn w:val="DefaultParagraphFont"/>
    <w:uiPriority w:val="20"/>
    <w:qFormat/>
    <w:rsid w:val="00E22713"/>
    <w:rPr>
      <w:i/>
      <w:iCs/>
    </w:rPr>
  </w:style>
  <w:style w:type="character" w:styleId="Strong">
    <w:name w:val="Strong"/>
    <w:basedOn w:val="DefaultParagraphFont"/>
    <w:uiPriority w:val="22"/>
    <w:qFormat/>
    <w:rsid w:val="00E22713"/>
    <w:rPr>
      <w:b/>
      <w:bCs/>
    </w:rPr>
  </w:style>
  <w:style w:type="paragraph" w:customStyle="1" w:styleId="stitle-article-norm">
    <w:name w:val="stitle-article-norm"/>
    <w:basedOn w:val="Normal"/>
    <w:rsid w:val="00D453E8"/>
    <w:pPr>
      <w:spacing w:before="100" w:beforeAutospacing="1" w:after="100" w:afterAutospacing="1"/>
    </w:pPr>
    <w:rPr>
      <w:sz w:val="24"/>
      <w:szCs w:val="24"/>
      <w:lang w:eastAsia="ro-RO"/>
    </w:rPr>
  </w:style>
  <w:style w:type="paragraph" w:customStyle="1" w:styleId="Normal1">
    <w:name w:val="Normal1"/>
    <w:basedOn w:val="Normal"/>
    <w:rsid w:val="00D453E8"/>
    <w:pPr>
      <w:spacing w:before="100" w:beforeAutospacing="1" w:after="100" w:afterAutospacing="1"/>
    </w:pPr>
    <w:rPr>
      <w:sz w:val="24"/>
      <w:szCs w:val="24"/>
      <w:lang w:val="ru-RU" w:eastAsia="ru-RU"/>
    </w:rPr>
  </w:style>
  <w:style w:type="character" w:styleId="UnresolvedMention">
    <w:name w:val="Unresolved Mention"/>
    <w:basedOn w:val="DefaultParagraphFont"/>
    <w:uiPriority w:val="99"/>
    <w:semiHidden/>
    <w:unhideWhenUsed/>
    <w:rsid w:val="00C26E3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rFonts w:ascii="Aptos" w:eastAsia="Aptos" w:hAnsi="Aptos" w:cs="Aptos"/>
      <w:color w:val="595959"/>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3R1321-20240821" TargetMode="External"/><Relationship Id="rId3" Type="http://schemas.openxmlformats.org/officeDocument/2006/relationships/settings" Target="settings.xml"/><Relationship Id="rId7" Type="http://schemas.openxmlformats.org/officeDocument/2006/relationships/hyperlink" Target="https://eur-lex.europa.eu/legal-content/RO/TXT/?uri=CELEX%3A02013R1321-202408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RO/TXT/?uri=CELEX%3A02013R1321-2024082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5BMs3eVX+ik0yZzr3LhBZW9Cxw==">CgMxLjA4AHIhMXVDUUhPV0tlemdZbWdQWURXbFRseDlSTGNDdldldWVi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1455</Words>
  <Characters>8793</Characters>
  <Application>Microsoft Office Word</Application>
  <DocSecurity>0</DocSecurity>
  <Lines>204</Lines>
  <Paragraphs>97</Paragraphs>
  <ScaleCrop>false</ScaleCrop>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Violina Lungu</dc:creator>
  <cp:lastModifiedBy>Direcția Politici în Domeniul Sănătății Publice și Urgențe în Sănătate Publică</cp:lastModifiedBy>
  <cp:revision>7</cp:revision>
  <cp:lastPrinted>2026-03-16T15:21:00Z</cp:lastPrinted>
  <dcterms:created xsi:type="dcterms:W3CDTF">2026-02-09T18:58:00Z</dcterms:created>
  <dcterms:modified xsi:type="dcterms:W3CDTF">2026-03-17T06:20:00Z</dcterms:modified>
</cp:coreProperties>
</file>