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5D" w:rsidRPr="007D3D0D" w:rsidRDefault="00EB025D" w:rsidP="00EB025D">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color w:val="000000" w:themeColor="text1"/>
          <w:sz w:val="28"/>
          <w:szCs w:val="28"/>
          <w:lang w:val="ro-MD"/>
        </w:rPr>
      </w:pPr>
      <w:r w:rsidRPr="007D3D0D">
        <w:rPr>
          <w:rFonts w:ascii="Times New Roman" w:eastAsia="Times New Roman" w:hAnsi="Times New Roman" w:cs="Times New Roman"/>
          <w:b/>
          <w:color w:val="000000" w:themeColor="text1"/>
          <w:sz w:val="28"/>
          <w:szCs w:val="28"/>
          <w:lang w:val="ro-MD"/>
        </w:rPr>
        <w:t>NOTA DE FUNDAMENTARE</w:t>
      </w:r>
    </w:p>
    <w:p w:rsidR="00BF6AC9" w:rsidRPr="007D3D0D" w:rsidRDefault="00EB025D" w:rsidP="00BF6AC9">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color w:val="000000" w:themeColor="text1"/>
          <w:sz w:val="28"/>
          <w:szCs w:val="28"/>
          <w:lang w:val="ro-MD"/>
        </w:rPr>
      </w:pPr>
      <w:r w:rsidRPr="007D3D0D">
        <w:rPr>
          <w:rFonts w:ascii="Times New Roman" w:eastAsia="Times New Roman" w:hAnsi="Times New Roman" w:cs="Times New Roman"/>
          <w:b/>
          <w:color w:val="000000" w:themeColor="text1"/>
          <w:sz w:val="28"/>
          <w:szCs w:val="28"/>
          <w:lang w:val="ro-MD"/>
        </w:rPr>
        <w:t xml:space="preserve">la proiectul </w:t>
      </w:r>
      <w:r w:rsidR="00E03542" w:rsidRPr="007D3D0D">
        <w:rPr>
          <w:rFonts w:ascii="Times New Roman" w:eastAsia="Times New Roman" w:hAnsi="Times New Roman" w:cs="Times New Roman"/>
          <w:b/>
          <w:color w:val="000000" w:themeColor="text1"/>
          <w:sz w:val="28"/>
          <w:szCs w:val="28"/>
          <w:lang w:val="ro-MD"/>
        </w:rPr>
        <w:t xml:space="preserve">hotărârii Guvernului </w:t>
      </w:r>
      <w:r w:rsidR="00BF6AC9" w:rsidRPr="007D3D0D">
        <w:rPr>
          <w:rFonts w:ascii="Times New Roman" w:eastAsia="Times New Roman" w:hAnsi="Times New Roman" w:cs="Times New Roman"/>
          <w:b/>
          <w:color w:val="000000" w:themeColor="text1"/>
          <w:sz w:val="28"/>
          <w:szCs w:val="28"/>
          <w:lang w:val="ro-MD"/>
        </w:rPr>
        <w:t xml:space="preserve">pentru modificarea </w:t>
      </w:r>
    </w:p>
    <w:p w:rsidR="00B430BB" w:rsidRPr="007D3D0D" w:rsidRDefault="008C15A9" w:rsidP="00B430BB">
      <w:pPr>
        <w:pStyle w:val="Style8"/>
        <w:widowControl/>
        <w:spacing w:line="240" w:lineRule="auto"/>
        <w:jc w:val="center"/>
        <w:rPr>
          <w:rStyle w:val="FontStyle12"/>
          <w:b/>
          <w:color w:val="000000" w:themeColor="text1"/>
          <w:sz w:val="28"/>
          <w:szCs w:val="28"/>
          <w:lang w:val="ro-MD" w:eastAsia="ro-RO"/>
        </w:rPr>
      </w:pPr>
      <w:r w:rsidRPr="007D3D0D">
        <w:rPr>
          <w:rFonts w:eastAsia="Times New Roman"/>
          <w:b/>
          <w:color w:val="000000" w:themeColor="text1"/>
          <w:sz w:val="28"/>
          <w:szCs w:val="28"/>
          <w:lang w:val="ro-MD"/>
        </w:rPr>
        <w:t>Hotărârii Guvernului nr.</w:t>
      </w:r>
      <w:r w:rsidR="00011AF8" w:rsidRPr="007D3D0D">
        <w:rPr>
          <w:rFonts w:eastAsia="Times New Roman"/>
          <w:b/>
          <w:color w:val="000000" w:themeColor="text1"/>
          <w:sz w:val="28"/>
          <w:szCs w:val="28"/>
          <w:lang w:val="ro-MD"/>
        </w:rPr>
        <w:t xml:space="preserve"> </w:t>
      </w:r>
      <w:r w:rsidRPr="007D3D0D">
        <w:rPr>
          <w:rFonts w:eastAsia="Times New Roman"/>
          <w:b/>
          <w:color w:val="000000" w:themeColor="text1"/>
          <w:sz w:val="28"/>
          <w:szCs w:val="28"/>
          <w:lang w:val="ro-MD"/>
        </w:rPr>
        <w:t>982/2018</w:t>
      </w:r>
      <w:r w:rsidR="00BF6AC9" w:rsidRPr="007D3D0D">
        <w:rPr>
          <w:rFonts w:eastAsia="Times New Roman"/>
          <w:b/>
          <w:color w:val="000000" w:themeColor="text1"/>
          <w:sz w:val="28"/>
          <w:szCs w:val="28"/>
          <w:lang w:val="ro-MD"/>
        </w:rPr>
        <w:t xml:space="preserve"> </w:t>
      </w:r>
      <w:r w:rsidR="00B430BB" w:rsidRPr="007D3D0D">
        <w:rPr>
          <w:rStyle w:val="FontStyle12"/>
          <w:b/>
          <w:color w:val="000000" w:themeColor="text1"/>
          <w:sz w:val="28"/>
          <w:szCs w:val="28"/>
          <w:lang w:val="ro-MD" w:eastAsia="ro-RO"/>
        </w:rPr>
        <w:t xml:space="preserve">cu privire la organizarea și funcționarea Agenției Asigurare Resurse și Administrare Patrimoniu a Ministerului Apărării </w:t>
      </w:r>
      <w:r w:rsidR="00522ABA" w:rsidRPr="007D3D0D">
        <w:rPr>
          <w:b/>
          <w:color w:val="000000" w:themeColor="text1"/>
          <w:sz w:val="28"/>
          <w:szCs w:val="28"/>
          <w:lang w:val="ro-MD"/>
        </w:rPr>
        <w:t>(număr unic 1010/MA/2025)</w:t>
      </w:r>
    </w:p>
    <w:p w:rsidR="00BF6AC9" w:rsidRPr="007D3D0D" w:rsidRDefault="00BF6AC9" w:rsidP="00B430B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color w:val="000000" w:themeColor="text1"/>
          <w:sz w:val="28"/>
          <w:szCs w:val="28"/>
          <w:lang w:val="ro-MD"/>
        </w:rPr>
      </w:pPr>
    </w:p>
    <w:tbl>
      <w:tblPr>
        <w:tblStyle w:val="TableGrid"/>
        <w:tblW w:w="99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13"/>
      </w:tblGrid>
      <w:tr w:rsidR="007D3D0D" w:rsidRPr="007D3D0D" w:rsidTr="00AD0855">
        <w:tc>
          <w:tcPr>
            <w:tcW w:w="9913"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EB025D" w:rsidRPr="007D3D0D" w:rsidRDefault="00EB025D" w:rsidP="00D24BF1">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1. Denumirea sau numele autorului și, după caz, a/al participanților la elaborarea proiectului actului normativ</w:t>
            </w:r>
          </w:p>
        </w:tc>
      </w:tr>
      <w:tr w:rsidR="007D3D0D" w:rsidRPr="007D3D0D" w:rsidTr="00AD0855">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EB025D" w:rsidRPr="007D3D0D" w:rsidRDefault="00BF6AC9" w:rsidP="00BF6AC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Proiectul hotărârii Guvernului pentru modificarea Hotărârii Guvernului </w:t>
            </w:r>
            <w:r w:rsidR="00B430BB" w:rsidRPr="007D3D0D">
              <w:rPr>
                <w:rFonts w:ascii="Times New Roman" w:eastAsia="Times New Roman" w:hAnsi="Times New Roman"/>
                <w:color w:val="000000" w:themeColor="text1"/>
                <w:sz w:val="28"/>
                <w:szCs w:val="28"/>
                <w:lang w:val="ro-MD"/>
              </w:rPr>
              <w:t xml:space="preserve">nr.982/2018 </w:t>
            </w:r>
            <w:r w:rsidR="00B430BB" w:rsidRPr="007D3D0D">
              <w:rPr>
                <w:rStyle w:val="FontStyle12"/>
                <w:color w:val="000000" w:themeColor="text1"/>
                <w:sz w:val="28"/>
                <w:szCs w:val="28"/>
                <w:lang w:val="ro-MD" w:eastAsia="ro-RO"/>
              </w:rPr>
              <w:t>cu privire la organizarea și funcționarea Agenției Asigurare Resurse și Administrare Patrimoniu a Ministerului Apărării.</w:t>
            </w:r>
          </w:p>
        </w:tc>
      </w:tr>
      <w:tr w:rsidR="007D3D0D" w:rsidRPr="007D3D0D" w:rsidTr="00AD0855">
        <w:tc>
          <w:tcPr>
            <w:tcW w:w="991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EB025D" w:rsidRPr="007D3D0D" w:rsidRDefault="00EB025D" w:rsidP="00D24BF1">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2. Condițiile ce au impus elaborarea proiectului actului normativ</w:t>
            </w:r>
          </w:p>
        </w:tc>
      </w:tr>
      <w:tr w:rsidR="007D3D0D" w:rsidRPr="007D3D0D" w:rsidTr="00AD0855">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EB025D" w:rsidRPr="007D3D0D" w:rsidRDefault="00EB025D" w:rsidP="00D24BF1">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2.1. Temeiul legal sau, după caz, sursa proiectului actului normativ</w:t>
            </w:r>
          </w:p>
        </w:tc>
      </w:tr>
      <w:tr w:rsidR="007D3D0D" w:rsidRPr="007D3D0D" w:rsidTr="00B872DE">
        <w:tc>
          <w:tcPr>
            <w:tcW w:w="9913"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E3740B" w:rsidRPr="007D3D0D" w:rsidRDefault="002A06A2" w:rsidP="009D1BA1">
            <w:pPr>
              <w:ind w:firstLine="449"/>
              <w:rPr>
                <w:rFonts w:ascii="Times New Roman" w:hAnsi="Times New Roman"/>
                <w:bCs/>
                <w:color w:val="000000" w:themeColor="text1"/>
                <w:sz w:val="28"/>
                <w:szCs w:val="28"/>
                <w:lang w:val="ro-MD"/>
              </w:rPr>
            </w:pPr>
            <w:r w:rsidRPr="007D3D0D">
              <w:rPr>
                <w:rFonts w:ascii="Times New Roman" w:hAnsi="Times New Roman"/>
                <w:bCs/>
                <w:color w:val="000000" w:themeColor="text1"/>
                <w:sz w:val="28"/>
                <w:szCs w:val="28"/>
                <w:lang w:val="ro-MD"/>
              </w:rPr>
              <w:t xml:space="preserve">În conformitate cu art. 7 lit. b) din Legea nr. 136/2017 cu privire la Guvern, modul de organizare și </w:t>
            </w:r>
            <w:proofErr w:type="spellStart"/>
            <w:r w:rsidRPr="007D3D0D">
              <w:rPr>
                <w:rFonts w:ascii="Times New Roman" w:hAnsi="Times New Roman"/>
                <w:bCs/>
                <w:color w:val="000000" w:themeColor="text1"/>
                <w:sz w:val="28"/>
                <w:szCs w:val="28"/>
                <w:lang w:val="ro-MD"/>
              </w:rPr>
              <w:t>funcţionare</w:t>
            </w:r>
            <w:proofErr w:type="spellEnd"/>
            <w:r w:rsidRPr="007D3D0D">
              <w:rPr>
                <w:rFonts w:ascii="Times New Roman" w:hAnsi="Times New Roman"/>
                <w:bCs/>
                <w:color w:val="000000" w:themeColor="text1"/>
                <w:sz w:val="28"/>
                <w:szCs w:val="28"/>
                <w:lang w:val="ro-MD"/>
              </w:rPr>
              <w:t xml:space="preserve">, domeniile de activitate, structura </w:t>
            </w:r>
            <w:proofErr w:type="spellStart"/>
            <w:r w:rsidRPr="007D3D0D">
              <w:rPr>
                <w:rFonts w:ascii="Times New Roman" w:hAnsi="Times New Roman"/>
                <w:bCs/>
                <w:color w:val="000000" w:themeColor="text1"/>
                <w:sz w:val="28"/>
                <w:szCs w:val="28"/>
                <w:lang w:val="ro-MD"/>
              </w:rPr>
              <w:t>şi</w:t>
            </w:r>
            <w:proofErr w:type="spellEnd"/>
            <w:r w:rsidRPr="007D3D0D">
              <w:rPr>
                <w:rFonts w:ascii="Times New Roman" w:hAnsi="Times New Roman"/>
                <w:bCs/>
                <w:color w:val="000000" w:themeColor="text1"/>
                <w:sz w:val="28"/>
                <w:szCs w:val="28"/>
                <w:lang w:val="ro-MD"/>
              </w:rPr>
              <w:t xml:space="preserve"> efectivul-limită ale ministerelor se stabilește de către Guvern. </w:t>
            </w:r>
            <w:r w:rsidR="009D1BA1" w:rsidRPr="007D3D0D">
              <w:rPr>
                <w:rFonts w:ascii="Times New Roman" w:hAnsi="Times New Roman"/>
                <w:bCs/>
                <w:color w:val="000000" w:themeColor="text1"/>
                <w:sz w:val="28"/>
                <w:szCs w:val="28"/>
                <w:lang w:val="ro-MD"/>
              </w:rPr>
              <w:t xml:space="preserve">Prin Hotărârea Guvernului nr. 284/2025 privind reglementarea modului de organizare </w:t>
            </w:r>
            <w:proofErr w:type="spellStart"/>
            <w:r w:rsidR="009D1BA1" w:rsidRPr="007D3D0D">
              <w:rPr>
                <w:rFonts w:ascii="Times New Roman" w:hAnsi="Times New Roman"/>
                <w:bCs/>
                <w:color w:val="000000" w:themeColor="text1"/>
                <w:sz w:val="28"/>
                <w:szCs w:val="28"/>
                <w:lang w:val="ro-MD"/>
              </w:rPr>
              <w:t>şi</w:t>
            </w:r>
            <w:proofErr w:type="spellEnd"/>
            <w:r w:rsidR="009D1BA1" w:rsidRPr="007D3D0D">
              <w:rPr>
                <w:rFonts w:ascii="Times New Roman" w:hAnsi="Times New Roman"/>
                <w:bCs/>
                <w:color w:val="000000" w:themeColor="text1"/>
                <w:sz w:val="28"/>
                <w:szCs w:val="28"/>
                <w:lang w:val="ro-MD"/>
              </w:rPr>
              <w:t xml:space="preserve"> funcționare a autorităților administrației publice centrale de specialitate, Guvernul a aprobat noua Structură-tip a Regulamentului privind organizarea și funcționarea autorității administrative din subordinea ministerului.</w:t>
            </w:r>
            <w:r w:rsidR="00BF6AC9" w:rsidRPr="007D3D0D">
              <w:rPr>
                <w:rFonts w:ascii="Times New Roman" w:hAnsi="Times New Roman"/>
                <w:bCs/>
                <w:color w:val="000000" w:themeColor="text1"/>
                <w:sz w:val="28"/>
                <w:szCs w:val="28"/>
                <w:lang w:val="ro-MD"/>
              </w:rPr>
              <w:t xml:space="preserve"> </w:t>
            </w:r>
            <w:r w:rsidR="002146D9" w:rsidRPr="007D3D0D">
              <w:rPr>
                <w:rFonts w:ascii="Times New Roman" w:hAnsi="Times New Roman"/>
                <w:bCs/>
                <w:color w:val="000000" w:themeColor="text1"/>
                <w:sz w:val="28"/>
                <w:szCs w:val="28"/>
                <w:lang w:val="ro-MD"/>
              </w:rPr>
              <w:t xml:space="preserve"> </w:t>
            </w:r>
          </w:p>
        </w:tc>
      </w:tr>
      <w:tr w:rsidR="007D3D0D" w:rsidRPr="007D3D0D" w:rsidTr="00485DF7">
        <w:tc>
          <w:tcPr>
            <w:tcW w:w="9913"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EB025D" w:rsidRPr="007D3D0D" w:rsidRDefault="00EB025D" w:rsidP="00D24BF1">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2.2. Descrierea situației actuale și a problemelor care impun intervenția, inclusiv a cadrului normativ aplicabil și a deficiențelor/lacunelor normative</w:t>
            </w:r>
          </w:p>
        </w:tc>
      </w:tr>
      <w:tr w:rsidR="007D3D0D" w:rsidRPr="007D3D0D" w:rsidTr="00C843CA">
        <w:tc>
          <w:tcPr>
            <w:tcW w:w="9913" w:type="dxa"/>
            <w:tcBorders>
              <w:top w:val="single" w:sz="4" w:space="0" w:color="auto"/>
              <w:left w:val="single" w:sz="8" w:space="0" w:color="000000"/>
              <w:bottom w:val="single" w:sz="4" w:space="0" w:color="auto"/>
              <w:right w:val="single" w:sz="8" w:space="0" w:color="000000"/>
            </w:tcBorders>
            <w:shd w:val="clear" w:color="FFFFFF" w:fill="FFFFFF"/>
            <w:tcMar>
              <w:top w:w="0" w:type="dxa"/>
              <w:left w:w="108" w:type="dxa"/>
              <w:bottom w:w="0" w:type="dxa"/>
              <w:right w:w="108" w:type="dxa"/>
            </w:tcMar>
          </w:tcPr>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În prezent, modul de organizare și funcționare a Agenției Asigurare Resurse și Administrare Pat</w:t>
            </w:r>
            <w:r w:rsidR="007B3AAF" w:rsidRPr="007D3D0D">
              <w:rPr>
                <w:color w:val="000000" w:themeColor="text1"/>
                <w:sz w:val="28"/>
                <w:szCs w:val="28"/>
                <w:lang w:val="ro-MD"/>
              </w:rPr>
              <w:t>rimoniu a Ministerului Apărării e</w:t>
            </w:r>
            <w:r w:rsidRPr="007D3D0D">
              <w:rPr>
                <w:color w:val="000000" w:themeColor="text1"/>
                <w:sz w:val="28"/>
                <w:szCs w:val="28"/>
                <w:lang w:val="ro-MD"/>
              </w:rPr>
              <w:t>ste reglementat prin Hotărârea Guvernului nr. 982/2018.</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 xml:space="preserve">Odată cu aprobarea prin Hotărârea Guvernului nr. 284/2025 a Structurii-tip a Regulamentului privind organizarea </w:t>
            </w:r>
            <w:proofErr w:type="spellStart"/>
            <w:r w:rsidRPr="007D3D0D">
              <w:rPr>
                <w:color w:val="000000" w:themeColor="text1"/>
                <w:sz w:val="28"/>
                <w:szCs w:val="28"/>
                <w:lang w:val="ro-MD"/>
              </w:rPr>
              <w:t>şi</w:t>
            </w:r>
            <w:proofErr w:type="spellEnd"/>
            <w:r w:rsidRPr="007D3D0D">
              <w:rPr>
                <w:color w:val="000000" w:themeColor="text1"/>
                <w:sz w:val="28"/>
                <w:szCs w:val="28"/>
                <w:lang w:val="ro-MD"/>
              </w:rPr>
              <w:t xml:space="preserve"> </w:t>
            </w:r>
            <w:proofErr w:type="spellStart"/>
            <w:r w:rsidRPr="007D3D0D">
              <w:rPr>
                <w:color w:val="000000" w:themeColor="text1"/>
                <w:sz w:val="28"/>
                <w:szCs w:val="28"/>
                <w:lang w:val="ro-MD"/>
              </w:rPr>
              <w:t>funcţionarea</w:t>
            </w:r>
            <w:proofErr w:type="spellEnd"/>
            <w:r w:rsidRPr="007D3D0D">
              <w:rPr>
                <w:color w:val="000000" w:themeColor="text1"/>
                <w:sz w:val="28"/>
                <w:szCs w:val="28"/>
                <w:lang w:val="ro-MD"/>
              </w:rPr>
              <w:t xml:space="preserve"> </w:t>
            </w:r>
            <w:proofErr w:type="spellStart"/>
            <w:r w:rsidRPr="007D3D0D">
              <w:rPr>
                <w:color w:val="000000" w:themeColor="text1"/>
                <w:sz w:val="28"/>
                <w:szCs w:val="28"/>
                <w:lang w:val="ro-MD"/>
              </w:rPr>
              <w:t>autorităţii</w:t>
            </w:r>
            <w:proofErr w:type="spellEnd"/>
            <w:r w:rsidRPr="007D3D0D">
              <w:rPr>
                <w:color w:val="000000" w:themeColor="text1"/>
                <w:sz w:val="28"/>
                <w:szCs w:val="28"/>
                <w:lang w:val="ro-MD"/>
              </w:rPr>
              <w:t xml:space="preserve"> administrative din subordinea ministerului, a apărut necesitatea operării modificărilor și ajustării reglementărilor și a Regulamentului cu privire la organizarea </w:t>
            </w:r>
            <w:proofErr w:type="spellStart"/>
            <w:r w:rsidRPr="007D3D0D">
              <w:rPr>
                <w:color w:val="000000" w:themeColor="text1"/>
                <w:sz w:val="28"/>
                <w:szCs w:val="28"/>
                <w:lang w:val="ro-MD"/>
              </w:rPr>
              <w:t>şi</w:t>
            </w:r>
            <w:proofErr w:type="spellEnd"/>
            <w:r w:rsidRPr="007D3D0D">
              <w:rPr>
                <w:color w:val="000000" w:themeColor="text1"/>
                <w:sz w:val="28"/>
                <w:szCs w:val="28"/>
                <w:lang w:val="ro-MD"/>
              </w:rPr>
              <w:t xml:space="preserve"> funcționarea Agenției Asigurare Resurse și Administrare Patrimoniu a Ministerului Apărării, aprobat prin Hotărârea Guvernului nr. 982/2018.</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 xml:space="preserve">Totodată, în rezultatul analizei funcționale a Agenției </w:t>
            </w:r>
            <w:r w:rsidR="00BB08DF" w:rsidRPr="007D3D0D">
              <w:rPr>
                <w:color w:val="000000" w:themeColor="text1"/>
                <w:sz w:val="28"/>
                <w:szCs w:val="28"/>
                <w:lang w:val="ro-MD"/>
              </w:rPr>
              <w:t>a apărut necesitatea stringentă de a</w:t>
            </w:r>
            <w:r w:rsidRPr="007D3D0D">
              <w:rPr>
                <w:color w:val="000000" w:themeColor="text1"/>
                <w:sz w:val="28"/>
                <w:szCs w:val="28"/>
                <w:lang w:val="ro-MD"/>
              </w:rPr>
              <w:t xml:space="preserve"> ajusta numărul-limită de personal</w:t>
            </w:r>
            <w:r w:rsidR="00BB08DF" w:rsidRPr="007D3D0D">
              <w:rPr>
                <w:color w:val="000000" w:themeColor="text1"/>
                <w:sz w:val="28"/>
                <w:szCs w:val="28"/>
                <w:lang w:val="ro-MD"/>
              </w:rPr>
              <w:t>,</w:t>
            </w:r>
            <w:r w:rsidRPr="007D3D0D">
              <w:rPr>
                <w:color w:val="000000" w:themeColor="text1"/>
                <w:sz w:val="28"/>
                <w:szCs w:val="28"/>
                <w:lang w:val="ro-MD"/>
              </w:rPr>
              <w:t xml:space="preserve"> potrivit domeniilor de activate și funcțiilor </w:t>
            </w:r>
            <w:r w:rsidR="00BB08DF" w:rsidRPr="007D3D0D">
              <w:rPr>
                <w:color w:val="000000" w:themeColor="text1"/>
                <w:sz w:val="28"/>
                <w:szCs w:val="28"/>
                <w:lang w:val="ro-MD"/>
              </w:rPr>
              <w:t>noi instituite</w:t>
            </w:r>
            <w:r w:rsidRPr="007D3D0D">
              <w:rPr>
                <w:color w:val="000000" w:themeColor="text1"/>
                <w:sz w:val="28"/>
                <w:szCs w:val="28"/>
                <w:lang w:val="ro-MD"/>
              </w:rPr>
              <w:t xml:space="preserve">. </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 xml:space="preserve">În acest context este de reliefat faptul, că din 2018 până în prezent, la volumul funcțiilor inițial stabilite pentru Agenție prin Regulamentul cu privire la organizarea </w:t>
            </w:r>
            <w:proofErr w:type="spellStart"/>
            <w:r w:rsidRPr="007D3D0D">
              <w:rPr>
                <w:color w:val="000000" w:themeColor="text1"/>
                <w:sz w:val="28"/>
                <w:szCs w:val="28"/>
                <w:lang w:val="ro-MD"/>
              </w:rPr>
              <w:t>şi</w:t>
            </w:r>
            <w:proofErr w:type="spellEnd"/>
            <w:r w:rsidRPr="007D3D0D">
              <w:rPr>
                <w:color w:val="000000" w:themeColor="text1"/>
                <w:sz w:val="28"/>
                <w:szCs w:val="28"/>
                <w:lang w:val="ro-MD"/>
              </w:rPr>
              <w:t xml:space="preserve"> funcționarea Agenției Asigurare Resurse și Administrare Patrimoniu a Ministerului Apărării, aprobat prin Hotărârea Guvernului nr. 982/2018</w:t>
            </w:r>
            <w:r w:rsidR="007B3AAF" w:rsidRPr="007D3D0D">
              <w:rPr>
                <w:color w:val="000000" w:themeColor="text1"/>
                <w:sz w:val="28"/>
                <w:szCs w:val="28"/>
                <w:lang w:val="ro-MD"/>
              </w:rPr>
              <w:t>,</w:t>
            </w:r>
            <w:r w:rsidRPr="007D3D0D">
              <w:rPr>
                <w:color w:val="000000" w:themeColor="text1"/>
                <w:sz w:val="28"/>
                <w:szCs w:val="28"/>
                <w:lang w:val="ro-MD"/>
              </w:rPr>
              <w:t xml:space="preserve"> au</w:t>
            </w:r>
            <w:r w:rsidR="002146D9" w:rsidRPr="007D3D0D">
              <w:rPr>
                <w:color w:val="000000" w:themeColor="text1"/>
                <w:sz w:val="28"/>
                <w:szCs w:val="28"/>
                <w:lang w:val="ro-MD"/>
              </w:rPr>
              <w:t xml:space="preserve"> fost </w:t>
            </w:r>
            <w:r w:rsidR="007B3AAF" w:rsidRPr="007D3D0D">
              <w:rPr>
                <w:color w:val="000000" w:themeColor="text1"/>
                <w:sz w:val="28"/>
                <w:szCs w:val="28"/>
                <w:lang w:val="ro-MD"/>
              </w:rPr>
              <w:t>instituite</w:t>
            </w:r>
            <w:r w:rsidRPr="007D3D0D">
              <w:rPr>
                <w:color w:val="000000" w:themeColor="text1"/>
                <w:sz w:val="28"/>
                <w:szCs w:val="28"/>
                <w:lang w:val="ro-MD"/>
              </w:rPr>
              <w:t xml:space="preserve"> trei funcții noi, </w:t>
            </w:r>
            <w:r w:rsidR="007B3AAF" w:rsidRPr="007D3D0D">
              <w:rPr>
                <w:color w:val="000000" w:themeColor="text1"/>
                <w:sz w:val="28"/>
                <w:szCs w:val="28"/>
                <w:lang w:val="ro-MD"/>
              </w:rPr>
              <w:t>precum:</w:t>
            </w:r>
            <w:r w:rsidRPr="007D3D0D">
              <w:rPr>
                <w:color w:val="000000" w:themeColor="text1"/>
                <w:sz w:val="28"/>
                <w:szCs w:val="28"/>
                <w:lang w:val="ro-MD"/>
              </w:rPr>
              <w:t xml:space="preserve"> </w:t>
            </w:r>
            <w:r w:rsidR="007B3AAF" w:rsidRPr="007D3D0D">
              <w:rPr>
                <w:color w:val="000000" w:themeColor="text1"/>
                <w:sz w:val="28"/>
                <w:szCs w:val="28"/>
                <w:lang w:val="ro-MD"/>
              </w:rPr>
              <w:t xml:space="preserve">1) </w:t>
            </w:r>
            <w:r w:rsidRPr="007D3D0D">
              <w:rPr>
                <w:color w:val="000000" w:themeColor="text1"/>
                <w:sz w:val="28"/>
                <w:szCs w:val="28"/>
                <w:lang w:val="ro-MD"/>
              </w:rPr>
              <w:t xml:space="preserve">desfășurarea achizițiilor strategice și comune pentru autoritățile sistemului de securitate și apărare, </w:t>
            </w:r>
            <w:r w:rsidR="007B3AAF" w:rsidRPr="007D3D0D">
              <w:rPr>
                <w:color w:val="000000" w:themeColor="text1"/>
                <w:sz w:val="28"/>
                <w:szCs w:val="28"/>
                <w:lang w:val="ro-MD"/>
              </w:rPr>
              <w:t xml:space="preserve">2) </w:t>
            </w:r>
            <w:r w:rsidRPr="007D3D0D">
              <w:rPr>
                <w:color w:val="000000" w:themeColor="text1"/>
                <w:sz w:val="28"/>
                <w:szCs w:val="28"/>
                <w:lang w:val="ro-MD"/>
              </w:rPr>
              <w:t xml:space="preserve">managementul proiectelor </w:t>
            </w:r>
            <w:r w:rsidR="002146D9" w:rsidRPr="007D3D0D">
              <w:rPr>
                <w:color w:val="000000" w:themeColor="text1"/>
                <w:sz w:val="28"/>
                <w:szCs w:val="28"/>
                <w:lang w:val="ro-MD"/>
              </w:rPr>
              <w:t>de investiții capitale publice și</w:t>
            </w:r>
            <w:r w:rsidRPr="007D3D0D">
              <w:rPr>
                <w:color w:val="000000" w:themeColor="text1"/>
                <w:sz w:val="28"/>
                <w:szCs w:val="28"/>
                <w:lang w:val="ro-MD"/>
              </w:rPr>
              <w:t xml:space="preserve"> </w:t>
            </w:r>
            <w:r w:rsidR="007B3AAF" w:rsidRPr="007D3D0D">
              <w:rPr>
                <w:color w:val="000000" w:themeColor="text1"/>
                <w:sz w:val="28"/>
                <w:szCs w:val="28"/>
                <w:lang w:val="ro-MD"/>
              </w:rPr>
              <w:t xml:space="preserve">3) </w:t>
            </w:r>
            <w:r w:rsidRPr="007D3D0D">
              <w:rPr>
                <w:color w:val="000000" w:themeColor="text1"/>
                <w:sz w:val="28"/>
                <w:szCs w:val="28"/>
                <w:lang w:val="ro-MD"/>
              </w:rPr>
              <w:t xml:space="preserve">gestionarea proceselor de asistență externă și proceduri vamale. Prin urmare, numărul funcțiilor </w:t>
            </w:r>
            <w:r w:rsidR="002146D9" w:rsidRPr="007D3D0D">
              <w:rPr>
                <w:color w:val="000000" w:themeColor="text1"/>
                <w:sz w:val="28"/>
                <w:szCs w:val="28"/>
                <w:lang w:val="ro-MD"/>
              </w:rPr>
              <w:t>ce</w:t>
            </w:r>
            <w:r w:rsidRPr="007D3D0D">
              <w:rPr>
                <w:color w:val="000000" w:themeColor="text1"/>
                <w:sz w:val="28"/>
                <w:szCs w:val="28"/>
                <w:lang w:val="ro-MD"/>
              </w:rPr>
              <w:t xml:space="preserve"> </w:t>
            </w:r>
            <w:r w:rsidR="00BB08DF" w:rsidRPr="007D3D0D">
              <w:rPr>
                <w:color w:val="000000" w:themeColor="text1"/>
                <w:sz w:val="28"/>
                <w:szCs w:val="28"/>
                <w:lang w:val="ro-MD"/>
              </w:rPr>
              <w:t>urmează</w:t>
            </w:r>
            <w:r w:rsidRPr="007D3D0D">
              <w:rPr>
                <w:color w:val="000000" w:themeColor="text1"/>
                <w:sz w:val="28"/>
                <w:szCs w:val="28"/>
                <w:lang w:val="ro-MD"/>
              </w:rPr>
              <w:t xml:space="preserve"> </w:t>
            </w:r>
            <w:r w:rsidR="002146D9" w:rsidRPr="007D3D0D">
              <w:rPr>
                <w:color w:val="000000" w:themeColor="text1"/>
                <w:sz w:val="28"/>
                <w:szCs w:val="28"/>
                <w:lang w:val="ro-MD"/>
              </w:rPr>
              <w:t>a fi</w:t>
            </w:r>
            <w:r w:rsidRPr="007D3D0D">
              <w:rPr>
                <w:color w:val="000000" w:themeColor="text1"/>
                <w:sz w:val="28"/>
                <w:szCs w:val="28"/>
                <w:lang w:val="ro-MD"/>
              </w:rPr>
              <w:t xml:space="preserve"> exercit</w:t>
            </w:r>
            <w:r w:rsidR="002146D9" w:rsidRPr="007D3D0D">
              <w:rPr>
                <w:color w:val="000000" w:themeColor="text1"/>
                <w:sz w:val="28"/>
                <w:szCs w:val="28"/>
                <w:lang w:val="ro-MD"/>
              </w:rPr>
              <w:t xml:space="preserve">ate de </w:t>
            </w:r>
            <w:r w:rsidRPr="007D3D0D">
              <w:rPr>
                <w:color w:val="000000" w:themeColor="text1"/>
                <w:sz w:val="28"/>
                <w:szCs w:val="28"/>
                <w:lang w:val="ro-MD"/>
              </w:rPr>
              <w:t>Agenți</w:t>
            </w:r>
            <w:r w:rsidR="002146D9" w:rsidRPr="007D3D0D">
              <w:rPr>
                <w:color w:val="000000" w:themeColor="text1"/>
                <w:sz w:val="28"/>
                <w:szCs w:val="28"/>
                <w:lang w:val="ro-MD"/>
              </w:rPr>
              <w:t>e</w:t>
            </w:r>
            <w:r w:rsidRPr="007D3D0D">
              <w:rPr>
                <w:color w:val="000000" w:themeColor="text1"/>
                <w:sz w:val="28"/>
                <w:szCs w:val="28"/>
                <w:lang w:val="ro-MD"/>
              </w:rPr>
              <w:t xml:space="preserve"> a fost majorat, </w:t>
            </w:r>
            <w:r w:rsidR="00BB08DF" w:rsidRPr="007D3D0D">
              <w:rPr>
                <w:color w:val="000000" w:themeColor="text1"/>
                <w:sz w:val="28"/>
                <w:szCs w:val="28"/>
                <w:lang w:val="ro-MD"/>
              </w:rPr>
              <w:t>însă</w:t>
            </w:r>
            <w:r w:rsidRPr="007D3D0D">
              <w:rPr>
                <w:color w:val="000000" w:themeColor="text1"/>
                <w:sz w:val="28"/>
                <w:szCs w:val="28"/>
                <w:lang w:val="ro-MD"/>
              </w:rPr>
              <w:t xml:space="preserve"> personalul-limită necesar în acest sens a rămas cel</w:t>
            </w:r>
            <w:r w:rsidR="00BB08DF" w:rsidRPr="007D3D0D">
              <w:rPr>
                <w:color w:val="000000" w:themeColor="text1"/>
                <w:sz w:val="28"/>
                <w:szCs w:val="28"/>
                <w:lang w:val="ro-MD"/>
              </w:rPr>
              <w:t>ui</w:t>
            </w:r>
            <w:r w:rsidRPr="007D3D0D">
              <w:rPr>
                <w:color w:val="000000" w:themeColor="text1"/>
                <w:sz w:val="28"/>
                <w:szCs w:val="28"/>
                <w:lang w:val="ro-MD"/>
              </w:rPr>
              <w:t xml:space="preserve"> stabilit pentru funcțiile din 2018. </w:t>
            </w:r>
          </w:p>
          <w:p w:rsidR="00522ABA" w:rsidRPr="007D3D0D" w:rsidRDefault="007B3AAF" w:rsidP="00BB08DF">
            <w:pPr>
              <w:pStyle w:val="NoSpacing"/>
              <w:ind w:firstLine="447"/>
              <w:rPr>
                <w:color w:val="000000" w:themeColor="text1"/>
                <w:sz w:val="28"/>
                <w:szCs w:val="28"/>
                <w:lang w:val="ro-MD"/>
              </w:rPr>
            </w:pPr>
            <w:r w:rsidRPr="007D3D0D">
              <w:rPr>
                <w:color w:val="000000" w:themeColor="text1"/>
                <w:sz w:val="28"/>
                <w:szCs w:val="28"/>
                <w:lang w:val="ro-MD"/>
              </w:rPr>
              <w:lastRenderedPageBreak/>
              <w:t>Concomitent, o</w:t>
            </w:r>
            <w:r w:rsidR="00EE5573" w:rsidRPr="007D3D0D">
              <w:rPr>
                <w:color w:val="000000" w:themeColor="text1"/>
                <w:sz w:val="28"/>
                <w:szCs w:val="28"/>
                <w:lang w:val="ro-MD"/>
              </w:rPr>
              <w:t xml:space="preserve">dată cu </w:t>
            </w:r>
            <w:r w:rsidRPr="007D3D0D">
              <w:rPr>
                <w:color w:val="000000" w:themeColor="text1"/>
                <w:sz w:val="28"/>
                <w:szCs w:val="28"/>
                <w:lang w:val="ro-MD"/>
              </w:rPr>
              <w:t>aprobarea</w:t>
            </w:r>
            <w:r w:rsidR="00EE5573" w:rsidRPr="007D3D0D">
              <w:rPr>
                <w:color w:val="000000" w:themeColor="text1"/>
                <w:sz w:val="28"/>
                <w:szCs w:val="28"/>
                <w:lang w:val="ro-MD"/>
              </w:rPr>
              <w:t xml:space="preserve"> Hotărârii Guvernului nr. 749/2024 cu privire la achizițiile centralizate de armament și muniții pentru necesitățile organelor apărării naționale, securității statului și ordinii publice, Agenția Asigurare Resurse și Administrare Patrimoniu a Ministerului Apărării a fost desemnată drept autoritate responsabilă de organizarea și desfășurarea achizițiilor centralizate de mărfuri strategice. </w:t>
            </w:r>
            <w:r w:rsidR="00BB08DF" w:rsidRPr="007D3D0D">
              <w:rPr>
                <w:color w:val="000000" w:themeColor="text1"/>
                <w:sz w:val="28"/>
                <w:szCs w:val="28"/>
                <w:lang w:val="ro-MD"/>
              </w:rPr>
              <w:t>În acest sens</w:t>
            </w:r>
            <w:r w:rsidR="00EE5573" w:rsidRPr="007D3D0D">
              <w:rPr>
                <w:color w:val="000000" w:themeColor="text1"/>
                <w:sz w:val="28"/>
                <w:szCs w:val="28"/>
                <w:lang w:val="ro-MD"/>
              </w:rPr>
              <w:t>, a apărut necesitatea extinderii capacității instituționale prin majorarea numărului de personal al Direcției achiziții publice cu trei unități de funcți</w:t>
            </w:r>
            <w:r w:rsidR="002146D9" w:rsidRPr="007D3D0D">
              <w:rPr>
                <w:color w:val="000000" w:themeColor="text1"/>
                <w:sz w:val="28"/>
                <w:szCs w:val="28"/>
                <w:lang w:val="ro-MD"/>
              </w:rPr>
              <w:t>i</w:t>
            </w:r>
            <w:r w:rsidR="00EE5573" w:rsidRPr="007D3D0D">
              <w:rPr>
                <w:color w:val="000000" w:themeColor="text1"/>
                <w:sz w:val="28"/>
                <w:szCs w:val="28"/>
                <w:lang w:val="ro-MD"/>
              </w:rPr>
              <w:t xml:space="preserve"> de execuție. </w:t>
            </w:r>
          </w:p>
          <w:p w:rsidR="00EE5573" w:rsidRPr="007D3D0D" w:rsidRDefault="007B3AAF" w:rsidP="00BB08DF">
            <w:pPr>
              <w:pStyle w:val="NoSpacing"/>
              <w:ind w:firstLine="447"/>
              <w:rPr>
                <w:color w:val="000000" w:themeColor="text1"/>
                <w:sz w:val="28"/>
                <w:szCs w:val="28"/>
                <w:lang w:val="ro-MD"/>
              </w:rPr>
            </w:pPr>
            <w:r w:rsidRPr="007D3D0D">
              <w:rPr>
                <w:color w:val="000000" w:themeColor="text1"/>
                <w:sz w:val="28"/>
                <w:szCs w:val="28"/>
                <w:lang w:val="ro-MD"/>
              </w:rPr>
              <w:t>Menționăm, că a</w:t>
            </w:r>
            <w:r w:rsidR="00EE5573" w:rsidRPr="007D3D0D">
              <w:rPr>
                <w:color w:val="000000" w:themeColor="text1"/>
                <w:sz w:val="28"/>
                <w:szCs w:val="28"/>
                <w:lang w:val="ro-MD"/>
              </w:rPr>
              <w:t>chizițiile centralizate de bunuri strategice implică proceduri cu un grad sporit de complexitate, inclusiv: planificarea și consolidarea necesarului la nivel interinstituțional; elaborarea documentației de atribuire în condiții speciale de securitate; gestionarea procedurilor clasificate sau cu regim restricționat; evaluarea ofertelor ce includ componente tehnice sensibile; monitorizarea executării contractelor și controlul conformității.</w:t>
            </w:r>
            <w:r w:rsidR="00BB08DF" w:rsidRPr="007D3D0D">
              <w:rPr>
                <w:color w:val="000000" w:themeColor="text1"/>
                <w:sz w:val="28"/>
                <w:szCs w:val="28"/>
                <w:lang w:val="ro-MD"/>
              </w:rPr>
              <w:t xml:space="preserve"> Accentuăm, că</w:t>
            </w:r>
            <w:r w:rsidR="00EE5573" w:rsidRPr="007D3D0D">
              <w:rPr>
                <w:color w:val="000000" w:themeColor="text1"/>
                <w:sz w:val="28"/>
                <w:szCs w:val="28"/>
                <w:lang w:val="ro-MD"/>
              </w:rPr>
              <w:t xml:space="preserve"> majoritatea achizițiilor strategice sunt realizate cu operatori economici străini și reprezentanți oficiali ai altor state, fapt ce implică un volum sporit de activități vamale, obținerea autorizațiilor și avizelor permisive (import/export, /tranzit aviz de donație), precum și gestionarea formalităților la frontierele Republicii Moldova.</w:t>
            </w:r>
          </w:p>
          <w:p w:rsidR="00EE5573" w:rsidRPr="007D3D0D" w:rsidRDefault="00BB08DF" w:rsidP="001F2A26">
            <w:pPr>
              <w:pStyle w:val="NoSpacing"/>
              <w:ind w:firstLine="447"/>
              <w:rPr>
                <w:color w:val="000000" w:themeColor="text1"/>
                <w:sz w:val="28"/>
                <w:szCs w:val="28"/>
                <w:lang w:val="ro-MD"/>
              </w:rPr>
            </w:pPr>
            <w:r w:rsidRPr="007D3D0D">
              <w:rPr>
                <w:color w:val="000000" w:themeColor="text1"/>
                <w:sz w:val="28"/>
                <w:szCs w:val="28"/>
                <w:lang w:val="ro-MD"/>
              </w:rPr>
              <w:t>Consecvent, î</w:t>
            </w:r>
            <w:r w:rsidR="00EE5573" w:rsidRPr="007D3D0D">
              <w:rPr>
                <w:color w:val="000000" w:themeColor="text1"/>
                <w:sz w:val="28"/>
                <w:szCs w:val="28"/>
                <w:lang w:val="ro-MD"/>
              </w:rPr>
              <w:t>n contextul dotării și modernizării Armatei Naționale în ultimii ani s-a înregistrat o creștere semnificativă a proiectelor de asistență externă și a donațiilor obținute în cadrul cooperării bilaterale dintre Ministerul Apărării al Republicii Moldova și partenerii externi. Această evoluție a generat majorarea numărului de importuri, și tranzituri a bunurilor din categoria mărfurilor strategice. Spre exemplu, pentru anul 2025 au fost realizate peste 130 de operațiuni vamale doar pentru proiecte de asistență externă și donații, iar militarii Armatei Naționale au participat la circa 85 de misiuni, exerciții și instruiri internaționale, care au necesitat suport logistic și vamal la trecerea frontierei de stat pentru contingentele Armatei Naționale și cele străine.</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 xml:space="preserve"> Totodată, majorarea volumului de activitate al Agenției este determinat inclusiv de creșterea semnificativă a alocațiilor bugetare destinate achiziționării mărfurilor strategice în ultimii ani. Din anul 2022 până în prezent suma alocațiilor bugetare pentru achiziționarea bunurilor strategice s-a majorat de 10 ori.</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Raportat la volumul actual și prognozat al activităților, personalul existent în cadrul Direcției achiziții publice este insuficient pentru a asigura exercitarea corespunzătoare a atribuțiilor suplimentare.</w:t>
            </w:r>
          </w:p>
          <w:p w:rsidR="00EE5573" w:rsidRPr="007D3D0D" w:rsidRDefault="00EE5573" w:rsidP="00BB08DF">
            <w:pPr>
              <w:pStyle w:val="NoSpacing"/>
              <w:ind w:firstLine="447"/>
              <w:rPr>
                <w:color w:val="000000" w:themeColor="text1"/>
                <w:sz w:val="28"/>
                <w:szCs w:val="28"/>
                <w:lang w:val="ro-MD"/>
              </w:rPr>
            </w:pPr>
            <w:r w:rsidRPr="007D3D0D">
              <w:rPr>
                <w:color w:val="000000" w:themeColor="text1"/>
                <w:sz w:val="28"/>
                <w:szCs w:val="28"/>
                <w:lang w:val="ro-MD"/>
              </w:rPr>
              <w:t>Prin urmare, supli</w:t>
            </w:r>
            <w:r w:rsidR="001F2A26" w:rsidRPr="007D3D0D">
              <w:rPr>
                <w:color w:val="000000" w:themeColor="text1"/>
                <w:sz w:val="28"/>
                <w:szCs w:val="28"/>
                <w:lang w:val="ro-MD"/>
              </w:rPr>
              <w:t xml:space="preserve">nirea </w:t>
            </w:r>
            <w:r w:rsidRPr="007D3D0D">
              <w:rPr>
                <w:color w:val="000000" w:themeColor="text1"/>
                <w:sz w:val="28"/>
                <w:szCs w:val="28"/>
                <w:lang w:val="ro-MD"/>
              </w:rPr>
              <w:t xml:space="preserve">unităților de personal este justificată și din perspectiva creșterii considerabile a volumului de operațiuni aferente gestionării fondurilor publice alocate. </w:t>
            </w:r>
            <w:r w:rsidR="00BB08DF" w:rsidRPr="007D3D0D">
              <w:rPr>
                <w:color w:val="000000" w:themeColor="text1"/>
                <w:sz w:val="28"/>
                <w:szCs w:val="28"/>
                <w:lang w:val="ro-MD"/>
              </w:rPr>
              <w:t>Reieșind din</w:t>
            </w:r>
            <w:r w:rsidRPr="007D3D0D">
              <w:rPr>
                <w:color w:val="000000" w:themeColor="text1"/>
                <w:sz w:val="28"/>
                <w:szCs w:val="28"/>
                <w:lang w:val="ro-MD"/>
              </w:rPr>
              <w:t xml:space="preserve"> realizarea noilor atribuții și acoperirea volumului sporit de activitate, se propune supli</w:t>
            </w:r>
            <w:r w:rsidR="001F2A26" w:rsidRPr="007D3D0D">
              <w:rPr>
                <w:color w:val="000000" w:themeColor="text1"/>
                <w:sz w:val="28"/>
                <w:szCs w:val="28"/>
                <w:lang w:val="ro-MD"/>
              </w:rPr>
              <w:t>nirea</w:t>
            </w:r>
            <w:r w:rsidRPr="007D3D0D">
              <w:rPr>
                <w:color w:val="000000" w:themeColor="text1"/>
                <w:sz w:val="28"/>
                <w:szCs w:val="28"/>
                <w:lang w:val="ro-MD"/>
              </w:rPr>
              <w:t xml:space="preserve"> statului de personal al Secției achiziții și comercializare a bunurilor </w:t>
            </w:r>
            <w:proofErr w:type="spellStart"/>
            <w:r w:rsidRPr="007D3D0D">
              <w:rPr>
                <w:color w:val="000000" w:themeColor="text1"/>
                <w:sz w:val="28"/>
                <w:szCs w:val="28"/>
                <w:lang w:val="ro-MD"/>
              </w:rPr>
              <w:t>tehnico</w:t>
            </w:r>
            <w:proofErr w:type="spellEnd"/>
            <w:r w:rsidRPr="007D3D0D">
              <w:rPr>
                <w:color w:val="000000" w:themeColor="text1"/>
                <w:sz w:val="28"/>
                <w:szCs w:val="28"/>
                <w:lang w:val="ro-MD"/>
              </w:rPr>
              <w:t>-materiale din cadrul Direcției achiziții publice cu următoarele funcții de execuție:</w:t>
            </w:r>
          </w:p>
          <w:p w:rsidR="00EE5573" w:rsidRPr="007D3D0D" w:rsidRDefault="00EE5573" w:rsidP="001F2A26">
            <w:pPr>
              <w:pStyle w:val="NoSpacing"/>
              <w:ind w:firstLine="447"/>
              <w:rPr>
                <w:color w:val="000000" w:themeColor="text1"/>
                <w:sz w:val="28"/>
                <w:szCs w:val="28"/>
                <w:lang w:val="ro-MD"/>
              </w:rPr>
            </w:pPr>
            <w:r w:rsidRPr="007D3D0D">
              <w:rPr>
                <w:i/>
                <w:color w:val="000000" w:themeColor="text1"/>
                <w:sz w:val="28"/>
                <w:szCs w:val="28"/>
                <w:lang w:val="ro-MD"/>
              </w:rPr>
              <w:t>ofițer principal</w:t>
            </w:r>
            <w:r w:rsidRPr="007D3D0D">
              <w:rPr>
                <w:color w:val="000000" w:themeColor="text1"/>
                <w:sz w:val="28"/>
                <w:szCs w:val="28"/>
                <w:lang w:val="ro-MD"/>
              </w:rPr>
              <w:t xml:space="preserve"> – achiziții strategice, inclusiv achiziții comune pentru toate autoritățile publice din domeniul apărării naționale, securității statului și ordinii publice;</w:t>
            </w:r>
          </w:p>
          <w:p w:rsidR="00EE5573" w:rsidRPr="007D3D0D" w:rsidRDefault="00EE5573" w:rsidP="001F2A26">
            <w:pPr>
              <w:pStyle w:val="NoSpacing"/>
              <w:ind w:firstLine="447"/>
              <w:rPr>
                <w:color w:val="000000" w:themeColor="text1"/>
                <w:sz w:val="28"/>
                <w:szCs w:val="28"/>
                <w:lang w:val="ro-MD"/>
              </w:rPr>
            </w:pPr>
            <w:r w:rsidRPr="007D3D0D">
              <w:rPr>
                <w:i/>
                <w:color w:val="000000" w:themeColor="text1"/>
                <w:sz w:val="28"/>
                <w:szCs w:val="28"/>
                <w:lang w:val="ro-MD"/>
              </w:rPr>
              <w:lastRenderedPageBreak/>
              <w:t>ofițer principal</w:t>
            </w:r>
            <w:r w:rsidRPr="007D3D0D">
              <w:rPr>
                <w:color w:val="000000" w:themeColor="text1"/>
                <w:sz w:val="28"/>
                <w:szCs w:val="28"/>
                <w:lang w:val="ro-MD"/>
              </w:rPr>
              <w:t xml:space="preserve"> – organizarea formalităților vamale pentru bunurile achiziționate, primite prin programe de asistență externă și donații; acordarea suportului contingentelor Armatei Naționale și celor străine la trecerea frontierei de stat;</w:t>
            </w:r>
          </w:p>
          <w:p w:rsidR="00EE5573" w:rsidRPr="007D3D0D" w:rsidRDefault="00EE5573" w:rsidP="001F2A26">
            <w:pPr>
              <w:pStyle w:val="NoSpacing"/>
              <w:ind w:firstLine="447"/>
              <w:rPr>
                <w:color w:val="000000" w:themeColor="text1"/>
                <w:sz w:val="28"/>
                <w:szCs w:val="28"/>
                <w:lang w:val="ro-MD"/>
              </w:rPr>
            </w:pPr>
            <w:r w:rsidRPr="007D3D0D">
              <w:rPr>
                <w:i/>
                <w:color w:val="000000" w:themeColor="text1"/>
                <w:sz w:val="28"/>
                <w:szCs w:val="28"/>
                <w:lang w:val="ro-MD"/>
              </w:rPr>
              <w:t>ofițer superior</w:t>
            </w:r>
            <w:r w:rsidRPr="007D3D0D">
              <w:rPr>
                <w:color w:val="000000" w:themeColor="text1"/>
                <w:sz w:val="28"/>
                <w:szCs w:val="28"/>
                <w:lang w:val="ro-MD"/>
              </w:rPr>
              <w:t xml:space="preserve"> – achiziții strategice și alte achiziții exceptate de la aplicarea Legii nr. 131/2015 privind achizițiile publice.</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Supli</w:t>
            </w:r>
            <w:r w:rsidR="001F2A26" w:rsidRPr="007D3D0D">
              <w:rPr>
                <w:color w:val="000000" w:themeColor="text1"/>
                <w:sz w:val="28"/>
                <w:szCs w:val="28"/>
                <w:lang w:val="ro-MD"/>
              </w:rPr>
              <w:t>nir</w:t>
            </w:r>
            <w:r w:rsidRPr="007D3D0D">
              <w:rPr>
                <w:color w:val="000000" w:themeColor="text1"/>
                <w:sz w:val="28"/>
                <w:szCs w:val="28"/>
                <w:lang w:val="ro-MD"/>
              </w:rPr>
              <w:t>ea personalului va asigura conformitatea legală, eficiența operațională și gestionarea adecvată a riscurilor asociate achizițiilor centralizate de bunuri strategice, contribuind la protejarea intereselor și obiectivelor de securitate națională.</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În aceiași ordine de idei</w:t>
            </w:r>
            <w:r w:rsidR="001F2A26" w:rsidRPr="007D3D0D">
              <w:rPr>
                <w:color w:val="000000" w:themeColor="text1"/>
                <w:sz w:val="28"/>
                <w:szCs w:val="28"/>
                <w:lang w:val="ro-MD"/>
              </w:rPr>
              <w:t>,</w:t>
            </w:r>
            <w:r w:rsidRPr="007D3D0D">
              <w:rPr>
                <w:color w:val="000000" w:themeColor="text1"/>
                <w:sz w:val="28"/>
                <w:szCs w:val="28"/>
                <w:lang w:val="ro-MD"/>
              </w:rPr>
              <w:t xml:space="preserve"> reliefăm faptul că în anul 2022 a fost aprobat Regulamentul cu privire la proiectele de investiții capitale publice prin Hotărârea Guvernului nr.684/2022. Astfel, Agenției </w:t>
            </w:r>
            <w:r w:rsidR="001F2A26" w:rsidRPr="007D3D0D">
              <w:rPr>
                <w:color w:val="000000" w:themeColor="text1"/>
                <w:sz w:val="28"/>
                <w:szCs w:val="28"/>
                <w:lang w:val="ro-MD"/>
              </w:rPr>
              <w:t xml:space="preserve">Asigurare Resurse și Administrare Patrimoniu </w:t>
            </w:r>
            <w:r w:rsidRPr="007D3D0D">
              <w:rPr>
                <w:color w:val="000000" w:themeColor="text1"/>
                <w:sz w:val="28"/>
                <w:szCs w:val="28"/>
                <w:lang w:val="ro-MD"/>
              </w:rPr>
              <w:t>a M</w:t>
            </w:r>
            <w:r w:rsidR="001F2A26" w:rsidRPr="007D3D0D">
              <w:rPr>
                <w:color w:val="000000" w:themeColor="text1"/>
                <w:sz w:val="28"/>
                <w:szCs w:val="28"/>
                <w:lang w:val="ro-MD"/>
              </w:rPr>
              <w:t xml:space="preserve">inisterului </w:t>
            </w:r>
            <w:r w:rsidRPr="007D3D0D">
              <w:rPr>
                <w:color w:val="000000" w:themeColor="text1"/>
                <w:sz w:val="28"/>
                <w:szCs w:val="28"/>
                <w:lang w:val="ro-MD"/>
              </w:rPr>
              <w:t>A</w:t>
            </w:r>
            <w:r w:rsidR="001F2A26" w:rsidRPr="007D3D0D">
              <w:rPr>
                <w:color w:val="000000" w:themeColor="text1"/>
                <w:sz w:val="28"/>
                <w:szCs w:val="28"/>
                <w:lang w:val="ro-MD"/>
              </w:rPr>
              <w:t>părării</w:t>
            </w:r>
            <w:r w:rsidRPr="007D3D0D">
              <w:rPr>
                <w:color w:val="000000" w:themeColor="text1"/>
                <w:sz w:val="28"/>
                <w:szCs w:val="28"/>
                <w:lang w:val="ro-MD"/>
              </w:rPr>
              <w:t xml:space="preserve"> i-a fost arondată și funcția de gestionare a proiectelor de investiții capitale, însă fără instituirea funcțiilor de personal necesare în acest sens. Pentru a exercita această funcție a fost implicat personalul din cadrul Direcției administrare bunuri imobile, în proiect Direcție managementul proprietății imobiliare, Secția infrastructură și supraveghere tehnică. În consecință, s-a constatat că volumul atribuțiilor funcționale exercitate de către personalul secției s-a dublat (la lucrările de reparație capitală și renovare a infrastructurii militare s-au </w:t>
            </w:r>
            <w:r w:rsidR="001F2A26" w:rsidRPr="007D3D0D">
              <w:rPr>
                <w:color w:val="000000" w:themeColor="text1"/>
                <w:sz w:val="28"/>
                <w:szCs w:val="28"/>
                <w:lang w:val="ro-MD"/>
              </w:rPr>
              <w:t>completat</w:t>
            </w:r>
            <w:r w:rsidRPr="007D3D0D">
              <w:rPr>
                <w:color w:val="000000" w:themeColor="text1"/>
                <w:sz w:val="28"/>
                <w:szCs w:val="28"/>
                <w:lang w:val="ro-MD"/>
              </w:rPr>
              <w:t xml:space="preserve"> și proiectele de investiții capitale), termenii de execuție s-au micșorat, ceea ce subsecvent a dus la apariția primelor semne de ardere profesională manifestată prin epuizarea fizică și psihică a personalului. </w:t>
            </w:r>
          </w:p>
          <w:p w:rsidR="002146D9" w:rsidRPr="007D3D0D" w:rsidRDefault="002146D9" w:rsidP="002146D9">
            <w:pPr>
              <w:pStyle w:val="NoSpacing"/>
              <w:ind w:firstLine="447"/>
              <w:rPr>
                <w:color w:val="000000" w:themeColor="text1"/>
                <w:sz w:val="28"/>
                <w:szCs w:val="28"/>
                <w:lang w:val="ro-MD"/>
              </w:rPr>
            </w:pPr>
            <w:r w:rsidRPr="007D3D0D">
              <w:rPr>
                <w:color w:val="000000" w:themeColor="text1"/>
                <w:sz w:val="28"/>
                <w:szCs w:val="28"/>
                <w:lang w:val="ro-MD"/>
              </w:rPr>
              <w:t xml:space="preserve">Proiectele de investiții capitale din cadrul Ministerului Apărării gestionate de către personalul Agenției urmează a fi planificate/programate, bugetate, executate, raportate în strictă conformitate cu </w:t>
            </w:r>
            <w:hyperlink r:id="rId6" w:history="1">
              <w:r w:rsidRPr="007D3D0D">
                <w:rPr>
                  <w:rStyle w:val="Hyperlink"/>
                  <w:color w:val="000000" w:themeColor="text1"/>
                  <w:sz w:val="28"/>
                  <w:szCs w:val="28"/>
                  <w:u w:val="none"/>
                  <w:lang w:val="ro-MD"/>
                </w:rPr>
                <w:t>Hotărârea Guvernului nr.684/2022 pentru aprobarea Regulamentului cu privire la proiectele de investiții capitale publice </w:t>
              </w:r>
            </w:hyperlink>
            <w:r w:rsidRPr="007D3D0D">
              <w:rPr>
                <w:color w:val="000000" w:themeColor="text1"/>
                <w:sz w:val="28"/>
                <w:szCs w:val="28"/>
                <w:lang w:val="ro-MD"/>
              </w:rPr>
              <w:t xml:space="preserve">și </w:t>
            </w:r>
            <w:hyperlink r:id="rId7" w:history="1">
              <w:r w:rsidRPr="007D3D0D">
                <w:rPr>
                  <w:rStyle w:val="Hyperlink"/>
                  <w:color w:val="000000" w:themeColor="text1"/>
                  <w:sz w:val="28"/>
                  <w:szCs w:val="28"/>
                  <w:u w:val="none"/>
                  <w:lang w:val="ro-MD"/>
                </w:rPr>
                <w:t>Ordinul Ministrului finanțelor nr.104/2023 cu privire la aprobarea Instrucțiunii privind evaluarea proiectelor de investiții capitale publice</w:t>
              </w:r>
            </w:hyperlink>
            <w:r w:rsidRPr="007D3D0D">
              <w:rPr>
                <w:color w:val="000000" w:themeColor="text1"/>
                <w:sz w:val="28"/>
                <w:szCs w:val="28"/>
                <w:lang w:val="ro-MD"/>
              </w:rPr>
              <w:t xml:space="preserve">. </w:t>
            </w:r>
          </w:p>
          <w:p w:rsidR="002146D9" w:rsidRPr="007D3D0D" w:rsidRDefault="002146D9" w:rsidP="002146D9">
            <w:pPr>
              <w:pStyle w:val="NoSpacing"/>
              <w:ind w:firstLine="447"/>
              <w:rPr>
                <w:color w:val="000000" w:themeColor="text1"/>
                <w:sz w:val="28"/>
                <w:szCs w:val="28"/>
                <w:lang w:val="ro-MD"/>
              </w:rPr>
            </w:pPr>
            <w:r w:rsidRPr="007D3D0D">
              <w:rPr>
                <w:color w:val="000000" w:themeColor="text1"/>
                <w:sz w:val="28"/>
                <w:szCs w:val="28"/>
                <w:lang w:val="ro-MD"/>
              </w:rPr>
              <w:t xml:space="preserve">Evidențiem faptul că pentru ultimii trei ani de activitate suma medie anuală a investițiilor capitale gestionate de către Agenție este de 263 </w:t>
            </w:r>
            <w:proofErr w:type="spellStart"/>
            <w:r w:rsidRPr="007D3D0D">
              <w:rPr>
                <w:color w:val="000000" w:themeColor="text1"/>
                <w:sz w:val="28"/>
                <w:szCs w:val="28"/>
                <w:lang w:val="ro-MD"/>
              </w:rPr>
              <w:t>mln</w:t>
            </w:r>
            <w:proofErr w:type="spellEnd"/>
            <w:r w:rsidRPr="007D3D0D">
              <w:rPr>
                <w:color w:val="000000" w:themeColor="text1"/>
                <w:sz w:val="28"/>
                <w:szCs w:val="28"/>
                <w:lang w:val="ro-MD"/>
              </w:rPr>
              <w:t xml:space="preserve">. lei (anul 2024 -251 </w:t>
            </w:r>
            <w:proofErr w:type="spellStart"/>
            <w:r w:rsidRPr="007D3D0D">
              <w:rPr>
                <w:color w:val="000000" w:themeColor="text1"/>
                <w:sz w:val="28"/>
                <w:szCs w:val="28"/>
                <w:lang w:val="ro-MD"/>
              </w:rPr>
              <w:t>mln</w:t>
            </w:r>
            <w:proofErr w:type="spellEnd"/>
            <w:r w:rsidRPr="007D3D0D">
              <w:rPr>
                <w:color w:val="000000" w:themeColor="text1"/>
                <w:sz w:val="28"/>
                <w:szCs w:val="28"/>
                <w:lang w:val="ro-MD"/>
              </w:rPr>
              <w:t xml:space="preserve">., anul 2025 – 248 </w:t>
            </w:r>
            <w:proofErr w:type="spellStart"/>
            <w:r w:rsidRPr="007D3D0D">
              <w:rPr>
                <w:color w:val="000000" w:themeColor="text1"/>
                <w:sz w:val="28"/>
                <w:szCs w:val="28"/>
                <w:lang w:val="ro-MD"/>
              </w:rPr>
              <w:t>mln</w:t>
            </w:r>
            <w:proofErr w:type="spellEnd"/>
            <w:r w:rsidRPr="007D3D0D">
              <w:rPr>
                <w:color w:val="000000" w:themeColor="text1"/>
                <w:sz w:val="28"/>
                <w:szCs w:val="28"/>
                <w:lang w:val="ro-MD"/>
              </w:rPr>
              <w:t xml:space="preserve">., anul 2026 – 290 </w:t>
            </w:r>
            <w:proofErr w:type="spellStart"/>
            <w:r w:rsidRPr="007D3D0D">
              <w:rPr>
                <w:color w:val="000000" w:themeColor="text1"/>
                <w:sz w:val="28"/>
                <w:szCs w:val="28"/>
                <w:lang w:val="ro-MD"/>
              </w:rPr>
              <w:t>mln</w:t>
            </w:r>
            <w:proofErr w:type="spellEnd"/>
            <w:r w:rsidRPr="007D3D0D">
              <w:rPr>
                <w:color w:val="000000" w:themeColor="text1"/>
                <w:sz w:val="28"/>
                <w:szCs w:val="28"/>
                <w:lang w:val="ro-MD"/>
              </w:rPr>
              <w:t xml:space="preserve">.). </w:t>
            </w:r>
          </w:p>
          <w:p w:rsidR="00EE5573" w:rsidRPr="007D3D0D" w:rsidRDefault="00EE5573" w:rsidP="001F2A26">
            <w:pPr>
              <w:pStyle w:val="NoSpacing"/>
              <w:ind w:firstLine="447"/>
              <w:rPr>
                <w:color w:val="000000" w:themeColor="text1"/>
                <w:sz w:val="28"/>
                <w:szCs w:val="28"/>
                <w:lang w:val="ro-MD"/>
              </w:rPr>
            </w:pPr>
            <w:r w:rsidRPr="007D3D0D">
              <w:rPr>
                <w:color w:val="000000" w:themeColor="text1"/>
                <w:sz w:val="28"/>
                <w:szCs w:val="28"/>
                <w:lang w:val="ro-MD"/>
              </w:rPr>
              <w:t>În aceste circumstanțe</w:t>
            </w:r>
            <w:r w:rsidR="00522ABA" w:rsidRPr="007D3D0D">
              <w:rPr>
                <w:color w:val="000000" w:themeColor="text1"/>
                <w:sz w:val="28"/>
                <w:szCs w:val="28"/>
                <w:lang w:val="ro-MD"/>
              </w:rPr>
              <w:t>,</w:t>
            </w:r>
            <w:r w:rsidRPr="007D3D0D">
              <w:rPr>
                <w:color w:val="000000" w:themeColor="text1"/>
                <w:sz w:val="28"/>
                <w:szCs w:val="28"/>
                <w:lang w:val="ro-MD"/>
              </w:rPr>
              <w:t xml:space="preserve"> se propune completarea statului de personal al Direcției managementul proprietății imobiliare cu trei unități de funcție de execuție, care vor fi incluse în Secția infrastructură și supraveghere tehnică, după cum urmează:</w:t>
            </w:r>
          </w:p>
          <w:p w:rsidR="00EE5573" w:rsidRPr="007D3D0D" w:rsidRDefault="00EE5573" w:rsidP="001F2A26">
            <w:pPr>
              <w:pStyle w:val="NoSpacing"/>
              <w:ind w:firstLine="447"/>
              <w:rPr>
                <w:color w:val="000000" w:themeColor="text1"/>
                <w:sz w:val="28"/>
                <w:szCs w:val="28"/>
                <w:lang w:val="ro-MD"/>
              </w:rPr>
            </w:pPr>
            <w:r w:rsidRPr="007D3D0D">
              <w:rPr>
                <w:i/>
                <w:color w:val="000000" w:themeColor="text1"/>
                <w:sz w:val="28"/>
                <w:szCs w:val="28"/>
                <w:lang w:val="ro-MD"/>
              </w:rPr>
              <w:t>ofițer principal</w:t>
            </w:r>
            <w:r w:rsidRPr="007D3D0D">
              <w:rPr>
                <w:color w:val="000000" w:themeColor="text1"/>
                <w:sz w:val="28"/>
                <w:szCs w:val="28"/>
                <w:lang w:val="ro-MD"/>
              </w:rPr>
              <w:t xml:space="preserve"> – va dispune de atribuții funcționale vizavi de identificarea și evaluarea preliminară a proiectelor de investiții capitale, inclusiv elaborarea studiilor de fezabilitate pentru proiectele cu un buget estimativ mai mare de 200 </w:t>
            </w:r>
            <w:proofErr w:type="spellStart"/>
            <w:r w:rsidRPr="007D3D0D">
              <w:rPr>
                <w:color w:val="000000" w:themeColor="text1"/>
                <w:sz w:val="28"/>
                <w:szCs w:val="28"/>
                <w:lang w:val="ro-MD"/>
              </w:rPr>
              <w:t>mln</w:t>
            </w:r>
            <w:proofErr w:type="spellEnd"/>
            <w:r w:rsidRPr="007D3D0D">
              <w:rPr>
                <w:color w:val="000000" w:themeColor="text1"/>
                <w:sz w:val="28"/>
                <w:szCs w:val="28"/>
                <w:lang w:val="ro-MD"/>
              </w:rPr>
              <w:t xml:space="preserve"> lei, și evaluarea impactului asupra mediului potrivit Legii nr. 86/2014;</w:t>
            </w:r>
          </w:p>
          <w:p w:rsidR="00EE5573" w:rsidRPr="007D3D0D" w:rsidRDefault="00EE5573" w:rsidP="001F2A26">
            <w:pPr>
              <w:pStyle w:val="NoSpacing"/>
              <w:ind w:firstLine="447"/>
              <w:rPr>
                <w:color w:val="000000" w:themeColor="text1"/>
                <w:sz w:val="28"/>
                <w:szCs w:val="28"/>
                <w:lang w:val="ro-MD"/>
              </w:rPr>
            </w:pPr>
            <w:r w:rsidRPr="007D3D0D">
              <w:rPr>
                <w:i/>
                <w:color w:val="000000" w:themeColor="text1"/>
                <w:sz w:val="28"/>
                <w:szCs w:val="28"/>
                <w:lang w:val="ro-MD"/>
              </w:rPr>
              <w:t>ofițer principal</w:t>
            </w:r>
            <w:r w:rsidRPr="007D3D0D">
              <w:rPr>
                <w:color w:val="000000" w:themeColor="text1"/>
                <w:sz w:val="28"/>
                <w:szCs w:val="28"/>
                <w:lang w:val="ro-MD"/>
              </w:rPr>
              <w:t xml:space="preserve"> – va dispune de atribuții în pregătirea documentației tehnice, elaborarea și prezentarea propunerilor de proiecte investiționale potrivit pct.21 și 22 din Regulamentul cu privire la proiectele de investiții capitale publice aprobat prin Hotărârea Guvernului nr.684/2022;</w:t>
            </w:r>
          </w:p>
          <w:p w:rsidR="0056028E" w:rsidRPr="007D3D0D" w:rsidRDefault="00E644E5" w:rsidP="002146D9">
            <w:pPr>
              <w:pStyle w:val="NoSpacing"/>
              <w:ind w:firstLine="447"/>
              <w:rPr>
                <w:color w:val="000000" w:themeColor="text1"/>
                <w:sz w:val="28"/>
                <w:szCs w:val="28"/>
                <w:lang w:val="ro-MD"/>
              </w:rPr>
            </w:pPr>
            <w:r w:rsidRPr="007D3D0D">
              <w:rPr>
                <w:i/>
                <w:color w:val="000000" w:themeColor="text1"/>
                <w:sz w:val="28"/>
                <w:szCs w:val="28"/>
                <w:lang w:val="ro-MD"/>
              </w:rPr>
              <w:t>ofițer superior</w:t>
            </w:r>
            <w:r w:rsidR="00EE5573" w:rsidRPr="007D3D0D">
              <w:rPr>
                <w:color w:val="000000" w:themeColor="text1"/>
                <w:sz w:val="28"/>
                <w:szCs w:val="28"/>
                <w:lang w:val="ro-MD"/>
              </w:rPr>
              <w:t xml:space="preserve"> – va dispune de atribuții funcționale în implementarea și monitorizarea proiectelor investiționale publice, inclusiv ajustarea periodică a </w:t>
            </w:r>
            <w:r w:rsidR="00EE5573" w:rsidRPr="007D3D0D">
              <w:rPr>
                <w:color w:val="000000" w:themeColor="text1"/>
                <w:sz w:val="28"/>
                <w:szCs w:val="28"/>
                <w:lang w:val="ro-MD"/>
              </w:rPr>
              <w:lastRenderedPageBreak/>
              <w:t>informațiilor în SI Platforma project.gov.md, întocmirea și prezentarea către Ministerul  Finanțelor a raportului anual de monitorizare a implementării proiectelor.</w:t>
            </w:r>
          </w:p>
        </w:tc>
      </w:tr>
      <w:tr w:rsidR="007D3D0D" w:rsidRPr="007D3D0D" w:rsidTr="00381032">
        <w:tc>
          <w:tcPr>
            <w:tcW w:w="9913"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6A62AE">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lastRenderedPageBreak/>
              <w:t>3. Obiectivele urmărite și soluțiile propuse</w:t>
            </w:r>
          </w:p>
        </w:tc>
      </w:tr>
      <w:tr w:rsidR="007D3D0D" w:rsidRPr="007D3D0D" w:rsidTr="00381032">
        <w:tc>
          <w:tcPr>
            <w:tcW w:w="9913" w:type="dxa"/>
            <w:tcBorders>
              <w:top w:val="single" w:sz="4" w:space="0" w:color="auto"/>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rsidR="00AD0855" w:rsidRPr="007D3D0D" w:rsidRDefault="00AD0855" w:rsidP="006A62A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3.1. Principalele prevederi ale proiectului și evidențierea elementelor noi</w:t>
            </w:r>
          </w:p>
        </w:tc>
      </w:tr>
      <w:tr w:rsidR="007D3D0D" w:rsidRPr="007D3D0D" w:rsidTr="00B43B0B">
        <w:tc>
          <w:tcPr>
            <w:tcW w:w="9913"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4824D4" w:rsidRPr="007D3D0D" w:rsidRDefault="004824D4" w:rsidP="00D370B1">
            <w:pPr>
              <w:ind w:firstLine="447"/>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Proiectul prevede ajustarea Hotărârii Guvernului </w:t>
            </w:r>
            <w:r w:rsidR="00150EAD" w:rsidRPr="007D3D0D">
              <w:rPr>
                <w:rFonts w:ascii="Times New Roman" w:hAnsi="Times New Roman"/>
                <w:bCs/>
                <w:color w:val="000000" w:themeColor="text1"/>
                <w:sz w:val="28"/>
                <w:szCs w:val="28"/>
                <w:lang w:val="ro-MD"/>
              </w:rPr>
              <w:t>nr.</w:t>
            </w:r>
            <w:r w:rsidR="00150EAD" w:rsidRPr="007D3D0D">
              <w:rPr>
                <w:rFonts w:ascii="Times New Roman" w:eastAsia="Times New Roman" w:hAnsi="Times New Roman"/>
                <w:color w:val="000000" w:themeColor="text1"/>
                <w:sz w:val="28"/>
                <w:szCs w:val="28"/>
                <w:lang w:val="ro-MD"/>
              </w:rPr>
              <w:t xml:space="preserve"> 982/2018 </w:t>
            </w:r>
            <w:r w:rsidRPr="007D3D0D">
              <w:rPr>
                <w:rFonts w:ascii="Times New Roman" w:hAnsi="Times New Roman"/>
                <w:color w:val="000000" w:themeColor="text1"/>
                <w:sz w:val="28"/>
                <w:szCs w:val="28"/>
                <w:lang w:val="ro-MD"/>
              </w:rPr>
              <w:t xml:space="preserve">cu privire la organizarea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funcționarea </w:t>
            </w:r>
            <w:r w:rsidR="00150EAD" w:rsidRPr="007D3D0D">
              <w:rPr>
                <w:rStyle w:val="FontStyle12"/>
                <w:color w:val="000000" w:themeColor="text1"/>
                <w:sz w:val="28"/>
                <w:szCs w:val="28"/>
                <w:lang w:val="ro-MD" w:eastAsia="ro-RO"/>
              </w:rPr>
              <w:t>Agenției Asigurare Resurse și Administrare Patrimoniu a Ministerului Apărării</w:t>
            </w:r>
            <w:r w:rsidR="00150EAD" w:rsidRPr="007D3D0D">
              <w:rPr>
                <w:rFonts w:ascii="Times New Roman" w:hAnsi="Times New Roman"/>
                <w:bCs/>
                <w:color w:val="000000" w:themeColor="text1"/>
                <w:sz w:val="28"/>
                <w:szCs w:val="28"/>
                <w:lang w:val="ro-MD"/>
              </w:rPr>
              <w:t xml:space="preserve"> </w:t>
            </w:r>
            <w:r w:rsidRPr="007D3D0D">
              <w:rPr>
                <w:rFonts w:ascii="Times New Roman" w:hAnsi="Times New Roman"/>
                <w:color w:val="000000" w:themeColor="text1"/>
                <w:sz w:val="28"/>
                <w:szCs w:val="28"/>
                <w:lang w:val="ro-MD"/>
              </w:rPr>
              <w:t>la</w:t>
            </w:r>
            <w:r w:rsidR="00745BC3"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 xml:space="preserve">Structura-tip a Regulamentului privind organizarea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funcționarea autorității</w:t>
            </w:r>
            <w:r w:rsidR="00745BC3"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administrative din subordinea ministerului, aprobată prin Hotărârea Guvernului</w:t>
            </w:r>
            <w:r w:rsidR="00745BC3"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nr.284/2025.</w:t>
            </w:r>
          </w:p>
          <w:p w:rsidR="001F2A26" w:rsidRPr="007D3D0D" w:rsidRDefault="004824D4" w:rsidP="00D370B1">
            <w:pPr>
              <w:ind w:firstLine="447"/>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Astfel</w:t>
            </w:r>
            <w:r w:rsidR="00813E1F" w:rsidRPr="007D3D0D">
              <w:rPr>
                <w:rFonts w:ascii="Times New Roman" w:hAnsi="Times New Roman"/>
                <w:color w:val="000000" w:themeColor="text1"/>
                <w:sz w:val="28"/>
                <w:szCs w:val="28"/>
                <w:lang w:val="ro-MD"/>
              </w:rPr>
              <w:t>,</w:t>
            </w:r>
            <w:r w:rsidRPr="007D3D0D">
              <w:rPr>
                <w:rFonts w:ascii="Times New Roman" w:hAnsi="Times New Roman"/>
                <w:color w:val="000000" w:themeColor="text1"/>
                <w:sz w:val="28"/>
                <w:szCs w:val="28"/>
                <w:lang w:val="ro-MD"/>
              </w:rPr>
              <w:t xml:space="preserve"> proiectul prevede</w:t>
            </w:r>
            <w:r w:rsidR="00745BC3"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 xml:space="preserve">aprobarea unui nou Regulament cu privire la organizarea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funcționarea</w:t>
            </w:r>
            <w:r w:rsidR="00745BC3" w:rsidRPr="007D3D0D">
              <w:rPr>
                <w:rFonts w:ascii="Times New Roman" w:hAnsi="Times New Roman"/>
                <w:color w:val="000000" w:themeColor="text1"/>
                <w:sz w:val="28"/>
                <w:szCs w:val="28"/>
                <w:lang w:val="ro-MD"/>
              </w:rPr>
              <w:t xml:space="preserve"> </w:t>
            </w:r>
            <w:r w:rsidR="00EF19C5" w:rsidRPr="007D3D0D">
              <w:rPr>
                <w:rStyle w:val="FontStyle12"/>
                <w:color w:val="000000" w:themeColor="text1"/>
                <w:sz w:val="28"/>
                <w:szCs w:val="28"/>
                <w:lang w:val="ro-MD" w:eastAsia="ro-RO"/>
              </w:rPr>
              <w:t>Agenției Asigurare Resurse și Administrare Patrimoniu a Ministerului Apărării</w:t>
            </w:r>
            <w:r w:rsidR="00745BC3" w:rsidRPr="007D3D0D">
              <w:rPr>
                <w:rFonts w:ascii="Times New Roman" w:hAnsi="Times New Roman"/>
                <w:color w:val="000000" w:themeColor="text1"/>
                <w:sz w:val="28"/>
                <w:szCs w:val="28"/>
                <w:lang w:val="ro-MD"/>
              </w:rPr>
              <w:t>.</w:t>
            </w:r>
          </w:p>
          <w:p w:rsidR="00D370B1" w:rsidRPr="007D3D0D" w:rsidRDefault="00D370B1" w:rsidP="00D370B1">
            <w:pPr>
              <w:ind w:firstLine="447"/>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Concomitent, reieșind din delegarea atribuțiilor suplimentare de desfășurare a achizițiilor strategice și comune pentru autoritățile sistemului de securitate și apărare, managementul proiectelor de investiții capitale publice, gestionarea proceselor de asistență externă și proceduri vamale, etc. și necesității extinderii capacității instituționale, se propune majorarea efectivului-limită al </w:t>
            </w:r>
            <w:proofErr w:type="spellStart"/>
            <w:r w:rsidRPr="007D3D0D">
              <w:rPr>
                <w:rFonts w:ascii="Times New Roman" w:hAnsi="Times New Roman"/>
                <w:color w:val="000000" w:themeColor="text1"/>
                <w:sz w:val="28"/>
                <w:szCs w:val="28"/>
                <w:lang w:val="ro-MD"/>
              </w:rPr>
              <w:t>Agenţiei</w:t>
            </w:r>
            <w:proofErr w:type="spellEnd"/>
            <w:r w:rsidRPr="007D3D0D">
              <w:rPr>
                <w:rFonts w:ascii="Times New Roman" w:hAnsi="Times New Roman"/>
                <w:color w:val="000000" w:themeColor="text1"/>
                <w:sz w:val="28"/>
                <w:szCs w:val="28"/>
                <w:lang w:val="ro-MD"/>
              </w:rPr>
              <w:t xml:space="preserve"> Asigurare Resurse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Administrare Patrimoniu a Ministerului Apărării cu 6 unități de personal, de la 47 la 53 unități de personal, în limitele bugetului anual al Ministerului Apărării.</w:t>
            </w:r>
          </w:p>
          <w:p w:rsidR="002146D9" w:rsidRPr="007D3D0D" w:rsidRDefault="002146D9" w:rsidP="002146D9">
            <w:pPr>
              <w:ind w:firstLine="450"/>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Totodată, în scopul aducerii în concordanță cu prevederile pct.2 al Hotărârii Guvernului nr. 749/2024 </w:t>
            </w:r>
            <w:r w:rsidRPr="007D3D0D">
              <w:rPr>
                <w:rFonts w:ascii="Times New Roman" w:eastAsia="Times New Roman" w:hAnsi="Times New Roman"/>
                <w:bCs/>
                <w:i/>
                <w:color w:val="000000" w:themeColor="text1"/>
                <w:sz w:val="28"/>
                <w:szCs w:val="28"/>
                <w:lang w:val="ro-MD"/>
              </w:rPr>
              <w:t xml:space="preserve">cu privire la </w:t>
            </w:r>
            <w:proofErr w:type="spellStart"/>
            <w:r w:rsidRPr="007D3D0D">
              <w:rPr>
                <w:rFonts w:ascii="Times New Roman" w:eastAsia="Times New Roman" w:hAnsi="Times New Roman"/>
                <w:bCs/>
                <w:i/>
                <w:color w:val="000000" w:themeColor="text1"/>
                <w:sz w:val="28"/>
                <w:szCs w:val="28"/>
                <w:lang w:val="ro-MD"/>
              </w:rPr>
              <w:t>achiziţiile</w:t>
            </w:r>
            <w:proofErr w:type="spellEnd"/>
            <w:r w:rsidRPr="007D3D0D">
              <w:rPr>
                <w:rFonts w:ascii="Times New Roman" w:eastAsia="Times New Roman" w:hAnsi="Times New Roman"/>
                <w:bCs/>
                <w:i/>
                <w:color w:val="000000" w:themeColor="text1"/>
                <w:sz w:val="28"/>
                <w:szCs w:val="28"/>
                <w:lang w:val="ro-MD"/>
              </w:rPr>
              <w:t xml:space="preserve"> centralizate de armament </w:t>
            </w:r>
            <w:proofErr w:type="spellStart"/>
            <w:r w:rsidRPr="007D3D0D">
              <w:rPr>
                <w:rFonts w:ascii="Times New Roman" w:eastAsia="Times New Roman" w:hAnsi="Times New Roman"/>
                <w:bCs/>
                <w:i/>
                <w:color w:val="000000" w:themeColor="text1"/>
                <w:sz w:val="28"/>
                <w:szCs w:val="28"/>
                <w:lang w:val="ro-MD"/>
              </w:rPr>
              <w:t>şi</w:t>
            </w:r>
            <w:proofErr w:type="spellEnd"/>
            <w:r w:rsidRPr="007D3D0D">
              <w:rPr>
                <w:rFonts w:ascii="Times New Roman" w:eastAsia="Times New Roman" w:hAnsi="Times New Roman"/>
                <w:bCs/>
                <w:i/>
                <w:color w:val="000000" w:themeColor="text1"/>
                <w:sz w:val="28"/>
                <w:szCs w:val="28"/>
                <w:lang w:val="ro-MD"/>
              </w:rPr>
              <w:t xml:space="preserve"> </w:t>
            </w:r>
            <w:proofErr w:type="spellStart"/>
            <w:r w:rsidRPr="007D3D0D">
              <w:rPr>
                <w:rFonts w:ascii="Times New Roman" w:eastAsia="Times New Roman" w:hAnsi="Times New Roman"/>
                <w:bCs/>
                <w:i/>
                <w:color w:val="000000" w:themeColor="text1"/>
                <w:sz w:val="28"/>
                <w:szCs w:val="28"/>
                <w:lang w:val="ro-MD"/>
              </w:rPr>
              <w:t>muniţii</w:t>
            </w:r>
            <w:proofErr w:type="spellEnd"/>
            <w:r w:rsidRPr="007D3D0D">
              <w:rPr>
                <w:rFonts w:ascii="Times New Roman" w:eastAsia="Times New Roman" w:hAnsi="Times New Roman"/>
                <w:bCs/>
                <w:i/>
                <w:color w:val="000000" w:themeColor="text1"/>
                <w:sz w:val="28"/>
                <w:szCs w:val="28"/>
                <w:lang w:val="ro-MD"/>
              </w:rPr>
              <w:t xml:space="preserve"> pentru </w:t>
            </w:r>
            <w:proofErr w:type="spellStart"/>
            <w:r w:rsidRPr="007D3D0D">
              <w:rPr>
                <w:rFonts w:ascii="Times New Roman" w:eastAsia="Times New Roman" w:hAnsi="Times New Roman"/>
                <w:bCs/>
                <w:i/>
                <w:color w:val="000000" w:themeColor="text1"/>
                <w:sz w:val="28"/>
                <w:szCs w:val="28"/>
                <w:lang w:val="ro-MD"/>
              </w:rPr>
              <w:t>necesităţile</w:t>
            </w:r>
            <w:proofErr w:type="spellEnd"/>
            <w:r w:rsidRPr="007D3D0D">
              <w:rPr>
                <w:rFonts w:ascii="Times New Roman" w:eastAsia="Times New Roman" w:hAnsi="Times New Roman"/>
                <w:bCs/>
                <w:i/>
                <w:color w:val="000000" w:themeColor="text1"/>
                <w:sz w:val="28"/>
                <w:szCs w:val="28"/>
                <w:lang w:val="ro-MD"/>
              </w:rPr>
              <w:t xml:space="preserve"> organelor apărării </w:t>
            </w:r>
            <w:proofErr w:type="spellStart"/>
            <w:r w:rsidRPr="007D3D0D">
              <w:rPr>
                <w:rFonts w:ascii="Times New Roman" w:eastAsia="Times New Roman" w:hAnsi="Times New Roman"/>
                <w:bCs/>
                <w:i/>
                <w:color w:val="000000" w:themeColor="text1"/>
                <w:sz w:val="28"/>
                <w:szCs w:val="28"/>
                <w:lang w:val="ro-MD"/>
              </w:rPr>
              <w:t>naţionale</w:t>
            </w:r>
            <w:proofErr w:type="spellEnd"/>
            <w:r w:rsidRPr="007D3D0D">
              <w:rPr>
                <w:rFonts w:ascii="Times New Roman" w:eastAsia="Times New Roman" w:hAnsi="Times New Roman"/>
                <w:bCs/>
                <w:i/>
                <w:color w:val="000000" w:themeColor="text1"/>
                <w:sz w:val="28"/>
                <w:szCs w:val="28"/>
                <w:lang w:val="ro-MD"/>
              </w:rPr>
              <w:t xml:space="preserve">, </w:t>
            </w:r>
            <w:proofErr w:type="spellStart"/>
            <w:r w:rsidRPr="007D3D0D">
              <w:rPr>
                <w:rFonts w:ascii="Times New Roman" w:eastAsia="Times New Roman" w:hAnsi="Times New Roman"/>
                <w:bCs/>
                <w:i/>
                <w:color w:val="000000" w:themeColor="text1"/>
                <w:sz w:val="28"/>
                <w:szCs w:val="28"/>
                <w:lang w:val="ro-MD"/>
              </w:rPr>
              <w:t>securităţii</w:t>
            </w:r>
            <w:proofErr w:type="spellEnd"/>
            <w:r w:rsidRPr="007D3D0D">
              <w:rPr>
                <w:rFonts w:ascii="Times New Roman" w:eastAsia="Times New Roman" w:hAnsi="Times New Roman"/>
                <w:bCs/>
                <w:i/>
                <w:color w:val="000000" w:themeColor="text1"/>
                <w:sz w:val="28"/>
                <w:szCs w:val="28"/>
                <w:lang w:val="ro-MD"/>
              </w:rPr>
              <w:t xml:space="preserve"> statului </w:t>
            </w:r>
            <w:proofErr w:type="spellStart"/>
            <w:r w:rsidRPr="007D3D0D">
              <w:rPr>
                <w:rFonts w:ascii="Times New Roman" w:eastAsia="Times New Roman" w:hAnsi="Times New Roman"/>
                <w:bCs/>
                <w:i/>
                <w:color w:val="000000" w:themeColor="text1"/>
                <w:sz w:val="28"/>
                <w:szCs w:val="28"/>
                <w:lang w:val="ro-MD"/>
              </w:rPr>
              <w:t>şi</w:t>
            </w:r>
            <w:proofErr w:type="spellEnd"/>
            <w:r w:rsidRPr="007D3D0D">
              <w:rPr>
                <w:rFonts w:ascii="Times New Roman" w:eastAsia="Times New Roman" w:hAnsi="Times New Roman"/>
                <w:bCs/>
                <w:i/>
                <w:color w:val="000000" w:themeColor="text1"/>
                <w:sz w:val="28"/>
                <w:szCs w:val="28"/>
                <w:lang w:val="ro-MD"/>
              </w:rPr>
              <w:t xml:space="preserve"> ordinii publice, </w:t>
            </w:r>
            <w:r w:rsidRPr="007D3D0D">
              <w:rPr>
                <w:rFonts w:ascii="Times New Roman" w:eastAsia="Times New Roman" w:hAnsi="Times New Roman"/>
                <w:bCs/>
                <w:color w:val="000000" w:themeColor="text1"/>
                <w:sz w:val="28"/>
                <w:szCs w:val="28"/>
                <w:lang w:val="ro-MD"/>
              </w:rPr>
              <w:t xml:space="preserve">capitolul II al Regulamentului Agenției a fost completat cu </w:t>
            </w:r>
            <w:proofErr w:type="spellStart"/>
            <w:r w:rsidRPr="007D3D0D">
              <w:rPr>
                <w:rFonts w:ascii="Times New Roman" w:eastAsia="Times New Roman" w:hAnsi="Times New Roman"/>
                <w:bCs/>
                <w:color w:val="000000" w:themeColor="text1"/>
                <w:sz w:val="28"/>
                <w:szCs w:val="28"/>
                <w:lang w:val="ro-MD"/>
              </w:rPr>
              <w:t>subpct</w:t>
            </w:r>
            <w:proofErr w:type="spellEnd"/>
            <w:r w:rsidRPr="007D3D0D">
              <w:rPr>
                <w:rFonts w:ascii="Times New Roman" w:eastAsia="Times New Roman" w:hAnsi="Times New Roman"/>
                <w:bCs/>
                <w:color w:val="000000" w:themeColor="text1"/>
                <w:sz w:val="28"/>
                <w:szCs w:val="28"/>
                <w:lang w:val="ro-MD"/>
              </w:rPr>
              <w:t xml:space="preserve">. 8.2., cu următorul cuprins: </w:t>
            </w:r>
            <w:r w:rsidRPr="007D3D0D">
              <w:rPr>
                <w:rFonts w:ascii="Times New Roman" w:eastAsia="Times New Roman" w:hAnsi="Times New Roman"/>
                <w:bCs/>
                <w:i/>
                <w:color w:val="000000" w:themeColor="text1"/>
                <w:sz w:val="28"/>
                <w:szCs w:val="28"/>
                <w:lang w:val="ro-MD"/>
              </w:rPr>
              <w:t xml:space="preserve">organizarea </w:t>
            </w:r>
            <w:proofErr w:type="spellStart"/>
            <w:r w:rsidRPr="007D3D0D">
              <w:rPr>
                <w:rFonts w:ascii="Times New Roman" w:eastAsia="Times New Roman" w:hAnsi="Times New Roman"/>
                <w:bCs/>
                <w:i/>
                <w:color w:val="000000" w:themeColor="text1"/>
                <w:sz w:val="28"/>
                <w:szCs w:val="28"/>
                <w:lang w:val="ro-MD"/>
              </w:rPr>
              <w:t>şi</w:t>
            </w:r>
            <w:proofErr w:type="spellEnd"/>
            <w:r w:rsidRPr="007D3D0D">
              <w:rPr>
                <w:rFonts w:ascii="Times New Roman" w:eastAsia="Times New Roman" w:hAnsi="Times New Roman"/>
                <w:bCs/>
                <w:i/>
                <w:color w:val="000000" w:themeColor="text1"/>
                <w:sz w:val="28"/>
                <w:szCs w:val="28"/>
                <w:lang w:val="ro-MD"/>
              </w:rPr>
              <w:t xml:space="preserve"> </w:t>
            </w:r>
            <w:proofErr w:type="spellStart"/>
            <w:r w:rsidRPr="007D3D0D">
              <w:rPr>
                <w:rFonts w:ascii="Times New Roman" w:eastAsia="Times New Roman" w:hAnsi="Times New Roman"/>
                <w:bCs/>
                <w:i/>
                <w:color w:val="000000" w:themeColor="text1"/>
                <w:sz w:val="28"/>
                <w:szCs w:val="28"/>
                <w:lang w:val="ro-MD"/>
              </w:rPr>
              <w:t>desfăşurarea</w:t>
            </w:r>
            <w:proofErr w:type="spellEnd"/>
            <w:r w:rsidRPr="007D3D0D">
              <w:rPr>
                <w:rFonts w:ascii="Times New Roman" w:eastAsia="Times New Roman" w:hAnsi="Times New Roman"/>
                <w:bCs/>
                <w:i/>
                <w:color w:val="000000" w:themeColor="text1"/>
                <w:sz w:val="28"/>
                <w:szCs w:val="28"/>
                <w:lang w:val="ro-MD"/>
              </w:rPr>
              <w:t xml:space="preserve"> </w:t>
            </w:r>
            <w:proofErr w:type="spellStart"/>
            <w:r w:rsidRPr="007D3D0D">
              <w:rPr>
                <w:rFonts w:ascii="Times New Roman" w:eastAsia="Times New Roman" w:hAnsi="Times New Roman"/>
                <w:bCs/>
                <w:i/>
                <w:color w:val="000000" w:themeColor="text1"/>
                <w:sz w:val="28"/>
                <w:szCs w:val="28"/>
                <w:lang w:val="ro-MD"/>
              </w:rPr>
              <w:t>achiziţiilor</w:t>
            </w:r>
            <w:proofErr w:type="spellEnd"/>
            <w:r w:rsidRPr="007D3D0D">
              <w:rPr>
                <w:rFonts w:ascii="Times New Roman" w:eastAsia="Times New Roman" w:hAnsi="Times New Roman"/>
                <w:bCs/>
                <w:i/>
                <w:color w:val="000000" w:themeColor="text1"/>
                <w:sz w:val="28"/>
                <w:szCs w:val="28"/>
                <w:lang w:val="ro-MD"/>
              </w:rPr>
              <w:t xml:space="preserve"> centralizate de mărfuri strategice din categoria armamentului </w:t>
            </w:r>
            <w:proofErr w:type="spellStart"/>
            <w:r w:rsidRPr="007D3D0D">
              <w:rPr>
                <w:rFonts w:ascii="Times New Roman" w:eastAsia="Times New Roman" w:hAnsi="Times New Roman"/>
                <w:bCs/>
                <w:i/>
                <w:color w:val="000000" w:themeColor="text1"/>
                <w:sz w:val="28"/>
                <w:szCs w:val="28"/>
                <w:lang w:val="ro-MD"/>
              </w:rPr>
              <w:t>şi</w:t>
            </w:r>
            <w:proofErr w:type="spellEnd"/>
            <w:r w:rsidRPr="007D3D0D">
              <w:rPr>
                <w:rFonts w:ascii="Times New Roman" w:eastAsia="Times New Roman" w:hAnsi="Times New Roman"/>
                <w:bCs/>
                <w:i/>
                <w:color w:val="000000" w:themeColor="text1"/>
                <w:sz w:val="28"/>
                <w:szCs w:val="28"/>
                <w:lang w:val="ro-MD"/>
              </w:rPr>
              <w:t xml:space="preserve"> de </w:t>
            </w:r>
            <w:proofErr w:type="spellStart"/>
            <w:r w:rsidRPr="007D3D0D">
              <w:rPr>
                <w:rFonts w:ascii="Times New Roman" w:eastAsia="Times New Roman" w:hAnsi="Times New Roman"/>
                <w:bCs/>
                <w:i/>
                <w:color w:val="000000" w:themeColor="text1"/>
                <w:sz w:val="28"/>
                <w:szCs w:val="28"/>
                <w:lang w:val="ro-MD"/>
              </w:rPr>
              <w:t>muniţii</w:t>
            </w:r>
            <w:proofErr w:type="spellEnd"/>
            <w:r w:rsidRPr="007D3D0D">
              <w:rPr>
                <w:rFonts w:ascii="Times New Roman" w:eastAsia="Times New Roman" w:hAnsi="Times New Roman"/>
                <w:bCs/>
                <w:i/>
                <w:color w:val="000000" w:themeColor="text1"/>
                <w:sz w:val="28"/>
                <w:szCs w:val="28"/>
                <w:lang w:val="ro-MD"/>
              </w:rPr>
              <w:t xml:space="preserve"> pentru </w:t>
            </w:r>
            <w:proofErr w:type="spellStart"/>
            <w:r w:rsidRPr="007D3D0D">
              <w:rPr>
                <w:rFonts w:ascii="Times New Roman" w:eastAsia="Times New Roman" w:hAnsi="Times New Roman"/>
                <w:bCs/>
                <w:i/>
                <w:color w:val="000000" w:themeColor="text1"/>
                <w:sz w:val="28"/>
                <w:szCs w:val="28"/>
                <w:lang w:val="ro-MD"/>
              </w:rPr>
              <w:t>necesităţile</w:t>
            </w:r>
            <w:proofErr w:type="spellEnd"/>
            <w:r w:rsidRPr="007D3D0D">
              <w:rPr>
                <w:rFonts w:ascii="Times New Roman" w:eastAsia="Times New Roman" w:hAnsi="Times New Roman"/>
                <w:bCs/>
                <w:i/>
                <w:color w:val="000000" w:themeColor="text1"/>
                <w:sz w:val="28"/>
                <w:szCs w:val="28"/>
                <w:lang w:val="ro-MD"/>
              </w:rPr>
              <w:t xml:space="preserve"> organelor apărării </w:t>
            </w:r>
            <w:proofErr w:type="spellStart"/>
            <w:r w:rsidRPr="007D3D0D">
              <w:rPr>
                <w:rFonts w:ascii="Times New Roman" w:eastAsia="Times New Roman" w:hAnsi="Times New Roman"/>
                <w:bCs/>
                <w:i/>
                <w:color w:val="000000" w:themeColor="text1"/>
                <w:sz w:val="28"/>
                <w:szCs w:val="28"/>
                <w:lang w:val="ro-MD"/>
              </w:rPr>
              <w:t>naţionale</w:t>
            </w:r>
            <w:proofErr w:type="spellEnd"/>
            <w:r w:rsidRPr="007D3D0D">
              <w:rPr>
                <w:rFonts w:ascii="Times New Roman" w:eastAsia="Times New Roman" w:hAnsi="Times New Roman"/>
                <w:bCs/>
                <w:i/>
                <w:color w:val="000000" w:themeColor="text1"/>
                <w:sz w:val="28"/>
                <w:szCs w:val="28"/>
                <w:lang w:val="ro-MD"/>
              </w:rPr>
              <w:t xml:space="preserve">, </w:t>
            </w:r>
            <w:proofErr w:type="spellStart"/>
            <w:r w:rsidRPr="007D3D0D">
              <w:rPr>
                <w:rFonts w:ascii="Times New Roman" w:eastAsia="Times New Roman" w:hAnsi="Times New Roman"/>
                <w:bCs/>
                <w:i/>
                <w:color w:val="000000" w:themeColor="text1"/>
                <w:sz w:val="28"/>
                <w:szCs w:val="28"/>
                <w:lang w:val="ro-MD"/>
              </w:rPr>
              <w:t>securităţii</w:t>
            </w:r>
            <w:proofErr w:type="spellEnd"/>
            <w:r w:rsidRPr="007D3D0D">
              <w:rPr>
                <w:rFonts w:ascii="Times New Roman" w:eastAsia="Times New Roman" w:hAnsi="Times New Roman"/>
                <w:bCs/>
                <w:i/>
                <w:color w:val="000000" w:themeColor="text1"/>
                <w:sz w:val="28"/>
                <w:szCs w:val="28"/>
                <w:lang w:val="ro-MD"/>
              </w:rPr>
              <w:t xml:space="preserve"> statului </w:t>
            </w:r>
            <w:proofErr w:type="spellStart"/>
            <w:r w:rsidRPr="007D3D0D">
              <w:rPr>
                <w:rFonts w:ascii="Times New Roman" w:eastAsia="Times New Roman" w:hAnsi="Times New Roman"/>
                <w:bCs/>
                <w:i/>
                <w:color w:val="000000" w:themeColor="text1"/>
                <w:sz w:val="28"/>
                <w:szCs w:val="28"/>
                <w:lang w:val="ro-MD"/>
              </w:rPr>
              <w:t>şi</w:t>
            </w:r>
            <w:proofErr w:type="spellEnd"/>
            <w:r w:rsidRPr="007D3D0D">
              <w:rPr>
                <w:rFonts w:ascii="Times New Roman" w:eastAsia="Times New Roman" w:hAnsi="Times New Roman"/>
                <w:bCs/>
                <w:i/>
                <w:color w:val="000000" w:themeColor="text1"/>
                <w:sz w:val="28"/>
                <w:szCs w:val="28"/>
                <w:lang w:val="ro-MD"/>
              </w:rPr>
              <w:t xml:space="preserve"> ordinii publice</w:t>
            </w:r>
            <w:r w:rsidRPr="007D3D0D">
              <w:rPr>
                <w:rFonts w:ascii="Times New Roman" w:eastAsia="Times New Roman" w:hAnsi="Times New Roman"/>
                <w:bCs/>
                <w:color w:val="000000" w:themeColor="text1"/>
                <w:sz w:val="28"/>
                <w:szCs w:val="28"/>
                <w:lang w:val="ro-MD"/>
              </w:rPr>
              <w:t>.</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Menționăm, că stabilirea funcțiilor Agenției Asigurare Resurse și Administrare Patrimoniu a Ministerului Apărării reiese din specificul autorității din subordinea ministerului, care realizează funcții din domeniul apărării naționale reglementate la art.4 lit. h) din Legea nr. 345/2003 cu privire la apărarea națională, care prevede că una din prioritățile Ministerului Apărării rezidă din înzestrarea centralizată a </w:t>
            </w:r>
            <w:proofErr w:type="spellStart"/>
            <w:r w:rsidRPr="007D3D0D">
              <w:rPr>
                <w:rFonts w:ascii="Times New Roman" w:hAnsi="Times New Roman"/>
                <w:color w:val="000000" w:themeColor="text1"/>
                <w:sz w:val="28"/>
                <w:szCs w:val="28"/>
                <w:lang w:val="ro-MD"/>
              </w:rPr>
              <w:t>forţelor</w:t>
            </w:r>
            <w:proofErr w:type="spellEnd"/>
            <w:r w:rsidRPr="007D3D0D">
              <w:rPr>
                <w:rFonts w:ascii="Times New Roman" w:hAnsi="Times New Roman"/>
                <w:color w:val="000000" w:themeColor="text1"/>
                <w:sz w:val="28"/>
                <w:szCs w:val="28"/>
                <w:lang w:val="ro-MD"/>
              </w:rPr>
              <w:t xml:space="preserve"> destinate apărării </w:t>
            </w:r>
            <w:proofErr w:type="spellStart"/>
            <w:r w:rsidRPr="007D3D0D">
              <w:rPr>
                <w:rFonts w:ascii="Times New Roman" w:hAnsi="Times New Roman"/>
                <w:color w:val="000000" w:themeColor="text1"/>
                <w:sz w:val="28"/>
                <w:szCs w:val="28"/>
                <w:lang w:val="ro-MD"/>
              </w:rPr>
              <w:t>naţionale</w:t>
            </w:r>
            <w:proofErr w:type="spellEnd"/>
            <w:r w:rsidRPr="007D3D0D">
              <w:rPr>
                <w:rFonts w:ascii="Times New Roman" w:hAnsi="Times New Roman"/>
                <w:color w:val="000000" w:themeColor="text1"/>
                <w:sz w:val="28"/>
                <w:szCs w:val="28"/>
                <w:lang w:val="ro-MD"/>
              </w:rPr>
              <w:t xml:space="preserve"> cu armament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tehnică modernă, asigurarea lor cu resurse </w:t>
            </w:r>
            <w:proofErr w:type="spellStart"/>
            <w:r w:rsidRPr="007D3D0D">
              <w:rPr>
                <w:rFonts w:ascii="Times New Roman" w:hAnsi="Times New Roman"/>
                <w:color w:val="000000" w:themeColor="text1"/>
                <w:sz w:val="28"/>
                <w:szCs w:val="28"/>
                <w:lang w:val="ro-MD"/>
              </w:rPr>
              <w:t>tehnico</w:t>
            </w:r>
            <w:proofErr w:type="spellEnd"/>
            <w:r w:rsidRPr="007D3D0D">
              <w:rPr>
                <w:rFonts w:ascii="Times New Roman" w:hAnsi="Times New Roman"/>
                <w:color w:val="000000" w:themeColor="text1"/>
                <w:sz w:val="28"/>
                <w:szCs w:val="28"/>
                <w:lang w:val="ro-MD"/>
              </w:rPr>
              <w:t>-materiale în volumul necesar, care se realizează prin intermediul Agenției Asigurare Resurse și Administrare Patrimoniu a Ministerului Apărării. Cu atât mai mult, art. 28 alin. (4) literele h) și i), prevede că Ministerul Apărării:</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 este principalul beneficiar de stat în ce privește evaluarea, achiziționarea, crearea, fabricarea, repararea și testarea armamentului, a tehnicii militare și a altor bunuri </w:t>
            </w:r>
            <w:proofErr w:type="spellStart"/>
            <w:r w:rsidRPr="007D3D0D">
              <w:rPr>
                <w:rFonts w:ascii="Times New Roman" w:hAnsi="Times New Roman"/>
                <w:color w:val="000000" w:themeColor="text1"/>
                <w:sz w:val="28"/>
                <w:szCs w:val="28"/>
                <w:lang w:val="ro-MD"/>
              </w:rPr>
              <w:t>tehnico</w:t>
            </w:r>
            <w:proofErr w:type="spellEnd"/>
            <w:r w:rsidRPr="007D3D0D">
              <w:rPr>
                <w:rFonts w:ascii="Times New Roman" w:hAnsi="Times New Roman"/>
                <w:color w:val="000000" w:themeColor="text1"/>
                <w:sz w:val="28"/>
                <w:szCs w:val="28"/>
                <w:lang w:val="ro-MD"/>
              </w:rPr>
              <w:t>-militare; realizează excedentul neutilizat de armament, muniții, dispozitive militare, tehnică militară și alte bunuri în conformitate cu actele normative;</w:t>
            </w:r>
          </w:p>
          <w:p w:rsidR="002146D9" w:rsidRPr="007D3D0D" w:rsidRDefault="002146D9" w:rsidP="002146D9">
            <w:pPr>
              <w:ind w:firstLine="449"/>
              <w:rPr>
                <w:rFonts w:ascii="Times New Roman" w:hAnsi="Times New Roman"/>
                <w:color w:val="000000" w:themeColor="text1"/>
                <w:lang w:val="ro-MD"/>
              </w:rPr>
            </w:pPr>
            <w:r w:rsidRPr="007D3D0D">
              <w:rPr>
                <w:rFonts w:ascii="Times New Roman" w:hAnsi="Times New Roman"/>
                <w:color w:val="000000" w:themeColor="text1"/>
                <w:sz w:val="28"/>
                <w:szCs w:val="28"/>
                <w:lang w:val="ro-MD"/>
              </w:rPr>
              <w:t xml:space="preserve">- realizează măsuri privind constituirea stocurilor, înzestrarea, recondiționarea, mentenanța și dirijarea proceselor de modernizare cu armament, tehnică și resurse </w:t>
            </w:r>
            <w:proofErr w:type="spellStart"/>
            <w:r w:rsidRPr="007D3D0D">
              <w:rPr>
                <w:rFonts w:ascii="Times New Roman" w:hAnsi="Times New Roman"/>
                <w:color w:val="000000" w:themeColor="text1"/>
                <w:sz w:val="28"/>
                <w:szCs w:val="28"/>
                <w:lang w:val="ro-MD"/>
              </w:rPr>
              <w:t>tehnico</w:t>
            </w:r>
            <w:proofErr w:type="spellEnd"/>
            <w:r w:rsidRPr="007D3D0D">
              <w:rPr>
                <w:rFonts w:ascii="Times New Roman" w:hAnsi="Times New Roman"/>
                <w:color w:val="000000" w:themeColor="text1"/>
                <w:sz w:val="28"/>
                <w:szCs w:val="28"/>
                <w:lang w:val="ro-MD"/>
              </w:rPr>
              <w:t>-materiale și privind menținerea stării de operativitate a acestora, în cooperare cu autoritățile administrației publice, partenerii și agenții economici din țară și de peste hotare; etc.</w:t>
            </w:r>
            <w:r w:rsidRPr="007D3D0D">
              <w:rPr>
                <w:rFonts w:ascii="Times New Roman" w:hAnsi="Times New Roman"/>
                <w:color w:val="000000" w:themeColor="text1"/>
                <w:lang w:val="ro-MD"/>
              </w:rPr>
              <w:t xml:space="preserve"> </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lastRenderedPageBreak/>
              <w:t xml:space="preserve">Adițional, prin intermediul Agenției Asigurare Resurse și Administrare Patrimoniu a Ministerului Apărării sunt implementate proiecte de investiții capitale publice și de parteneriat public-privat pentru construirea obiectelor militare și sociale, în conformitate cu prevederile art.2 alin. (4) din Codul Urbanismului și Construcțiilor nr.434/2023, care prevede modalitatea de autorizare, proiectare, </w:t>
            </w:r>
            <w:proofErr w:type="spellStart"/>
            <w:r w:rsidRPr="007D3D0D">
              <w:rPr>
                <w:rFonts w:ascii="Times New Roman" w:hAnsi="Times New Roman"/>
                <w:color w:val="000000" w:themeColor="text1"/>
                <w:sz w:val="28"/>
                <w:szCs w:val="28"/>
                <w:lang w:val="ro-MD"/>
              </w:rPr>
              <w:t>execuţie</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recepţie</w:t>
            </w:r>
            <w:proofErr w:type="spellEnd"/>
            <w:r w:rsidRPr="007D3D0D">
              <w:rPr>
                <w:rFonts w:ascii="Times New Roman" w:hAnsi="Times New Roman"/>
                <w:color w:val="000000" w:themeColor="text1"/>
                <w:sz w:val="28"/>
                <w:szCs w:val="28"/>
                <w:lang w:val="ro-MD"/>
              </w:rPr>
              <w:t xml:space="preserve">, exploatare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postutilizare</w:t>
            </w:r>
            <w:proofErr w:type="spellEnd"/>
            <w:r w:rsidRPr="007D3D0D">
              <w:rPr>
                <w:rFonts w:ascii="Times New Roman" w:hAnsi="Times New Roman"/>
                <w:color w:val="000000" w:themeColor="text1"/>
                <w:sz w:val="28"/>
                <w:szCs w:val="28"/>
                <w:lang w:val="ro-MD"/>
              </w:rPr>
              <w:t xml:space="preserve"> a </w:t>
            </w:r>
            <w:proofErr w:type="spellStart"/>
            <w:r w:rsidRPr="007D3D0D">
              <w:rPr>
                <w:rFonts w:ascii="Times New Roman" w:hAnsi="Times New Roman"/>
                <w:color w:val="000000" w:themeColor="text1"/>
                <w:sz w:val="28"/>
                <w:szCs w:val="28"/>
                <w:lang w:val="ro-MD"/>
              </w:rPr>
              <w:t>construcţiilor</w:t>
            </w:r>
            <w:proofErr w:type="spellEnd"/>
            <w:r w:rsidRPr="007D3D0D">
              <w:rPr>
                <w:rFonts w:ascii="Times New Roman" w:hAnsi="Times New Roman"/>
                <w:color w:val="000000" w:themeColor="text1"/>
                <w:sz w:val="28"/>
                <w:szCs w:val="28"/>
                <w:lang w:val="ro-MD"/>
              </w:rPr>
              <w:t xml:space="preserve"> cu caracter militar sau secret se </w:t>
            </w:r>
            <w:proofErr w:type="spellStart"/>
            <w:r w:rsidRPr="007D3D0D">
              <w:rPr>
                <w:rFonts w:ascii="Times New Roman" w:hAnsi="Times New Roman"/>
                <w:color w:val="000000" w:themeColor="text1"/>
                <w:sz w:val="28"/>
                <w:szCs w:val="28"/>
                <w:lang w:val="ro-MD"/>
              </w:rPr>
              <w:t>stabileşte</w:t>
            </w:r>
            <w:proofErr w:type="spellEnd"/>
            <w:r w:rsidRPr="007D3D0D">
              <w:rPr>
                <w:rFonts w:ascii="Times New Roman" w:hAnsi="Times New Roman"/>
                <w:color w:val="000000" w:themeColor="text1"/>
                <w:sz w:val="28"/>
                <w:szCs w:val="28"/>
                <w:lang w:val="ro-MD"/>
              </w:rPr>
              <w:t xml:space="preserve"> de către structurile abilitate ale </w:t>
            </w:r>
            <w:proofErr w:type="spellStart"/>
            <w:r w:rsidRPr="007D3D0D">
              <w:rPr>
                <w:rFonts w:ascii="Times New Roman" w:hAnsi="Times New Roman"/>
                <w:color w:val="000000" w:themeColor="text1"/>
                <w:sz w:val="28"/>
                <w:szCs w:val="28"/>
                <w:lang w:val="ro-MD"/>
              </w:rPr>
              <w:t>autorităţilor</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administraţiei</w:t>
            </w:r>
            <w:proofErr w:type="spellEnd"/>
            <w:r w:rsidRPr="007D3D0D">
              <w:rPr>
                <w:rFonts w:ascii="Times New Roman" w:hAnsi="Times New Roman"/>
                <w:color w:val="000000" w:themeColor="text1"/>
                <w:sz w:val="28"/>
                <w:szCs w:val="28"/>
                <w:lang w:val="ro-MD"/>
              </w:rPr>
              <w:t xml:space="preserve"> publice centrale din domeniul apărării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al </w:t>
            </w:r>
            <w:proofErr w:type="spellStart"/>
            <w:r w:rsidRPr="007D3D0D">
              <w:rPr>
                <w:rFonts w:ascii="Times New Roman" w:hAnsi="Times New Roman"/>
                <w:color w:val="000000" w:themeColor="text1"/>
                <w:sz w:val="28"/>
                <w:szCs w:val="28"/>
                <w:lang w:val="ro-MD"/>
              </w:rPr>
              <w:t>securităţii</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naţionale</w:t>
            </w:r>
            <w:proofErr w:type="spellEnd"/>
            <w:r w:rsidRPr="007D3D0D">
              <w:rPr>
                <w:rFonts w:ascii="Times New Roman" w:hAnsi="Times New Roman"/>
                <w:color w:val="000000" w:themeColor="text1"/>
                <w:sz w:val="28"/>
                <w:szCs w:val="28"/>
                <w:lang w:val="ro-MD"/>
              </w:rPr>
              <w:t xml:space="preserve"> și respectiv, art.13 alin.(3) din Legea nr.345/2003 cu privire la apărarea națională, care prevede infrastructura militară, și anume toate categoriile de armament, de tehnică militară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de alte bunuri militare, aflate în administrarea Ministerului Apărării, sunt proprietate a statului. Ministerul Apărării, în baza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în limitele stabilite de actele normative, exercită dreptul de posesiune, de </w:t>
            </w:r>
            <w:proofErr w:type="spellStart"/>
            <w:r w:rsidRPr="007D3D0D">
              <w:rPr>
                <w:rFonts w:ascii="Times New Roman" w:hAnsi="Times New Roman"/>
                <w:color w:val="000000" w:themeColor="text1"/>
                <w:sz w:val="28"/>
                <w:szCs w:val="28"/>
                <w:lang w:val="ro-MD"/>
              </w:rPr>
              <w:t>folosinţă</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de </w:t>
            </w:r>
            <w:proofErr w:type="spellStart"/>
            <w:r w:rsidRPr="007D3D0D">
              <w:rPr>
                <w:rFonts w:ascii="Times New Roman" w:hAnsi="Times New Roman"/>
                <w:color w:val="000000" w:themeColor="text1"/>
                <w:sz w:val="28"/>
                <w:szCs w:val="28"/>
                <w:lang w:val="ro-MD"/>
              </w:rPr>
              <w:t>dispoziţie</w:t>
            </w:r>
            <w:proofErr w:type="spellEnd"/>
            <w:r w:rsidRPr="007D3D0D">
              <w:rPr>
                <w:rFonts w:ascii="Times New Roman" w:hAnsi="Times New Roman"/>
                <w:color w:val="000000" w:themeColor="text1"/>
                <w:sz w:val="28"/>
                <w:szCs w:val="28"/>
                <w:lang w:val="ro-MD"/>
              </w:rPr>
              <w:t xml:space="preserve"> asupra bunurilor în cauză.</w:t>
            </w:r>
          </w:p>
          <w:p w:rsidR="002146D9" w:rsidRPr="007D3D0D" w:rsidRDefault="002146D9" w:rsidP="002146D9">
            <w:pPr>
              <w:ind w:firstLine="449"/>
              <w:rPr>
                <w:rFonts w:ascii="Times New Roman" w:hAnsi="Times New Roman"/>
                <w:color w:val="000000" w:themeColor="text1"/>
                <w:lang w:val="ro-MD"/>
              </w:rPr>
            </w:pPr>
            <w:r w:rsidRPr="007D3D0D">
              <w:rPr>
                <w:rFonts w:ascii="Times New Roman" w:hAnsi="Times New Roman"/>
                <w:color w:val="000000" w:themeColor="text1"/>
                <w:sz w:val="28"/>
                <w:szCs w:val="28"/>
                <w:lang w:val="ro-MD"/>
              </w:rPr>
              <w:t xml:space="preserve">Totodată, în scopul aducerii în concordanță cu prevederile pct.2 al Hotărârii Guvernului nr.749/2024 cu privire la </w:t>
            </w:r>
            <w:proofErr w:type="spellStart"/>
            <w:r w:rsidRPr="007D3D0D">
              <w:rPr>
                <w:rFonts w:ascii="Times New Roman" w:hAnsi="Times New Roman"/>
                <w:color w:val="000000" w:themeColor="text1"/>
                <w:sz w:val="28"/>
                <w:szCs w:val="28"/>
                <w:lang w:val="ro-MD"/>
              </w:rPr>
              <w:t>achiziţiile</w:t>
            </w:r>
            <w:proofErr w:type="spellEnd"/>
            <w:r w:rsidRPr="007D3D0D">
              <w:rPr>
                <w:rFonts w:ascii="Times New Roman" w:hAnsi="Times New Roman"/>
                <w:color w:val="000000" w:themeColor="text1"/>
                <w:sz w:val="28"/>
                <w:szCs w:val="28"/>
                <w:lang w:val="ro-MD"/>
              </w:rPr>
              <w:t xml:space="preserve"> centralizate de armament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muniţii</w:t>
            </w:r>
            <w:proofErr w:type="spellEnd"/>
            <w:r w:rsidRPr="007D3D0D">
              <w:rPr>
                <w:rFonts w:ascii="Times New Roman" w:hAnsi="Times New Roman"/>
                <w:color w:val="000000" w:themeColor="text1"/>
                <w:sz w:val="28"/>
                <w:szCs w:val="28"/>
                <w:lang w:val="ro-MD"/>
              </w:rPr>
              <w:t xml:space="preserve"> pentru </w:t>
            </w:r>
            <w:proofErr w:type="spellStart"/>
            <w:r w:rsidRPr="007D3D0D">
              <w:rPr>
                <w:rFonts w:ascii="Times New Roman" w:hAnsi="Times New Roman"/>
                <w:color w:val="000000" w:themeColor="text1"/>
                <w:sz w:val="28"/>
                <w:szCs w:val="28"/>
                <w:lang w:val="ro-MD"/>
              </w:rPr>
              <w:t>necesităţile</w:t>
            </w:r>
            <w:proofErr w:type="spellEnd"/>
            <w:r w:rsidRPr="007D3D0D">
              <w:rPr>
                <w:rFonts w:ascii="Times New Roman" w:hAnsi="Times New Roman"/>
                <w:color w:val="000000" w:themeColor="text1"/>
                <w:sz w:val="28"/>
                <w:szCs w:val="28"/>
                <w:lang w:val="ro-MD"/>
              </w:rPr>
              <w:t xml:space="preserve"> organelor apărării </w:t>
            </w:r>
            <w:proofErr w:type="spellStart"/>
            <w:r w:rsidRPr="007D3D0D">
              <w:rPr>
                <w:rFonts w:ascii="Times New Roman" w:hAnsi="Times New Roman"/>
                <w:color w:val="000000" w:themeColor="text1"/>
                <w:sz w:val="28"/>
                <w:szCs w:val="28"/>
                <w:lang w:val="ro-MD"/>
              </w:rPr>
              <w:t>naţionale</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securităţii</w:t>
            </w:r>
            <w:proofErr w:type="spellEnd"/>
            <w:r w:rsidRPr="007D3D0D">
              <w:rPr>
                <w:rFonts w:ascii="Times New Roman" w:hAnsi="Times New Roman"/>
                <w:color w:val="000000" w:themeColor="text1"/>
                <w:sz w:val="28"/>
                <w:szCs w:val="28"/>
                <w:lang w:val="ro-MD"/>
              </w:rPr>
              <w:t xml:space="preserve"> statului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ordinii publice și realizării atribuției de organizare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desfăşurare</w:t>
            </w:r>
            <w:proofErr w:type="spellEnd"/>
            <w:r w:rsidRPr="007D3D0D">
              <w:rPr>
                <w:rFonts w:ascii="Times New Roman" w:hAnsi="Times New Roman"/>
                <w:color w:val="000000" w:themeColor="text1"/>
                <w:sz w:val="28"/>
                <w:szCs w:val="28"/>
                <w:lang w:val="ro-MD"/>
              </w:rPr>
              <w:t xml:space="preserve"> a </w:t>
            </w:r>
            <w:proofErr w:type="spellStart"/>
            <w:r w:rsidRPr="007D3D0D">
              <w:rPr>
                <w:rFonts w:ascii="Times New Roman" w:hAnsi="Times New Roman"/>
                <w:color w:val="000000" w:themeColor="text1"/>
                <w:sz w:val="28"/>
                <w:szCs w:val="28"/>
                <w:lang w:val="ro-MD"/>
              </w:rPr>
              <w:t>achiziţiilor</w:t>
            </w:r>
            <w:proofErr w:type="spellEnd"/>
            <w:r w:rsidRPr="007D3D0D">
              <w:rPr>
                <w:rFonts w:ascii="Times New Roman" w:hAnsi="Times New Roman"/>
                <w:color w:val="000000" w:themeColor="text1"/>
                <w:sz w:val="28"/>
                <w:szCs w:val="28"/>
                <w:lang w:val="ro-MD"/>
              </w:rPr>
              <w:t xml:space="preserve"> centralizate de mărfuri strategice din categoria armamentului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de </w:t>
            </w:r>
            <w:proofErr w:type="spellStart"/>
            <w:r w:rsidRPr="007D3D0D">
              <w:rPr>
                <w:rFonts w:ascii="Times New Roman" w:hAnsi="Times New Roman"/>
                <w:color w:val="000000" w:themeColor="text1"/>
                <w:sz w:val="28"/>
                <w:szCs w:val="28"/>
                <w:lang w:val="ro-MD"/>
              </w:rPr>
              <w:t>muniţii</w:t>
            </w:r>
            <w:proofErr w:type="spellEnd"/>
            <w:r w:rsidRPr="007D3D0D">
              <w:rPr>
                <w:rFonts w:ascii="Times New Roman" w:hAnsi="Times New Roman"/>
                <w:color w:val="000000" w:themeColor="text1"/>
                <w:sz w:val="28"/>
                <w:szCs w:val="28"/>
                <w:lang w:val="ro-MD"/>
              </w:rPr>
              <w:t xml:space="preserve"> pentru </w:t>
            </w:r>
            <w:proofErr w:type="spellStart"/>
            <w:r w:rsidRPr="007D3D0D">
              <w:rPr>
                <w:rFonts w:ascii="Times New Roman" w:hAnsi="Times New Roman"/>
                <w:color w:val="000000" w:themeColor="text1"/>
                <w:sz w:val="28"/>
                <w:szCs w:val="28"/>
                <w:lang w:val="ro-MD"/>
              </w:rPr>
              <w:t>necesităţile</w:t>
            </w:r>
            <w:proofErr w:type="spellEnd"/>
            <w:r w:rsidRPr="007D3D0D">
              <w:rPr>
                <w:rFonts w:ascii="Times New Roman" w:hAnsi="Times New Roman"/>
                <w:color w:val="000000" w:themeColor="text1"/>
                <w:sz w:val="28"/>
                <w:szCs w:val="28"/>
                <w:lang w:val="ro-MD"/>
              </w:rPr>
              <w:t xml:space="preserve"> organelor apărării </w:t>
            </w:r>
            <w:proofErr w:type="spellStart"/>
            <w:r w:rsidRPr="007D3D0D">
              <w:rPr>
                <w:rFonts w:ascii="Times New Roman" w:hAnsi="Times New Roman"/>
                <w:color w:val="000000" w:themeColor="text1"/>
                <w:sz w:val="28"/>
                <w:szCs w:val="28"/>
                <w:lang w:val="ro-MD"/>
              </w:rPr>
              <w:t>naţionale</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securităţii</w:t>
            </w:r>
            <w:proofErr w:type="spellEnd"/>
            <w:r w:rsidRPr="007D3D0D">
              <w:rPr>
                <w:rFonts w:ascii="Times New Roman" w:hAnsi="Times New Roman"/>
                <w:color w:val="000000" w:themeColor="text1"/>
                <w:sz w:val="28"/>
                <w:szCs w:val="28"/>
                <w:lang w:val="ro-MD"/>
              </w:rPr>
              <w:t xml:space="preserve"> statului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ordinii publice au fost reglementate suplimentar și după caz, preluate unele atribuții din versiunea actuală a Regulamentului (a se vedea pct.7 </w:t>
            </w:r>
            <w:proofErr w:type="spellStart"/>
            <w:r w:rsidRPr="007D3D0D">
              <w:rPr>
                <w:rFonts w:ascii="Times New Roman" w:hAnsi="Times New Roman"/>
                <w:color w:val="000000" w:themeColor="text1"/>
                <w:sz w:val="28"/>
                <w:szCs w:val="28"/>
                <w:lang w:val="ro-MD"/>
              </w:rPr>
              <w:t>subpct</w:t>
            </w:r>
            <w:proofErr w:type="spellEnd"/>
            <w:r w:rsidRPr="007D3D0D">
              <w:rPr>
                <w:rFonts w:ascii="Times New Roman" w:hAnsi="Times New Roman"/>
                <w:color w:val="000000" w:themeColor="text1"/>
                <w:sz w:val="28"/>
                <w:szCs w:val="28"/>
                <w:lang w:val="ro-MD"/>
              </w:rPr>
              <w:t xml:space="preserve">.(4), pct.9 </w:t>
            </w:r>
            <w:proofErr w:type="spellStart"/>
            <w:r w:rsidRPr="007D3D0D">
              <w:rPr>
                <w:rFonts w:ascii="Times New Roman" w:hAnsi="Times New Roman"/>
                <w:color w:val="000000" w:themeColor="text1"/>
                <w:sz w:val="28"/>
                <w:szCs w:val="28"/>
                <w:lang w:val="ro-MD"/>
              </w:rPr>
              <w:t>subpct</w:t>
            </w:r>
            <w:proofErr w:type="spellEnd"/>
            <w:r w:rsidRPr="007D3D0D">
              <w:rPr>
                <w:rFonts w:ascii="Times New Roman" w:hAnsi="Times New Roman"/>
                <w:color w:val="000000" w:themeColor="text1"/>
                <w:sz w:val="28"/>
                <w:szCs w:val="28"/>
                <w:lang w:val="ro-MD"/>
              </w:rPr>
              <w:t xml:space="preserve">.(6), etc.). </w:t>
            </w:r>
          </w:p>
          <w:p w:rsidR="002146D9" w:rsidRPr="007D3D0D" w:rsidRDefault="002146D9" w:rsidP="002146D9">
            <w:pPr>
              <w:pStyle w:val="NoSpacing"/>
              <w:tabs>
                <w:tab w:val="left" w:pos="450"/>
              </w:tabs>
              <w:ind w:firstLine="449"/>
              <w:rPr>
                <w:color w:val="000000" w:themeColor="text1"/>
                <w:sz w:val="28"/>
                <w:szCs w:val="28"/>
                <w:lang w:val="ro-MD"/>
              </w:rPr>
            </w:pPr>
            <w:r w:rsidRPr="007D3D0D">
              <w:rPr>
                <w:color w:val="000000" w:themeColor="text1"/>
                <w:sz w:val="28"/>
                <w:szCs w:val="28"/>
                <w:lang w:val="ro-MD"/>
              </w:rPr>
              <w:t xml:space="preserve">Anexa nr. 2 se expune în redacție nouă din raționamentul substituirii poziției ,,Conducerea” cu pozițiile ,,Director” și ,,Director adjunct”, respectiv pentru asigurarea unei terminologii unitare și a unei definiri mai clare a structurilor organizaționale, denumirile unor subdiviziuni se substituie, după cum urmează: </w:t>
            </w:r>
          </w:p>
          <w:p w:rsidR="002146D9" w:rsidRPr="007D3D0D" w:rsidRDefault="002146D9" w:rsidP="002146D9">
            <w:pPr>
              <w:pStyle w:val="NoSpacing"/>
              <w:tabs>
                <w:tab w:val="left" w:pos="450"/>
              </w:tabs>
              <w:ind w:firstLine="0"/>
              <w:rPr>
                <w:bCs/>
                <w:color w:val="000000" w:themeColor="text1"/>
                <w:sz w:val="28"/>
                <w:szCs w:val="28"/>
                <w:lang w:val="ro-MD"/>
              </w:rPr>
            </w:pPr>
            <w:r w:rsidRPr="007D3D0D">
              <w:rPr>
                <w:bCs/>
                <w:color w:val="000000" w:themeColor="text1"/>
                <w:sz w:val="28"/>
                <w:szCs w:val="28"/>
                <w:lang w:val="ro-MD"/>
              </w:rPr>
              <w:t>1.</w:t>
            </w:r>
            <w:r w:rsidRPr="007D3D0D">
              <w:rPr>
                <w:color w:val="000000" w:themeColor="text1"/>
                <w:sz w:val="28"/>
                <w:szCs w:val="28"/>
                <w:lang w:val="ro-MD"/>
              </w:rPr>
              <w:t>,,</w:t>
            </w:r>
            <w:r w:rsidRPr="007D3D0D">
              <w:rPr>
                <w:bCs/>
                <w:color w:val="000000" w:themeColor="text1"/>
                <w:sz w:val="28"/>
                <w:szCs w:val="28"/>
                <w:lang w:val="ro-MD"/>
              </w:rPr>
              <w:t>Direcţia administrare bunuri imobile</w:t>
            </w:r>
            <w:r w:rsidRPr="007D3D0D">
              <w:rPr>
                <w:color w:val="000000" w:themeColor="text1"/>
                <w:sz w:val="28"/>
                <w:szCs w:val="28"/>
                <w:lang w:val="ro-MD"/>
              </w:rPr>
              <w:t xml:space="preserve">,, se substituie </w:t>
            </w:r>
            <w:r w:rsidRPr="007D3D0D">
              <w:rPr>
                <w:bCs/>
                <w:color w:val="000000" w:themeColor="text1"/>
                <w:sz w:val="28"/>
                <w:szCs w:val="28"/>
                <w:lang w:val="ro-MD"/>
              </w:rPr>
              <w:t xml:space="preserve">cu </w:t>
            </w:r>
            <w:r w:rsidRPr="007D3D0D">
              <w:rPr>
                <w:color w:val="000000" w:themeColor="text1"/>
                <w:sz w:val="28"/>
                <w:szCs w:val="28"/>
                <w:lang w:val="ro-MD"/>
              </w:rPr>
              <w:t>,,</w:t>
            </w:r>
            <w:r w:rsidRPr="007D3D0D">
              <w:rPr>
                <w:bCs/>
                <w:color w:val="000000" w:themeColor="text1"/>
                <w:sz w:val="28"/>
                <w:szCs w:val="28"/>
                <w:lang w:val="ro-MD"/>
              </w:rPr>
              <w:t>Direcția managementul proprietății imobiliare</w:t>
            </w:r>
            <w:r w:rsidRPr="007D3D0D">
              <w:rPr>
                <w:color w:val="000000" w:themeColor="text1"/>
                <w:sz w:val="28"/>
                <w:szCs w:val="28"/>
                <w:lang w:val="ro-MD"/>
              </w:rPr>
              <w:t>,,</w:t>
            </w:r>
            <w:r w:rsidRPr="007D3D0D">
              <w:rPr>
                <w:bCs/>
                <w:color w:val="000000" w:themeColor="text1"/>
                <w:sz w:val="28"/>
                <w:szCs w:val="28"/>
                <w:lang w:val="ro-MD"/>
              </w:rPr>
              <w:t>;</w:t>
            </w:r>
          </w:p>
          <w:p w:rsidR="002146D9" w:rsidRPr="007D3D0D" w:rsidRDefault="002146D9" w:rsidP="002146D9">
            <w:pPr>
              <w:ind w:firstLine="0"/>
              <w:rPr>
                <w:rFonts w:ascii="Times New Roman" w:eastAsia="Times New Roman" w:hAnsi="Times New Roman"/>
                <w:bCs/>
                <w:color w:val="000000" w:themeColor="text1"/>
                <w:sz w:val="28"/>
                <w:szCs w:val="28"/>
                <w:lang w:val="ro-MD"/>
              </w:rPr>
            </w:pPr>
            <w:r w:rsidRPr="007D3D0D">
              <w:rPr>
                <w:rFonts w:ascii="Times New Roman" w:eastAsia="Times New Roman" w:hAnsi="Times New Roman"/>
                <w:bCs/>
                <w:color w:val="000000" w:themeColor="text1"/>
                <w:sz w:val="28"/>
                <w:szCs w:val="28"/>
                <w:lang w:val="ro-MD"/>
              </w:rPr>
              <w:t xml:space="preserve">2. </w:t>
            </w:r>
            <w:r w:rsidRPr="007D3D0D">
              <w:rPr>
                <w:rFonts w:ascii="Times New Roman" w:hAnsi="Times New Roman"/>
                <w:color w:val="000000" w:themeColor="text1"/>
                <w:sz w:val="28"/>
                <w:szCs w:val="28"/>
                <w:lang w:val="ro-MD"/>
              </w:rPr>
              <w:t>,,</w:t>
            </w:r>
            <w:proofErr w:type="spellStart"/>
            <w:r w:rsidRPr="007D3D0D">
              <w:rPr>
                <w:rFonts w:ascii="Times New Roman" w:eastAsia="Times New Roman" w:hAnsi="Times New Roman"/>
                <w:bCs/>
                <w:color w:val="000000" w:themeColor="text1"/>
                <w:sz w:val="28"/>
                <w:szCs w:val="28"/>
                <w:lang w:val="ro-MD"/>
              </w:rPr>
              <w:t>Secţia</w:t>
            </w:r>
            <w:proofErr w:type="spellEnd"/>
            <w:r w:rsidRPr="007D3D0D">
              <w:rPr>
                <w:rFonts w:ascii="Times New Roman" w:eastAsia="Times New Roman" w:hAnsi="Times New Roman"/>
                <w:bCs/>
                <w:color w:val="000000" w:themeColor="text1"/>
                <w:sz w:val="28"/>
                <w:szCs w:val="28"/>
                <w:lang w:val="ro-MD"/>
              </w:rPr>
              <w:t xml:space="preserve"> infrastructură </w:t>
            </w:r>
            <w:proofErr w:type="spellStart"/>
            <w:r w:rsidRPr="007D3D0D">
              <w:rPr>
                <w:rFonts w:ascii="Times New Roman" w:eastAsia="Times New Roman" w:hAnsi="Times New Roman"/>
                <w:bCs/>
                <w:color w:val="000000" w:themeColor="text1"/>
                <w:sz w:val="28"/>
                <w:szCs w:val="28"/>
                <w:lang w:val="ro-MD"/>
              </w:rPr>
              <w:t>şi</w:t>
            </w:r>
            <w:proofErr w:type="spellEnd"/>
            <w:r w:rsidRPr="007D3D0D">
              <w:rPr>
                <w:rFonts w:ascii="Times New Roman" w:eastAsia="Times New Roman" w:hAnsi="Times New Roman"/>
                <w:bCs/>
                <w:color w:val="000000" w:themeColor="text1"/>
                <w:sz w:val="28"/>
                <w:szCs w:val="28"/>
                <w:lang w:val="ro-MD"/>
              </w:rPr>
              <w:t xml:space="preserve"> supraveghere tehnică</w:t>
            </w:r>
            <w:r w:rsidRPr="007D3D0D">
              <w:rPr>
                <w:rFonts w:ascii="Times New Roman" w:hAnsi="Times New Roman"/>
                <w:color w:val="000000" w:themeColor="text1"/>
                <w:sz w:val="28"/>
                <w:szCs w:val="28"/>
                <w:lang w:val="ro-MD"/>
              </w:rPr>
              <w:t>,, se substituie</w:t>
            </w:r>
            <w:r w:rsidRPr="007D3D0D">
              <w:rPr>
                <w:rFonts w:ascii="Times New Roman" w:eastAsia="Times New Roman" w:hAnsi="Times New Roman"/>
                <w:bCs/>
                <w:color w:val="000000" w:themeColor="text1"/>
                <w:sz w:val="28"/>
                <w:szCs w:val="28"/>
                <w:lang w:val="ro-MD"/>
              </w:rPr>
              <w:t xml:space="preserve"> cu </w:t>
            </w:r>
            <w:r w:rsidRPr="007D3D0D">
              <w:rPr>
                <w:rFonts w:ascii="Times New Roman" w:hAnsi="Times New Roman"/>
                <w:color w:val="000000" w:themeColor="text1"/>
                <w:sz w:val="28"/>
                <w:szCs w:val="28"/>
                <w:lang w:val="ro-MD"/>
              </w:rPr>
              <w:t>,,</w:t>
            </w:r>
            <w:r w:rsidRPr="007D3D0D">
              <w:rPr>
                <w:rFonts w:ascii="Times New Roman" w:eastAsia="Times New Roman" w:hAnsi="Times New Roman"/>
                <w:bCs/>
                <w:color w:val="000000" w:themeColor="text1"/>
                <w:sz w:val="28"/>
                <w:szCs w:val="28"/>
                <w:lang w:val="ro-MD"/>
              </w:rPr>
              <w:t>Secția construcții și reparații capitale</w:t>
            </w:r>
            <w:r w:rsidRPr="007D3D0D">
              <w:rPr>
                <w:rFonts w:ascii="Times New Roman" w:hAnsi="Times New Roman"/>
                <w:color w:val="000000" w:themeColor="text1"/>
                <w:sz w:val="28"/>
                <w:szCs w:val="28"/>
                <w:lang w:val="ro-MD"/>
              </w:rPr>
              <w:t>,,</w:t>
            </w:r>
            <w:r w:rsidRPr="007D3D0D">
              <w:rPr>
                <w:rFonts w:ascii="Times New Roman" w:eastAsia="Times New Roman" w:hAnsi="Times New Roman"/>
                <w:bCs/>
                <w:color w:val="000000" w:themeColor="text1"/>
                <w:sz w:val="28"/>
                <w:szCs w:val="28"/>
                <w:lang w:val="ro-MD"/>
              </w:rPr>
              <w:t>;</w:t>
            </w:r>
          </w:p>
          <w:p w:rsidR="002146D9" w:rsidRPr="007D3D0D" w:rsidRDefault="002146D9" w:rsidP="002146D9">
            <w:pPr>
              <w:ind w:firstLine="0"/>
              <w:rPr>
                <w:rFonts w:ascii="Times New Roman" w:eastAsia="Times New Roman" w:hAnsi="Times New Roman"/>
                <w:bCs/>
                <w:color w:val="000000" w:themeColor="text1"/>
                <w:sz w:val="28"/>
                <w:szCs w:val="28"/>
                <w:lang w:val="ro-MD"/>
              </w:rPr>
            </w:pPr>
            <w:r w:rsidRPr="007D3D0D">
              <w:rPr>
                <w:rFonts w:ascii="Times New Roman" w:eastAsia="Times New Roman" w:hAnsi="Times New Roman"/>
                <w:bCs/>
                <w:color w:val="000000" w:themeColor="text1"/>
                <w:sz w:val="28"/>
                <w:szCs w:val="28"/>
                <w:lang w:val="ro-MD"/>
              </w:rPr>
              <w:t xml:space="preserve">3. </w:t>
            </w:r>
            <w:r w:rsidRPr="007D3D0D">
              <w:rPr>
                <w:rFonts w:ascii="Times New Roman" w:hAnsi="Times New Roman"/>
                <w:color w:val="000000" w:themeColor="text1"/>
                <w:sz w:val="28"/>
                <w:szCs w:val="28"/>
                <w:lang w:val="ro-MD"/>
              </w:rPr>
              <w:t>,,</w:t>
            </w:r>
            <w:proofErr w:type="spellStart"/>
            <w:r w:rsidRPr="007D3D0D">
              <w:rPr>
                <w:rFonts w:ascii="Times New Roman" w:eastAsia="Times New Roman" w:hAnsi="Times New Roman"/>
                <w:bCs/>
                <w:color w:val="000000" w:themeColor="text1"/>
                <w:sz w:val="28"/>
                <w:szCs w:val="28"/>
                <w:lang w:val="ro-MD"/>
              </w:rPr>
              <w:t>Secţia</w:t>
            </w:r>
            <w:proofErr w:type="spellEnd"/>
            <w:r w:rsidRPr="007D3D0D">
              <w:rPr>
                <w:rFonts w:ascii="Times New Roman" w:eastAsia="Times New Roman" w:hAnsi="Times New Roman"/>
                <w:bCs/>
                <w:color w:val="000000" w:themeColor="text1"/>
                <w:sz w:val="28"/>
                <w:szCs w:val="28"/>
                <w:lang w:val="ro-MD"/>
              </w:rPr>
              <w:t xml:space="preserve"> bunuri imobile </w:t>
            </w:r>
            <w:proofErr w:type="spellStart"/>
            <w:r w:rsidRPr="007D3D0D">
              <w:rPr>
                <w:rFonts w:ascii="Times New Roman" w:eastAsia="Times New Roman" w:hAnsi="Times New Roman"/>
                <w:bCs/>
                <w:color w:val="000000" w:themeColor="text1"/>
                <w:sz w:val="28"/>
                <w:szCs w:val="28"/>
                <w:lang w:val="ro-MD"/>
              </w:rPr>
              <w:t>şi</w:t>
            </w:r>
            <w:proofErr w:type="spellEnd"/>
            <w:r w:rsidRPr="007D3D0D">
              <w:rPr>
                <w:rFonts w:ascii="Times New Roman" w:eastAsia="Times New Roman" w:hAnsi="Times New Roman"/>
                <w:bCs/>
                <w:color w:val="000000" w:themeColor="text1"/>
                <w:sz w:val="28"/>
                <w:szCs w:val="28"/>
                <w:lang w:val="ro-MD"/>
              </w:rPr>
              <w:t xml:space="preserve"> cadastru</w:t>
            </w:r>
            <w:r w:rsidRPr="007D3D0D">
              <w:rPr>
                <w:rFonts w:ascii="Times New Roman" w:hAnsi="Times New Roman"/>
                <w:color w:val="000000" w:themeColor="text1"/>
                <w:sz w:val="28"/>
                <w:szCs w:val="28"/>
                <w:lang w:val="ro-MD"/>
              </w:rPr>
              <w:t>,, se substituie</w:t>
            </w:r>
            <w:r w:rsidRPr="007D3D0D">
              <w:rPr>
                <w:rFonts w:ascii="Times New Roman" w:eastAsia="Times New Roman" w:hAnsi="Times New Roman"/>
                <w:bCs/>
                <w:color w:val="000000" w:themeColor="text1"/>
                <w:sz w:val="28"/>
                <w:szCs w:val="28"/>
                <w:lang w:val="ro-MD"/>
              </w:rPr>
              <w:t xml:space="preserve"> cu </w:t>
            </w:r>
            <w:r w:rsidRPr="007D3D0D">
              <w:rPr>
                <w:rFonts w:ascii="Times New Roman" w:hAnsi="Times New Roman"/>
                <w:color w:val="000000" w:themeColor="text1"/>
                <w:sz w:val="28"/>
                <w:szCs w:val="28"/>
                <w:lang w:val="ro-MD"/>
              </w:rPr>
              <w:t>,,</w:t>
            </w:r>
            <w:r w:rsidRPr="007D3D0D">
              <w:rPr>
                <w:rFonts w:ascii="Times New Roman" w:eastAsia="Times New Roman" w:hAnsi="Times New Roman"/>
                <w:bCs/>
                <w:color w:val="000000" w:themeColor="text1"/>
                <w:sz w:val="28"/>
                <w:szCs w:val="28"/>
                <w:lang w:val="ro-MD"/>
              </w:rPr>
              <w:t>Secția cadastru și administrare imobiliară;</w:t>
            </w:r>
          </w:p>
          <w:p w:rsidR="002146D9" w:rsidRPr="007D3D0D" w:rsidRDefault="002146D9" w:rsidP="002146D9">
            <w:pPr>
              <w:ind w:firstLine="0"/>
              <w:rPr>
                <w:rFonts w:ascii="Times New Roman" w:eastAsia="Times New Roman" w:hAnsi="Times New Roman"/>
                <w:bCs/>
                <w:color w:val="000000" w:themeColor="text1"/>
                <w:sz w:val="28"/>
                <w:szCs w:val="28"/>
                <w:lang w:val="ro-MD"/>
              </w:rPr>
            </w:pPr>
            <w:r w:rsidRPr="007D3D0D">
              <w:rPr>
                <w:rFonts w:ascii="Times New Roman" w:eastAsia="Times New Roman" w:hAnsi="Times New Roman"/>
                <w:bCs/>
                <w:color w:val="000000" w:themeColor="text1"/>
                <w:sz w:val="28"/>
                <w:szCs w:val="28"/>
                <w:lang w:val="ro-MD"/>
              </w:rPr>
              <w:t>4.</w:t>
            </w:r>
            <w:r w:rsidR="00B53051" w:rsidRPr="007D3D0D">
              <w:rPr>
                <w:rFonts w:ascii="Times New Roman" w:eastAsia="Times New Roman" w:hAnsi="Times New Roman"/>
                <w:bCs/>
                <w:color w:val="000000" w:themeColor="text1"/>
                <w:sz w:val="28"/>
                <w:szCs w:val="28"/>
                <w:lang w:val="ro-MD"/>
              </w:rPr>
              <w:t xml:space="preserve"> ”</w:t>
            </w:r>
            <w:r w:rsidRPr="007D3D0D">
              <w:rPr>
                <w:rFonts w:ascii="Times New Roman" w:eastAsia="Times New Roman" w:hAnsi="Times New Roman"/>
                <w:bCs/>
                <w:color w:val="000000" w:themeColor="text1"/>
                <w:sz w:val="28"/>
                <w:szCs w:val="28"/>
                <w:lang w:val="ro-MD"/>
              </w:rPr>
              <w:t>Serviciul resurse umane și managementul documentelor</w:t>
            </w:r>
            <w:r w:rsidR="00B53051" w:rsidRPr="007D3D0D">
              <w:rPr>
                <w:rFonts w:ascii="Times New Roman" w:eastAsia="Times New Roman" w:hAnsi="Times New Roman"/>
                <w:bCs/>
                <w:color w:val="000000" w:themeColor="text1"/>
                <w:sz w:val="28"/>
                <w:szCs w:val="28"/>
                <w:lang w:val="ro-MD"/>
              </w:rPr>
              <w:t>”</w:t>
            </w:r>
            <w:r w:rsidRPr="007D3D0D">
              <w:rPr>
                <w:rFonts w:ascii="Times New Roman" w:eastAsia="Times New Roman" w:hAnsi="Times New Roman"/>
                <w:bCs/>
                <w:color w:val="000000" w:themeColor="text1"/>
                <w:sz w:val="28"/>
                <w:szCs w:val="28"/>
                <w:lang w:val="ro-MD"/>
              </w:rPr>
              <w:t xml:space="preserve"> cu </w:t>
            </w:r>
            <w:r w:rsidR="00B53051" w:rsidRPr="007D3D0D">
              <w:rPr>
                <w:rFonts w:ascii="Times New Roman" w:eastAsia="Times New Roman" w:hAnsi="Times New Roman"/>
                <w:bCs/>
                <w:color w:val="000000" w:themeColor="text1"/>
                <w:sz w:val="28"/>
                <w:szCs w:val="28"/>
                <w:lang w:val="ro-MD"/>
              </w:rPr>
              <w:t>”</w:t>
            </w:r>
            <w:r w:rsidRPr="007D3D0D">
              <w:rPr>
                <w:rFonts w:ascii="Times New Roman" w:eastAsia="Times New Roman" w:hAnsi="Times New Roman"/>
                <w:bCs/>
                <w:color w:val="000000" w:themeColor="text1"/>
                <w:sz w:val="28"/>
                <w:szCs w:val="28"/>
                <w:lang w:val="ro-MD"/>
              </w:rPr>
              <w:t>Serviciul resurse umane</w:t>
            </w:r>
            <w:r w:rsidR="00B53051" w:rsidRPr="007D3D0D">
              <w:rPr>
                <w:rFonts w:ascii="Times New Roman" w:eastAsia="Times New Roman" w:hAnsi="Times New Roman"/>
                <w:bCs/>
                <w:color w:val="000000" w:themeColor="text1"/>
                <w:sz w:val="28"/>
                <w:szCs w:val="28"/>
                <w:lang w:val="ro-MD"/>
              </w:rPr>
              <w:t>”</w:t>
            </w:r>
            <w:r w:rsidRPr="007D3D0D">
              <w:rPr>
                <w:rFonts w:ascii="Times New Roman" w:eastAsia="Times New Roman" w:hAnsi="Times New Roman"/>
                <w:bCs/>
                <w:color w:val="000000" w:themeColor="text1"/>
                <w:sz w:val="28"/>
                <w:szCs w:val="28"/>
                <w:lang w:val="ro-MD"/>
              </w:rPr>
              <w:t>.</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eastAsia="Times New Roman" w:hAnsi="Times New Roman"/>
                <w:bCs/>
                <w:color w:val="000000" w:themeColor="text1"/>
                <w:sz w:val="28"/>
                <w:szCs w:val="28"/>
                <w:lang w:val="ro-MD"/>
              </w:rPr>
              <w:t xml:space="preserve">În acest sens, stabilirea structurii </w:t>
            </w:r>
            <w:r w:rsidRPr="007D3D0D">
              <w:rPr>
                <w:rStyle w:val="FontStyle12"/>
                <w:color w:val="000000" w:themeColor="text1"/>
                <w:sz w:val="28"/>
                <w:szCs w:val="28"/>
                <w:lang w:val="ro-MD" w:eastAsia="ro-RO"/>
              </w:rPr>
              <w:t>Agenției Asigurare Resurse și Administrare Patrimoniu a Ministerului Apărării, cu denumiri altele decât cele stabilite în Anexa la structura tip a Regulamentului privind organizarea și funcționarea autorității administrative din subordinea ministerului derivă din specificul activității Agenției. Or, reieșind din misiunile prioritare ale Agenției este imperativă menținerea structurii organizaționale anterioare cu modificările neesențiale ale acesteia.</w:t>
            </w:r>
            <w:r w:rsidRPr="007D3D0D">
              <w:rPr>
                <w:rFonts w:ascii="Times New Roman" w:hAnsi="Times New Roman"/>
                <w:color w:val="000000" w:themeColor="text1"/>
                <w:sz w:val="28"/>
                <w:szCs w:val="28"/>
                <w:lang w:val="ro-MD"/>
              </w:rPr>
              <w:t xml:space="preserve"> </w:t>
            </w:r>
          </w:p>
          <w:p w:rsidR="00522ABA" w:rsidRPr="007D3D0D" w:rsidRDefault="00522ABA" w:rsidP="002146D9">
            <w:pPr>
              <w:ind w:firstLine="449"/>
              <w:rPr>
                <w:rFonts w:ascii="Times New Roman" w:hAnsi="Times New Roman"/>
                <w:color w:val="000000" w:themeColor="text1"/>
                <w:lang w:val="ro-MD"/>
              </w:rPr>
            </w:pP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Cu referire la pct.</w:t>
            </w:r>
            <w:r w:rsidR="00B53051"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4, 10, 11.6, 11.9, 11.11, 13 și 15, menționăm că pct.4 a fost completat cu textul ”persoane juridice de drept privat”, reieșind din specificul activității Agenției, care în procesul exercitării funcției de achiziții, comercializare, etc. cooperează  inclusiv cu aceștia.</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lastRenderedPageBreak/>
              <w:t xml:space="preserve">Cu referire la pct.10, menționăm că reieșind din faptul că funcțiile de director și director adjunct sunt funcții militare, în temeiul prevederilor art. 31-35 al Legii nr.162/2005 cu privire la statutul militarilor, prevederilor Hotărârii Guvernului nr.941/2006 cu privire la aprobarea Regulamentului cu privire la modul de îndeplinire a serviciului militar în </w:t>
            </w:r>
            <w:proofErr w:type="spellStart"/>
            <w:r w:rsidRPr="007D3D0D">
              <w:rPr>
                <w:rFonts w:ascii="Times New Roman" w:hAnsi="Times New Roman"/>
                <w:color w:val="000000" w:themeColor="text1"/>
                <w:sz w:val="28"/>
                <w:szCs w:val="28"/>
                <w:lang w:val="ro-MD"/>
              </w:rPr>
              <w:t>Forţele</w:t>
            </w:r>
            <w:proofErr w:type="spellEnd"/>
            <w:r w:rsidRPr="007D3D0D">
              <w:rPr>
                <w:rFonts w:ascii="Times New Roman" w:hAnsi="Times New Roman"/>
                <w:color w:val="000000" w:themeColor="text1"/>
                <w:sz w:val="28"/>
                <w:szCs w:val="28"/>
                <w:lang w:val="ro-MD"/>
              </w:rPr>
              <w:t xml:space="preserve"> Armate și respectiv, pct.10.19. al Hotărârii Guvernului nr.9/2026 cu privire la organizarea și funcționarea Ministerului Apărării, prerogativa de numire, detașare și eliberare, acordarea gradelor militare, retragerea, retrogradarea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restabilirea în grade militare este exercitată de către conducătorul structurii militare (ministrul apărării). Respectiv, delegarea atribuțiilor directorului adjunct sunt efectuate de către ministrul apărării. </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Cu referire la pct.11.6. în temeiul pct.45 al Regulamentului cu privire la modul de îndeplinire a serviciului militar în </w:t>
            </w:r>
            <w:proofErr w:type="spellStart"/>
            <w:r w:rsidRPr="007D3D0D">
              <w:rPr>
                <w:rFonts w:ascii="Times New Roman" w:hAnsi="Times New Roman"/>
                <w:color w:val="000000" w:themeColor="text1"/>
                <w:sz w:val="28"/>
                <w:szCs w:val="28"/>
                <w:lang w:val="ro-MD"/>
              </w:rPr>
              <w:t>Forţele</w:t>
            </w:r>
            <w:proofErr w:type="spellEnd"/>
            <w:r w:rsidRPr="007D3D0D">
              <w:rPr>
                <w:rFonts w:ascii="Times New Roman" w:hAnsi="Times New Roman"/>
                <w:color w:val="000000" w:themeColor="text1"/>
                <w:sz w:val="28"/>
                <w:szCs w:val="28"/>
                <w:lang w:val="ro-MD"/>
              </w:rPr>
              <w:t xml:space="preserve"> Armate, pentru fiecare </w:t>
            </w:r>
            <w:proofErr w:type="spellStart"/>
            <w:r w:rsidRPr="007D3D0D">
              <w:rPr>
                <w:rFonts w:ascii="Times New Roman" w:hAnsi="Times New Roman"/>
                <w:color w:val="000000" w:themeColor="text1"/>
                <w:sz w:val="28"/>
                <w:szCs w:val="28"/>
                <w:lang w:val="ro-MD"/>
              </w:rPr>
              <w:t>funcţie</w:t>
            </w:r>
            <w:proofErr w:type="spellEnd"/>
            <w:r w:rsidRPr="007D3D0D">
              <w:rPr>
                <w:rFonts w:ascii="Times New Roman" w:hAnsi="Times New Roman"/>
                <w:color w:val="000000" w:themeColor="text1"/>
                <w:sz w:val="28"/>
                <w:szCs w:val="28"/>
                <w:lang w:val="ro-MD"/>
              </w:rPr>
              <w:t xml:space="preserve"> militară se elaborează </w:t>
            </w:r>
            <w:proofErr w:type="spellStart"/>
            <w:r w:rsidRPr="007D3D0D">
              <w:rPr>
                <w:rFonts w:ascii="Times New Roman" w:hAnsi="Times New Roman"/>
                <w:color w:val="000000" w:themeColor="text1"/>
                <w:sz w:val="28"/>
                <w:szCs w:val="28"/>
                <w:lang w:val="ro-MD"/>
              </w:rPr>
              <w:t>fişa</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funcţiei</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Fişa</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funcţiei</w:t>
            </w:r>
            <w:proofErr w:type="spellEnd"/>
            <w:r w:rsidRPr="007D3D0D">
              <w:rPr>
                <w:rFonts w:ascii="Times New Roman" w:hAnsi="Times New Roman"/>
                <w:color w:val="000000" w:themeColor="text1"/>
                <w:sz w:val="28"/>
                <w:szCs w:val="28"/>
                <w:lang w:val="ro-MD"/>
              </w:rPr>
              <w:t xml:space="preserve"> este actul care </w:t>
            </w:r>
            <w:proofErr w:type="spellStart"/>
            <w:r w:rsidRPr="007D3D0D">
              <w:rPr>
                <w:rFonts w:ascii="Times New Roman" w:hAnsi="Times New Roman"/>
                <w:color w:val="000000" w:themeColor="text1"/>
                <w:sz w:val="28"/>
                <w:szCs w:val="28"/>
                <w:lang w:val="ro-MD"/>
              </w:rPr>
              <w:t>stabileşte</w:t>
            </w:r>
            <w:proofErr w:type="spellEnd"/>
            <w:r w:rsidRPr="007D3D0D">
              <w:rPr>
                <w:rFonts w:ascii="Times New Roman" w:hAnsi="Times New Roman"/>
                <w:color w:val="000000" w:themeColor="text1"/>
                <w:sz w:val="28"/>
                <w:szCs w:val="28"/>
                <w:lang w:val="ro-MD"/>
              </w:rPr>
              <w:t xml:space="preserve"> sarcinile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responsabilităţile</w:t>
            </w:r>
            <w:proofErr w:type="spellEnd"/>
            <w:r w:rsidRPr="007D3D0D">
              <w:rPr>
                <w:rFonts w:ascii="Times New Roman" w:hAnsi="Times New Roman"/>
                <w:color w:val="000000" w:themeColor="text1"/>
                <w:sz w:val="28"/>
                <w:szCs w:val="28"/>
                <w:lang w:val="ro-MD"/>
              </w:rPr>
              <w:t xml:space="preserve"> militarului pe parcursul îndeplinirii serviciului militar în </w:t>
            </w:r>
            <w:proofErr w:type="spellStart"/>
            <w:r w:rsidRPr="007D3D0D">
              <w:rPr>
                <w:rFonts w:ascii="Times New Roman" w:hAnsi="Times New Roman"/>
                <w:color w:val="000000" w:themeColor="text1"/>
                <w:sz w:val="28"/>
                <w:szCs w:val="28"/>
                <w:lang w:val="ro-MD"/>
              </w:rPr>
              <w:t>funcţia</w:t>
            </w:r>
            <w:proofErr w:type="spellEnd"/>
            <w:r w:rsidRPr="007D3D0D">
              <w:rPr>
                <w:rFonts w:ascii="Times New Roman" w:hAnsi="Times New Roman"/>
                <w:color w:val="000000" w:themeColor="text1"/>
                <w:sz w:val="28"/>
                <w:szCs w:val="28"/>
                <w:lang w:val="ro-MD"/>
              </w:rPr>
              <w:t xml:space="preserve"> dată. </w:t>
            </w:r>
          </w:p>
          <w:p w:rsidR="002146D9" w:rsidRPr="007D3D0D" w:rsidRDefault="002146D9" w:rsidP="002146D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Cu referire la pct.11.9. menționăm că în temeiul prevederilor art. 31-35 al Legii nr. 162/2005 cu privire la statutul militarilor și prevederilor Hotărârii Guvernului nr.941/2006 cu privire la aprobarea Regulamentului cu privire la modul de îndeplinire a serviciului militar în </w:t>
            </w:r>
            <w:proofErr w:type="spellStart"/>
            <w:r w:rsidRPr="007D3D0D">
              <w:rPr>
                <w:rFonts w:ascii="Times New Roman" w:hAnsi="Times New Roman"/>
                <w:color w:val="000000" w:themeColor="text1"/>
                <w:sz w:val="28"/>
                <w:szCs w:val="28"/>
                <w:lang w:val="ro-MD"/>
              </w:rPr>
              <w:t>Forţele</w:t>
            </w:r>
            <w:proofErr w:type="spellEnd"/>
            <w:r w:rsidRPr="007D3D0D">
              <w:rPr>
                <w:rFonts w:ascii="Times New Roman" w:hAnsi="Times New Roman"/>
                <w:color w:val="000000" w:themeColor="text1"/>
                <w:sz w:val="28"/>
                <w:szCs w:val="28"/>
                <w:lang w:val="ro-MD"/>
              </w:rPr>
              <w:t xml:space="preserve"> Armate, numirea, detașarea și eliberarea, acordarea gradelor militare, retragerea, retrogradarea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restabilirea în grade militare a funcționarilor publici cu statut special (militarilor prin contract) este exercitată de către conducătorul structurii militare (ministrul apărării). </w:t>
            </w:r>
          </w:p>
          <w:p w:rsidR="00B53051" w:rsidRPr="007D3D0D" w:rsidRDefault="00B53051" w:rsidP="00B53051">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În privința angajaților civili numirea, transferul, detașarea, eliberarea acestora etc., fiind realizată în condițiile prevederilor Codului Muncii nr. 154/2003 de către conducătorul Agenției.</w:t>
            </w:r>
          </w:p>
          <w:p w:rsidR="00B53051" w:rsidRPr="007D3D0D" w:rsidRDefault="00B53051" w:rsidP="00B53051">
            <w:pPr>
              <w:ind w:firstLine="449"/>
              <w:rPr>
                <w:rFonts w:ascii="Times New Roman" w:hAnsi="Times New Roman"/>
                <w:bCs/>
                <w:color w:val="000000" w:themeColor="text1"/>
                <w:sz w:val="28"/>
                <w:szCs w:val="28"/>
                <w:lang w:val="ro-MD"/>
              </w:rPr>
            </w:pPr>
            <w:r w:rsidRPr="007D3D0D">
              <w:rPr>
                <w:rFonts w:ascii="Times New Roman" w:hAnsi="Times New Roman"/>
                <w:bCs/>
                <w:color w:val="000000" w:themeColor="text1"/>
                <w:sz w:val="28"/>
                <w:szCs w:val="28"/>
                <w:lang w:val="ro-MD"/>
              </w:rPr>
              <w:t>Specificăm, că angajații din cadrul Agenției, nu au deținut și nu dețin statut de funcționar public, în condițiile Legii nr. 158/2008 cu privire la funcția publică și statutul funcționarului public.</w:t>
            </w:r>
          </w:p>
          <w:p w:rsidR="00B53051" w:rsidRPr="007D3D0D" w:rsidRDefault="00B53051" w:rsidP="00B53051">
            <w:pPr>
              <w:ind w:firstLine="449"/>
              <w:rPr>
                <w:rFonts w:ascii="Times New Roman" w:hAnsi="Times New Roman"/>
                <w:bCs/>
                <w:color w:val="000000" w:themeColor="text1"/>
                <w:lang w:val="ro-MD"/>
              </w:rPr>
            </w:pPr>
            <w:r w:rsidRPr="007D3D0D">
              <w:rPr>
                <w:rFonts w:ascii="Times New Roman" w:hAnsi="Times New Roman"/>
                <w:bCs/>
                <w:color w:val="000000" w:themeColor="text1"/>
                <w:sz w:val="28"/>
                <w:szCs w:val="28"/>
                <w:lang w:val="ro-MD"/>
              </w:rPr>
              <w:t xml:space="preserve">Suplimentar, menționăm că în temeiul prevederilor pct.9 din Hotărârea Guvernului nr.655/2023 pentru aprobarea Criteriilor de dimensionare a subdiviziunilor de audit intern din cadrul ministerelor </w:t>
            </w:r>
            <w:proofErr w:type="spellStart"/>
            <w:r w:rsidRPr="007D3D0D">
              <w:rPr>
                <w:rFonts w:ascii="Times New Roman" w:hAnsi="Times New Roman"/>
                <w:bCs/>
                <w:color w:val="000000" w:themeColor="text1"/>
                <w:sz w:val="28"/>
                <w:szCs w:val="28"/>
                <w:lang w:val="ro-MD"/>
              </w:rPr>
              <w:t>şi</w:t>
            </w:r>
            <w:proofErr w:type="spellEnd"/>
            <w:r w:rsidRPr="007D3D0D">
              <w:rPr>
                <w:rFonts w:ascii="Times New Roman" w:hAnsi="Times New Roman"/>
                <w:bCs/>
                <w:color w:val="000000" w:themeColor="text1"/>
                <w:sz w:val="28"/>
                <w:szCs w:val="28"/>
                <w:lang w:val="ro-MD"/>
              </w:rPr>
              <w:t xml:space="preserve"> al </w:t>
            </w:r>
            <w:proofErr w:type="spellStart"/>
            <w:r w:rsidRPr="007D3D0D">
              <w:rPr>
                <w:rFonts w:ascii="Times New Roman" w:hAnsi="Times New Roman"/>
                <w:bCs/>
                <w:color w:val="000000" w:themeColor="text1"/>
                <w:sz w:val="28"/>
                <w:szCs w:val="28"/>
                <w:lang w:val="ro-MD"/>
              </w:rPr>
              <w:t>autorităţilor</w:t>
            </w:r>
            <w:proofErr w:type="spellEnd"/>
            <w:r w:rsidRPr="007D3D0D">
              <w:rPr>
                <w:rFonts w:ascii="Times New Roman" w:hAnsi="Times New Roman"/>
                <w:bCs/>
                <w:color w:val="000000" w:themeColor="text1"/>
                <w:sz w:val="28"/>
                <w:szCs w:val="28"/>
                <w:lang w:val="ro-MD"/>
              </w:rPr>
              <w:t xml:space="preserve"> administrative din subordinea acestora, subdiviziunea de audit intern din cadrul Ministerului Apărării va asigura efectuarea auditului intern în cadrul Agenției. </w:t>
            </w:r>
          </w:p>
          <w:p w:rsidR="00B53051" w:rsidRPr="007D3D0D" w:rsidRDefault="00B53051" w:rsidP="00B53051">
            <w:pPr>
              <w:ind w:firstLine="449"/>
              <w:rPr>
                <w:rStyle w:val="FontStyle12"/>
                <w:color w:val="000000" w:themeColor="text1"/>
                <w:sz w:val="28"/>
                <w:szCs w:val="28"/>
                <w:lang w:val="ro-MD" w:eastAsia="ro-RO"/>
              </w:rPr>
            </w:pPr>
            <w:r w:rsidRPr="007D3D0D">
              <w:rPr>
                <w:rFonts w:ascii="Times New Roman" w:hAnsi="Times New Roman"/>
                <w:color w:val="000000" w:themeColor="text1"/>
                <w:sz w:val="28"/>
                <w:szCs w:val="28"/>
                <w:lang w:val="ro-MD"/>
              </w:rPr>
              <w:t xml:space="preserve">Consecvent, reieșind din prevederile pct. 11 </w:t>
            </w:r>
            <w:proofErr w:type="spellStart"/>
            <w:r w:rsidRPr="007D3D0D">
              <w:rPr>
                <w:rFonts w:ascii="Times New Roman" w:hAnsi="Times New Roman"/>
                <w:color w:val="000000" w:themeColor="text1"/>
                <w:sz w:val="28"/>
                <w:szCs w:val="28"/>
                <w:lang w:val="ro-MD"/>
              </w:rPr>
              <w:t>subpct</w:t>
            </w:r>
            <w:proofErr w:type="spellEnd"/>
            <w:r w:rsidRPr="007D3D0D">
              <w:rPr>
                <w:rFonts w:ascii="Times New Roman" w:hAnsi="Times New Roman"/>
                <w:color w:val="000000" w:themeColor="text1"/>
                <w:sz w:val="28"/>
                <w:szCs w:val="28"/>
                <w:lang w:val="ro-MD"/>
              </w:rPr>
              <w:t xml:space="preserve">. 11.5 a Anexei nr. 3 la Hotărârea Guvernului nr. 284/2025, care prevede că conducătorul </w:t>
            </w:r>
            <w:proofErr w:type="spellStart"/>
            <w:r w:rsidRPr="007D3D0D">
              <w:rPr>
                <w:rFonts w:ascii="Times New Roman" w:hAnsi="Times New Roman"/>
                <w:color w:val="000000" w:themeColor="text1"/>
                <w:sz w:val="28"/>
                <w:szCs w:val="28"/>
                <w:lang w:val="ro-MD"/>
              </w:rPr>
              <w:t>autorităţii</w:t>
            </w:r>
            <w:proofErr w:type="spellEnd"/>
            <w:r w:rsidRPr="007D3D0D">
              <w:rPr>
                <w:rFonts w:ascii="Times New Roman" w:hAnsi="Times New Roman"/>
                <w:color w:val="000000" w:themeColor="text1"/>
                <w:sz w:val="28"/>
                <w:szCs w:val="28"/>
                <w:lang w:val="ro-MD"/>
              </w:rPr>
              <w:t xml:space="preserve"> administrative aprobă organigrama </w:t>
            </w:r>
            <w:proofErr w:type="spellStart"/>
            <w:r w:rsidRPr="007D3D0D">
              <w:rPr>
                <w:rFonts w:ascii="Times New Roman" w:hAnsi="Times New Roman"/>
                <w:color w:val="000000" w:themeColor="text1"/>
                <w:sz w:val="28"/>
                <w:szCs w:val="28"/>
                <w:lang w:val="ro-MD"/>
              </w:rPr>
              <w:t>autorităţii</w:t>
            </w:r>
            <w:proofErr w:type="spellEnd"/>
            <w:r w:rsidRPr="007D3D0D">
              <w:rPr>
                <w:rFonts w:ascii="Times New Roman" w:hAnsi="Times New Roman"/>
                <w:color w:val="000000" w:themeColor="text1"/>
                <w:sz w:val="28"/>
                <w:szCs w:val="28"/>
                <w:lang w:val="ro-MD"/>
              </w:rPr>
              <w:t xml:space="preserve"> administrative, se propune abrogarea Anexei nr. 3 la </w:t>
            </w:r>
            <w:r w:rsidRPr="007D3D0D">
              <w:rPr>
                <w:rFonts w:ascii="Times New Roman" w:hAnsi="Times New Roman"/>
                <w:bCs/>
                <w:color w:val="000000" w:themeColor="text1"/>
                <w:sz w:val="28"/>
                <w:szCs w:val="28"/>
                <w:lang w:val="ro-MD"/>
              </w:rPr>
              <w:t>Hotărârea Guvernului nr.</w:t>
            </w:r>
            <w:r w:rsidRPr="007D3D0D">
              <w:rPr>
                <w:rFonts w:ascii="Times New Roman" w:eastAsia="Times New Roman" w:hAnsi="Times New Roman"/>
                <w:color w:val="000000" w:themeColor="text1"/>
                <w:sz w:val="28"/>
                <w:szCs w:val="28"/>
                <w:lang w:val="ro-MD"/>
              </w:rPr>
              <w:t xml:space="preserve"> 982/2018 </w:t>
            </w:r>
            <w:r w:rsidRPr="007D3D0D">
              <w:rPr>
                <w:rFonts w:ascii="Times New Roman" w:hAnsi="Times New Roman"/>
                <w:bCs/>
                <w:color w:val="000000" w:themeColor="text1"/>
                <w:sz w:val="28"/>
                <w:szCs w:val="28"/>
                <w:lang w:val="ro-MD"/>
              </w:rPr>
              <w:t xml:space="preserve">cu privire la organizarea și funcționarea </w:t>
            </w:r>
            <w:r w:rsidRPr="007D3D0D">
              <w:rPr>
                <w:rStyle w:val="FontStyle12"/>
                <w:color w:val="000000" w:themeColor="text1"/>
                <w:sz w:val="28"/>
                <w:szCs w:val="28"/>
                <w:lang w:val="ro-MD" w:eastAsia="ro-RO"/>
              </w:rPr>
              <w:t>Agenției Asigurare Resurse și Administrare Patrimoniu a Ministerului Apărării.</w:t>
            </w:r>
          </w:p>
          <w:p w:rsidR="00011AF8" w:rsidRPr="007D3D0D" w:rsidRDefault="00B53051" w:rsidP="00B53051">
            <w:pPr>
              <w:ind w:firstLine="447"/>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Totodată, în scopul demarării imediate a procedurilor administrative interne de aprobare a organigramei, elaborarea noilor regulamente ale subdiviziunilor Agenției, a fișelor de post și de funcție, se propune intrarea în vigoare a Hotărârii Guvernului din momentul publicării acesteia în Monitorul Oficial al Republicii Moldova.</w:t>
            </w:r>
          </w:p>
        </w:tc>
      </w:tr>
      <w:tr w:rsidR="007D3D0D" w:rsidRPr="007D3D0D" w:rsidTr="00485DF7">
        <w:tc>
          <w:tcPr>
            <w:tcW w:w="9913"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rsidR="00AD0855" w:rsidRPr="007D3D0D" w:rsidRDefault="00AD0855" w:rsidP="006A62A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lastRenderedPageBreak/>
              <w:t>3.2. Opțiunile alternative analizate și motivele pentru care acestea nu au fost luate în considerare</w:t>
            </w:r>
          </w:p>
        </w:tc>
      </w:tr>
      <w:tr w:rsidR="007D3D0D" w:rsidRPr="007D3D0D" w:rsidTr="00485DF7">
        <w:tc>
          <w:tcPr>
            <w:tcW w:w="991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696A50" w:rsidRPr="007D3D0D" w:rsidRDefault="00AF5922" w:rsidP="00522ABA">
            <w:pPr>
              <w:ind w:firstLine="284"/>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Opțiunea „a nu face nimic” sau lipsa de intervenție va contribui la</w:t>
            </w:r>
            <w:r w:rsidR="00696A50" w:rsidRPr="007D3D0D">
              <w:rPr>
                <w:rFonts w:ascii="Times New Roman" w:hAnsi="Times New Roman"/>
                <w:color w:val="000000" w:themeColor="text1"/>
                <w:sz w:val="28"/>
                <w:szCs w:val="28"/>
                <w:lang w:val="ro-MD"/>
              </w:rPr>
              <w:t>:</w:t>
            </w:r>
            <w:r w:rsidRPr="007D3D0D">
              <w:rPr>
                <w:rFonts w:ascii="Times New Roman" w:hAnsi="Times New Roman"/>
                <w:color w:val="000000" w:themeColor="text1"/>
                <w:sz w:val="28"/>
                <w:szCs w:val="28"/>
                <w:lang w:val="ro-MD"/>
              </w:rPr>
              <w:t xml:space="preserve"> </w:t>
            </w:r>
          </w:p>
          <w:p w:rsidR="00696A50" w:rsidRPr="007D3D0D" w:rsidRDefault="00AF5922" w:rsidP="00522ABA">
            <w:pPr>
              <w:pStyle w:val="ListParagraph"/>
              <w:numPr>
                <w:ilvl w:val="0"/>
                <w:numId w:val="3"/>
              </w:numPr>
              <w:tabs>
                <w:tab w:val="left" w:pos="426"/>
              </w:tabs>
              <w:ind w:left="0" w:firstLine="284"/>
              <w:rPr>
                <w:rFonts w:eastAsia="Calibri"/>
                <w:color w:val="000000" w:themeColor="text1"/>
                <w:lang w:val="ro-MD"/>
              </w:rPr>
            </w:pPr>
            <w:r w:rsidRPr="007D3D0D">
              <w:rPr>
                <w:rFonts w:eastAsia="Calibri"/>
                <w:color w:val="000000" w:themeColor="text1"/>
                <w:sz w:val="28"/>
                <w:szCs w:val="28"/>
                <w:lang w:val="ro-MD"/>
              </w:rPr>
              <w:lastRenderedPageBreak/>
              <w:t xml:space="preserve">neexecutarea prevederilor pct.3 al Hotărârii Guvernului nr.284/2025 privind reglementarea modului de organizare </w:t>
            </w:r>
            <w:proofErr w:type="spellStart"/>
            <w:r w:rsidRPr="007D3D0D">
              <w:rPr>
                <w:rFonts w:eastAsia="Calibri"/>
                <w:color w:val="000000" w:themeColor="text1"/>
                <w:sz w:val="28"/>
                <w:szCs w:val="28"/>
                <w:lang w:val="ro-MD"/>
              </w:rPr>
              <w:t>şi</w:t>
            </w:r>
            <w:proofErr w:type="spellEnd"/>
            <w:r w:rsidRPr="007D3D0D">
              <w:rPr>
                <w:rFonts w:eastAsia="Calibri"/>
                <w:color w:val="000000" w:themeColor="text1"/>
                <w:sz w:val="28"/>
                <w:szCs w:val="28"/>
                <w:lang w:val="ro-MD"/>
              </w:rPr>
              <w:t xml:space="preserve"> funcționare a </w:t>
            </w:r>
            <w:proofErr w:type="spellStart"/>
            <w:r w:rsidRPr="007D3D0D">
              <w:rPr>
                <w:rFonts w:eastAsia="Calibri"/>
                <w:color w:val="000000" w:themeColor="text1"/>
                <w:sz w:val="28"/>
                <w:szCs w:val="28"/>
                <w:lang w:val="ro-MD"/>
              </w:rPr>
              <w:t>autorităţilor</w:t>
            </w:r>
            <w:proofErr w:type="spellEnd"/>
            <w:r w:rsidRPr="007D3D0D">
              <w:rPr>
                <w:rFonts w:eastAsia="Calibri"/>
                <w:color w:val="000000" w:themeColor="text1"/>
                <w:sz w:val="28"/>
                <w:szCs w:val="28"/>
                <w:lang w:val="ro-MD"/>
              </w:rPr>
              <w:t xml:space="preserve"> </w:t>
            </w:r>
            <w:proofErr w:type="spellStart"/>
            <w:r w:rsidRPr="007D3D0D">
              <w:rPr>
                <w:rFonts w:eastAsia="Calibri"/>
                <w:color w:val="000000" w:themeColor="text1"/>
                <w:sz w:val="28"/>
                <w:szCs w:val="28"/>
                <w:lang w:val="ro-MD"/>
              </w:rPr>
              <w:t>administraţiei</w:t>
            </w:r>
            <w:proofErr w:type="spellEnd"/>
            <w:r w:rsidRPr="007D3D0D">
              <w:rPr>
                <w:rFonts w:eastAsia="Calibri"/>
                <w:color w:val="000000" w:themeColor="text1"/>
                <w:sz w:val="28"/>
                <w:szCs w:val="28"/>
                <w:lang w:val="ro-MD"/>
              </w:rPr>
              <w:t xml:space="preserve"> p</w:t>
            </w:r>
            <w:r w:rsidR="00696A50" w:rsidRPr="007D3D0D">
              <w:rPr>
                <w:rFonts w:eastAsia="Calibri"/>
                <w:color w:val="000000" w:themeColor="text1"/>
                <w:sz w:val="28"/>
                <w:szCs w:val="28"/>
                <w:lang w:val="ro-MD"/>
              </w:rPr>
              <w:t>ublice centrale de specialitate;</w:t>
            </w:r>
          </w:p>
          <w:p w:rsidR="00696A50" w:rsidRPr="007D3D0D" w:rsidRDefault="00696A50" w:rsidP="00522ABA">
            <w:pPr>
              <w:pStyle w:val="ListParagraph"/>
              <w:numPr>
                <w:ilvl w:val="0"/>
                <w:numId w:val="3"/>
              </w:numPr>
              <w:tabs>
                <w:tab w:val="left" w:pos="426"/>
              </w:tabs>
              <w:ind w:left="0" w:firstLine="284"/>
              <w:rPr>
                <w:rFonts w:eastAsia="Calibri"/>
                <w:color w:val="000000" w:themeColor="text1"/>
                <w:sz w:val="28"/>
                <w:szCs w:val="28"/>
                <w:lang w:val="ro-MD"/>
              </w:rPr>
            </w:pPr>
            <w:r w:rsidRPr="007D3D0D">
              <w:rPr>
                <w:rFonts w:eastAsia="Calibri"/>
                <w:color w:val="000000" w:themeColor="text1"/>
                <w:sz w:val="28"/>
                <w:szCs w:val="28"/>
                <w:lang w:val="ro-MD"/>
              </w:rPr>
              <w:t>menținerea capacităților instituționale nedimensionate corespunzător pentru realizarea eficientă și în termen a sarcinilor de implementare a cadrului normativ național;</w:t>
            </w:r>
          </w:p>
          <w:p w:rsidR="00F67C0D" w:rsidRPr="007D3D0D" w:rsidRDefault="00696A50" w:rsidP="00522ABA">
            <w:pPr>
              <w:pStyle w:val="ListParagraph"/>
              <w:numPr>
                <w:ilvl w:val="0"/>
                <w:numId w:val="3"/>
              </w:numPr>
              <w:tabs>
                <w:tab w:val="left" w:pos="426"/>
              </w:tabs>
              <w:ind w:left="0" w:firstLine="284"/>
              <w:rPr>
                <w:rFonts w:eastAsia="Calibri"/>
                <w:color w:val="000000" w:themeColor="text1"/>
                <w:sz w:val="28"/>
                <w:szCs w:val="28"/>
                <w:lang w:val="ro-MD"/>
              </w:rPr>
            </w:pPr>
            <w:r w:rsidRPr="007D3D0D">
              <w:rPr>
                <w:rFonts w:eastAsia="Calibri"/>
                <w:color w:val="000000" w:themeColor="text1"/>
                <w:sz w:val="28"/>
                <w:szCs w:val="28"/>
                <w:lang w:val="ro-MD"/>
              </w:rPr>
              <w:t>suprasolicitarea personalului din cadrul Agenției, fapt care va cauza:  tergiversarea realizării funcțiilor și atribuțiilor funcționale</w:t>
            </w:r>
            <w:r w:rsidRPr="007D3D0D">
              <w:rPr>
                <w:rFonts w:eastAsia="Calibri"/>
                <w:color w:val="000000" w:themeColor="text1"/>
                <w:lang w:val="ro-MD"/>
              </w:rPr>
              <w:t>.</w:t>
            </w:r>
            <w:r w:rsidR="00AF5922" w:rsidRPr="007D3D0D">
              <w:rPr>
                <w:rFonts w:eastAsia="Calibri"/>
                <w:color w:val="000000" w:themeColor="text1"/>
                <w:sz w:val="28"/>
                <w:szCs w:val="28"/>
                <w:lang w:val="ro-MD"/>
              </w:rPr>
              <w:t xml:space="preserve"> </w:t>
            </w:r>
          </w:p>
        </w:tc>
      </w:tr>
      <w:tr w:rsidR="007D3D0D" w:rsidRPr="007D3D0D" w:rsidTr="008F233B">
        <w:trPr>
          <w:trHeight w:val="381"/>
        </w:trPr>
        <w:tc>
          <w:tcPr>
            <w:tcW w:w="9913"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C5232F">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lastRenderedPageBreak/>
              <w:t xml:space="preserve">4. Analiza impactului de reglementare </w:t>
            </w:r>
          </w:p>
        </w:tc>
      </w:tr>
      <w:tr w:rsidR="007D3D0D" w:rsidRPr="007D3D0D" w:rsidTr="00DC7365">
        <w:tc>
          <w:tcPr>
            <w:tcW w:w="9913"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4.1. Impactul asupra sectorului public</w:t>
            </w:r>
          </w:p>
        </w:tc>
      </w:tr>
      <w:tr w:rsidR="007D3D0D" w:rsidRPr="007D3D0D" w:rsidTr="00DC7365">
        <w:tc>
          <w:tcPr>
            <w:tcW w:w="9913"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B4391B" w:rsidRPr="007D3D0D" w:rsidRDefault="00B4391B" w:rsidP="00284E12">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Proiectul va avea un impact pozitiv asupra sectorului public prin alinierea  </w:t>
            </w:r>
            <w:r w:rsidR="009D1BA1" w:rsidRPr="007D3D0D">
              <w:rPr>
                <w:rFonts w:ascii="Times New Roman" w:hAnsi="Times New Roman"/>
                <w:color w:val="000000" w:themeColor="text1"/>
                <w:sz w:val="28"/>
                <w:szCs w:val="28"/>
                <w:lang w:val="ro-MD"/>
              </w:rPr>
              <w:t xml:space="preserve">Regulamentului cu privire la organizarea </w:t>
            </w:r>
            <w:proofErr w:type="spellStart"/>
            <w:r w:rsidR="009D1BA1" w:rsidRPr="007D3D0D">
              <w:rPr>
                <w:rFonts w:ascii="Times New Roman" w:hAnsi="Times New Roman"/>
                <w:color w:val="000000" w:themeColor="text1"/>
                <w:sz w:val="28"/>
                <w:szCs w:val="28"/>
                <w:lang w:val="ro-MD"/>
              </w:rPr>
              <w:t>şi</w:t>
            </w:r>
            <w:proofErr w:type="spellEnd"/>
            <w:r w:rsidR="009D1BA1" w:rsidRPr="007D3D0D">
              <w:rPr>
                <w:rFonts w:ascii="Times New Roman" w:hAnsi="Times New Roman"/>
                <w:color w:val="000000" w:themeColor="text1"/>
                <w:sz w:val="28"/>
                <w:szCs w:val="28"/>
                <w:lang w:val="ro-MD"/>
              </w:rPr>
              <w:t xml:space="preserve"> </w:t>
            </w:r>
            <w:proofErr w:type="spellStart"/>
            <w:r w:rsidR="009D1BA1" w:rsidRPr="007D3D0D">
              <w:rPr>
                <w:rFonts w:ascii="Times New Roman" w:hAnsi="Times New Roman"/>
                <w:color w:val="000000" w:themeColor="text1"/>
                <w:sz w:val="28"/>
                <w:szCs w:val="28"/>
                <w:lang w:val="ro-MD"/>
              </w:rPr>
              <w:t>funcţionarea</w:t>
            </w:r>
            <w:proofErr w:type="spellEnd"/>
            <w:r w:rsidR="009D1BA1" w:rsidRPr="007D3D0D">
              <w:rPr>
                <w:rFonts w:ascii="Times New Roman" w:hAnsi="Times New Roman"/>
                <w:color w:val="000000" w:themeColor="text1"/>
                <w:sz w:val="28"/>
                <w:szCs w:val="28"/>
                <w:lang w:val="ro-MD"/>
              </w:rPr>
              <w:t xml:space="preserve"> </w:t>
            </w:r>
            <w:r w:rsidR="00284E12" w:rsidRPr="007D3D0D">
              <w:rPr>
                <w:rStyle w:val="FontStyle12"/>
                <w:color w:val="000000" w:themeColor="text1"/>
                <w:sz w:val="28"/>
                <w:szCs w:val="28"/>
                <w:lang w:val="ro-MD" w:eastAsia="ro-RO"/>
              </w:rPr>
              <w:t>Agenției Asigurare Resurse și Administrare Patrimoniu a Ministerului Apărării</w:t>
            </w:r>
            <w:r w:rsidR="009D1BA1"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la cadrul normativ general</w:t>
            </w:r>
            <w:r w:rsidR="009D1BA1" w:rsidRPr="007D3D0D">
              <w:rPr>
                <w:rFonts w:ascii="Times New Roman" w:hAnsi="Times New Roman"/>
                <w:color w:val="000000" w:themeColor="text1"/>
                <w:sz w:val="28"/>
                <w:szCs w:val="28"/>
                <w:lang w:val="ro-MD"/>
              </w:rPr>
              <w:t>,</w:t>
            </w:r>
            <w:r w:rsidRPr="007D3D0D">
              <w:rPr>
                <w:rFonts w:ascii="Times New Roman" w:hAnsi="Times New Roman"/>
                <w:color w:val="000000" w:themeColor="text1"/>
                <w:sz w:val="28"/>
                <w:szCs w:val="28"/>
                <w:lang w:val="ro-MD"/>
              </w:rPr>
              <w:t xml:space="preserve"> aprobat prin Hotărârea Guvernului nr.284/2025.</w:t>
            </w:r>
          </w:p>
          <w:p w:rsidR="009810B2" w:rsidRPr="007D3D0D" w:rsidRDefault="00B4391B" w:rsidP="002D51F3">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Proiectul de </w:t>
            </w:r>
            <w:r w:rsidR="009D1BA1" w:rsidRPr="007D3D0D">
              <w:rPr>
                <w:rFonts w:ascii="Times New Roman" w:hAnsi="Times New Roman"/>
                <w:color w:val="000000" w:themeColor="text1"/>
                <w:sz w:val="28"/>
                <w:szCs w:val="28"/>
                <w:lang w:val="ro-MD"/>
              </w:rPr>
              <w:t>h</w:t>
            </w:r>
            <w:r w:rsidRPr="007D3D0D">
              <w:rPr>
                <w:rFonts w:ascii="Times New Roman" w:hAnsi="Times New Roman"/>
                <w:color w:val="000000" w:themeColor="text1"/>
                <w:sz w:val="28"/>
                <w:szCs w:val="28"/>
                <w:lang w:val="ro-MD"/>
              </w:rPr>
              <w:t xml:space="preserve">otărâre precizează misiunea, domeniile de activitate, </w:t>
            </w:r>
            <w:proofErr w:type="spellStart"/>
            <w:r w:rsidRPr="007D3D0D">
              <w:rPr>
                <w:rFonts w:ascii="Times New Roman" w:hAnsi="Times New Roman"/>
                <w:color w:val="000000" w:themeColor="text1"/>
                <w:sz w:val="28"/>
                <w:szCs w:val="28"/>
                <w:lang w:val="ro-MD"/>
              </w:rPr>
              <w:t>funcţiile</w:t>
            </w:r>
            <w:proofErr w:type="spellEnd"/>
            <w:r w:rsidRPr="007D3D0D">
              <w:rPr>
                <w:rFonts w:ascii="Times New Roman" w:hAnsi="Times New Roman"/>
                <w:color w:val="000000" w:themeColor="text1"/>
                <w:sz w:val="28"/>
                <w:szCs w:val="28"/>
                <w:lang w:val="ro-MD"/>
              </w:rPr>
              <w:t xml:space="preserve"> de bază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drepturile </w:t>
            </w:r>
            <w:r w:rsidR="00284E12" w:rsidRPr="007D3D0D">
              <w:rPr>
                <w:rStyle w:val="FontStyle12"/>
                <w:color w:val="000000" w:themeColor="text1"/>
                <w:sz w:val="28"/>
                <w:szCs w:val="28"/>
                <w:lang w:val="ro-MD" w:eastAsia="ro-RO"/>
              </w:rPr>
              <w:t>Agenției Asigurare Resurse și Administrare Patrimoniu a Ministerului Apărării</w:t>
            </w:r>
            <w:r w:rsidRPr="007D3D0D">
              <w:rPr>
                <w:rFonts w:ascii="Times New Roman" w:hAnsi="Times New Roman"/>
                <w:color w:val="000000" w:themeColor="text1"/>
                <w:sz w:val="28"/>
                <w:szCs w:val="28"/>
                <w:lang w:val="ro-MD"/>
              </w:rPr>
              <w:t>.</w:t>
            </w:r>
          </w:p>
        </w:tc>
      </w:tr>
      <w:tr w:rsidR="007D3D0D" w:rsidRPr="007D3D0D" w:rsidTr="00EC7E88">
        <w:tc>
          <w:tcPr>
            <w:tcW w:w="9913"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4.2. Impactul financiar și argumentarea costurilor estimative</w:t>
            </w:r>
          </w:p>
        </w:tc>
      </w:tr>
      <w:tr w:rsidR="007D3D0D" w:rsidRPr="007D3D0D" w:rsidTr="00EC7E88">
        <w:tc>
          <w:tcPr>
            <w:tcW w:w="9913"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717A14" w:rsidRPr="007D3D0D" w:rsidRDefault="00E60017" w:rsidP="00762965">
            <w:pPr>
              <w:ind w:firstLine="449"/>
              <w:rPr>
                <w:rFonts w:ascii="Times New Roman" w:hAnsi="Times New Roman"/>
                <w:color w:val="000000" w:themeColor="text1"/>
                <w:sz w:val="28"/>
                <w:szCs w:val="28"/>
                <w:lang w:val="ro-MD"/>
              </w:rPr>
            </w:pPr>
            <w:r w:rsidRPr="007D3D0D">
              <w:rPr>
                <w:rStyle w:val="fontstyle01"/>
                <w:rFonts w:ascii="Times New Roman" w:hAnsi="Times New Roman"/>
                <w:color w:val="000000" w:themeColor="text1"/>
                <w:sz w:val="28"/>
                <w:szCs w:val="28"/>
                <w:lang w:val="ro-MD"/>
              </w:rPr>
              <w:t xml:space="preserve">Implementarea prevederilor proiectului nu necesită cheltuieli suplimentare ce urmează a fi alocate de la bugetul de stat și nu implică </w:t>
            </w:r>
            <w:r w:rsidRPr="007D3D0D">
              <w:rPr>
                <w:rFonts w:ascii="Times New Roman" w:hAnsi="Times New Roman"/>
                <w:color w:val="000000" w:themeColor="text1"/>
                <w:sz w:val="28"/>
                <w:szCs w:val="28"/>
                <w:lang w:val="ro-MD"/>
              </w:rPr>
              <w:t>crearea unor struc</w:t>
            </w:r>
            <w:r w:rsidR="00BF7629" w:rsidRPr="007D3D0D">
              <w:rPr>
                <w:rFonts w:ascii="Times New Roman" w:hAnsi="Times New Roman"/>
                <w:color w:val="000000" w:themeColor="text1"/>
                <w:sz w:val="28"/>
                <w:szCs w:val="28"/>
                <w:lang w:val="ro-MD"/>
              </w:rPr>
              <w:t>turi noi în cadrul autorității</w:t>
            </w:r>
            <w:r w:rsidRPr="007D3D0D">
              <w:rPr>
                <w:rFonts w:ascii="Times New Roman" w:hAnsi="Times New Roman"/>
                <w:color w:val="000000" w:themeColor="text1"/>
                <w:sz w:val="28"/>
                <w:szCs w:val="28"/>
                <w:lang w:val="ro-MD"/>
              </w:rPr>
              <w:t xml:space="preserve"> publice implicate. Cheltuielile </w:t>
            </w:r>
            <w:r w:rsidR="004A0314" w:rsidRPr="007D3D0D">
              <w:rPr>
                <w:rFonts w:ascii="Times New Roman" w:hAnsi="Times New Roman"/>
                <w:color w:val="000000" w:themeColor="text1"/>
                <w:sz w:val="28"/>
                <w:szCs w:val="28"/>
                <w:lang w:val="ro-MD"/>
              </w:rPr>
              <w:t>legate de punerea în aplicare a prevederilor proiectului</w:t>
            </w:r>
            <w:r w:rsidRPr="007D3D0D">
              <w:rPr>
                <w:rFonts w:ascii="Times New Roman" w:hAnsi="Times New Roman"/>
                <w:color w:val="000000" w:themeColor="text1"/>
                <w:sz w:val="28"/>
                <w:szCs w:val="28"/>
                <w:lang w:val="ro-MD"/>
              </w:rPr>
              <w:t xml:space="preserve"> vor fi acoperite din limitele bugetare aprobate pentru Ministerul Apărării, din contul funcțiilor bugetate existente prin redistribuirea și utilizarea eficientă a fondurilor deja aprobate.</w:t>
            </w:r>
          </w:p>
          <w:p w:rsidR="002D7B12" w:rsidRPr="007D3D0D" w:rsidRDefault="002D7B12" w:rsidP="002B79D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Astfel, </w:t>
            </w:r>
            <w:proofErr w:type="spellStart"/>
            <w:r w:rsidRPr="007D3D0D">
              <w:rPr>
                <w:rFonts w:ascii="Times New Roman" w:hAnsi="Times New Roman"/>
                <w:color w:val="000000" w:themeColor="text1"/>
                <w:sz w:val="28"/>
                <w:szCs w:val="28"/>
                <w:lang w:val="ro-MD"/>
              </w:rPr>
              <w:t>ajustarile</w:t>
            </w:r>
            <w:proofErr w:type="spellEnd"/>
            <w:r w:rsidRPr="007D3D0D">
              <w:rPr>
                <w:rFonts w:ascii="Times New Roman" w:hAnsi="Times New Roman"/>
                <w:color w:val="000000" w:themeColor="text1"/>
                <w:sz w:val="28"/>
                <w:szCs w:val="28"/>
                <w:lang w:val="ro-MD"/>
              </w:rPr>
              <w:t xml:space="preserve"> propuse pentru</w:t>
            </w:r>
            <w:r w:rsidR="000E2FE8" w:rsidRPr="007D3D0D">
              <w:rPr>
                <w:rFonts w:ascii="Times New Roman" w:hAnsi="Times New Roman"/>
                <w:color w:val="000000" w:themeColor="text1"/>
                <w:sz w:val="28"/>
                <w:szCs w:val="28"/>
                <w:lang w:val="ro-MD"/>
              </w:rPr>
              <w:t xml:space="preserve"> </w:t>
            </w:r>
            <w:r w:rsidR="00975CCA" w:rsidRPr="007D3D0D">
              <w:rPr>
                <w:rFonts w:ascii="Times New Roman" w:hAnsi="Times New Roman"/>
                <w:color w:val="000000" w:themeColor="text1"/>
                <w:sz w:val="28"/>
                <w:szCs w:val="28"/>
                <w:lang w:val="ro-MD"/>
              </w:rPr>
              <w:t>instituirea celor 6 unități de personal</w:t>
            </w:r>
            <w:r w:rsidRPr="007D3D0D">
              <w:rPr>
                <w:rFonts w:ascii="Times New Roman" w:hAnsi="Times New Roman"/>
                <w:color w:val="000000" w:themeColor="text1"/>
                <w:sz w:val="28"/>
                <w:szCs w:val="28"/>
                <w:lang w:val="ro-MD"/>
              </w:rPr>
              <w:t xml:space="preserve"> în cadrul Agenție</w:t>
            </w:r>
            <w:r w:rsidR="007D3D0D" w:rsidRPr="007D3D0D">
              <w:rPr>
                <w:rFonts w:ascii="Times New Roman" w:hAnsi="Times New Roman"/>
                <w:color w:val="000000" w:themeColor="text1"/>
                <w:sz w:val="28"/>
                <w:szCs w:val="28"/>
                <w:lang w:val="ro-MD"/>
              </w:rPr>
              <w:t>i</w:t>
            </w:r>
            <w:r w:rsidR="00975CCA" w:rsidRPr="007D3D0D">
              <w:rPr>
                <w:rFonts w:ascii="Times New Roman" w:hAnsi="Times New Roman"/>
                <w:color w:val="000000" w:themeColor="text1"/>
                <w:sz w:val="28"/>
                <w:szCs w:val="28"/>
                <w:lang w:val="ro-MD"/>
              </w:rPr>
              <w:t xml:space="preserve"> nu implică</w:t>
            </w:r>
            <w:r w:rsidR="002B79DE" w:rsidRPr="007D3D0D">
              <w:rPr>
                <w:rFonts w:ascii="Times New Roman" w:hAnsi="Times New Roman"/>
                <w:color w:val="000000" w:themeColor="text1"/>
                <w:sz w:val="28"/>
                <w:szCs w:val="28"/>
                <w:lang w:val="ro-MD"/>
              </w:rPr>
              <w:t xml:space="preserve"> deblocarea funcțiilor pentru care a fost stabilit moratoriu temporar</w:t>
            </w:r>
            <w:r w:rsidR="00E202EC" w:rsidRPr="007D3D0D">
              <w:rPr>
                <w:rFonts w:ascii="Times New Roman" w:hAnsi="Times New Roman"/>
                <w:color w:val="000000" w:themeColor="text1"/>
                <w:sz w:val="28"/>
                <w:szCs w:val="28"/>
                <w:lang w:val="ro-MD"/>
              </w:rPr>
              <w:t>, acestea fiind</w:t>
            </w:r>
            <w:r w:rsidR="00975CCA" w:rsidRPr="007D3D0D">
              <w:rPr>
                <w:rFonts w:ascii="Times New Roman" w:hAnsi="Times New Roman"/>
                <w:color w:val="000000" w:themeColor="text1"/>
                <w:sz w:val="28"/>
                <w:szCs w:val="28"/>
                <w:lang w:val="ro-MD"/>
              </w:rPr>
              <w:t xml:space="preserve"> </w:t>
            </w:r>
            <w:r w:rsidR="00E202EC" w:rsidRPr="007D3D0D">
              <w:rPr>
                <w:rFonts w:ascii="Times New Roman" w:hAnsi="Times New Roman"/>
                <w:color w:val="000000" w:themeColor="text1"/>
                <w:sz w:val="28"/>
                <w:szCs w:val="28"/>
                <w:lang w:val="ro-MD"/>
              </w:rPr>
              <w:t>realocate</w:t>
            </w:r>
            <w:r w:rsidR="002A6F41"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 xml:space="preserve">din cadrul Centrului de </w:t>
            </w:r>
            <w:r w:rsidR="007D3D0D" w:rsidRPr="007D3D0D">
              <w:rPr>
                <w:rFonts w:ascii="Times New Roman" w:hAnsi="Times New Roman"/>
                <w:color w:val="000000" w:themeColor="text1"/>
                <w:sz w:val="28"/>
                <w:szCs w:val="28"/>
                <w:lang w:val="ro-MD"/>
              </w:rPr>
              <w:t>A</w:t>
            </w:r>
            <w:r w:rsidRPr="007D3D0D">
              <w:rPr>
                <w:rFonts w:ascii="Times New Roman" w:hAnsi="Times New Roman"/>
                <w:color w:val="000000" w:themeColor="text1"/>
                <w:sz w:val="28"/>
                <w:szCs w:val="28"/>
                <w:lang w:val="ro-MD"/>
              </w:rPr>
              <w:t xml:space="preserve">rmament și </w:t>
            </w:r>
            <w:r w:rsidR="007D3D0D" w:rsidRPr="007D3D0D">
              <w:rPr>
                <w:rFonts w:ascii="Times New Roman" w:hAnsi="Times New Roman"/>
                <w:color w:val="000000" w:themeColor="text1"/>
                <w:sz w:val="28"/>
                <w:szCs w:val="28"/>
                <w:lang w:val="ro-MD"/>
              </w:rPr>
              <w:t>M</w:t>
            </w:r>
            <w:r w:rsidRPr="007D3D0D">
              <w:rPr>
                <w:rFonts w:ascii="Times New Roman" w:hAnsi="Times New Roman"/>
                <w:color w:val="000000" w:themeColor="text1"/>
                <w:sz w:val="28"/>
                <w:szCs w:val="28"/>
                <w:lang w:val="ro-MD"/>
              </w:rPr>
              <w:t xml:space="preserve">uniții al </w:t>
            </w:r>
            <w:bookmarkStart w:id="0" w:name="_GoBack"/>
            <w:bookmarkEnd w:id="0"/>
            <w:r w:rsidR="00E202EC" w:rsidRPr="007D3D0D">
              <w:rPr>
                <w:rFonts w:ascii="Times New Roman" w:hAnsi="Times New Roman"/>
                <w:color w:val="000000" w:themeColor="text1"/>
                <w:sz w:val="28"/>
                <w:szCs w:val="28"/>
                <w:lang w:val="ro-MD"/>
              </w:rPr>
              <w:t xml:space="preserve">Armatei Naționale, fără afectarea capacității operaționale a structurii </w:t>
            </w:r>
            <w:proofErr w:type="spellStart"/>
            <w:r w:rsidR="00E202EC" w:rsidRPr="007D3D0D">
              <w:rPr>
                <w:rFonts w:ascii="Times New Roman" w:hAnsi="Times New Roman"/>
                <w:color w:val="000000" w:themeColor="text1"/>
                <w:sz w:val="28"/>
                <w:szCs w:val="28"/>
                <w:lang w:val="ro-MD"/>
              </w:rPr>
              <w:t>cedente</w:t>
            </w:r>
            <w:proofErr w:type="spellEnd"/>
            <w:r w:rsidR="00E202EC" w:rsidRPr="007D3D0D">
              <w:rPr>
                <w:rFonts w:ascii="Times New Roman" w:hAnsi="Times New Roman"/>
                <w:color w:val="000000" w:themeColor="text1"/>
                <w:sz w:val="28"/>
                <w:szCs w:val="28"/>
                <w:lang w:val="ro-MD"/>
              </w:rPr>
              <w:t xml:space="preserve"> și menținerea echilibrului organizațional și funcțional la nivelul Armatei Naționale.</w:t>
            </w:r>
          </w:p>
          <w:p w:rsidR="0056028E" w:rsidRPr="007D3D0D" w:rsidRDefault="0056028E" w:rsidP="0056028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În acest sens, pentru anul 2026, la estimarea cuantumului mijloacelor financiare necesare, s-a luat ca bază salariile de funcție lunare aferente funcțiilor publice cu statut special</w:t>
            </w:r>
            <w:r w:rsidR="00522ABA" w:rsidRPr="007D3D0D">
              <w:rPr>
                <w:rFonts w:ascii="Times New Roman" w:hAnsi="Times New Roman"/>
                <w:color w:val="000000" w:themeColor="text1"/>
                <w:sz w:val="28"/>
                <w:szCs w:val="28"/>
                <w:lang w:val="ro-MD"/>
              </w:rPr>
              <w:t>,</w:t>
            </w:r>
            <w:r w:rsidRPr="007D3D0D">
              <w:rPr>
                <w:rFonts w:ascii="Times New Roman" w:hAnsi="Times New Roman"/>
                <w:color w:val="000000" w:themeColor="text1"/>
                <w:sz w:val="28"/>
                <w:szCs w:val="28"/>
                <w:lang w:val="ro-MD"/>
              </w:rPr>
              <w:t xml:space="preserve"> după cum urmează:</w:t>
            </w:r>
          </w:p>
          <w:p w:rsidR="0056028E" w:rsidRPr="007D3D0D" w:rsidRDefault="0056028E" w:rsidP="0056028E">
            <w:pPr>
              <w:pStyle w:val="NoSpacing"/>
              <w:ind w:firstLine="447"/>
              <w:rPr>
                <w:color w:val="000000" w:themeColor="text1"/>
                <w:sz w:val="28"/>
                <w:szCs w:val="28"/>
                <w:lang w:val="ro-MD"/>
              </w:rPr>
            </w:pPr>
            <w:r w:rsidRPr="007D3D0D">
              <w:rPr>
                <w:color w:val="000000" w:themeColor="text1"/>
                <w:sz w:val="28"/>
                <w:szCs w:val="28"/>
                <w:lang w:val="ro-MD"/>
              </w:rPr>
              <w:t>În cadrul Direcției achiziții publice</w:t>
            </w:r>
            <w:r w:rsidR="0078687F" w:rsidRPr="007D3D0D">
              <w:rPr>
                <w:color w:val="000000" w:themeColor="text1"/>
                <w:sz w:val="28"/>
                <w:szCs w:val="28"/>
                <w:lang w:val="ro-MD"/>
              </w:rPr>
              <w:t xml:space="preserve"> și Direcției managementul proprietății imobiliare</w:t>
            </w:r>
            <w:r w:rsidRPr="007D3D0D">
              <w:rPr>
                <w:color w:val="000000" w:themeColor="text1"/>
                <w:sz w:val="28"/>
                <w:szCs w:val="28"/>
                <w:lang w:val="ro-MD"/>
              </w:rPr>
              <w:t xml:space="preserve"> se vor institui următoarele funcții de execuție:</w:t>
            </w:r>
          </w:p>
          <w:p w:rsidR="0056028E" w:rsidRPr="007D3D0D" w:rsidRDefault="0056028E" w:rsidP="0056028E">
            <w:pPr>
              <w:pStyle w:val="NoSpacing"/>
              <w:ind w:firstLine="447"/>
              <w:rPr>
                <w:color w:val="000000" w:themeColor="text1"/>
                <w:sz w:val="28"/>
                <w:szCs w:val="28"/>
                <w:lang w:val="ro-MD"/>
              </w:rPr>
            </w:pPr>
            <w:r w:rsidRPr="007D3D0D">
              <w:rPr>
                <w:i/>
                <w:color w:val="000000" w:themeColor="text1"/>
                <w:sz w:val="28"/>
                <w:szCs w:val="28"/>
                <w:lang w:val="ro-MD"/>
              </w:rPr>
              <w:t>ofițer principal</w:t>
            </w:r>
            <w:r w:rsidRPr="007D3D0D">
              <w:rPr>
                <w:color w:val="000000" w:themeColor="text1"/>
                <w:sz w:val="28"/>
                <w:szCs w:val="28"/>
                <w:lang w:val="ro-MD"/>
              </w:rPr>
              <w:t xml:space="preserve"> – </w:t>
            </w:r>
            <w:r w:rsidR="008F64FC" w:rsidRPr="007D3D0D">
              <w:rPr>
                <w:color w:val="000000" w:themeColor="text1"/>
                <w:sz w:val="28"/>
                <w:szCs w:val="28"/>
                <w:lang w:val="ro-MD"/>
              </w:rPr>
              <w:t>11280,00</w:t>
            </w:r>
            <w:r w:rsidRPr="007D3D0D">
              <w:rPr>
                <w:color w:val="000000" w:themeColor="text1"/>
                <w:sz w:val="28"/>
                <w:szCs w:val="28"/>
                <w:lang w:val="ro-MD"/>
              </w:rPr>
              <w:t xml:space="preserve"> lei lunar;</w:t>
            </w:r>
          </w:p>
          <w:p w:rsidR="0056028E" w:rsidRPr="007D3D0D" w:rsidRDefault="0056028E" w:rsidP="0056028E">
            <w:pPr>
              <w:pStyle w:val="NoSpacing"/>
              <w:ind w:firstLine="447"/>
              <w:rPr>
                <w:color w:val="000000" w:themeColor="text1"/>
                <w:sz w:val="28"/>
                <w:szCs w:val="28"/>
                <w:lang w:val="ro-MD"/>
              </w:rPr>
            </w:pPr>
            <w:r w:rsidRPr="007D3D0D">
              <w:rPr>
                <w:i/>
                <w:color w:val="000000" w:themeColor="text1"/>
                <w:sz w:val="28"/>
                <w:szCs w:val="28"/>
                <w:lang w:val="ro-MD"/>
              </w:rPr>
              <w:t>ofițer superior</w:t>
            </w:r>
            <w:r w:rsidRPr="007D3D0D">
              <w:rPr>
                <w:color w:val="000000" w:themeColor="text1"/>
                <w:sz w:val="28"/>
                <w:szCs w:val="28"/>
                <w:lang w:val="ro-MD"/>
              </w:rPr>
              <w:t xml:space="preserve"> </w:t>
            </w:r>
            <w:r w:rsidR="008F64FC" w:rsidRPr="007D3D0D">
              <w:rPr>
                <w:color w:val="000000" w:themeColor="text1"/>
                <w:sz w:val="28"/>
                <w:szCs w:val="28"/>
                <w:lang w:val="ro-MD"/>
              </w:rPr>
              <w:t xml:space="preserve"> </w:t>
            </w:r>
            <w:r w:rsidRPr="007D3D0D">
              <w:rPr>
                <w:color w:val="000000" w:themeColor="text1"/>
                <w:sz w:val="28"/>
                <w:szCs w:val="28"/>
                <w:lang w:val="ro-MD"/>
              </w:rPr>
              <w:t>– 1</w:t>
            </w:r>
            <w:r w:rsidR="008F64FC" w:rsidRPr="007D3D0D">
              <w:rPr>
                <w:color w:val="000000" w:themeColor="text1"/>
                <w:sz w:val="28"/>
                <w:szCs w:val="28"/>
                <w:lang w:val="ro-MD"/>
              </w:rPr>
              <w:t>0160,00</w:t>
            </w:r>
            <w:r w:rsidRPr="007D3D0D">
              <w:rPr>
                <w:color w:val="000000" w:themeColor="text1"/>
                <w:sz w:val="28"/>
                <w:szCs w:val="28"/>
                <w:lang w:val="ro-MD"/>
              </w:rPr>
              <w:t xml:space="preserve"> lei lunar.</w:t>
            </w:r>
          </w:p>
          <w:p w:rsidR="0056028E" w:rsidRPr="007D3D0D" w:rsidRDefault="001D29F0" w:rsidP="001D29F0">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Astfel, pentru </w:t>
            </w:r>
            <w:r w:rsidR="0078687F" w:rsidRPr="007D3D0D">
              <w:rPr>
                <w:rFonts w:ascii="Times New Roman" w:hAnsi="Times New Roman"/>
                <w:color w:val="000000" w:themeColor="text1"/>
                <w:sz w:val="28"/>
                <w:szCs w:val="28"/>
                <w:lang w:val="ro-MD"/>
              </w:rPr>
              <w:t xml:space="preserve">4 </w:t>
            </w:r>
            <w:proofErr w:type="spellStart"/>
            <w:r w:rsidR="0078687F" w:rsidRPr="007D3D0D">
              <w:rPr>
                <w:rFonts w:ascii="Times New Roman" w:hAnsi="Times New Roman"/>
                <w:color w:val="000000" w:themeColor="text1"/>
                <w:sz w:val="28"/>
                <w:szCs w:val="28"/>
                <w:lang w:val="ro-MD"/>
              </w:rPr>
              <w:t>u.p</w:t>
            </w:r>
            <w:proofErr w:type="spellEnd"/>
            <w:r w:rsidR="0078687F" w:rsidRPr="007D3D0D">
              <w:rPr>
                <w:rFonts w:ascii="Times New Roman" w:hAnsi="Times New Roman"/>
                <w:color w:val="000000" w:themeColor="text1"/>
                <w:sz w:val="28"/>
                <w:szCs w:val="28"/>
                <w:lang w:val="ro-MD"/>
              </w:rPr>
              <w:t xml:space="preserve"> </w:t>
            </w:r>
            <w:r w:rsidR="0056028E" w:rsidRPr="007D3D0D">
              <w:rPr>
                <w:rFonts w:ascii="Times New Roman" w:hAnsi="Times New Roman"/>
                <w:color w:val="000000" w:themeColor="text1"/>
                <w:sz w:val="28"/>
                <w:szCs w:val="28"/>
                <w:lang w:val="ro-MD"/>
              </w:rPr>
              <w:t>ofițeri</w:t>
            </w:r>
            <w:r w:rsidR="0078687F" w:rsidRPr="007D3D0D">
              <w:rPr>
                <w:rFonts w:ascii="Times New Roman" w:hAnsi="Times New Roman"/>
                <w:color w:val="000000" w:themeColor="text1"/>
                <w:sz w:val="28"/>
                <w:szCs w:val="28"/>
                <w:lang w:val="ro-MD"/>
              </w:rPr>
              <w:t xml:space="preserve"> principali și 2</w:t>
            </w:r>
            <w:r w:rsidR="0056028E" w:rsidRPr="007D3D0D">
              <w:rPr>
                <w:rFonts w:ascii="Times New Roman" w:hAnsi="Times New Roman"/>
                <w:color w:val="000000" w:themeColor="text1"/>
                <w:sz w:val="28"/>
                <w:szCs w:val="28"/>
                <w:lang w:val="ro-MD"/>
              </w:rPr>
              <w:t xml:space="preserve"> ofițer</w:t>
            </w:r>
            <w:r w:rsidR="0078687F" w:rsidRPr="007D3D0D">
              <w:rPr>
                <w:rFonts w:ascii="Times New Roman" w:hAnsi="Times New Roman"/>
                <w:color w:val="000000" w:themeColor="text1"/>
                <w:sz w:val="28"/>
                <w:szCs w:val="28"/>
                <w:lang w:val="ro-MD"/>
              </w:rPr>
              <w:t>i</w:t>
            </w:r>
            <w:r w:rsidR="0056028E" w:rsidRPr="007D3D0D">
              <w:rPr>
                <w:rFonts w:ascii="Times New Roman" w:hAnsi="Times New Roman"/>
                <w:color w:val="000000" w:themeColor="text1"/>
                <w:sz w:val="28"/>
                <w:szCs w:val="28"/>
                <w:lang w:val="ro-MD"/>
              </w:rPr>
              <w:t xml:space="preserve"> superior</w:t>
            </w:r>
            <w:r w:rsidR="0078687F" w:rsidRPr="007D3D0D">
              <w:rPr>
                <w:rFonts w:ascii="Times New Roman" w:hAnsi="Times New Roman"/>
                <w:color w:val="000000" w:themeColor="text1"/>
                <w:sz w:val="28"/>
                <w:szCs w:val="28"/>
                <w:lang w:val="ro-MD"/>
              </w:rPr>
              <w:t>i</w:t>
            </w:r>
            <w:r w:rsidR="0056028E" w:rsidRPr="007D3D0D">
              <w:rPr>
                <w:rFonts w:ascii="Times New Roman" w:hAnsi="Times New Roman"/>
                <w:color w:val="000000" w:themeColor="text1"/>
                <w:sz w:val="28"/>
                <w:szCs w:val="28"/>
                <w:lang w:val="ro-MD"/>
              </w:rPr>
              <w:t>:</w:t>
            </w:r>
          </w:p>
          <w:p w:rsidR="0056028E" w:rsidRPr="007D3D0D" w:rsidRDefault="0078687F" w:rsidP="0056028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pentru 4</w:t>
            </w:r>
            <w:r w:rsidR="0056028E" w:rsidRPr="007D3D0D">
              <w:rPr>
                <w:rFonts w:ascii="Times New Roman" w:hAnsi="Times New Roman"/>
                <w:color w:val="000000" w:themeColor="text1"/>
                <w:sz w:val="28"/>
                <w:szCs w:val="28"/>
                <w:lang w:val="ro-MD"/>
              </w:rPr>
              <w:t xml:space="preserve"> unități de ofițer</w:t>
            </w:r>
            <w:r w:rsidRPr="007D3D0D">
              <w:rPr>
                <w:rFonts w:ascii="Times New Roman" w:hAnsi="Times New Roman"/>
                <w:color w:val="000000" w:themeColor="text1"/>
                <w:sz w:val="28"/>
                <w:szCs w:val="28"/>
                <w:lang w:val="ro-MD"/>
              </w:rPr>
              <w:t xml:space="preserve"> principal: (</w:t>
            </w:r>
            <w:r w:rsidR="008F64FC" w:rsidRPr="007D3D0D">
              <w:rPr>
                <w:rFonts w:ascii="Times New Roman" w:hAnsi="Times New Roman"/>
                <w:color w:val="000000" w:themeColor="text1"/>
                <w:sz w:val="28"/>
                <w:szCs w:val="28"/>
                <w:lang w:val="ro-MD"/>
              </w:rPr>
              <w:t>11280,00</w:t>
            </w:r>
            <w:r w:rsidRPr="007D3D0D">
              <w:rPr>
                <w:rFonts w:ascii="Times New Roman" w:hAnsi="Times New Roman"/>
                <w:color w:val="000000" w:themeColor="text1"/>
                <w:sz w:val="28"/>
                <w:szCs w:val="28"/>
                <w:lang w:val="ro-MD"/>
              </w:rPr>
              <w:t xml:space="preserve"> lei/lunar x 4</w:t>
            </w:r>
            <w:r w:rsidR="0056028E" w:rsidRPr="007D3D0D">
              <w:rPr>
                <w:rFonts w:ascii="Times New Roman" w:hAnsi="Times New Roman"/>
                <w:color w:val="000000" w:themeColor="text1"/>
                <w:sz w:val="28"/>
                <w:szCs w:val="28"/>
                <w:lang w:val="ro-MD"/>
              </w:rPr>
              <w:t xml:space="preserve"> </w:t>
            </w:r>
            <w:proofErr w:type="spellStart"/>
            <w:r w:rsidR="0056028E" w:rsidRPr="007D3D0D">
              <w:rPr>
                <w:rFonts w:ascii="Times New Roman" w:hAnsi="Times New Roman"/>
                <w:color w:val="000000" w:themeColor="text1"/>
                <w:sz w:val="28"/>
                <w:szCs w:val="28"/>
                <w:lang w:val="ro-MD"/>
              </w:rPr>
              <w:t>u.p</w:t>
            </w:r>
            <w:r w:rsidR="00522ABA" w:rsidRPr="007D3D0D">
              <w:rPr>
                <w:rFonts w:ascii="Times New Roman" w:hAnsi="Times New Roman"/>
                <w:color w:val="000000" w:themeColor="text1"/>
                <w:sz w:val="28"/>
                <w:szCs w:val="28"/>
                <w:lang w:val="ro-MD"/>
              </w:rPr>
              <w:t>.</w:t>
            </w:r>
            <w:proofErr w:type="spellEnd"/>
            <w:r w:rsidR="0056028E" w:rsidRPr="007D3D0D">
              <w:rPr>
                <w:rFonts w:ascii="Times New Roman" w:hAnsi="Times New Roman"/>
                <w:color w:val="000000" w:themeColor="text1"/>
                <w:sz w:val="28"/>
                <w:szCs w:val="28"/>
                <w:lang w:val="ro-MD"/>
              </w:rPr>
              <w:t xml:space="preserve">) x 12 luni = </w:t>
            </w:r>
            <w:r w:rsidR="008F64FC" w:rsidRPr="007D3D0D">
              <w:rPr>
                <w:rFonts w:ascii="Times New Roman" w:hAnsi="Times New Roman"/>
                <w:color w:val="000000" w:themeColor="text1"/>
                <w:sz w:val="28"/>
                <w:szCs w:val="28"/>
                <w:lang w:val="ro-MD"/>
              </w:rPr>
              <w:t xml:space="preserve">541440,00 </w:t>
            </w:r>
            <w:r w:rsidR="0056028E" w:rsidRPr="007D3D0D">
              <w:rPr>
                <w:rFonts w:ascii="Times New Roman" w:hAnsi="Times New Roman"/>
                <w:color w:val="000000" w:themeColor="text1"/>
                <w:sz w:val="28"/>
                <w:szCs w:val="28"/>
                <w:lang w:val="ro-MD"/>
              </w:rPr>
              <w:t>lei/an;</w:t>
            </w:r>
          </w:p>
          <w:p w:rsidR="0056028E" w:rsidRPr="007D3D0D" w:rsidRDefault="0078687F" w:rsidP="0056028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 pentru 2 </w:t>
            </w:r>
            <w:proofErr w:type="spellStart"/>
            <w:r w:rsidRPr="007D3D0D">
              <w:rPr>
                <w:rFonts w:ascii="Times New Roman" w:hAnsi="Times New Roman"/>
                <w:color w:val="000000" w:themeColor="text1"/>
                <w:sz w:val="28"/>
                <w:szCs w:val="28"/>
                <w:lang w:val="ro-MD"/>
              </w:rPr>
              <w:t>unitați</w:t>
            </w:r>
            <w:proofErr w:type="spellEnd"/>
            <w:r w:rsidR="0056028E" w:rsidRPr="007D3D0D">
              <w:rPr>
                <w:rFonts w:ascii="Times New Roman" w:hAnsi="Times New Roman"/>
                <w:color w:val="000000" w:themeColor="text1"/>
                <w:sz w:val="28"/>
                <w:szCs w:val="28"/>
                <w:lang w:val="ro-MD"/>
              </w:rPr>
              <w:t xml:space="preserve"> de ofițe</w:t>
            </w:r>
            <w:r w:rsidRPr="007D3D0D">
              <w:rPr>
                <w:rFonts w:ascii="Times New Roman" w:hAnsi="Times New Roman"/>
                <w:color w:val="000000" w:themeColor="text1"/>
                <w:sz w:val="28"/>
                <w:szCs w:val="28"/>
                <w:lang w:val="ro-MD"/>
              </w:rPr>
              <w:t>r superior: (1</w:t>
            </w:r>
            <w:r w:rsidR="008F64FC" w:rsidRPr="007D3D0D">
              <w:rPr>
                <w:rFonts w:ascii="Times New Roman" w:hAnsi="Times New Roman"/>
                <w:color w:val="000000" w:themeColor="text1"/>
                <w:sz w:val="28"/>
                <w:szCs w:val="28"/>
                <w:lang w:val="ro-MD"/>
              </w:rPr>
              <w:t>0160,00</w:t>
            </w:r>
            <w:r w:rsidRPr="007D3D0D">
              <w:rPr>
                <w:rFonts w:ascii="Times New Roman" w:hAnsi="Times New Roman"/>
                <w:color w:val="000000" w:themeColor="text1"/>
                <w:sz w:val="28"/>
                <w:szCs w:val="28"/>
                <w:lang w:val="ro-MD"/>
              </w:rPr>
              <w:t xml:space="preserve"> lei/lunar x 2</w:t>
            </w:r>
            <w:r w:rsidR="0056028E" w:rsidRPr="007D3D0D">
              <w:rPr>
                <w:rFonts w:ascii="Times New Roman" w:hAnsi="Times New Roman"/>
                <w:color w:val="000000" w:themeColor="text1"/>
                <w:sz w:val="28"/>
                <w:szCs w:val="28"/>
                <w:lang w:val="ro-MD"/>
              </w:rPr>
              <w:t xml:space="preserve"> </w:t>
            </w:r>
            <w:proofErr w:type="spellStart"/>
            <w:r w:rsidR="0056028E" w:rsidRPr="007D3D0D">
              <w:rPr>
                <w:rFonts w:ascii="Times New Roman" w:hAnsi="Times New Roman"/>
                <w:color w:val="000000" w:themeColor="text1"/>
                <w:sz w:val="28"/>
                <w:szCs w:val="28"/>
                <w:lang w:val="ro-MD"/>
              </w:rPr>
              <w:t>u.p</w:t>
            </w:r>
            <w:r w:rsidR="00522ABA" w:rsidRPr="007D3D0D">
              <w:rPr>
                <w:rFonts w:ascii="Times New Roman" w:hAnsi="Times New Roman"/>
                <w:color w:val="000000" w:themeColor="text1"/>
                <w:sz w:val="28"/>
                <w:szCs w:val="28"/>
                <w:lang w:val="ro-MD"/>
              </w:rPr>
              <w:t>.</w:t>
            </w:r>
            <w:proofErr w:type="spellEnd"/>
            <w:r w:rsidR="0056028E" w:rsidRPr="007D3D0D">
              <w:rPr>
                <w:rFonts w:ascii="Times New Roman" w:hAnsi="Times New Roman"/>
                <w:color w:val="000000" w:themeColor="text1"/>
                <w:sz w:val="28"/>
                <w:szCs w:val="28"/>
                <w:lang w:val="ro-MD"/>
              </w:rPr>
              <w:t xml:space="preserve">) x 12 luni = </w:t>
            </w:r>
            <w:r w:rsidR="008F64FC" w:rsidRPr="007D3D0D">
              <w:rPr>
                <w:rFonts w:ascii="Times New Roman" w:hAnsi="Times New Roman"/>
                <w:color w:val="000000" w:themeColor="text1"/>
                <w:sz w:val="28"/>
                <w:szCs w:val="28"/>
                <w:lang w:val="ro-MD"/>
              </w:rPr>
              <w:t xml:space="preserve">243840,00 </w:t>
            </w:r>
            <w:r w:rsidR="0056028E" w:rsidRPr="007D3D0D">
              <w:rPr>
                <w:rFonts w:ascii="Times New Roman" w:hAnsi="Times New Roman"/>
                <w:color w:val="000000" w:themeColor="text1"/>
                <w:sz w:val="28"/>
                <w:szCs w:val="28"/>
                <w:lang w:val="ro-MD"/>
              </w:rPr>
              <w:t>lei/an.</w:t>
            </w:r>
          </w:p>
          <w:p w:rsidR="0056028E" w:rsidRPr="007D3D0D" w:rsidRDefault="0056028E" w:rsidP="0056028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Subsecvent, pentru cele </w:t>
            </w:r>
            <w:r w:rsidR="0078687F" w:rsidRPr="007D3D0D">
              <w:rPr>
                <w:rFonts w:ascii="Times New Roman" w:hAnsi="Times New Roman"/>
                <w:color w:val="000000" w:themeColor="text1"/>
                <w:sz w:val="28"/>
                <w:szCs w:val="28"/>
                <w:lang w:val="ro-MD"/>
              </w:rPr>
              <w:t>6</w:t>
            </w:r>
            <w:r w:rsidRPr="007D3D0D">
              <w:rPr>
                <w:rFonts w:ascii="Times New Roman" w:hAnsi="Times New Roman"/>
                <w:color w:val="000000" w:themeColor="text1"/>
                <w:sz w:val="28"/>
                <w:szCs w:val="28"/>
                <w:lang w:val="ro-MD"/>
              </w:rPr>
              <w:t xml:space="preserve"> unități de personal se vor estima următoarele cheltuieli aferente componentelor salariului lunar:</w:t>
            </w:r>
          </w:p>
          <w:p w:rsidR="0056028E" w:rsidRPr="007D3D0D" w:rsidRDefault="0056028E" w:rsidP="0056028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lastRenderedPageBreak/>
              <w:t xml:space="preserve">- sporul lunar în valoare fixă (1300 lei): </w:t>
            </w:r>
            <w:r w:rsidR="008F64FC" w:rsidRPr="007D3D0D">
              <w:rPr>
                <w:rFonts w:ascii="Times New Roman" w:hAnsi="Times New Roman"/>
                <w:color w:val="000000" w:themeColor="text1"/>
                <w:sz w:val="28"/>
                <w:szCs w:val="28"/>
                <w:lang w:val="ro-MD"/>
              </w:rPr>
              <w:t>6</w:t>
            </w:r>
            <w:r w:rsidRPr="007D3D0D">
              <w:rPr>
                <w:rFonts w:ascii="Times New Roman" w:hAnsi="Times New Roman"/>
                <w:color w:val="000000" w:themeColor="text1"/>
                <w:sz w:val="28"/>
                <w:szCs w:val="28"/>
                <w:lang w:val="ro-MD"/>
              </w:rPr>
              <w:t>u.p</w:t>
            </w:r>
            <w:r w:rsidR="00522ABA" w:rsidRPr="007D3D0D">
              <w:rPr>
                <w:rFonts w:ascii="Times New Roman" w:hAnsi="Times New Roman"/>
                <w:color w:val="000000" w:themeColor="text1"/>
                <w:sz w:val="28"/>
                <w:szCs w:val="28"/>
                <w:lang w:val="ro-MD"/>
              </w:rPr>
              <w:t>.</w:t>
            </w:r>
            <w:r w:rsidRPr="007D3D0D">
              <w:rPr>
                <w:rFonts w:ascii="Times New Roman" w:hAnsi="Times New Roman"/>
                <w:color w:val="000000" w:themeColor="text1"/>
                <w:sz w:val="28"/>
                <w:szCs w:val="28"/>
                <w:lang w:val="ro-MD"/>
              </w:rPr>
              <w:t xml:space="preserve"> x 1300</w:t>
            </w:r>
            <w:r w:rsidR="008F64FC" w:rsidRPr="007D3D0D">
              <w:rPr>
                <w:rFonts w:ascii="Times New Roman" w:hAnsi="Times New Roman"/>
                <w:color w:val="000000" w:themeColor="text1"/>
                <w:sz w:val="28"/>
                <w:szCs w:val="28"/>
                <w:lang w:val="ro-MD"/>
              </w:rPr>
              <w:t>,00</w:t>
            </w:r>
            <w:r w:rsidRPr="007D3D0D">
              <w:rPr>
                <w:rFonts w:ascii="Times New Roman" w:hAnsi="Times New Roman"/>
                <w:color w:val="000000" w:themeColor="text1"/>
                <w:sz w:val="28"/>
                <w:szCs w:val="28"/>
                <w:lang w:val="ro-MD"/>
              </w:rPr>
              <w:t xml:space="preserve"> lei x 12 luni = </w:t>
            </w:r>
            <w:r w:rsidR="008F64FC" w:rsidRPr="007D3D0D">
              <w:rPr>
                <w:rFonts w:ascii="Times New Roman" w:hAnsi="Times New Roman"/>
                <w:color w:val="000000" w:themeColor="text1"/>
                <w:sz w:val="28"/>
                <w:szCs w:val="28"/>
                <w:lang w:val="ro-MD"/>
              </w:rPr>
              <w:t>93600,00</w:t>
            </w:r>
            <w:r w:rsidRPr="007D3D0D">
              <w:rPr>
                <w:rFonts w:ascii="Times New Roman" w:hAnsi="Times New Roman"/>
                <w:color w:val="000000" w:themeColor="text1"/>
                <w:sz w:val="28"/>
                <w:szCs w:val="28"/>
                <w:lang w:val="ro-MD"/>
              </w:rPr>
              <w:t xml:space="preserve"> lei;</w:t>
            </w:r>
          </w:p>
          <w:p w:rsidR="0056028E" w:rsidRPr="007D3D0D" w:rsidRDefault="0056028E" w:rsidP="0056028E">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 sporul de performanță (10 %), pentru cele </w:t>
            </w:r>
            <w:r w:rsidR="008F64FC" w:rsidRPr="007D3D0D">
              <w:rPr>
                <w:rFonts w:ascii="Times New Roman" w:hAnsi="Times New Roman"/>
                <w:color w:val="000000" w:themeColor="text1"/>
                <w:sz w:val="28"/>
                <w:szCs w:val="28"/>
                <w:lang w:val="ro-MD"/>
              </w:rPr>
              <w:t>6</w:t>
            </w:r>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u.p</w:t>
            </w:r>
            <w:r w:rsidR="00522ABA" w:rsidRPr="007D3D0D">
              <w:rPr>
                <w:rFonts w:ascii="Times New Roman" w:hAnsi="Times New Roman"/>
                <w:color w:val="000000" w:themeColor="text1"/>
                <w:sz w:val="28"/>
                <w:szCs w:val="28"/>
                <w:lang w:val="ro-MD"/>
              </w:rPr>
              <w:t>.</w:t>
            </w:r>
            <w:proofErr w:type="spellEnd"/>
            <w:r w:rsidR="00522ABA" w:rsidRPr="007D3D0D">
              <w:rPr>
                <w:rFonts w:ascii="Times New Roman" w:hAnsi="Times New Roman"/>
                <w:color w:val="000000" w:themeColor="text1"/>
                <w:sz w:val="28"/>
                <w:szCs w:val="28"/>
                <w:lang w:val="ro-MD"/>
              </w:rPr>
              <w:t xml:space="preserve"> </w:t>
            </w:r>
            <w:r w:rsidR="008F64FC" w:rsidRPr="007D3D0D">
              <w:rPr>
                <w:rFonts w:ascii="Times New Roman" w:hAnsi="Times New Roman"/>
                <w:color w:val="000000" w:themeColor="text1"/>
                <w:sz w:val="28"/>
                <w:szCs w:val="28"/>
                <w:lang w:val="ro-MD"/>
              </w:rPr>
              <w:t>(541440,00+243840,00)x10%</w:t>
            </w:r>
            <w:r w:rsidRPr="007D3D0D">
              <w:rPr>
                <w:rFonts w:ascii="Times New Roman" w:hAnsi="Times New Roman"/>
                <w:color w:val="000000" w:themeColor="text1"/>
                <w:sz w:val="28"/>
                <w:szCs w:val="28"/>
                <w:lang w:val="ro-MD"/>
              </w:rPr>
              <w:t xml:space="preserve"> = </w:t>
            </w:r>
            <w:r w:rsidR="008F64FC" w:rsidRPr="007D3D0D">
              <w:rPr>
                <w:rFonts w:ascii="Times New Roman" w:hAnsi="Times New Roman"/>
                <w:color w:val="000000" w:themeColor="text1"/>
                <w:sz w:val="28"/>
                <w:szCs w:val="28"/>
                <w:lang w:val="ro-MD"/>
              </w:rPr>
              <w:t xml:space="preserve">78528,00 </w:t>
            </w:r>
            <w:r w:rsidRPr="007D3D0D">
              <w:rPr>
                <w:rFonts w:ascii="Times New Roman" w:hAnsi="Times New Roman"/>
                <w:color w:val="000000" w:themeColor="text1"/>
                <w:sz w:val="28"/>
                <w:szCs w:val="28"/>
                <w:lang w:val="ro-MD"/>
              </w:rPr>
              <w:t>lei;</w:t>
            </w:r>
          </w:p>
          <w:p w:rsidR="008F64FC" w:rsidRPr="007D3D0D" w:rsidRDefault="0056028E" w:rsidP="008F64FC">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 </w:t>
            </w:r>
            <w:r w:rsidR="001D29F0" w:rsidRPr="007D3D0D">
              <w:rPr>
                <w:rFonts w:ascii="Times New Roman" w:hAnsi="Times New Roman"/>
                <w:color w:val="000000" w:themeColor="text1"/>
                <w:sz w:val="28"/>
                <w:szCs w:val="28"/>
                <w:lang w:val="ro-MD"/>
              </w:rPr>
              <w:t>sporul pentru</w:t>
            </w:r>
            <w:r w:rsidR="00793C96" w:rsidRPr="007D3D0D">
              <w:rPr>
                <w:rFonts w:ascii="Times New Roman" w:hAnsi="Times New Roman"/>
                <w:color w:val="000000" w:themeColor="text1"/>
                <w:sz w:val="28"/>
                <w:szCs w:val="28"/>
                <w:lang w:val="ro-MD"/>
              </w:rPr>
              <w:t xml:space="preserve"> caracter specific </w:t>
            </w:r>
            <w:r w:rsidR="008F64FC" w:rsidRPr="007D3D0D">
              <w:rPr>
                <w:rFonts w:ascii="Times New Roman" w:hAnsi="Times New Roman"/>
                <w:color w:val="000000" w:themeColor="text1"/>
                <w:sz w:val="28"/>
                <w:szCs w:val="28"/>
                <w:lang w:val="ro-MD"/>
              </w:rPr>
              <w:t xml:space="preserve">(20%), pentru cele 6 </w:t>
            </w:r>
            <w:proofErr w:type="spellStart"/>
            <w:r w:rsidR="008F64FC" w:rsidRPr="007D3D0D">
              <w:rPr>
                <w:rFonts w:ascii="Times New Roman" w:hAnsi="Times New Roman"/>
                <w:color w:val="000000" w:themeColor="text1"/>
                <w:sz w:val="28"/>
                <w:szCs w:val="28"/>
                <w:lang w:val="ro-MD"/>
              </w:rPr>
              <w:t>u.p</w:t>
            </w:r>
            <w:r w:rsidR="00522ABA" w:rsidRPr="007D3D0D">
              <w:rPr>
                <w:rFonts w:ascii="Times New Roman" w:hAnsi="Times New Roman"/>
                <w:color w:val="000000" w:themeColor="text1"/>
                <w:sz w:val="28"/>
                <w:szCs w:val="28"/>
                <w:lang w:val="ro-MD"/>
              </w:rPr>
              <w:t>.</w:t>
            </w:r>
            <w:proofErr w:type="spellEnd"/>
            <w:r w:rsidR="00522ABA" w:rsidRPr="007D3D0D">
              <w:rPr>
                <w:rFonts w:ascii="Times New Roman" w:hAnsi="Times New Roman"/>
                <w:color w:val="000000" w:themeColor="text1"/>
                <w:sz w:val="28"/>
                <w:szCs w:val="28"/>
                <w:lang w:val="ro-MD"/>
              </w:rPr>
              <w:t xml:space="preserve"> </w:t>
            </w:r>
            <w:r w:rsidR="008F64FC" w:rsidRPr="007D3D0D">
              <w:rPr>
                <w:rFonts w:ascii="Times New Roman" w:hAnsi="Times New Roman"/>
                <w:color w:val="000000" w:themeColor="text1"/>
                <w:sz w:val="28"/>
                <w:szCs w:val="28"/>
                <w:lang w:val="ro-MD"/>
              </w:rPr>
              <w:t>(541440,00+243840,00)</w:t>
            </w:r>
            <w:r w:rsidR="00522ABA" w:rsidRPr="007D3D0D">
              <w:rPr>
                <w:rFonts w:ascii="Times New Roman" w:hAnsi="Times New Roman"/>
                <w:color w:val="000000" w:themeColor="text1"/>
                <w:sz w:val="28"/>
                <w:szCs w:val="28"/>
                <w:lang w:val="ro-MD"/>
              </w:rPr>
              <w:t xml:space="preserve"> </w:t>
            </w:r>
            <w:r w:rsidR="008F64FC" w:rsidRPr="007D3D0D">
              <w:rPr>
                <w:rFonts w:ascii="Times New Roman" w:hAnsi="Times New Roman"/>
                <w:color w:val="000000" w:themeColor="text1"/>
                <w:sz w:val="28"/>
                <w:szCs w:val="28"/>
                <w:lang w:val="ro-MD"/>
              </w:rPr>
              <w:t xml:space="preserve">x20% = </w:t>
            </w:r>
            <w:r w:rsidR="00C2219C" w:rsidRPr="007D3D0D">
              <w:rPr>
                <w:rFonts w:ascii="Times New Roman" w:hAnsi="Times New Roman"/>
                <w:color w:val="000000" w:themeColor="text1"/>
                <w:sz w:val="28"/>
                <w:szCs w:val="28"/>
                <w:lang w:val="ro-MD"/>
              </w:rPr>
              <w:t>157056</w:t>
            </w:r>
            <w:r w:rsidR="008F64FC" w:rsidRPr="007D3D0D">
              <w:rPr>
                <w:rFonts w:ascii="Times New Roman" w:hAnsi="Times New Roman"/>
                <w:color w:val="000000" w:themeColor="text1"/>
                <w:sz w:val="28"/>
                <w:szCs w:val="28"/>
                <w:lang w:val="ro-MD"/>
              </w:rPr>
              <w:t>,00 lei;</w:t>
            </w:r>
          </w:p>
          <w:p w:rsidR="00393B00" w:rsidRPr="007D3D0D" w:rsidRDefault="00393B00" w:rsidP="00393B00">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sporul pentru gradul militar ((4</w:t>
            </w:r>
            <w:r w:rsidR="00005083" w:rsidRPr="007D3D0D">
              <w:rPr>
                <w:rFonts w:ascii="Times New Roman" w:hAnsi="Times New Roman"/>
                <w:color w:val="000000" w:themeColor="text1"/>
                <w:sz w:val="28"/>
                <w:szCs w:val="28"/>
                <w:lang w:val="ro-MD"/>
              </w:rPr>
              <w:t>u.p.</w:t>
            </w:r>
            <w:r w:rsidRPr="007D3D0D">
              <w:rPr>
                <w:rFonts w:ascii="Times New Roman" w:hAnsi="Times New Roman"/>
                <w:color w:val="000000" w:themeColor="text1"/>
                <w:sz w:val="28"/>
                <w:szCs w:val="28"/>
                <w:lang w:val="ro-MD"/>
              </w:rPr>
              <w:t>x400,00) +</w:t>
            </w:r>
            <w:r w:rsidR="00005083" w:rsidRPr="007D3D0D">
              <w:rPr>
                <w:rFonts w:ascii="Times New Roman" w:hAnsi="Times New Roman"/>
                <w:color w:val="000000" w:themeColor="text1"/>
                <w:sz w:val="28"/>
                <w:szCs w:val="28"/>
                <w:lang w:val="ro-MD"/>
              </w:rPr>
              <w:t xml:space="preserve"> </w:t>
            </w:r>
            <w:r w:rsidRPr="007D3D0D">
              <w:rPr>
                <w:rFonts w:ascii="Times New Roman" w:hAnsi="Times New Roman"/>
                <w:color w:val="000000" w:themeColor="text1"/>
                <w:sz w:val="28"/>
                <w:szCs w:val="28"/>
                <w:lang w:val="ro-MD"/>
              </w:rPr>
              <w:t>(2</w:t>
            </w:r>
            <w:r w:rsidR="00005083" w:rsidRPr="007D3D0D">
              <w:rPr>
                <w:rFonts w:ascii="Times New Roman" w:hAnsi="Times New Roman"/>
                <w:color w:val="000000" w:themeColor="text1"/>
                <w:sz w:val="28"/>
                <w:szCs w:val="28"/>
                <w:lang w:val="ro-MD"/>
              </w:rPr>
              <w:t>u.p.</w:t>
            </w:r>
            <w:r w:rsidRPr="007D3D0D">
              <w:rPr>
                <w:rFonts w:ascii="Times New Roman" w:hAnsi="Times New Roman"/>
                <w:color w:val="000000" w:themeColor="text1"/>
                <w:sz w:val="28"/>
                <w:szCs w:val="28"/>
                <w:lang w:val="ro-MD"/>
              </w:rPr>
              <w:t>x275,00))x12=25800,00 lei;</w:t>
            </w:r>
          </w:p>
          <w:p w:rsidR="00B023D7" w:rsidRPr="007D3D0D" w:rsidRDefault="00B023D7" w:rsidP="00393B00">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Astfel, cheltuielile reflectate, pentru retribuirea muncii celor 6 unități de personal solicitate suplimentar, pentru anul 2026, se estimează la </w:t>
            </w:r>
            <w:r w:rsidR="00393B00" w:rsidRPr="007D3D0D">
              <w:rPr>
                <w:rFonts w:ascii="Times New Roman" w:hAnsi="Times New Roman"/>
                <w:color w:val="000000" w:themeColor="text1"/>
                <w:sz w:val="28"/>
                <w:szCs w:val="28"/>
                <w:lang w:val="ro-MD"/>
              </w:rPr>
              <w:t xml:space="preserve">1140264,00 </w:t>
            </w:r>
            <w:r w:rsidR="00FB0DA4" w:rsidRPr="007D3D0D">
              <w:rPr>
                <w:rFonts w:ascii="Times New Roman" w:hAnsi="Times New Roman"/>
                <w:color w:val="000000" w:themeColor="text1"/>
                <w:sz w:val="28"/>
                <w:szCs w:val="28"/>
                <w:lang w:val="ro-MD"/>
              </w:rPr>
              <w:t>lei</w:t>
            </w:r>
            <w:r w:rsidRPr="007D3D0D">
              <w:rPr>
                <w:rFonts w:ascii="Times New Roman" w:hAnsi="Times New Roman"/>
                <w:color w:val="000000" w:themeColor="text1"/>
                <w:sz w:val="28"/>
                <w:szCs w:val="28"/>
                <w:lang w:val="ro-MD"/>
              </w:rPr>
              <w:t>.</w:t>
            </w:r>
          </w:p>
        </w:tc>
      </w:tr>
      <w:tr w:rsidR="007D3D0D" w:rsidRPr="007D3D0D" w:rsidTr="000C47AF">
        <w:tc>
          <w:tcPr>
            <w:tcW w:w="9913"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lastRenderedPageBreak/>
              <w:t>4.3. Impactul asupra sectorului privat</w:t>
            </w:r>
          </w:p>
        </w:tc>
      </w:tr>
      <w:tr w:rsidR="007D3D0D" w:rsidRPr="007D3D0D" w:rsidTr="0000636A">
        <w:tc>
          <w:tcPr>
            <w:tcW w:w="9913"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B872DE" w:rsidRPr="007D3D0D" w:rsidRDefault="00745BC3" w:rsidP="00FB0DA4">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Proiectul Hotărâr</w:t>
            </w:r>
            <w:r w:rsidR="00FB0DA4" w:rsidRPr="007D3D0D">
              <w:rPr>
                <w:rFonts w:ascii="Times New Roman" w:hAnsi="Times New Roman"/>
                <w:color w:val="000000" w:themeColor="text1"/>
                <w:sz w:val="28"/>
                <w:szCs w:val="28"/>
                <w:lang w:val="ro-MD"/>
              </w:rPr>
              <w:t>ii</w:t>
            </w:r>
            <w:r w:rsidRPr="007D3D0D">
              <w:rPr>
                <w:rFonts w:ascii="Times New Roman" w:hAnsi="Times New Roman"/>
                <w:color w:val="000000" w:themeColor="text1"/>
                <w:sz w:val="28"/>
                <w:szCs w:val="28"/>
                <w:lang w:val="ro-MD"/>
              </w:rPr>
              <w:t xml:space="preserve"> oferă claritate în structura Agenției, </w:t>
            </w:r>
            <w:proofErr w:type="spellStart"/>
            <w:r w:rsidRPr="007D3D0D">
              <w:rPr>
                <w:rFonts w:ascii="Times New Roman" w:hAnsi="Times New Roman"/>
                <w:color w:val="000000" w:themeColor="text1"/>
                <w:sz w:val="28"/>
                <w:szCs w:val="28"/>
                <w:lang w:val="ro-MD"/>
              </w:rPr>
              <w:t>stabileşte</w:t>
            </w:r>
            <w:proofErr w:type="spellEnd"/>
            <w:r w:rsidRPr="007D3D0D">
              <w:rPr>
                <w:rFonts w:ascii="Times New Roman" w:hAnsi="Times New Roman"/>
                <w:color w:val="000000" w:themeColor="text1"/>
                <w:sz w:val="28"/>
                <w:szCs w:val="28"/>
                <w:lang w:val="ro-MD"/>
              </w:rPr>
              <w:t xml:space="preserv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delimitează atribuțiile acesteia, aspect care va determina o comunicare/colaborare mai eficientă între Agenție, pe de o parte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sectorul privat, societatea civilă </w:t>
            </w:r>
            <w:proofErr w:type="spellStart"/>
            <w:r w:rsidRPr="007D3D0D">
              <w:rPr>
                <w:rFonts w:ascii="Times New Roman" w:hAnsi="Times New Roman"/>
                <w:color w:val="000000" w:themeColor="text1"/>
                <w:sz w:val="28"/>
                <w:szCs w:val="28"/>
                <w:lang w:val="ro-MD"/>
              </w:rPr>
              <w:t>şi</w:t>
            </w:r>
            <w:proofErr w:type="spellEnd"/>
            <w:r w:rsidRPr="007D3D0D">
              <w:rPr>
                <w:rFonts w:ascii="Times New Roman" w:hAnsi="Times New Roman"/>
                <w:color w:val="000000" w:themeColor="text1"/>
                <w:sz w:val="28"/>
                <w:szCs w:val="28"/>
                <w:lang w:val="ro-MD"/>
              </w:rPr>
              <w:t xml:space="preserve"> entitățile neguvernamentale, pe de altă parte.</w:t>
            </w:r>
          </w:p>
        </w:tc>
      </w:tr>
      <w:tr w:rsidR="007D3D0D" w:rsidRPr="007D3D0D" w:rsidTr="0000636A">
        <w:tc>
          <w:tcPr>
            <w:tcW w:w="9913" w:type="dxa"/>
            <w:tcBorders>
              <w:top w:val="single" w:sz="8"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AD0855" w:rsidRPr="007D3D0D" w:rsidRDefault="00AD0855" w:rsidP="00425B49">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4.4. Impactul social</w:t>
            </w:r>
          </w:p>
        </w:tc>
      </w:tr>
      <w:tr w:rsidR="007D3D0D" w:rsidRPr="007D3D0D" w:rsidTr="0000636A">
        <w:tc>
          <w:tcPr>
            <w:tcW w:w="9913"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B369C5" w:rsidRPr="007D3D0D" w:rsidRDefault="00745BC3" w:rsidP="00D33AFC">
            <w:pPr>
              <w:ind w:firstLine="449"/>
              <w:rPr>
                <w:rFonts w:ascii="Times New Roman" w:hAnsi="Times New Roman"/>
                <w:b/>
                <w:color w:val="000000" w:themeColor="text1"/>
                <w:sz w:val="28"/>
                <w:szCs w:val="28"/>
                <w:lang w:val="ro-MD"/>
              </w:rPr>
            </w:pPr>
            <w:r w:rsidRPr="007D3D0D">
              <w:rPr>
                <w:rFonts w:ascii="Times New Roman" w:hAnsi="Times New Roman"/>
                <w:b/>
                <w:color w:val="000000" w:themeColor="text1"/>
                <w:sz w:val="28"/>
                <w:szCs w:val="28"/>
                <w:shd w:val="clear" w:color="auto" w:fill="FFFFFF" w:themeFill="background1"/>
                <w:lang w:val="ro-MD"/>
              </w:rPr>
              <w:t>Nu este aplicabil.</w:t>
            </w:r>
          </w:p>
        </w:tc>
      </w:tr>
      <w:tr w:rsidR="007D3D0D" w:rsidRPr="007D3D0D" w:rsidTr="006F6193">
        <w:tc>
          <w:tcPr>
            <w:tcW w:w="9913"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425B49" w:rsidRPr="007D3D0D" w:rsidRDefault="00425B49"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4.4.1. Impactul asupra datelor cu caracter personal</w:t>
            </w:r>
          </w:p>
        </w:tc>
      </w:tr>
      <w:tr w:rsidR="007D3D0D" w:rsidRPr="007D3D0D" w:rsidTr="006F6193">
        <w:tc>
          <w:tcPr>
            <w:tcW w:w="9913"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425B49" w:rsidRPr="007D3D0D" w:rsidRDefault="00806E2D" w:rsidP="00B550F8">
            <w:pPr>
              <w:ind w:firstLine="449"/>
              <w:rPr>
                <w:rFonts w:ascii="Times New Roman" w:hAnsi="Times New Roman"/>
                <w:b/>
                <w:color w:val="000000" w:themeColor="text1"/>
                <w:sz w:val="28"/>
                <w:szCs w:val="28"/>
                <w:shd w:val="clear" w:color="auto" w:fill="FFFFFF" w:themeFill="background1"/>
                <w:lang w:val="ro-MD"/>
              </w:rPr>
            </w:pPr>
            <w:r w:rsidRPr="007D3D0D">
              <w:rPr>
                <w:rFonts w:ascii="Times New Roman" w:hAnsi="Times New Roman"/>
                <w:b/>
                <w:color w:val="000000" w:themeColor="text1"/>
                <w:sz w:val="28"/>
                <w:szCs w:val="28"/>
                <w:shd w:val="clear" w:color="auto" w:fill="FFFFFF" w:themeFill="background1"/>
                <w:lang w:val="ro-MD"/>
              </w:rPr>
              <w:t>Nu este aplicabil.</w:t>
            </w:r>
            <w:r w:rsidR="00174304" w:rsidRPr="007D3D0D">
              <w:rPr>
                <w:rFonts w:ascii="Times New Roman" w:hAnsi="Times New Roman"/>
                <w:b/>
                <w:color w:val="000000" w:themeColor="text1"/>
                <w:sz w:val="28"/>
                <w:szCs w:val="28"/>
                <w:shd w:val="clear" w:color="auto" w:fill="FFFFFF" w:themeFill="background1"/>
                <w:lang w:val="ro-MD"/>
              </w:rPr>
              <w:t xml:space="preserve"> </w:t>
            </w:r>
          </w:p>
        </w:tc>
      </w:tr>
      <w:tr w:rsidR="007D3D0D" w:rsidRPr="007D3D0D" w:rsidTr="00AD0855">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25B49" w:rsidRPr="007D3D0D" w:rsidRDefault="00425B49"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4.4.2. Impactul asupra echității și egalității de gen</w:t>
            </w:r>
          </w:p>
        </w:tc>
      </w:tr>
      <w:tr w:rsidR="007D3D0D" w:rsidRPr="007D3D0D" w:rsidTr="001610C2">
        <w:tc>
          <w:tcPr>
            <w:tcW w:w="9913"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425B49" w:rsidRPr="007D3D0D" w:rsidRDefault="00F62464" w:rsidP="002379C4">
            <w:pPr>
              <w:ind w:firstLine="449"/>
              <w:rPr>
                <w:rFonts w:ascii="Times New Roman" w:hAnsi="Times New Roman"/>
                <w:b/>
                <w:color w:val="000000" w:themeColor="text1"/>
                <w:sz w:val="28"/>
                <w:szCs w:val="28"/>
                <w:lang w:val="ro-MD"/>
              </w:rPr>
            </w:pPr>
            <w:r w:rsidRPr="007D3D0D">
              <w:rPr>
                <w:rFonts w:ascii="Times New Roman" w:hAnsi="Times New Roman"/>
                <w:b/>
                <w:color w:val="000000" w:themeColor="text1"/>
                <w:sz w:val="28"/>
                <w:szCs w:val="28"/>
                <w:shd w:val="clear" w:color="auto" w:fill="FFFFFF" w:themeFill="background1"/>
                <w:lang w:val="ro-MD"/>
              </w:rPr>
              <w:t>Nu este aplicabil.</w:t>
            </w:r>
          </w:p>
        </w:tc>
      </w:tr>
      <w:tr w:rsidR="007D3D0D" w:rsidRPr="007D3D0D" w:rsidTr="00AD0855">
        <w:tc>
          <w:tcPr>
            <w:tcW w:w="991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4.5. Impactul asupra mediului</w:t>
            </w:r>
          </w:p>
        </w:tc>
      </w:tr>
      <w:tr w:rsidR="007D3D0D" w:rsidRPr="007D3D0D" w:rsidTr="00B872DE">
        <w:tc>
          <w:tcPr>
            <w:tcW w:w="9913"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B872DE" w:rsidRPr="007D3D0D" w:rsidRDefault="005768DB" w:rsidP="00C5232F">
            <w:pPr>
              <w:ind w:firstLine="449"/>
              <w:rPr>
                <w:rFonts w:ascii="Times New Roman" w:hAnsi="Times New Roman"/>
                <w:b/>
                <w:color w:val="000000" w:themeColor="text1"/>
                <w:sz w:val="28"/>
                <w:szCs w:val="28"/>
                <w:lang w:val="ro-MD"/>
              </w:rPr>
            </w:pPr>
            <w:r w:rsidRPr="007D3D0D">
              <w:rPr>
                <w:rFonts w:ascii="Times New Roman" w:hAnsi="Times New Roman"/>
                <w:b/>
                <w:color w:val="000000" w:themeColor="text1"/>
                <w:sz w:val="28"/>
                <w:szCs w:val="28"/>
                <w:lang w:val="ro-MD"/>
              </w:rPr>
              <w:t>Nu este aplicabil.</w:t>
            </w:r>
          </w:p>
        </w:tc>
      </w:tr>
      <w:tr w:rsidR="007D3D0D" w:rsidRPr="007D3D0D" w:rsidTr="0067272C">
        <w:tc>
          <w:tcPr>
            <w:tcW w:w="9913"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4.6. Alte impacturi și informații relevante</w:t>
            </w:r>
          </w:p>
        </w:tc>
      </w:tr>
      <w:tr w:rsidR="007D3D0D" w:rsidRPr="007D3D0D" w:rsidTr="0067272C">
        <w:tc>
          <w:tcPr>
            <w:tcW w:w="991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6A62AE" w:rsidRPr="007D3D0D" w:rsidRDefault="00FC763B" w:rsidP="00FC763B">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Proiectul nu conține prevederi de reglementare a activității de întreprinzător în contextul Legii nr.235/2006 cu privire la principiile de bază de reglementare a activității de întreprinzător, astfel decăzând necesitatea examinării acestuia de către Grupul de lucru pentru reglementarea activității de întreprinzător.</w:t>
            </w:r>
          </w:p>
        </w:tc>
      </w:tr>
      <w:tr w:rsidR="007D3D0D" w:rsidRPr="007D3D0D" w:rsidTr="00DC7365">
        <w:tc>
          <w:tcPr>
            <w:tcW w:w="9913"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C5232F">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 xml:space="preserve">5. Compatibilitatea proiectului actului normativ cu legislația UE </w:t>
            </w:r>
          </w:p>
        </w:tc>
      </w:tr>
      <w:tr w:rsidR="007D3D0D" w:rsidRPr="007D3D0D" w:rsidTr="00DC7365">
        <w:tc>
          <w:tcPr>
            <w:tcW w:w="9913"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5.1. Măsuri normative necesare pentru transpunerea actelor juridice ale UE în legislația națională</w:t>
            </w:r>
          </w:p>
        </w:tc>
      </w:tr>
      <w:tr w:rsidR="007D3D0D" w:rsidRPr="007D3D0D" w:rsidTr="00B872DE">
        <w:tc>
          <w:tcPr>
            <w:tcW w:w="9913"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B872DE" w:rsidRPr="007D3D0D" w:rsidRDefault="001610C2" w:rsidP="00C5232F">
            <w:pPr>
              <w:ind w:firstLine="449"/>
              <w:rPr>
                <w:rFonts w:ascii="Times New Roman" w:hAnsi="Times New Roman"/>
                <w:b/>
                <w:color w:val="000000" w:themeColor="text1"/>
                <w:sz w:val="28"/>
                <w:szCs w:val="28"/>
                <w:lang w:val="ro-MD"/>
              </w:rPr>
            </w:pPr>
            <w:r w:rsidRPr="007D3D0D">
              <w:rPr>
                <w:rFonts w:ascii="Times New Roman" w:hAnsi="Times New Roman"/>
                <w:b/>
                <w:color w:val="000000" w:themeColor="text1"/>
                <w:sz w:val="28"/>
                <w:szCs w:val="28"/>
                <w:lang w:val="ro-MD"/>
              </w:rPr>
              <w:t>Nu este aplicabil.</w:t>
            </w:r>
          </w:p>
        </w:tc>
      </w:tr>
      <w:tr w:rsidR="007D3D0D" w:rsidRPr="007D3D0D" w:rsidTr="00B872DE">
        <w:tc>
          <w:tcPr>
            <w:tcW w:w="9913"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AD0855" w:rsidRPr="007D3D0D" w:rsidRDefault="00AD0855" w:rsidP="00C5232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5.2. Măsuri normative care urmăresc crearea cadrului juridic intern necesar pentru implementarea legislației UE</w:t>
            </w:r>
          </w:p>
        </w:tc>
      </w:tr>
      <w:tr w:rsidR="007D3D0D" w:rsidRPr="007D3D0D" w:rsidTr="00AD0855">
        <w:tc>
          <w:tcPr>
            <w:tcW w:w="991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D0855" w:rsidRPr="007D3D0D" w:rsidRDefault="00C5232F" w:rsidP="00C5232F">
            <w:pPr>
              <w:ind w:firstLine="449"/>
              <w:rPr>
                <w:rFonts w:ascii="Times New Roman" w:hAnsi="Times New Roman"/>
                <w:b/>
                <w:color w:val="000000" w:themeColor="text1"/>
                <w:sz w:val="28"/>
                <w:szCs w:val="28"/>
                <w:lang w:val="ro-MD"/>
              </w:rPr>
            </w:pPr>
            <w:r w:rsidRPr="007D3D0D">
              <w:rPr>
                <w:rFonts w:ascii="Times New Roman" w:hAnsi="Times New Roman"/>
                <w:b/>
                <w:color w:val="000000" w:themeColor="text1"/>
                <w:sz w:val="28"/>
                <w:szCs w:val="28"/>
                <w:lang w:val="ro-MD"/>
              </w:rPr>
              <w:t>Nu este aplicabil.</w:t>
            </w:r>
          </w:p>
        </w:tc>
      </w:tr>
      <w:tr w:rsidR="007D3D0D" w:rsidRPr="007D3D0D" w:rsidTr="00770DD8">
        <w:tc>
          <w:tcPr>
            <w:tcW w:w="9913"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C5232F">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6. Avizarea și consultarea publică a proiectului actului normativ</w:t>
            </w:r>
          </w:p>
        </w:tc>
      </w:tr>
      <w:tr w:rsidR="007D3D0D" w:rsidRPr="007D3D0D" w:rsidTr="000F6B97">
        <w:tc>
          <w:tcPr>
            <w:tcW w:w="991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62965" w:rsidRPr="007D3D0D" w:rsidRDefault="00762965" w:rsidP="00762965">
            <w:pPr>
              <w:ind w:firstLine="450"/>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Întru respectarea prevederilor Legii nr. 100/2017 cu privire la actele normative și ale Legii nr. 239/2008 privind transparența în procesul decizional, anunțul privind inițierea elaborării proiectului și consultării publice a fost plasat pe pagina web www.particip.gov.md (</w:t>
            </w:r>
            <w:hyperlink r:id="rId8" w:history="1">
              <w:r w:rsidRPr="007D3D0D">
                <w:rPr>
                  <w:rStyle w:val="Hyperlink"/>
                  <w:rFonts w:ascii="Times New Roman" w:hAnsi="Times New Roman"/>
                  <w:color w:val="000000" w:themeColor="text1"/>
                  <w:sz w:val="28"/>
                  <w:szCs w:val="28"/>
                  <w:lang w:val="ro-MD"/>
                </w:rPr>
                <w:t>https://particip.gov.md/ro/document/stages/*/15580</w:t>
              </w:r>
            </w:hyperlink>
            <w:r w:rsidRPr="007D3D0D">
              <w:rPr>
                <w:rFonts w:ascii="Times New Roman" w:hAnsi="Times New Roman"/>
                <w:color w:val="000000" w:themeColor="text1"/>
                <w:sz w:val="28"/>
                <w:szCs w:val="28"/>
                <w:lang w:val="ro-MD"/>
              </w:rPr>
              <w:t xml:space="preserve"> )</w:t>
            </w:r>
          </w:p>
          <w:p w:rsidR="004931B8" w:rsidRPr="007D3D0D" w:rsidRDefault="00762965" w:rsidP="00762965">
            <w:pPr>
              <w:ind w:firstLine="450"/>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Proiectul a fost avizat de către Cancelaria de Stat, Ministerul Finanțelor și Ministerul Afacerilor Interne, propunerile și recomandările expuse în avizele recepționate au fost reflectate în sinteza la proiect.</w:t>
            </w:r>
          </w:p>
        </w:tc>
      </w:tr>
      <w:tr w:rsidR="007D3D0D" w:rsidRPr="007D3D0D" w:rsidTr="000F6B97">
        <w:tc>
          <w:tcPr>
            <w:tcW w:w="9913"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C5232F">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7. Concluziile expertizelor</w:t>
            </w:r>
          </w:p>
        </w:tc>
      </w:tr>
      <w:tr w:rsidR="007D3D0D" w:rsidRPr="007D3D0D" w:rsidTr="00D352EA">
        <w:tc>
          <w:tcPr>
            <w:tcW w:w="9913" w:type="dxa"/>
            <w:tcBorders>
              <w:top w:val="single" w:sz="4" w:space="0" w:color="auto"/>
              <w:left w:val="single" w:sz="8" w:space="0" w:color="000000"/>
              <w:bottom w:val="single" w:sz="4" w:space="0" w:color="auto"/>
              <w:right w:val="single" w:sz="8" w:space="0" w:color="000000"/>
            </w:tcBorders>
            <w:shd w:val="clear" w:color="FFFFFF" w:fill="FFFFFF"/>
            <w:tcMar>
              <w:top w:w="0" w:type="dxa"/>
              <w:left w:w="108" w:type="dxa"/>
              <w:bottom w:w="0" w:type="dxa"/>
              <w:right w:w="108" w:type="dxa"/>
            </w:tcMar>
          </w:tcPr>
          <w:p w:rsidR="00CC6F8D" w:rsidRPr="007D3D0D" w:rsidRDefault="00762965" w:rsidP="0094651B">
            <w:pPr>
              <w:ind w:firstLine="449"/>
              <w:rPr>
                <w:rFonts w:ascii="Times New Roman" w:hAnsi="Times New Roman"/>
                <w:bCs/>
                <w:color w:val="000000" w:themeColor="text1"/>
                <w:sz w:val="28"/>
                <w:szCs w:val="28"/>
                <w:lang w:val="ro-MD"/>
              </w:rPr>
            </w:pPr>
            <w:r w:rsidRPr="007D3D0D">
              <w:rPr>
                <w:rFonts w:ascii="Times New Roman" w:hAnsi="Times New Roman"/>
                <w:bCs/>
                <w:color w:val="000000" w:themeColor="text1"/>
                <w:sz w:val="28"/>
                <w:szCs w:val="28"/>
                <w:lang w:val="ro-MD"/>
              </w:rPr>
              <w:lastRenderedPageBreak/>
              <w:t>Conform prevederilor art. 36 și 37 din Legea nr. 100/2017 cu privire la actele normative, proiectul a fost prezentat Ministerului Justiției și Centrului Național Anticorupție pentru efectuarea expertizei anticorupție și expertizei juridice, recomandările cărora au fost luate în considerare și incluse în sinteza la proiect.</w:t>
            </w:r>
          </w:p>
        </w:tc>
      </w:tr>
      <w:tr w:rsidR="007D3D0D" w:rsidRPr="007D3D0D" w:rsidTr="008F30B7">
        <w:tc>
          <w:tcPr>
            <w:tcW w:w="9913"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C5232F">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8. Modul de încorporare a actului în cadrul normativ existent</w:t>
            </w:r>
          </w:p>
        </w:tc>
      </w:tr>
      <w:tr w:rsidR="007D3D0D" w:rsidRPr="007D3D0D" w:rsidTr="0042753D">
        <w:tc>
          <w:tcPr>
            <w:tcW w:w="991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AD0855" w:rsidRPr="007D3D0D" w:rsidRDefault="0057742A" w:rsidP="0057742A">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Proiectul hotărârii Guvernului se încadrează în cadrul normativ în vigoare, iar aprobarea acestuia nu va genera ca consecință necesitatea amendării altor acte normative.</w:t>
            </w:r>
          </w:p>
        </w:tc>
      </w:tr>
      <w:tr w:rsidR="007D3D0D" w:rsidRPr="007D3D0D" w:rsidTr="0042753D">
        <w:tc>
          <w:tcPr>
            <w:tcW w:w="9913"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AD0855" w:rsidRPr="007D3D0D" w:rsidRDefault="00AD0855" w:rsidP="00C5232F">
            <w:pPr>
              <w:ind w:firstLine="449"/>
              <w:rPr>
                <w:rFonts w:ascii="Times New Roman" w:hAnsi="Times New Roman"/>
                <w:b/>
                <w:bCs/>
                <w:color w:val="000000" w:themeColor="text1"/>
                <w:sz w:val="28"/>
                <w:szCs w:val="28"/>
                <w:lang w:val="ro-MD"/>
              </w:rPr>
            </w:pPr>
            <w:r w:rsidRPr="007D3D0D">
              <w:rPr>
                <w:rFonts w:ascii="Times New Roman" w:hAnsi="Times New Roman"/>
                <w:b/>
                <w:bCs/>
                <w:color w:val="000000" w:themeColor="text1"/>
                <w:sz w:val="28"/>
                <w:szCs w:val="28"/>
                <w:lang w:val="ro-MD"/>
              </w:rPr>
              <w:t>9. Măsurile necesare pentru implementarea prevederilor proiectului actului normativ</w:t>
            </w:r>
          </w:p>
        </w:tc>
      </w:tr>
      <w:tr w:rsidR="007D3D0D" w:rsidRPr="007D3D0D" w:rsidTr="007D3D0D">
        <w:trPr>
          <w:trHeight w:val="58"/>
        </w:trPr>
        <w:tc>
          <w:tcPr>
            <w:tcW w:w="991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64C7F" w:rsidRPr="007D3D0D" w:rsidRDefault="00762965" w:rsidP="00A251CF">
            <w:pPr>
              <w:ind w:firstLine="449"/>
              <w:rPr>
                <w:rFonts w:ascii="Times New Roman" w:hAnsi="Times New Roman"/>
                <w:color w:val="000000" w:themeColor="text1"/>
                <w:sz w:val="28"/>
                <w:szCs w:val="28"/>
                <w:lang w:val="ro-MD"/>
              </w:rPr>
            </w:pPr>
            <w:r w:rsidRPr="007D3D0D">
              <w:rPr>
                <w:rFonts w:ascii="Times New Roman" w:hAnsi="Times New Roman"/>
                <w:color w:val="000000" w:themeColor="text1"/>
                <w:sz w:val="28"/>
                <w:szCs w:val="28"/>
                <w:lang w:val="ro-MD"/>
              </w:rPr>
              <w:t xml:space="preserve">Pentru implementarea prevederilor proiectului actului normativ se va examina oportunitatea de revizuire și aprobare a organigramei </w:t>
            </w:r>
            <w:r w:rsidRPr="007D3D0D">
              <w:rPr>
                <w:rStyle w:val="FontStyle12"/>
                <w:color w:val="000000" w:themeColor="text1"/>
                <w:sz w:val="28"/>
                <w:szCs w:val="28"/>
                <w:lang w:val="ro-MD" w:eastAsia="ro-RO"/>
              </w:rPr>
              <w:t xml:space="preserve">Agenției Asigurare Resurse și Administrare Patrimoniu a Ministerului Apărării </w:t>
            </w:r>
            <w:r w:rsidRPr="007D3D0D">
              <w:rPr>
                <w:rFonts w:ascii="Times New Roman" w:hAnsi="Times New Roman"/>
                <w:color w:val="000000" w:themeColor="text1"/>
                <w:sz w:val="28"/>
                <w:szCs w:val="28"/>
                <w:lang w:val="ro-MD"/>
              </w:rPr>
              <w:t>și regulamentele de organizare și funcționare ale subdiviziunilor Agenției.</w:t>
            </w:r>
          </w:p>
        </w:tc>
      </w:tr>
    </w:tbl>
    <w:p w:rsidR="000611BC" w:rsidRPr="007D3D0D" w:rsidRDefault="000611BC" w:rsidP="00EB025D">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color w:val="000000" w:themeColor="text1"/>
          <w:sz w:val="28"/>
          <w:szCs w:val="28"/>
          <w:lang w:val="ro-MD"/>
        </w:rPr>
      </w:pPr>
    </w:p>
    <w:p w:rsidR="0042753D" w:rsidRPr="007D3D0D" w:rsidRDefault="0042753D" w:rsidP="00EB025D">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color w:val="000000" w:themeColor="text1"/>
          <w:sz w:val="28"/>
          <w:szCs w:val="28"/>
          <w:lang w:val="ro-MD"/>
        </w:rPr>
      </w:pPr>
    </w:p>
    <w:p w:rsidR="00F0181A" w:rsidRPr="007D3D0D" w:rsidRDefault="0042753D" w:rsidP="009C2DD6">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b/>
          <w:color w:val="000000" w:themeColor="text1"/>
          <w:sz w:val="28"/>
          <w:szCs w:val="28"/>
          <w:lang w:val="ro-MD"/>
        </w:rPr>
      </w:pPr>
      <w:r w:rsidRPr="007D3D0D">
        <w:rPr>
          <w:rFonts w:ascii="Times New Roman" w:eastAsia="Times New Roman" w:hAnsi="Times New Roman" w:cs="Times New Roman"/>
          <w:b/>
          <w:color w:val="000000" w:themeColor="text1"/>
          <w:sz w:val="28"/>
          <w:szCs w:val="28"/>
          <w:lang w:val="ro-MD"/>
        </w:rPr>
        <w:t>Ministru</w:t>
      </w:r>
      <w:r w:rsidRPr="007D3D0D">
        <w:rPr>
          <w:rFonts w:ascii="Times New Roman" w:eastAsia="Times New Roman" w:hAnsi="Times New Roman" w:cs="Times New Roman"/>
          <w:b/>
          <w:color w:val="000000" w:themeColor="text1"/>
          <w:sz w:val="28"/>
          <w:szCs w:val="28"/>
          <w:lang w:val="ro-MD"/>
        </w:rPr>
        <w:tab/>
      </w:r>
      <w:r w:rsidRPr="007D3D0D">
        <w:rPr>
          <w:rFonts w:ascii="Times New Roman" w:eastAsia="Times New Roman" w:hAnsi="Times New Roman" w:cs="Times New Roman"/>
          <w:b/>
          <w:color w:val="000000" w:themeColor="text1"/>
          <w:sz w:val="28"/>
          <w:szCs w:val="28"/>
          <w:lang w:val="ro-MD"/>
        </w:rPr>
        <w:tab/>
      </w:r>
      <w:r w:rsidRPr="007D3D0D">
        <w:rPr>
          <w:rFonts w:ascii="Times New Roman" w:eastAsia="Times New Roman" w:hAnsi="Times New Roman" w:cs="Times New Roman"/>
          <w:b/>
          <w:color w:val="000000" w:themeColor="text1"/>
          <w:sz w:val="28"/>
          <w:szCs w:val="28"/>
          <w:lang w:val="ro-MD"/>
        </w:rPr>
        <w:tab/>
      </w:r>
      <w:r w:rsidRPr="007D3D0D">
        <w:rPr>
          <w:rFonts w:ascii="Times New Roman" w:eastAsia="Times New Roman" w:hAnsi="Times New Roman" w:cs="Times New Roman"/>
          <w:b/>
          <w:color w:val="000000" w:themeColor="text1"/>
          <w:sz w:val="28"/>
          <w:szCs w:val="28"/>
          <w:lang w:val="ro-MD"/>
        </w:rPr>
        <w:tab/>
      </w:r>
      <w:r w:rsidRPr="007D3D0D">
        <w:rPr>
          <w:rFonts w:ascii="Times New Roman" w:eastAsia="Times New Roman" w:hAnsi="Times New Roman" w:cs="Times New Roman"/>
          <w:b/>
          <w:color w:val="000000" w:themeColor="text1"/>
          <w:sz w:val="28"/>
          <w:szCs w:val="28"/>
          <w:lang w:val="ro-MD"/>
        </w:rPr>
        <w:tab/>
      </w:r>
      <w:r w:rsidRPr="007D3D0D">
        <w:rPr>
          <w:rFonts w:ascii="Times New Roman" w:eastAsia="Times New Roman" w:hAnsi="Times New Roman" w:cs="Times New Roman"/>
          <w:b/>
          <w:color w:val="000000" w:themeColor="text1"/>
          <w:sz w:val="28"/>
          <w:szCs w:val="28"/>
          <w:lang w:val="ro-MD"/>
        </w:rPr>
        <w:tab/>
        <w:t>Anatolie NOSATÎI</w:t>
      </w:r>
    </w:p>
    <w:sectPr w:rsidR="00F0181A" w:rsidRPr="007D3D0D" w:rsidSect="007D3D0D">
      <w:pgSz w:w="12240" w:h="15840"/>
      <w:pgMar w:top="709" w:right="758"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A132D"/>
    <w:multiLevelType w:val="hybridMultilevel"/>
    <w:tmpl w:val="77D48158"/>
    <w:lvl w:ilvl="0" w:tplc="5AC826D8">
      <w:start w:val="1"/>
      <w:numFmt w:val="lowerRoman"/>
      <w:lvlText w:val="(%1)"/>
      <w:lvlJc w:val="left"/>
      <w:pPr>
        <w:ind w:left="1169" w:hanging="72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 w15:restartNumberingAfterBreak="0">
    <w:nsid w:val="72D055C7"/>
    <w:multiLevelType w:val="hybridMultilevel"/>
    <w:tmpl w:val="D3CA65F2"/>
    <w:lvl w:ilvl="0" w:tplc="9CA4B65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E491996"/>
    <w:multiLevelType w:val="hybridMultilevel"/>
    <w:tmpl w:val="C6B21A32"/>
    <w:lvl w:ilvl="0" w:tplc="A1000616">
      <w:start w:val="1"/>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95"/>
    <w:rsid w:val="00000B5A"/>
    <w:rsid w:val="00005083"/>
    <w:rsid w:val="0000636A"/>
    <w:rsid w:val="00006B9A"/>
    <w:rsid w:val="000100BA"/>
    <w:rsid w:val="00010120"/>
    <w:rsid w:val="00011136"/>
    <w:rsid w:val="00011981"/>
    <w:rsid w:val="00011AF8"/>
    <w:rsid w:val="00014430"/>
    <w:rsid w:val="0002336D"/>
    <w:rsid w:val="00023D63"/>
    <w:rsid w:val="0002657A"/>
    <w:rsid w:val="00040E1F"/>
    <w:rsid w:val="000454CC"/>
    <w:rsid w:val="00057FAE"/>
    <w:rsid w:val="000611BC"/>
    <w:rsid w:val="000677EF"/>
    <w:rsid w:val="0007574E"/>
    <w:rsid w:val="00091DEE"/>
    <w:rsid w:val="00093668"/>
    <w:rsid w:val="000A557D"/>
    <w:rsid w:val="000A6A35"/>
    <w:rsid w:val="000B0D72"/>
    <w:rsid w:val="000B4D4B"/>
    <w:rsid w:val="000B624A"/>
    <w:rsid w:val="000C47AF"/>
    <w:rsid w:val="000C78B9"/>
    <w:rsid w:val="000E2FE8"/>
    <w:rsid w:val="000E471D"/>
    <w:rsid w:val="000E5C70"/>
    <w:rsid w:val="000F6B97"/>
    <w:rsid w:val="001075A0"/>
    <w:rsid w:val="001115A6"/>
    <w:rsid w:val="00123230"/>
    <w:rsid w:val="001255BF"/>
    <w:rsid w:val="00134E99"/>
    <w:rsid w:val="0013771F"/>
    <w:rsid w:val="00150B43"/>
    <w:rsid w:val="00150EAD"/>
    <w:rsid w:val="0015460B"/>
    <w:rsid w:val="0015487E"/>
    <w:rsid w:val="0015611B"/>
    <w:rsid w:val="00160E91"/>
    <w:rsid w:val="001610C2"/>
    <w:rsid w:val="00164DBA"/>
    <w:rsid w:val="00174304"/>
    <w:rsid w:val="00180197"/>
    <w:rsid w:val="00185666"/>
    <w:rsid w:val="00186EEF"/>
    <w:rsid w:val="001A5F83"/>
    <w:rsid w:val="001C7B42"/>
    <w:rsid w:val="001D29F0"/>
    <w:rsid w:val="001D3778"/>
    <w:rsid w:val="001E2D5E"/>
    <w:rsid w:val="001F2A26"/>
    <w:rsid w:val="001F56FC"/>
    <w:rsid w:val="002146D9"/>
    <w:rsid w:val="00220487"/>
    <w:rsid w:val="00220FFB"/>
    <w:rsid w:val="002379C4"/>
    <w:rsid w:val="00244E2D"/>
    <w:rsid w:val="00252388"/>
    <w:rsid w:val="00255496"/>
    <w:rsid w:val="00264C7F"/>
    <w:rsid w:val="0028218A"/>
    <w:rsid w:val="00282A53"/>
    <w:rsid w:val="00284E12"/>
    <w:rsid w:val="00286856"/>
    <w:rsid w:val="00286C15"/>
    <w:rsid w:val="002876BD"/>
    <w:rsid w:val="002A06A2"/>
    <w:rsid w:val="002A6F41"/>
    <w:rsid w:val="002B79DE"/>
    <w:rsid w:val="002D1704"/>
    <w:rsid w:val="002D19C8"/>
    <w:rsid w:val="002D51F3"/>
    <w:rsid w:val="002D7774"/>
    <w:rsid w:val="002D7B12"/>
    <w:rsid w:val="002D7E63"/>
    <w:rsid w:val="002E3F75"/>
    <w:rsid w:val="002F384A"/>
    <w:rsid w:val="002F6049"/>
    <w:rsid w:val="00320DC1"/>
    <w:rsid w:val="003257CB"/>
    <w:rsid w:val="00350C1D"/>
    <w:rsid w:val="00371D05"/>
    <w:rsid w:val="00381032"/>
    <w:rsid w:val="00384F97"/>
    <w:rsid w:val="003911C4"/>
    <w:rsid w:val="003915FA"/>
    <w:rsid w:val="00393B00"/>
    <w:rsid w:val="003A5301"/>
    <w:rsid w:val="003A60CB"/>
    <w:rsid w:val="003D40A5"/>
    <w:rsid w:val="003D47F7"/>
    <w:rsid w:val="003D5137"/>
    <w:rsid w:val="003D598C"/>
    <w:rsid w:val="00406A3A"/>
    <w:rsid w:val="00425B49"/>
    <w:rsid w:val="0042753D"/>
    <w:rsid w:val="004275CF"/>
    <w:rsid w:val="00431261"/>
    <w:rsid w:val="004454E3"/>
    <w:rsid w:val="004521D1"/>
    <w:rsid w:val="004750EC"/>
    <w:rsid w:val="00481324"/>
    <w:rsid w:val="004824D4"/>
    <w:rsid w:val="00485DF7"/>
    <w:rsid w:val="00487C52"/>
    <w:rsid w:val="004931B8"/>
    <w:rsid w:val="004A0314"/>
    <w:rsid w:val="004B1087"/>
    <w:rsid w:val="004B6819"/>
    <w:rsid w:val="004C5D29"/>
    <w:rsid w:val="004C7CEC"/>
    <w:rsid w:val="004D09D5"/>
    <w:rsid w:val="004D26CF"/>
    <w:rsid w:val="004D6133"/>
    <w:rsid w:val="004E6927"/>
    <w:rsid w:val="005038CC"/>
    <w:rsid w:val="0051037A"/>
    <w:rsid w:val="00517E0B"/>
    <w:rsid w:val="005205D2"/>
    <w:rsid w:val="00522ABA"/>
    <w:rsid w:val="00525948"/>
    <w:rsid w:val="00527CC9"/>
    <w:rsid w:val="00534B2E"/>
    <w:rsid w:val="0054490F"/>
    <w:rsid w:val="0056028E"/>
    <w:rsid w:val="005768DB"/>
    <w:rsid w:val="0057742A"/>
    <w:rsid w:val="005843F4"/>
    <w:rsid w:val="0059077D"/>
    <w:rsid w:val="00594211"/>
    <w:rsid w:val="005A769B"/>
    <w:rsid w:val="005B4A3C"/>
    <w:rsid w:val="005B5239"/>
    <w:rsid w:val="005C62D6"/>
    <w:rsid w:val="005C707D"/>
    <w:rsid w:val="005D6E13"/>
    <w:rsid w:val="005E650F"/>
    <w:rsid w:val="005E7B2F"/>
    <w:rsid w:val="005F3551"/>
    <w:rsid w:val="005F3853"/>
    <w:rsid w:val="00621FD4"/>
    <w:rsid w:val="00622E9B"/>
    <w:rsid w:val="00624D73"/>
    <w:rsid w:val="006301E4"/>
    <w:rsid w:val="00643570"/>
    <w:rsid w:val="006452D8"/>
    <w:rsid w:val="00653C6D"/>
    <w:rsid w:val="006550BA"/>
    <w:rsid w:val="006607E6"/>
    <w:rsid w:val="006608D4"/>
    <w:rsid w:val="0066185C"/>
    <w:rsid w:val="00665399"/>
    <w:rsid w:val="0067046A"/>
    <w:rsid w:val="0067272C"/>
    <w:rsid w:val="00672EC7"/>
    <w:rsid w:val="00677FF4"/>
    <w:rsid w:val="00692EC8"/>
    <w:rsid w:val="00695535"/>
    <w:rsid w:val="00696A50"/>
    <w:rsid w:val="006A62AE"/>
    <w:rsid w:val="006A7033"/>
    <w:rsid w:val="006C2A32"/>
    <w:rsid w:val="006C2E60"/>
    <w:rsid w:val="006F6193"/>
    <w:rsid w:val="00710A54"/>
    <w:rsid w:val="00717A14"/>
    <w:rsid w:val="00717D45"/>
    <w:rsid w:val="00737830"/>
    <w:rsid w:val="00745BC3"/>
    <w:rsid w:val="0075381F"/>
    <w:rsid w:val="0075408D"/>
    <w:rsid w:val="007613A7"/>
    <w:rsid w:val="00762965"/>
    <w:rsid w:val="0077086F"/>
    <w:rsid w:val="00770DD8"/>
    <w:rsid w:val="0078687F"/>
    <w:rsid w:val="00793C96"/>
    <w:rsid w:val="007A0ED9"/>
    <w:rsid w:val="007A15E2"/>
    <w:rsid w:val="007B1814"/>
    <w:rsid w:val="007B3718"/>
    <w:rsid w:val="007B3AAF"/>
    <w:rsid w:val="007B3F33"/>
    <w:rsid w:val="007C4ABD"/>
    <w:rsid w:val="007C5999"/>
    <w:rsid w:val="007D3D0D"/>
    <w:rsid w:val="007E2724"/>
    <w:rsid w:val="007E43B3"/>
    <w:rsid w:val="007F6A02"/>
    <w:rsid w:val="00806E2D"/>
    <w:rsid w:val="00813E1F"/>
    <w:rsid w:val="00817B6B"/>
    <w:rsid w:val="008231D2"/>
    <w:rsid w:val="0083793A"/>
    <w:rsid w:val="00872971"/>
    <w:rsid w:val="00872A6B"/>
    <w:rsid w:val="0087551B"/>
    <w:rsid w:val="00877247"/>
    <w:rsid w:val="0087770E"/>
    <w:rsid w:val="00883EDC"/>
    <w:rsid w:val="00890F77"/>
    <w:rsid w:val="008918AB"/>
    <w:rsid w:val="008A160A"/>
    <w:rsid w:val="008A3301"/>
    <w:rsid w:val="008B465B"/>
    <w:rsid w:val="008B76C3"/>
    <w:rsid w:val="008C15A9"/>
    <w:rsid w:val="008C285C"/>
    <w:rsid w:val="008C59F0"/>
    <w:rsid w:val="008E528E"/>
    <w:rsid w:val="008E6F5D"/>
    <w:rsid w:val="008F233B"/>
    <w:rsid w:val="008F30B7"/>
    <w:rsid w:val="008F5A28"/>
    <w:rsid w:val="008F6064"/>
    <w:rsid w:val="008F64FC"/>
    <w:rsid w:val="0091687C"/>
    <w:rsid w:val="00920021"/>
    <w:rsid w:val="00921B10"/>
    <w:rsid w:val="009252AD"/>
    <w:rsid w:val="00931485"/>
    <w:rsid w:val="0094651B"/>
    <w:rsid w:val="00956AA1"/>
    <w:rsid w:val="00957519"/>
    <w:rsid w:val="00961840"/>
    <w:rsid w:val="009667C1"/>
    <w:rsid w:val="009677F3"/>
    <w:rsid w:val="00974B5F"/>
    <w:rsid w:val="00974DB1"/>
    <w:rsid w:val="00975CCA"/>
    <w:rsid w:val="0097707A"/>
    <w:rsid w:val="009810B2"/>
    <w:rsid w:val="009A0028"/>
    <w:rsid w:val="009A1193"/>
    <w:rsid w:val="009B3F97"/>
    <w:rsid w:val="009B44F2"/>
    <w:rsid w:val="009B5EC5"/>
    <w:rsid w:val="009C2DD6"/>
    <w:rsid w:val="009C55DF"/>
    <w:rsid w:val="009C7686"/>
    <w:rsid w:val="009D1BA1"/>
    <w:rsid w:val="009D3B8E"/>
    <w:rsid w:val="009E0D46"/>
    <w:rsid w:val="009E23A2"/>
    <w:rsid w:val="00A019A1"/>
    <w:rsid w:val="00A026E0"/>
    <w:rsid w:val="00A05802"/>
    <w:rsid w:val="00A251CF"/>
    <w:rsid w:val="00A5196C"/>
    <w:rsid w:val="00A539BF"/>
    <w:rsid w:val="00A54498"/>
    <w:rsid w:val="00A67B7F"/>
    <w:rsid w:val="00A67C74"/>
    <w:rsid w:val="00A8274B"/>
    <w:rsid w:val="00A83B43"/>
    <w:rsid w:val="00A86595"/>
    <w:rsid w:val="00A90EAE"/>
    <w:rsid w:val="00A9220C"/>
    <w:rsid w:val="00A967F6"/>
    <w:rsid w:val="00AA139C"/>
    <w:rsid w:val="00AB2FF3"/>
    <w:rsid w:val="00AB66C7"/>
    <w:rsid w:val="00AC0CF5"/>
    <w:rsid w:val="00AC7D82"/>
    <w:rsid w:val="00AD0855"/>
    <w:rsid w:val="00AD3D2F"/>
    <w:rsid w:val="00AE57B0"/>
    <w:rsid w:val="00AF5922"/>
    <w:rsid w:val="00AF6C34"/>
    <w:rsid w:val="00B023D7"/>
    <w:rsid w:val="00B03393"/>
    <w:rsid w:val="00B0780C"/>
    <w:rsid w:val="00B16410"/>
    <w:rsid w:val="00B30EFD"/>
    <w:rsid w:val="00B347C8"/>
    <w:rsid w:val="00B369C5"/>
    <w:rsid w:val="00B41C65"/>
    <w:rsid w:val="00B430BB"/>
    <w:rsid w:val="00B4391B"/>
    <w:rsid w:val="00B43B0B"/>
    <w:rsid w:val="00B469B2"/>
    <w:rsid w:val="00B53051"/>
    <w:rsid w:val="00B550F8"/>
    <w:rsid w:val="00B558A8"/>
    <w:rsid w:val="00B612B0"/>
    <w:rsid w:val="00B64FF1"/>
    <w:rsid w:val="00B872DE"/>
    <w:rsid w:val="00B8798B"/>
    <w:rsid w:val="00B977A7"/>
    <w:rsid w:val="00BB08DF"/>
    <w:rsid w:val="00BC13E3"/>
    <w:rsid w:val="00BD2E52"/>
    <w:rsid w:val="00BD3E93"/>
    <w:rsid w:val="00BF47DC"/>
    <w:rsid w:val="00BF51B4"/>
    <w:rsid w:val="00BF6AC9"/>
    <w:rsid w:val="00BF7629"/>
    <w:rsid w:val="00C175BA"/>
    <w:rsid w:val="00C17CED"/>
    <w:rsid w:val="00C20A9F"/>
    <w:rsid w:val="00C2219C"/>
    <w:rsid w:val="00C230E9"/>
    <w:rsid w:val="00C37723"/>
    <w:rsid w:val="00C44494"/>
    <w:rsid w:val="00C50986"/>
    <w:rsid w:val="00C5232F"/>
    <w:rsid w:val="00C767CD"/>
    <w:rsid w:val="00C843CA"/>
    <w:rsid w:val="00CA1F5F"/>
    <w:rsid w:val="00CB4732"/>
    <w:rsid w:val="00CC6F8D"/>
    <w:rsid w:val="00CC6F8E"/>
    <w:rsid w:val="00CC7AD3"/>
    <w:rsid w:val="00CE0C5A"/>
    <w:rsid w:val="00D056DB"/>
    <w:rsid w:val="00D16C84"/>
    <w:rsid w:val="00D215A2"/>
    <w:rsid w:val="00D24BF1"/>
    <w:rsid w:val="00D33AFC"/>
    <w:rsid w:val="00D352EA"/>
    <w:rsid w:val="00D370B1"/>
    <w:rsid w:val="00D45ED4"/>
    <w:rsid w:val="00D5748A"/>
    <w:rsid w:val="00D70123"/>
    <w:rsid w:val="00D806DF"/>
    <w:rsid w:val="00D95560"/>
    <w:rsid w:val="00D968D1"/>
    <w:rsid w:val="00DB69DA"/>
    <w:rsid w:val="00DC514D"/>
    <w:rsid w:val="00DC7365"/>
    <w:rsid w:val="00DD1304"/>
    <w:rsid w:val="00DD2AC7"/>
    <w:rsid w:val="00DD3633"/>
    <w:rsid w:val="00DD6908"/>
    <w:rsid w:val="00DE1A27"/>
    <w:rsid w:val="00DE3813"/>
    <w:rsid w:val="00DF0912"/>
    <w:rsid w:val="00DF47B1"/>
    <w:rsid w:val="00DF7313"/>
    <w:rsid w:val="00E03542"/>
    <w:rsid w:val="00E07F6A"/>
    <w:rsid w:val="00E202EC"/>
    <w:rsid w:val="00E2231A"/>
    <w:rsid w:val="00E262CD"/>
    <w:rsid w:val="00E3740B"/>
    <w:rsid w:val="00E449A6"/>
    <w:rsid w:val="00E44C4C"/>
    <w:rsid w:val="00E60017"/>
    <w:rsid w:val="00E644E5"/>
    <w:rsid w:val="00E67C1B"/>
    <w:rsid w:val="00E754E7"/>
    <w:rsid w:val="00E80A9E"/>
    <w:rsid w:val="00E92E60"/>
    <w:rsid w:val="00E96DB0"/>
    <w:rsid w:val="00EA3561"/>
    <w:rsid w:val="00EA5F7A"/>
    <w:rsid w:val="00EB025D"/>
    <w:rsid w:val="00EB2391"/>
    <w:rsid w:val="00EC046A"/>
    <w:rsid w:val="00EC4A90"/>
    <w:rsid w:val="00EC7E88"/>
    <w:rsid w:val="00EE30B0"/>
    <w:rsid w:val="00EE5573"/>
    <w:rsid w:val="00EF19C5"/>
    <w:rsid w:val="00EF23F1"/>
    <w:rsid w:val="00F0181A"/>
    <w:rsid w:val="00F026D2"/>
    <w:rsid w:val="00F0579F"/>
    <w:rsid w:val="00F06588"/>
    <w:rsid w:val="00F074CD"/>
    <w:rsid w:val="00F103DD"/>
    <w:rsid w:val="00F1675D"/>
    <w:rsid w:val="00F2140E"/>
    <w:rsid w:val="00F2635B"/>
    <w:rsid w:val="00F377CB"/>
    <w:rsid w:val="00F41FA7"/>
    <w:rsid w:val="00F578F5"/>
    <w:rsid w:val="00F62464"/>
    <w:rsid w:val="00F67C0D"/>
    <w:rsid w:val="00F75276"/>
    <w:rsid w:val="00F961B8"/>
    <w:rsid w:val="00F97430"/>
    <w:rsid w:val="00FA200A"/>
    <w:rsid w:val="00FA5706"/>
    <w:rsid w:val="00FB0DA4"/>
    <w:rsid w:val="00FB193A"/>
    <w:rsid w:val="00FB5745"/>
    <w:rsid w:val="00FC1A42"/>
    <w:rsid w:val="00FC3534"/>
    <w:rsid w:val="00FC58FC"/>
    <w:rsid w:val="00FC65DB"/>
    <w:rsid w:val="00FC763B"/>
    <w:rsid w:val="00FE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FE60D-0ECD-4B25-A7ED-9D082173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025D"/>
    <w:pPr>
      <w:keepNext/>
      <w:spacing w:before="240" w:after="60" w:line="240" w:lineRule="auto"/>
      <w:ind w:firstLine="709"/>
      <w:jc w:val="both"/>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EB025D"/>
    <w:pPr>
      <w:keepNext/>
      <w:spacing w:after="0" w:line="240" w:lineRule="auto"/>
      <w:ind w:firstLine="709"/>
      <w:jc w:val="center"/>
      <w:outlineLvl w:val="1"/>
    </w:pPr>
    <w:rPr>
      <w:rFonts w:ascii="$ Benguiat_Bold" w:eastAsia="Times New Roman" w:hAnsi="$ Benguiat_Bold" w:cs="Times New Roman"/>
      <w:b/>
      <w:sz w:val="132"/>
      <w:szCs w:val="20"/>
    </w:rPr>
  </w:style>
  <w:style w:type="paragraph" w:styleId="Heading3">
    <w:name w:val="heading 3"/>
    <w:basedOn w:val="Normal"/>
    <w:next w:val="Normal"/>
    <w:link w:val="Heading3Char"/>
    <w:qFormat/>
    <w:rsid w:val="00EB025D"/>
    <w:pPr>
      <w:keepNext/>
      <w:spacing w:after="0" w:line="240" w:lineRule="auto"/>
      <w:ind w:firstLine="709"/>
      <w:jc w:val="center"/>
      <w:outlineLvl w:val="2"/>
    </w:pPr>
    <w:rPr>
      <w:rFonts w:ascii="$Caslon" w:eastAsia="Times New Roman" w:hAnsi="$Caslon" w:cs="Times New Roman"/>
      <w:b/>
      <w:sz w:val="20"/>
      <w:szCs w:val="20"/>
    </w:rPr>
  </w:style>
  <w:style w:type="paragraph" w:styleId="Heading4">
    <w:name w:val="heading 4"/>
    <w:basedOn w:val="Normal"/>
    <w:next w:val="Normal"/>
    <w:link w:val="Heading4Char"/>
    <w:qFormat/>
    <w:rsid w:val="00EB025D"/>
    <w:pPr>
      <w:keepNext/>
      <w:spacing w:after="0" w:line="240" w:lineRule="auto"/>
      <w:ind w:firstLine="709"/>
      <w:jc w:val="center"/>
      <w:outlineLvl w:val="3"/>
    </w:pPr>
    <w:rPr>
      <w:rFonts w:ascii="$Caslon" w:eastAsia="Times New Roman" w:hAnsi="$Caslon" w:cs="Times New Roman"/>
      <w:b/>
      <w:sz w:val="26"/>
      <w:szCs w:val="20"/>
    </w:rPr>
  </w:style>
  <w:style w:type="paragraph" w:styleId="Heading5">
    <w:name w:val="heading 5"/>
    <w:basedOn w:val="Normal"/>
    <w:next w:val="Normal"/>
    <w:link w:val="Heading5Char"/>
    <w:qFormat/>
    <w:rsid w:val="00EB025D"/>
    <w:pPr>
      <w:keepNext/>
      <w:spacing w:after="0" w:line="240" w:lineRule="auto"/>
      <w:ind w:firstLine="709"/>
      <w:jc w:val="center"/>
      <w:outlineLvl w:val="4"/>
    </w:pPr>
    <w:rPr>
      <w:rFonts w:ascii="$Caslon" w:eastAsia="Times New Roman" w:hAnsi="$Caslon" w:cs="Times New Roman"/>
      <w:sz w:val="24"/>
      <w:szCs w:val="20"/>
    </w:rPr>
  </w:style>
  <w:style w:type="paragraph" w:styleId="Heading6">
    <w:name w:val="heading 6"/>
    <w:basedOn w:val="Normal"/>
    <w:next w:val="Normal"/>
    <w:link w:val="Heading6Char"/>
    <w:qFormat/>
    <w:rsid w:val="00EB025D"/>
    <w:pPr>
      <w:keepNext/>
      <w:spacing w:after="0" w:line="240" w:lineRule="auto"/>
      <w:ind w:firstLine="709"/>
      <w:jc w:val="center"/>
      <w:outlineLvl w:val="5"/>
    </w:pPr>
    <w:rPr>
      <w:rFonts w:ascii="$Caslon" w:eastAsia="Times New Roman" w:hAnsi="$Caslon" w:cs="Times New Roman"/>
      <w:b/>
      <w:szCs w:val="20"/>
    </w:rPr>
  </w:style>
  <w:style w:type="paragraph" w:styleId="Heading7">
    <w:name w:val="heading 7"/>
    <w:basedOn w:val="Normal"/>
    <w:next w:val="Normal"/>
    <w:link w:val="Heading7Char"/>
    <w:qFormat/>
    <w:rsid w:val="00EB025D"/>
    <w:pPr>
      <w:keepNext/>
      <w:spacing w:after="0" w:line="240" w:lineRule="auto"/>
      <w:ind w:firstLine="709"/>
      <w:jc w:val="center"/>
      <w:outlineLvl w:val="6"/>
    </w:pPr>
    <w:rPr>
      <w:rFonts w:ascii="Garamond" w:eastAsia="Times New Roman" w:hAnsi="Garamond" w:cs="Times New Roman"/>
      <w:b/>
      <w:sz w:val="28"/>
      <w:szCs w:val="20"/>
    </w:rPr>
  </w:style>
  <w:style w:type="paragraph" w:styleId="Heading8">
    <w:name w:val="heading 8"/>
    <w:basedOn w:val="Normal"/>
    <w:next w:val="Normal"/>
    <w:link w:val="Heading8Char"/>
    <w:qFormat/>
    <w:rsid w:val="00EB025D"/>
    <w:pPr>
      <w:keepNext/>
      <w:spacing w:after="0" w:line="240" w:lineRule="auto"/>
      <w:ind w:firstLine="709"/>
      <w:jc w:val="center"/>
      <w:outlineLvl w:val="7"/>
    </w:pPr>
    <w:rPr>
      <w:rFonts w:ascii="$Caslon" w:eastAsia="Times New Roman" w:hAnsi="$Caslon" w:cs="Times New Roman"/>
      <w:b/>
      <w:sz w:val="24"/>
      <w:szCs w:val="20"/>
    </w:rPr>
  </w:style>
  <w:style w:type="paragraph" w:styleId="Heading9">
    <w:name w:val="heading 9"/>
    <w:basedOn w:val="Normal"/>
    <w:next w:val="Normal"/>
    <w:link w:val="Heading9Char"/>
    <w:uiPriority w:val="9"/>
    <w:unhideWhenUsed/>
    <w:qFormat/>
    <w:rsid w:val="00EB025D"/>
    <w:pPr>
      <w:keepNext/>
      <w:keepLines/>
      <w:spacing w:before="320" w:after="200" w:line="240" w:lineRule="auto"/>
      <w:ind w:firstLine="709"/>
      <w:jc w:val="both"/>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25D"/>
    <w:rPr>
      <w:rFonts w:ascii="Arial" w:eastAsia="Times New Roman" w:hAnsi="Arial" w:cs="Times New Roman"/>
      <w:b/>
      <w:sz w:val="28"/>
      <w:szCs w:val="20"/>
    </w:rPr>
  </w:style>
  <w:style w:type="character" w:customStyle="1" w:styleId="Heading2Char">
    <w:name w:val="Heading 2 Char"/>
    <w:basedOn w:val="DefaultParagraphFont"/>
    <w:link w:val="Heading2"/>
    <w:rsid w:val="00EB025D"/>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EB025D"/>
    <w:rPr>
      <w:rFonts w:ascii="$Caslon" w:eastAsia="Times New Roman" w:hAnsi="$Caslon" w:cs="Times New Roman"/>
      <w:b/>
      <w:sz w:val="20"/>
      <w:szCs w:val="20"/>
    </w:rPr>
  </w:style>
  <w:style w:type="character" w:customStyle="1" w:styleId="Heading4Char">
    <w:name w:val="Heading 4 Char"/>
    <w:basedOn w:val="DefaultParagraphFont"/>
    <w:link w:val="Heading4"/>
    <w:rsid w:val="00EB025D"/>
    <w:rPr>
      <w:rFonts w:ascii="$Caslon" w:eastAsia="Times New Roman" w:hAnsi="$Caslon" w:cs="Times New Roman"/>
      <w:b/>
      <w:sz w:val="26"/>
      <w:szCs w:val="20"/>
    </w:rPr>
  </w:style>
  <w:style w:type="character" w:customStyle="1" w:styleId="Heading5Char">
    <w:name w:val="Heading 5 Char"/>
    <w:basedOn w:val="DefaultParagraphFont"/>
    <w:link w:val="Heading5"/>
    <w:rsid w:val="00EB025D"/>
    <w:rPr>
      <w:rFonts w:ascii="$Caslon" w:eastAsia="Times New Roman" w:hAnsi="$Caslon" w:cs="Times New Roman"/>
      <w:sz w:val="24"/>
      <w:szCs w:val="20"/>
    </w:rPr>
  </w:style>
  <w:style w:type="character" w:customStyle="1" w:styleId="Heading6Char">
    <w:name w:val="Heading 6 Char"/>
    <w:basedOn w:val="DefaultParagraphFont"/>
    <w:link w:val="Heading6"/>
    <w:rsid w:val="00EB025D"/>
    <w:rPr>
      <w:rFonts w:ascii="$Caslon" w:eastAsia="Times New Roman" w:hAnsi="$Caslon" w:cs="Times New Roman"/>
      <w:b/>
      <w:szCs w:val="20"/>
    </w:rPr>
  </w:style>
  <w:style w:type="character" w:customStyle="1" w:styleId="Heading7Char">
    <w:name w:val="Heading 7 Char"/>
    <w:basedOn w:val="DefaultParagraphFont"/>
    <w:link w:val="Heading7"/>
    <w:rsid w:val="00EB025D"/>
    <w:rPr>
      <w:rFonts w:ascii="Garamond" w:eastAsia="Times New Roman" w:hAnsi="Garamond" w:cs="Times New Roman"/>
      <w:b/>
      <w:sz w:val="28"/>
      <w:szCs w:val="20"/>
    </w:rPr>
  </w:style>
  <w:style w:type="character" w:customStyle="1" w:styleId="Heading8Char">
    <w:name w:val="Heading 8 Char"/>
    <w:basedOn w:val="DefaultParagraphFont"/>
    <w:link w:val="Heading8"/>
    <w:rsid w:val="00EB025D"/>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EB025D"/>
    <w:rPr>
      <w:rFonts w:ascii="Arial" w:eastAsia="Arial" w:hAnsi="Arial" w:cs="Arial"/>
      <w:i/>
      <w:iCs/>
      <w:sz w:val="21"/>
      <w:szCs w:val="21"/>
    </w:rPr>
  </w:style>
  <w:style w:type="numbering" w:customStyle="1" w:styleId="NoList1">
    <w:name w:val="No List1"/>
    <w:next w:val="NoList"/>
    <w:uiPriority w:val="99"/>
    <w:semiHidden/>
    <w:unhideWhenUsed/>
    <w:rsid w:val="00EB025D"/>
  </w:style>
  <w:style w:type="paragraph" w:styleId="NoSpacing">
    <w:name w:val="No Spacing"/>
    <w:uiPriority w:val="1"/>
    <w:qFormat/>
    <w:rsid w:val="00EB025D"/>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itle">
    <w:name w:val="Title"/>
    <w:basedOn w:val="Normal"/>
    <w:next w:val="Normal"/>
    <w:link w:val="TitleChar"/>
    <w:uiPriority w:val="10"/>
    <w:qFormat/>
    <w:rsid w:val="00EB025D"/>
    <w:pPr>
      <w:spacing w:before="300" w:after="200" w:line="240" w:lineRule="auto"/>
      <w:ind w:firstLine="709"/>
      <w:contextualSpacing/>
      <w:jc w:val="both"/>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sid w:val="00EB025D"/>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rsid w:val="00EB025D"/>
    <w:pPr>
      <w:spacing w:before="200" w:after="200" w:line="240" w:lineRule="auto"/>
      <w:ind w:firstLine="709"/>
      <w:jc w:val="both"/>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EB025D"/>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B025D"/>
    <w:pPr>
      <w:spacing w:after="0" w:line="240" w:lineRule="auto"/>
      <w:ind w:left="720" w:right="720" w:firstLine="709"/>
      <w:jc w:val="both"/>
    </w:pPr>
    <w:rPr>
      <w:rFonts w:ascii="Times New Roman" w:eastAsia="Times New Roman" w:hAnsi="Times New Roman" w:cs="Times New Roman"/>
      <w:i/>
      <w:sz w:val="20"/>
      <w:szCs w:val="20"/>
    </w:rPr>
  </w:style>
  <w:style w:type="character" w:customStyle="1" w:styleId="QuoteChar">
    <w:name w:val="Quote Char"/>
    <w:basedOn w:val="DefaultParagraphFont"/>
    <w:link w:val="Quote"/>
    <w:uiPriority w:val="29"/>
    <w:rsid w:val="00EB025D"/>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EB025D"/>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09"/>
      <w:jc w:val="both"/>
    </w:pPr>
    <w:rPr>
      <w:rFonts w:ascii="Times New Roman" w:eastAsia="Times New Roman" w:hAnsi="Times New Roman" w:cs="Times New Roman"/>
      <w:i/>
      <w:sz w:val="20"/>
      <w:szCs w:val="20"/>
    </w:rPr>
  </w:style>
  <w:style w:type="character" w:customStyle="1" w:styleId="IntenseQuoteChar">
    <w:name w:val="Intense Quote Char"/>
    <w:basedOn w:val="DefaultParagraphFont"/>
    <w:link w:val="IntenseQuote"/>
    <w:uiPriority w:val="30"/>
    <w:rsid w:val="00EB025D"/>
    <w:rPr>
      <w:rFonts w:ascii="Times New Roman" w:eastAsia="Times New Roman" w:hAnsi="Times New Roman" w:cs="Times New Roman"/>
      <w:i/>
      <w:sz w:val="20"/>
      <w:szCs w:val="20"/>
      <w:shd w:val="clear" w:color="auto" w:fill="F2F2F2"/>
    </w:rPr>
  </w:style>
  <w:style w:type="paragraph" w:customStyle="1" w:styleId="Caption1">
    <w:name w:val="Caption1"/>
    <w:basedOn w:val="Normal"/>
    <w:next w:val="Normal"/>
    <w:uiPriority w:val="35"/>
    <w:semiHidden/>
    <w:unhideWhenUsed/>
    <w:qFormat/>
    <w:rsid w:val="00EB025D"/>
    <w:pPr>
      <w:spacing w:after="0" w:line="276" w:lineRule="auto"/>
      <w:ind w:firstLine="709"/>
      <w:jc w:val="both"/>
    </w:pPr>
    <w:rPr>
      <w:rFonts w:ascii="Times New Roman" w:eastAsia="Times New Roman" w:hAnsi="Times New Roman" w:cs="Times New Roman"/>
      <w:b/>
      <w:bCs/>
      <w:color w:val="4F81BD"/>
      <w:sz w:val="18"/>
      <w:szCs w:val="18"/>
    </w:rPr>
  </w:style>
  <w:style w:type="character" w:customStyle="1" w:styleId="CaptionChar">
    <w:name w:val="Caption Char"/>
    <w:uiPriority w:val="99"/>
    <w:rsid w:val="00EB025D"/>
  </w:style>
  <w:style w:type="table" w:customStyle="1" w:styleId="TableGridLight1">
    <w:name w:val="Table Grid Light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TableNormal"/>
    <w:uiPriority w:val="5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sid w:val="00EB025D"/>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EB025D"/>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FootnoteText">
    <w:name w:val="footnote text"/>
    <w:basedOn w:val="Normal"/>
    <w:link w:val="FootnoteTextChar"/>
    <w:uiPriority w:val="99"/>
    <w:semiHidden/>
    <w:unhideWhenUsed/>
    <w:rsid w:val="00EB025D"/>
    <w:pPr>
      <w:spacing w:after="40" w:line="240" w:lineRule="auto"/>
      <w:ind w:firstLine="709"/>
      <w:jc w:val="both"/>
    </w:pPr>
    <w:rPr>
      <w:rFonts w:ascii="Times New Roman" w:eastAsia="Times New Roman" w:hAnsi="Times New Roman" w:cs="Times New Roman"/>
      <w:sz w:val="18"/>
      <w:szCs w:val="20"/>
    </w:rPr>
  </w:style>
  <w:style w:type="character" w:customStyle="1" w:styleId="FootnoteTextChar">
    <w:name w:val="Footnote Text Char"/>
    <w:basedOn w:val="DefaultParagraphFont"/>
    <w:link w:val="FootnoteText"/>
    <w:uiPriority w:val="99"/>
    <w:semiHidden/>
    <w:rsid w:val="00EB025D"/>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EB025D"/>
    <w:rPr>
      <w:vertAlign w:val="superscript"/>
    </w:rPr>
  </w:style>
  <w:style w:type="paragraph" w:styleId="EndnoteText">
    <w:name w:val="endnote text"/>
    <w:basedOn w:val="Normal"/>
    <w:link w:val="EndnoteTextChar"/>
    <w:uiPriority w:val="99"/>
    <w:semiHidden/>
    <w:unhideWhenUsed/>
    <w:rsid w:val="00EB025D"/>
    <w:pPr>
      <w:spacing w:after="0" w:line="240" w:lineRule="auto"/>
      <w:ind w:firstLine="709"/>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B02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B025D"/>
    <w:rPr>
      <w:vertAlign w:val="superscript"/>
    </w:rPr>
  </w:style>
  <w:style w:type="paragraph" w:styleId="TOC1">
    <w:name w:val="toc 1"/>
    <w:basedOn w:val="Normal"/>
    <w:next w:val="Normal"/>
    <w:uiPriority w:val="39"/>
    <w:unhideWhenUsed/>
    <w:rsid w:val="00EB025D"/>
    <w:pPr>
      <w:spacing w:after="57" w:line="240" w:lineRule="auto"/>
      <w:jc w:val="both"/>
    </w:pPr>
    <w:rPr>
      <w:rFonts w:ascii="Times New Roman" w:eastAsia="Times New Roman" w:hAnsi="Times New Roman" w:cs="Times New Roman"/>
      <w:sz w:val="20"/>
      <w:szCs w:val="20"/>
    </w:rPr>
  </w:style>
  <w:style w:type="paragraph" w:styleId="TOC2">
    <w:name w:val="toc 2"/>
    <w:basedOn w:val="Normal"/>
    <w:next w:val="Normal"/>
    <w:uiPriority w:val="39"/>
    <w:unhideWhenUsed/>
    <w:rsid w:val="00EB025D"/>
    <w:pPr>
      <w:spacing w:after="57" w:line="240" w:lineRule="auto"/>
      <w:ind w:left="283"/>
      <w:jc w:val="both"/>
    </w:pPr>
    <w:rPr>
      <w:rFonts w:ascii="Times New Roman" w:eastAsia="Times New Roman" w:hAnsi="Times New Roman" w:cs="Times New Roman"/>
      <w:sz w:val="20"/>
      <w:szCs w:val="20"/>
    </w:rPr>
  </w:style>
  <w:style w:type="paragraph" w:styleId="TOC3">
    <w:name w:val="toc 3"/>
    <w:basedOn w:val="Normal"/>
    <w:next w:val="Normal"/>
    <w:uiPriority w:val="39"/>
    <w:unhideWhenUsed/>
    <w:rsid w:val="00EB025D"/>
    <w:pPr>
      <w:spacing w:after="57" w:line="240" w:lineRule="auto"/>
      <w:ind w:left="567"/>
      <w:jc w:val="both"/>
    </w:pPr>
    <w:rPr>
      <w:rFonts w:ascii="Times New Roman" w:eastAsia="Times New Roman" w:hAnsi="Times New Roman" w:cs="Times New Roman"/>
      <w:sz w:val="20"/>
      <w:szCs w:val="20"/>
    </w:rPr>
  </w:style>
  <w:style w:type="paragraph" w:styleId="TOC4">
    <w:name w:val="toc 4"/>
    <w:basedOn w:val="Normal"/>
    <w:next w:val="Normal"/>
    <w:uiPriority w:val="39"/>
    <w:unhideWhenUsed/>
    <w:rsid w:val="00EB025D"/>
    <w:pPr>
      <w:spacing w:after="57" w:line="240" w:lineRule="auto"/>
      <w:ind w:left="850"/>
      <w:jc w:val="both"/>
    </w:pPr>
    <w:rPr>
      <w:rFonts w:ascii="Times New Roman" w:eastAsia="Times New Roman" w:hAnsi="Times New Roman" w:cs="Times New Roman"/>
      <w:sz w:val="20"/>
      <w:szCs w:val="20"/>
    </w:rPr>
  </w:style>
  <w:style w:type="paragraph" w:styleId="TOC5">
    <w:name w:val="toc 5"/>
    <w:basedOn w:val="Normal"/>
    <w:next w:val="Normal"/>
    <w:uiPriority w:val="39"/>
    <w:unhideWhenUsed/>
    <w:rsid w:val="00EB025D"/>
    <w:pPr>
      <w:spacing w:after="57" w:line="240" w:lineRule="auto"/>
      <w:ind w:left="1134"/>
      <w:jc w:val="both"/>
    </w:pPr>
    <w:rPr>
      <w:rFonts w:ascii="Times New Roman" w:eastAsia="Times New Roman" w:hAnsi="Times New Roman" w:cs="Times New Roman"/>
      <w:sz w:val="20"/>
      <w:szCs w:val="20"/>
    </w:rPr>
  </w:style>
  <w:style w:type="paragraph" w:styleId="TOC6">
    <w:name w:val="toc 6"/>
    <w:basedOn w:val="Normal"/>
    <w:next w:val="Normal"/>
    <w:uiPriority w:val="39"/>
    <w:unhideWhenUsed/>
    <w:rsid w:val="00EB025D"/>
    <w:pPr>
      <w:spacing w:after="57" w:line="240" w:lineRule="auto"/>
      <w:ind w:left="1417"/>
      <w:jc w:val="both"/>
    </w:pPr>
    <w:rPr>
      <w:rFonts w:ascii="Times New Roman" w:eastAsia="Times New Roman" w:hAnsi="Times New Roman" w:cs="Times New Roman"/>
      <w:sz w:val="20"/>
      <w:szCs w:val="20"/>
    </w:rPr>
  </w:style>
  <w:style w:type="paragraph" w:styleId="TOC7">
    <w:name w:val="toc 7"/>
    <w:basedOn w:val="Normal"/>
    <w:next w:val="Normal"/>
    <w:uiPriority w:val="39"/>
    <w:unhideWhenUsed/>
    <w:rsid w:val="00EB025D"/>
    <w:pPr>
      <w:spacing w:after="57" w:line="240" w:lineRule="auto"/>
      <w:ind w:left="1701"/>
      <w:jc w:val="both"/>
    </w:pPr>
    <w:rPr>
      <w:rFonts w:ascii="Times New Roman" w:eastAsia="Times New Roman" w:hAnsi="Times New Roman" w:cs="Times New Roman"/>
      <w:sz w:val="20"/>
      <w:szCs w:val="20"/>
    </w:rPr>
  </w:style>
  <w:style w:type="paragraph" w:styleId="TOC8">
    <w:name w:val="toc 8"/>
    <w:basedOn w:val="Normal"/>
    <w:next w:val="Normal"/>
    <w:uiPriority w:val="39"/>
    <w:unhideWhenUsed/>
    <w:rsid w:val="00EB025D"/>
    <w:pPr>
      <w:spacing w:after="57" w:line="240" w:lineRule="auto"/>
      <w:ind w:left="1984"/>
      <w:jc w:val="both"/>
    </w:pPr>
    <w:rPr>
      <w:rFonts w:ascii="Times New Roman" w:eastAsia="Times New Roman" w:hAnsi="Times New Roman" w:cs="Times New Roman"/>
      <w:sz w:val="20"/>
      <w:szCs w:val="20"/>
    </w:rPr>
  </w:style>
  <w:style w:type="paragraph" w:styleId="TOC9">
    <w:name w:val="toc 9"/>
    <w:basedOn w:val="Normal"/>
    <w:next w:val="Normal"/>
    <w:uiPriority w:val="39"/>
    <w:unhideWhenUsed/>
    <w:rsid w:val="00EB025D"/>
    <w:pPr>
      <w:spacing w:after="57" w:line="240" w:lineRule="auto"/>
      <w:ind w:left="2268"/>
      <w:jc w:val="both"/>
    </w:pPr>
    <w:rPr>
      <w:rFonts w:ascii="Times New Roman" w:eastAsia="Times New Roman" w:hAnsi="Times New Roman" w:cs="Times New Roman"/>
      <w:sz w:val="20"/>
      <w:szCs w:val="20"/>
    </w:rPr>
  </w:style>
  <w:style w:type="paragraph" w:styleId="TOCHeading">
    <w:name w:val="TOC Heading"/>
    <w:uiPriority w:val="39"/>
    <w:unhideWhenUsed/>
    <w:rsid w:val="00EB025D"/>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EB025D"/>
    <w:pPr>
      <w:spacing w:after="0" w:line="240" w:lineRule="auto"/>
      <w:ind w:firstLine="709"/>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EB025D"/>
    <w:pPr>
      <w:spacing w:after="0" w:line="240" w:lineRule="auto"/>
      <w:ind w:firstLine="709"/>
      <w:jc w:val="both"/>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B025D"/>
    <w:rPr>
      <w:rFonts w:ascii="Tahoma" w:eastAsia="Times New Roman" w:hAnsi="Tahoma" w:cs="Times New Roman"/>
      <w:sz w:val="16"/>
      <w:szCs w:val="16"/>
    </w:rPr>
  </w:style>
  <w:style w:type="paragraph" w:customStyle="1" w:styleId="CharChar">
    <w:name w:val="Знак Знак Char Char Знак"/>
    <w:basedOn w:val="Normal"/>
    <w:rsid w:val="00EB025D"/>
    <w:pPr>
      <w:spacing w:line="240" w:lineRule="exact"/>
    </w:pPr>
    <w:rPr>
      <w:rFonts w:ascii="Arial" w:eastAsia="Batang" w:hAnsi="Arial" w:cs="Arial"/>
      <w:sz w:val="20"/>
      <w:szCs w:val="20"/>
    </w:rPr>
  </w:style>
  <w:style w:type="paragraph" w:styleId="NormalWeb">
    <w:name w:val="Normal (Web)"/>
    <w:basedOn w:val="Normal"/>
    <w:uiPriority w:val="99"/>
    <w:unhideWhenUsed/>
    <w:rsid w:val="00EB025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Normal"/>
    <w:rsid w:val="00EB025D"/>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EB025D"/>
    <w:pPr>
      <w:spacing w:after="0" w:line="240" w:lineRule="auto"/>
      <w:jc w:val="center"/>
    </w:pPr>
    <w:rPr>
      <w:rFonts w:ascii="Times New Roman" w:eastAsia="Times New Roman" w:hAnsi="Times New Roman" w:cs="Times New Roman"/>
      <w:b/>
      <w:bCs/>
      <w:sz w:val="24"/>
      <w:szCs w:val="24"/>
      <w:lang w:val="ru-RU" w:eastAsia="ru-RU"/>
    </w:rPr>
  </w:style>
  <w:style w:type="paragraph" w:styleId="Header">
    <w:name w:val="header"/>
    <w:basedOn w:val="Normal"/>
    <w:link w:val="HeaderChar"/>
    <w:rsid w:val="00EB025D"/>
    <w:pPr>
      <w:tabs>
        <w:tab w:val="center" w:pos="4677"/>
        <w:tab w:val="right" w:pos="9355"/>
      </w:tabs>
      <w:spacing w:after="0" w:line="240" w:lineRule="auto"/>
      <w:ind w:firstLine="709"/>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B025D"/>
    <w:rPr>
      <w:rFonts w:ascii="Times New Roman" w:eastAsia="Times New Roman" w:hAnsi="Times New Roman" w:cs="Times New Roman"/>
      <w:sz w:val="20"/>
      <w:szCs w:val="20"/>
    </w:rPr>
  </w:style>
  <w:style w:type="paragraph" w:styleId="Footer">
    <w:name w:val="footer"/>
    <w:basedOn w:val="Normal"/>
    <w:link w:val="FooterChar"/>
    <w:rsid w:val="00EB025D"/>
    <w:pPr>
      <w:tabs>
        <w:tab w:val="center" w:pos="4677"/>
        <w:tab w:val="right" w:pos="9355"/>
      </w:tabs>
      <w:spacing w:after="0" w:line="240" w:lineRule="auto"/>
      <w:ind w:firstLine="709"/>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B025D"/>
    <w:rPr>
      <w:rFonts w:ascii="Times New Roman" w:eastAsia="Times New Roman" w:hAnsi="Times New Roman" w:cs="Times New Roman"/>
      <w:sz w:val="20"/>
      <w:szCs w:val="20"/>
    </w:rPr>
  </w:style>
  <w:style w:type="table" w:styleId="TableGrid">
    <w:name w:val="Table Grid"/>
    <w:basedOn w:val="TableNormal"/>
    <w:uiPriority w:val="39"/>
    <w:rsid w:val="00EB025D"/>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EB025D"/>
    <w:pPr>
      <w:spacing w:after="0" w:line="240" w:lineRule="auto"/>
    </w:pPr>
    <w:rPr>
      <w:rFonts w:ascii="Arial" w:eastAsia="Times New Roman" w:hAnsi="Arial" w:cs="Arial"/>
      <w:sz w:val="20"/>
      <w:szCs w:val="20"/>
      <w:lang w:val="ru-RU" w:eastAsia="ru-RU"/>
    </w:rPr>
  </w:style>
  <w:style w:type="table" w:customStyle="1" w:styleId="GrilTabel1">
    <w:name w:val="Grilă Tabel1"/>
    <w:basedOn w:val="TableNormal"/>
    <w:next w:val="TableGrid"/>
    <w:uiPriority w:val="59"/>
    <w:rsid w:val="00EB025D"/>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025D"/>
    <w:pPr>
      <w:spacing w:after="0" w:line="240" w:lineRule="auto"/>
      <w:ind w:left="720" w:firstLine="709"/>
      <w:contextualSpacing/>
      <w:jc w:val="both"/>
    </w:pPr>
    <w:rPr>
      <w:rFonts w:ascii="Times New Roman" w:eastAsia="Times New Roman" w:hAnsi="Times New Roman" w:cs="Times New Roman"/>
      <w:sz w:val="20"/>
      <w:szCs w:val="20"/>
    </w:rPr>
  </w:style>
  <w:style w:type="numbering" w:customStyle="1" w:styleId="FrListare1">
    <w:name w:val="Fără Listare1"/>
    <w:next w:val="NoList"/>
    <w:semiHidden/>
    <w:rsid w:val="00EB025D"/>
  </w:style>
  <w:style w:type="character" w:styleId="PageNumber">
    <w:name w:val="page number"/>
    <w:basedOn w:val="DefaultParagraphFont"/>
    <w:rsid w:val="00EB025D"/>
  </w:style>
  <w:style w:type="paragraph" w:customStyle="1" w:styleId="tt">
    <w:name w:val="tt"/>
    <w:basedOn w:val="Normal"/>
    <w:rsid w:val="00EB025D"/>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EB025D"/>
    <w:pPr>
      <w:spacing w:line="240" w:lineRule="exact"/>
    </w:pPr>
    <w:rPr>
      <w:rFonts w:ascii="Arial" w:eastAsia="Batang" w:hAnsi="Arial" w:cs="Arial"/>
      <w:sz w:val="20"/>
      <w:szCs w:val="20"/>
    </w:rPr>
  </w:style>
  <w:style w:type="character" w:customStyle="1" w:styleId="docheader1">
    <w:name w:val="doc_header1"/>
    <w:rsid w:val="00EB025D"/>
    <w:rPr>
      <w:rFonts w:ascii="Times New Roman" w:hAnsi="Times New Roman" w:cs="Times New Roman" w:hint="default"/>
      <w:b/>
      <w:bCs/>
      <w:color w:val="000000"/>
      <w:sz w:val="24"/>
      <w:szCs w:val="24"/>
    </w:rPr>
  </w:style>
  <w:style w:type="character" w:styleId="Strong">
    <w:name w:val="Strong"/>
    <w:uiPriority w:val="22"/>
    <w:qFormat/>
    <w:rsid w:val="00EB025D"/>
    <w:rPr>
      <w:b/>
      <w:bCs/>
    </w:rPr>
  </w:style>
  <w:style w:type="character" w:customStyle="1" w:styleId="docsign11">
    <w:name w:val="doc_sign11"/>
    <w:rsid w:val="00EB025D"/>
    <w:rPr>
      <w:rFonts w:ascii="Times New Roman" w:hAnsi="Times New Roman" w:cs="Times New Roman" w:hint="default"/>
      <w:b/>
      <w:bCs/>
      <w:color w:val="000000"/>
      <w:sz w:val="22"/>
      <w:szCs w:val="22"/>
    </w:rPr>
  </w:style>
  <w:style w:type="character" w:customStyle="1" w:styleId="sttart">
    <w:name w:val="st_tart"/>
    <w:basedOn w:val="DefaultParagraphFont"/>
    <w:rsid w:val="00EB025D"/>
  </w:style>
  <w:style w:type="character" w:customStyle="1" w:styleId="tal1">
    <w:name w:val="tal1"/>
    <w:rsid w:val="00EB025D"/>
  </w:style>
  <w:style w:type="table" w:customStyle="1" w:styleId="GrilTabel2">
    <w:name w:val="Grilă Tabel2"/>
    <w:basedOn w:val="TableNormal"/>
    <w:next w:val="TableGrid"/>
    <w:rsid w:val="00EB025D"/>
    <w:pPr>
      <w:spacing w:after="0" w:line="240" w:lineRule="auto"/>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EB025D"/>
    <w:pPr>
      <w:spacing w:before="100" w:beforeAutospacing="1" w:after="100" w:afterAutospacing="1" w:line="240" w:lineRule="auto"/>
      <w:ind w:firstLine="200"/>
      <w:jc w:val="both"/>
    </w:pPr>
    <w:rPr>
      <w:rFonts w:ascii="Verdana" w:eastAsia="Times New Roman" w:hAnsi="Verdana" w:cs="Times New Roman"/>
      <w:color w:val="033778"/>
      <w:sz w:val="21"/>
      <w:szCs w:val="21"/>
      <w:lang w:eastAsia="zh-CN"/>
    </w:rPr>
  </w:style>
  <w:style w:type="character" w:customStyle="1" w:styleId="def">
    <w:name w:val="def"/>
    <w:rsid w:val="00EB025D"/>
  </w:style>
  <w:style w:type="paragraph" w:customStyle="1" w:styleId="cnam1">
    <w:name w:val="cnam1"/>
    <w:basedOn w:val="Normal"/>
    <w:rsid w:val="00EB025D"/>
    <w:pPr>
      <w:spacing w:before="100" w:beforeAutospacing="1" w:after="100" w:afterAutospacing="1" w:line="240" w:lineRule="auto"/>
    </w:pPr>
    <w:rPr>
      <w:rFonts w:ascii="Times New Roman" w:eastAsia="Times New Roman" w:hAnsi="Times New Roman" w:cs="Times New Roman"/>
      <w:color w:val="2D2D2D"/>
      <w:sz w:val="29"/>
      <w:szCs w:val="29"/>
      <w:lang w:eastAsia="zh-CN"/>
    </w:rPr>
  </w:style>
  <w:style w:type="character" w:styleId="CommentReference">
    <w:name w:val="annotation reference"/>
    <w:uiPriority w:val="99"/>
    <w:rsid w:val="00EB025D"/>
    <w:rPr>
      <w:sz w:val="16"/>
      <w:szCs w:val="16"/>
    </w:rPr>
  </w:style>
  <w:style w:type="paragraph" w:styleId="CommentText">
    <w:name w:val="annotation text"/>
    <w:basedOn w:val="Normal"/>
    <w:link w:val="CommentTextChar"/>
    <w:uiPriority w:val="99"/>
    <w:rsid w:val="00EB025D"/>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B025D"/>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EB025D"/>
    <w:rPr>
      <w:b/>
      <w:bCs/>
    </w:rPr>
  </w:style>
  <w:style w:type="character" w:customStyle="1" w:styleId="CommentSubjectChar">
    <w:name w:val="Comment Subject Char"/>
    <w:basedOn w:val="CommentTextChar"/>
    <w:link w:val="CommentSubject"/>
    <w:uiPriority w:val="99"/>
    <w:rsid w:val="00EB025D"/>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EB025D"/>
  </w:style>
  <w:style w:type="character" w:customStyle="1" w:styleId="docheader">
    <w:name w:val="doc_header"/>
    <w:rsid w:val="00EB025D"/>
  </w:style>
  <w:style w:type="paragraph" w:customStyle="1" w:styleId="Style2">
    <w:name w:val="Style2"/>
    <w:basedOn w:val="Normal"/>
    <w:uiPriority w:val="99"/>
    <w:rsid w:val="00EB025D"/>
    <w:pPr>
      <w:widowControl w:val="0"/>
      <w:spacing w:after="0" w:line="373" w:lineRule="exact"/>
      <w:ind w:firstLine="696"/>
      <w:jc w:val="both"/>
    </w:pPr>
    <w:rPr>
      <w:rFonts w:ascii="Times New Roman" w:eastAsia="Arial" w:hAnsi="Times New Roman" w:cs="Times New Roman"/>
      <w:sz w:val="24"/>
      <w:szCs w:val="24"/>
      <w:lang w:val="ru-RU" w:eastAsia="ru-RU"/>
    </w:rPr>
  </w:style>
  <w:style w:type="paragraph" w:customStyle="1" w:styleId="Style8">
    <w:name w:val="Style8"/>
    <w:basedOn w:val="Normal"/>
    <w:uiPriority w:val="99"/>
    <w:rsid w:val="00EB025D"/>
    <w:pPr>
      <w:widowControl w:val="0"/>
      <w:spacing w:after="0" w:line="317" w:lineRule="exact"/>
    </w:pPr>
    <w:rPr>
      <w:rFonts w:ascii="Times New Roman" w:eastAsia="Arial" w:hAnsi="Times New Roman" w:cs="Times New Roman"/>
      <w:sz w:val="24"/>
      <w:szCs w:val="24"/>
      <w:lang w:val="ru-RU" w:eastAsia="ru-RU"/>
    </w:rPr>
  </w:style>
  <w:style w:type="paragraph" w:customStyle="1" w:styleId="Style9">
    <w:name w:val="Style9"/>
    <w:basedOn w:val="Normal"/>
    <w:uiPriority w:val="99"/>
    <w:rsid w:val="00EB025D"/>
    <w:pPr>
      <w:widowControl w:val="0"/>
      <w:spacing w:after="0" w:line="326" w:lineRule="exact"/>
      <w:ind w:firstLine="398"/>
    </w:pPr>
    <w:rPr>
      <w:rFonts w:ascii="Times New Roman" w:eastAsia="Arial" w:hAnsi="Times New Roman" w:cs="Times New Roman"/>
      <w:sz w:val="24"/>
      <w:szCs w:val="24"/>
      <w:lang w:val="ru-RU" w:eastAsia="ru-RU"/>
    </w:rPr>
  </w:style>
  <w:style w:type="character" w:customStyle="1" w:styleId="FontStyle12">
    <w:name w:val="Font Style12"/>
    <w:basedOn w:val="DefaultParagraphFont"/>
    <w:uiPriority w:val="99"/>
    <w:rsid w:val="00EB025D"/>
    <w:rPr>
      <w:rFonts w:ascii="Times New Roman" w:hAnsi="Times New Roman" w:cs="Times New Roman"/>
      <w:sz w:val="24"/>
      <w:szCs w:val="24"/>
    </w:rPr>
  </w:style>
  <w:style w:type="character" w:styleId="Hyperlink">
    <w:name w:val="Hyperlink"/>
    <w:basedOn w:val="DefaultParagraphFont"/>
    <w:uiPriority w:val="99"/>
    <w:rsid w:val="00EB025D"/>
    <w:rPr>
      <w:color w:val="0000FF"/>
      <w:u w:val="single"/>
    </w:rPr>
  </w:style>
  <w:style w:type="paragraph" w:customStyle="1" w:styleId="cp">
    <w:name w:val="cp"/>
    <w:basedOn w:val="Normal"/>
    <w:rsid w:val="00EB02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DefaultParagraphFont"/>
    <w:rsid w:val="00EB025D"/>
  </w:style>
  <w:style w:type="paragraph" w:styleId="HTMLPreformatted">
    <w:name w:val="HTML Preformatted"/>
    <w:basedOn w:val="Normal"/>
    <w:link w:val="HTMLPreformattedChar"/>
    <w:uiPriority w:val="99"/>
    <w:unhideWhenUsed/>
    <w:rsid w:val="00EB025D"/>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EB025D"/>
    <w:rPr>
      <w:rFonts w:ascii="Consolas" w:eastAsia="Times New Roman" w:hAnsi="Consolas" w:cs="Times New Roman"/>
      <w:sz w:val="20"/>
      <w:szCs w:val="20"/>
    </w:rPr>
  </w:style>
  <w:style w:type="character" w:styleId="PlaceholderText">
    <w:name w:val="Placeholder Text"/>
    <w:basedOn w:val="DefaultParagraphFont"/>
    <w:uiPriority w:val="99"/>
    <w:semiHidden/>
    <w:rsid w:val="00EB025D"/>
    <w:rPr>
      <w:color w:val="808080"/>
    </w:rPr>
  </w:style>
  <w:style w:type="paragraph" w:styleId="Revision">
    <w:name w:val="Revision"/>
    <w:hidden/>
    <w:uiPriority w:val="99"/>
    <w:semiHidden/>
    <w:rsid w:val="00EB025D"/>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EB025D"/>
    <w:rPr>
      <w:color w:val="605E5C"/>
      <w:shd w:val="clear" w:color="auto" w:fill="E1DFDD"/>
    </w:rPr>
  </w:style>
  <w:style w:type="character" w:customStyle="1" w:styleId="fontstyle01">
    <w:name w:val="fontstyle01"/>
    <w:basedOn w:val="DefaultParagraphFont"/>
    <w:rsid w:val="00717A1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4863">
      <w:bodyDiv w:val="1"/>
      <w:marLeft w:val="0"/>
      <w:marRight w:val="0"/>
      <w:marTop w:val="0"/>
      <w:marBottom w:val="0"/>
      <w:divBdr>
        <w:top w:val="none" w:sz="0" w:space="0" w:color="auto"/>
        <w:left w:val="none" w:sz="0" w:space="0" w:color="auto"/>
        <w:bottom w:val="none" w:sz="0" w:space="0" w:color="auto"/>
        <w:right w:val="none" w:sz="0" w:space="0" w:color="auto"/>
      </w:divBdr>
    </w:div>
    <w:div w:id="619654024">
      <w:bodyDiv w:val="1"/>
      <w:marLeft w:val="0"/>
      <w:marRight w:val="0"/>
      <w:marTop w:val="0"/>
      <w:marBottom w:val="0"/>
      <w:divBdr>
        <w:top w:val="none" w:sz="0" w:space="0" w:color="auto"/>
        <w:left w:val="none" w:sz="0" w:space="0" w:color="auto"/>
        <w:bottom w:val="none" w:sz="0" w:space="0" w:color="auto"/>
        <w:right w:val="none" w:sz="0" w:space="0" w:color="auto"/>
      </w:divBdr>
    </w:div>
    <w:div w:id="780996366">
      <w:bodyDiv w:val="1"/>
      <w:marLeft w:val="0"/>
      <w:marRight w:val="0"/>
      <w:marTop w:val="0"/>
      <w:marBottom w:val="0"/>
      <w:divBdr>
        <w:top w:val="none" w:sz="0" w:space="0" w:color="auto"/>
        <w:left w:val="none" w:sz="0" w:space="0" w:color="auto"/>
        <w:bottom w:val="none" w:sz="0" w:space="0" w:color="auto"/>
        <w:right w:val="none" w:sz="0" w:space="0" w:color="auto"/>
      </w:divBdr>
    </w:div>
    <w:div w:id="830679715">
      <w:bodyDiv w:val="1"/>
      <w:marLeft w:val="0"/>
      <w:marRight w:val="0"/>
      <w:marTop w:val="0"/>
      <w:marBottom w:val="0"/>
      <w:divBdr>
        <w:top w:val="none" w:sz="0" w:space="0" w:color="auto"/>
        <w:left w:val="none" w:sz="0" w:space="0" w:color="auto"/>
        <w:bottom w:val="none" w:sz="0" w:space="0" w:color="auto"/>
        <w:right w:val="none" w:sz="0" w:space="0" w:color="auto"/>
      </w:divBdr>
    </w:div>
    <w:div w:id="1126391968">
      <w:bodyDiv w:val="1"/>
      <w:marLeft w:val="0"/>
      <w:marRight w:val="0"/>
      <w:marTop w:val="0"/>
      <w:marBottom w:val="0"/>
      <w:divBdr>
        <w:top w:val="none" w:sz="0" w:space="0" w:color="auto"/>
        <w:left w:val="none" w:sz="0" w:space="0" w:color="auto"/>
        <w:bottom w:val="none" w:sz="0" w:space="0" w:color="auto"/>
        <w:right w:val="none" w:sz="0" w:space="0" w:color="auto"/>
      </w:divBdr>
    </w:div>
    <w:div w:id="21412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580" TargetMode="External"/><Relationship Id="rId3" Type="http://schemas.openxmlformats.org/officeDocument/2006/relationships/styles" Target="styles.xml"/><Relationship Id="rId7" Type="http://schemas.openxmlformats.org/officeDocument/2006/relationships/hyperlink" Target="https://www.legis.md/cautare/getResults?doc_id=145542&amp;lan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s.md/cautare/getResults?doc_id=144348&amp;lang=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407A-4455-4AB6-B068-98C652FD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Bzovii Vasile</dc:creator>
  <cp:lastModifiedBy>Nadulisneac Liliana</cp:lastModifiedBy>
  <cp:revision>4</cp:revision>
  <cp:lastPrinted>2026-02-18T12:04:00Z</cp:lastPrinted>
  <dcterms:created xsi:type="dcterms:W3CDTF">2026-02-18T10:49:00Z</dcterms:created>
  <dcterms:modified xsi:type="dcterms:W3CDTF">2026-02-18T12:17:00Z</dcterms:modified>
</cp:coreProperties>
</file>