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46" w:rsidRDefault="00B72946" w:rsidP="00B72946">
      <w:pPr>
        <w:jc w:val="center"/>
        <w:rPr>
          <w:rFonts w:asciiTheme="majorBidi" w:hAnsiTheme="majorBidi" w:cstheme="majorBidi"/>
          <w:b/>
          <w:noProof/>
          <w:sz w:val="22"/>
          <w:szCs w:val="22"/>
          <w:lang w:val="ro-MD"/>
        </w:rPr>
      </w:pPr>
      <w:r>
        <w:rPr>
          <w:rFonts w:asciiTheme="majorBidi" w:hAnsiTheme="majorBidi" w:cstheme="majorBidi"/>
          <w:b/>
          <w:noProof/>
          <w:sz w:val="22"/>
          <w:szCs w:val="22"/>
          <w:lang w:val="ro-MD"/>
        </w:rPr>
        <w:t>TABEL DE CONCORDANȚĂ</w:t>
      </w:r>
    </w:p>
    <w:p w:rsidR="00B72946" w:rsidRDefault="00B72946" w:rsidP="00B72946">
      <w:pPr>
        <w:jc w:val="center"/>
        <w:rPr>
          <w:rFonts w:asciiTheme="majorBidi" w:hAnsiTheme="majorBidi" w:cstheme="majorBidi"/>
          <w:b/>
          <w:noProof/>
          <w:sz w:val="22"/>
          <w:szCs w:val="22"/>
          <w:lang w:val="ro-MD"/>
        </w:rPr>
      </w:pPr>
    </w:p>
    <w:p w:rsidR="006D1DD8" w:rsidRPr="006D1DD8" w:rsidRDefault="006D1DD8" w:rsidP="006D1DD8">
      <w:pPr>
        <w:jc w:val="center"/>
        <w:rPr>
          <w:rStyle w:val="FontStyle11"/>
          <w:noProof/>
          <w:sz w:val="22"/>
          <w:szCs w:val="22"/>
          <w:lang w:val="ro-RO" w:eastAsia="ro-RO"/>
        </w:rPr>
      </w:pPr>
      <w:r w:rsidRPr="006D1DD8">
        <w:rPr>
          <w:rStyle w:val="FontStyle11"/>
          <w:noProof/>
          <w:sz w:val="22"/>
          <w:szCs w:val="22"/>
          <w:lang w:val="ro-RO" w:eastAsia="ro-RO"/>
        </w:rPr>
        <w:t xml:space="preserve">cu privire la modificarea Hotărârii Guvernului nr.398/2012 pentru aprobarea unor norme sanitare veterinare </w:t>
      </w:r>
    </w:p>
    <w:p w:rsidR="006D1DD8" w:rsidRPr="006D1DD8" w:rsidRDefault="006D1DD8" w:rsidP="006D1DD8">
      <w:pPr>
        <w:jc w:val="center"/>
        <w:rPr>
          <w:rStyle w:val="FontStyle11"/>
          <w:noProof/>
          <w:sz w:val="22"/>
          <w:szCs w:val="22"/>
          <w:lang w:val="ro-RO" w:eastAsia="ro-RO"/>
        </w:rPr>
      </w:pPr>
      <w:r w:rsidRPr="006D1DD8">
        <w:rPr>
          <w:rStyle w:val="FontStyle11"/>
          <w:noProof/>
          <w:sz w:val="22"/>
          <w:szCs w:val="22"/>
          <w:lang w:val="ro-RO" w:eastAsia="ro-RO"/>
        </w:rPr>
        <w:t>privind controlul și reducerea prevalenței salmonelelor</w:t>
      </w:r>
    </w:p>
    <w:p w:rsidR="008621CE" w:rsidRPr="008621CE" w:rsidRDefault="006D1DD8" w:rsidP="006D1DD8">
      <w:pPr>
        <w:jc w:val="center"/>
        <w:rPr>
          <w:b/>
          <w:bCs/>
          <w:noProof/>
          <w:spacing w:val="10"/>
          <w:sz w:val="22"/>
          <w:szCs w:val="22"/>
          <w:lang w:val="ro-RO" w:eastAsia="ro-RO"/>
        </w:rPr>
      </w:pPr>
      <w:r w:rsidRPr="006D1DD8">
        <w:rPr>
          <w:rStyle w:val="FontStyle11"/>
          <w:noProof/>
          <w:sz w:val="22"/>
          <w:szCs w:val="22"/>
          <w:lang w:val="ro-RO" w:eastAsia="ro-RO"/>
        </w:rPr>
        <w:t>în efectivele de animale</w:t>
      </w:r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604"/>
      </w:tblGrid>
      <w:tr w:rsidR="00B72946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Default="00B72946" w:rsidP="00113981">
            <w:pPr>
              <w:spacing w:line="256" w:lineRule="auto"/>
              <w:ind w:firstLine="0"/>
              <w:jc w:val="left"/>
              <w:rPr>
                <w:b/>
                <w:lang w:val="ro-MD"/>
              </w:rPr>
            </w:pPr>
            <w:r>
              <w:rPr>
                <w:b/>
                <w:lang w:val="ro-MD"/>
              </w:rPr>
              <w:t>1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4763AA" w:rsidRDefault="004E7655" w:rsidP="000C0365">
            <w:pPr>
              <w:spacing w:line="256" w:lineRule="auto"/>
              <w:ind w:firstLine="0"/>
              <w:rPr>
                <w:b/>
                <w:lang w:val="ro-MD"/>
              </w:rPr>
            </w:pPr>
            <w:r w:rsidRPr="004E7655">
              <w:rPr>
                <w:b/>
                <w:bCs/>
                <w:shd w:val="clear" w:color="auto" w:fill="FFFFFF"/>
                <w:lang w:val="ro-MD"/>
              </w:rPr>
              <w:t>Regulamentul (CE) nr. 1177/2006 al Comisiei din 1 august 2006 de punere în aplicare a Regulamentului (CE) nr. 2160/2003 al Parlamentului European și al Consiliului privind cerințele în vederea utilizării de metode de control specifice în cadrul programelor naționale de control al salmonelei la păsările de curte, CELEX: 32006R1177, publicat în Jurnalul Oficial al Uniunii Europene L 212/3 din 01 august 2006</w:t>
            </w:r>
          </w:p>
        </w:tc>
      </w:tr>
      <w:tr w:rsidR="00B72946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>
              <w:rPr>
                <w:b/>
                <w:lang w:val="ro-MD"/>
              </w:rPr>
              <w:t>2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AC1BAE" w:rsidRDefault="006D1DD8" w:rsidP="00AC1BAE">
            <w:pPr>
              <w:shd w:val="clear" w:color="auto" w:fill="FFFFFF"/>
              <w:spacing w:line="256" w:lineRule="auto"/>
              <w:ind w:firstLine="0"/>
              <w:rPr>
                <w:b/>
                <w:lang w:val="ro-MD"/>
              </w:rPr>
            </w:pPr>
            <w:r w:rsidRPr="006D1DD8">
              <w:rPr>
                <w:b/>
                <w:lang w:val="ro-MD"/>
              </w:rPr>
              <w:t xml:space="preserve">Proiectul Hotărârii Guvernului pentru aprobarea unor norme sanitare veterinare privind controlul și reducerea prevalenței </w:t>
            </w:r>
            <w:proofErr w:type="spellStart"/>
            <w:r w:rsidRPr="006D1DD8">
              <w:rPr>
                <w:b/>
                <w:lang w:val="ro-MD"/>
              </w:rPr>
              <w:t>salmonelelor</w:t>
            </w:r>
            <w:proofErr w:type="spellEnd"/>
            <w:r w:rsidRPr="006D1DD8">
              <w:rPr>
                <w:b/>
                <w:lang w:val="ro-MD"/>
              </w:rPr>
              <w:t xml:space="preserve"> în efectivele de animale</w:t>
            </w:r>
          </w:p>
        </w:tc>
      </w:tr>
      <w:tr w:rsidR="00B72946" w:rsidRPr="006A0462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3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2633E7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 xml:space="preserve">Gradul general de </w:t>
            </w:r>
            <w:r w:rsidRPr="00D07D9D">
              <w:rPr>
                <w:b/>
                <w:lang w:val="ro-MD"/>
              </w:rPr>
              <w:t xml:space="preserve">compatibilitate </w:t>
            </w:r>
            <w:r w:rsidR="00BA1134" w:rsidRPr="00D07D9D">
              <w:rPr>
                <w:b/>
                <w:lang w:val="ro-MD"/>
              </w:rPr>
              <w:t>–</w:t>
            </w:r>
            <w:r w:rsidRPr="00D07D9D">
              <w:rPr>
                <w:b/>
                <w:lang w:val="ro-MD"/>
              </w:rPr>
              <w:t>compatibil</w:t>
            </w:r>
            <w:r w:rsidR="00BA1134" w:rsidRPr="00D07D9D">
              <w:rPr>
                <w:b/>
                <w:lang w:val="ro-MD"/>
              </w:rPr>
              <w:t xml:space="preserve"> </w:t>
            </w:r>
          </w:p>
        </w:tc>
      </w:tr>
      <w:tr w:rsidR="00B72946" w:rsidRPr="006A0462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4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RO"/>
              </w:rPr>
            </w:pPr>
            <w:r w:rsidRPr="006A0462">
              <w:rPr>
                <w:b/>
                <w:lang w:val="ro-MD"/>
              </w:rPr>
              <w:t xml:space="preserve">Autoritatea/persoana responsabilă MAIA / </w:t>
            </w:r>
            <w:proofErr w:type="spellStart"/>
            <w:r w:rsidRPr="006A0462">
              <w:rPr>
                <w:b/>
                <w:lang w:val="ro-MD"/>
              </w:rPr>
              <w:t>Antohiev</w:t>
            </w:r>
            <w:proofErr w:type="spellEnd"/>
            <w:r w:rsidRPr="006A0462">
              <w:rPr>
                <w:b/>
                <w:lang w:val="ro-MD"/>
              </w:rPr>
              <w:t xml:space="preserve"> Tatiana</w:t>
            </w:r>
          </w:p>
        </w:tc>
      </w:tr>
      <w:tr w:rsidR="00B72946" w:rsidRPr="006A0462" w:rsidTr="00113981">
        <w:trPr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5</w:t>
            </w:r>
          </w:p>
        </w:tc>
        <w:tc>
          <w:tcPr>
            <w:tcW w:w="4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spacing w:line="256" w:lineRule="auto"/>
              <w:ind w:firstLine="0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Da</w:t>
            </w:r>
            <w:r w:rsidR="004B3A63">
              <w:rPr>
                <w:b/>
                <w:lang w:val="ro-MD"/>
              </w:rPr>
              <w:t>ta întocmirii/actualizării -2025</w:t>
            </w:r>
          </w:p>
        </w:tc>
      </w:tr>
    </w:tbl>
    <w:tbl>
      <w:tblPr>
        <w:tblStyle w:val="TableGrid1"/>
        <w:tblW w:w="14025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5670"/>
        <w:gridCol w:w="1559"/>
        <w:gridCol w:w="1556"/>
      </w:tblGrid>
      <w:tr w:rsidR="00B72946" w:rsidRPr="006A0462" w:rsidTr="00EC1D97">
        <w:trPr>
          <w:trHeight w:val="69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ind w:firstLine="0"/>
              <w:jc w:val="center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Actul Uniunii Europene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ind w:firstLine="0"/>
              <w:jc w:val="center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Proiectul de act normativ național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ind w:firstLine="0"/>
              <w:jc w:val="center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Gradul de compatibilitate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6" w:rsidRPr="006A0462" w:rsidRDefault="00B72946" w:rsidP="00113981">
            <w:pPr>
              <w:ind w:firstLine="0"/>
              <w:jc w:val="center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Observații</w:t>
            </w:r>
          </w:p>
        </w:tc>
      </w:tr>
      <w:tr w:rsidR="00186605" w:rsidRPr="006A0462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5" w:rsidRPr="006A0462" w:rsidRDefault="00186605" w:rsidP="007B7AFA">
            <w:pPr>
              <w:ind w:firstLine="0"/>
              <w:jc w:val="left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5" w:rsidRPr="006A0462" w:rsidRDefault="00186605" w:rsidP="007B7AFA">
            <w:pPr>
              <w:ind w:firstLine="0"/>
              <w:jc w:val="left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5" w:rsidRPr="006A0462" w:rsidRDefault="00186605" w:rsidP="007B7AFA">
            <w:pPr>
              <w:ind w:firstLine="0"/>
              <w:jc w:val="left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5" w:rsidRPr="006A0462" w:rsidRDefault="00186605" w:rsidP="007B7AFA">
            <w:pPr>
              <w:ind w:firstLine="0"/>
              <w:jc w:val="left"/>
              <w:rPr>
                <w:b/>
                <w:lang w:val="ro-MD"/>
              </w:rPr>
            </w:pPr>
            <w:r w:rsidRPr="006A0462">
              <w:rPr>
                <w:b/>
                <w:lang w:val="ro-MD"/>
              </w:rPr>
              <w:t>9</w:t>
            </w:r>
          </w:p>
        </w:tc>
      </w:tr>
      <w:tr w:rsidR="00186605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i/>
                <w:i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Articolul 1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Prezentul regulament stabilește regulile privind utilizarea de </w:t>
            </w:r>
            <w:proofErr w:type="spellStart"/>
            <w:r w:rsidRPr="002447C6">
              <w:rPr>
                <w:bCs/>
                <w:shd w:val="clear" w:color="auto" w:fill="FFFFFF"/>
                <w:lang w:val="ro-RO" w:eastAsia="ro-RO"/>
              </w:rPr>
              <w:t>antimicrobieni</w:t>
            </w:r>
            <w:proofErr w:type="spellEnd"/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 și de vaccinuri în cadrul programelor naționale de control adoptate în conformitate cu articolul 6 din Regulamentul (CE) nr. 2160/2003 (programe naționale de control).</w:t>
            </w:r>
          </w:p>
          <w:p w:rsidR="00186605" w:rsidRPr="003D55E2" w:rsidRDefault="00186605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A" w:rsidRPr="00E548AA" w:rsidRDefault="00CF46C0" w:rsidP="00E548AA">
            <w:pPr>
              <w:ind w:firstLine="0"/>
              <w:jc w:val="center"/>
              <w:rPr>
                <w:b/>
              </w:rPr>
            </w:pPr>
            <w:proofErr w:type="spellStart"/>
            <w:r w:rsidRPr="00E548AA">
              <w:rPr>
                <w:b/>
              </w:rPr>
              <w:t>Capitolul</w:t>
            </w:r>
            <w:proofErr w:type="spellEnd"/>
            <w:r w:rsidRPr="00E548AA">
              <w:rPr>
                <w:b/>
              </w:rPr>
              <w:t xml:space="preserve"> I</w:t>
            </w:r>
          </w:p>
          <w:p w:rsidR="00E548AA" w:rsidRPr="00E548AA" w:rsidRDefault="00CF46C0" w:rsidP="00E548AA">
            <w:pPr>
              <w:ind w:firstLine="0"/>
              <w:jc w:val="center"/>
              <w:rPr>
                <w:b/>
              </w:rPr>
            </w:pPr>
            <w:proofErr w:type="spellStart"/>
            <w:r w:rsidRPr="00E548AA">
              <w:rPr>
                <w:b/>
              </w:rPr>
              <w:t>Dispoziţii</w:t>
            </w:r>
            <w:proofErr w:type="spellEnd"/>
            <w:r w:rsidRPr="00E548AA">
              <w:rPr>
                <w:b/>
              </w:rPr>
              <w:t xml:space="preserve"> </w:t>
            </w:r>
            <w:proofErr w:type="spellStart"/>
            <w:r w:rsidRPr="00E548AA">
              <w:rPr>
                <w:b/>
              </w:rPr>
              <w:t>generale</w:t>
            </w:r>
            <w:proofErr w:type="spellEnd"/>
          </w:p>
          <w:p w:rsidR="00186605" w:rsidRPr="00CF46C0" w:rsidRDefault="00CF46C0" w:rsidP="00E548AA">
            <w:pPr>
              <w:ind w:firstLine="0"/>
              <w:rPr>
                <w:lang w:val="ro-RO"/>
              </w:rPr>
            </w:pPr>
            <w:r w:rsidRPr="00CF46C0">
              <w:t xml:space="preserve">1. </w:t>
            </w:r>
            <w:r w:rsidR="00B81960" w:rsidRPr="00B81960">
              <w:rPr>
                <w:lang w:val="ro-MD"/>
              </w:rPr>
              <w:t xml:space="preserve">Norma sanitară veterinară privind cerințele în vederea utilizării de metode de control specifice în cadrul programelor naționale de control al salmonelei la păsările de curte </w:t>
            </w:r>
            <w:bookmarkStart w:id="0" w:name="_GoBack"/>
            <w:bookmarkEnd w:id="0"/>
            <w:r w:rsidRPr="00F57096">
              <w:rPr>
                <w:lang w:val="ro-MD"/>
              </w:rPr>
              <w:t>(în continuare –</w:t>
            </w:r>
            <w:r w:rsidRPr="00F57096">
              <w:rPr>
                <w:i/>
                <w:lang w:val="ro-MD"/>
              </w:rPr>
              <w:t>Normă sanitară veterinară</w:t>
            </w:r>
            <w:r w:rsidRPr="00F57096">
              <w:rPr>
                <w:lang w:val="ro-MD"/>
              </w:rPr>
              <w:t xml:space="preserve">) </w:t>
            </w:r>
            <w:proofErr w:type="spellStart"/>
            <w:r w:rsidRPr="00F57096">
              <w:rPr>
                <w:lang w:val="ro-MD"/>
              </w:rPr>
              <w:t>stabileşte</w:t>
            </w:r>
            <w:proofErr w:type="spellEnd"/>
            <w:r w:rsidRPr="00F57096">
              <w:rPr>
                <w:lang w:val="ro-MD"/>
              </w:rPr>
              <w:t xml:space="preserve"> regulile privind utilizarea de </w:t>
            </w:r>
            <w:proofErr w:type="spellStart"/>
            <w:r w:rsidRPr="00F57096">
              <w:rPr>
                <w:lang w:val="ro-MD"/>
              </w:rPr>
              <w:t>antimicrobieni</w:t>
            </w:r>
            <w:proofErr w:type="spellEnd"/>
            <w:r w:rsidRPr="00F57096">
              <w:rPr>
                <w:lang w:val="ro-MD"/>
              </w:rPr>
              <w:t xml:space="preserve">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de vaccinuri în cadrul programelor </w:t>
            </w:r>
            <w:proofErr w:type="spellStart"/>
            <w:r w:rsidRPr="00F57096">
              <w:rPr>
                <w:lang w:val="ro-MD"/>
              </w:rPr>
              <w:t>naţionale</w:t>
            </w:r>
            <w:proofErr w:type="spellEnd"/>
            <w:r w:rsidRPr="00F57096">
              <w:rPr>
                <w:lang w:val="ro-MD"/>
              </w:rPr>
              <w:t xml:space="preserve"> de control, elaborate în conformitate cu </w:t>
            </w:r>
            <w:r w:rsidR="002B1FAE" w:rsidRPr="002B1FAE">
              <w:rPr>
                <w:lang w:val="ro-MD"/>
              </w:rPr>
              <w:t xml:space="preserve">Norma sanitară veterinară privind controlul salmonelei și al altor agenți </w:t>
            </w:r>
            <w:proofErr w:type="spellStart"/>
            <w:r w:rsidR="002B1FAE" w:rsidRPr="002B1FAE">
              <w:rPr>
                <w:lang w:val="ro-MD"/>
              </w:rPr>
              <w:t>zoonotici</w:t>
            </w:r>
            <w:proofErr w:type="spellEnd"/>
            <w:r w:rsidR="002B1FAE" w:rsidRPr="002B1FAE">
              <w:rPr>
                <w:lang w:val="ro-MD"/>
              </w:rPr>
              <w:t xml:space="preserve"> specifici, prezenți în rețeaua alimentară </w:t>
            </w:r>
            <w:r w:rsidRPr="00F57096">
              <w:rPr>
                <w:lang w:val="ro-MD"/>
              </w:rPr>
              <w:t>(anexa nr.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D538C1" w:rsidRDefault="00186605" w:rsidP="007B7AFA">
            <w:pPr>
              <w:ind w:firstLine="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compatibil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D538C1" w:rsidRDefault="0018660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  <w:tr w:rsidR="004E7655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i/>
                <w:i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Articolul 2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/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/>
                <w:bCs/>
                <w:shd w:val="clear" w:color="auto" w:fill="FFFFFF"/>
                <w:lang w:val="ro-RO" w:eastAsia="ro-RO"/>
              </w:rPr>
              <w:t xml:space="preserve">Utilizare de </w:t>
            </w:r>
            <w:proofErr w:type="spellStart"/>
            <w:r w:rsidRPr="002447C6">
              <w:rPr>
                <w:b/>
                <w:bCs/>
                <w:shd w:val="clear" w:color="auto" w:fill="FFFFFF"/>
                <w:lang w:val="ro-RO" w:eastAsia="ro-RO"/>
              </w:rPr>
              <w:t>antimicrobieni</w:t>
            </w:r>
            <w:proofErr w:type="spellEnd"/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(1)   </w:t>
            </w:r>
            <w:proofErr w:type="spellStart"/>
            <w:r w:rsidRPr="002447C6">
              <w:rPr>
                <w:bCs/>
                <w:shd w:val="clear" w:color="auto" w:fill="FFFFFF"/>
                <w:lang w:val="ro-RO" w:eastAsia="ro-RO"/>
              </w:rPr>
              <w:t>Antimicrobienii</w:t>
            </w:r>
            <w:proofErr w:type="spellEnd"/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 nu constituie o metodă specifică de combatere a salmonelei la păsările de curte.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(2)   Prin derogare de la alineatul (1) și în condițiile prevăzute la literele (a), (b) și (c), precum și la alineatul (3) din prezentul articol, </w:t>
            </w:r>
            <w:proofErr w:type="spellStart"/>
            <w:r w:rsidRPr="002447C6">
              <w:rPr>
                <w:bCs/>
                <w:shd w:val="clear" w:color="auto" w:fill="FFFFFF"/>
                <w:lang w:val="ro-RO" w:eastAsia="ro-RO"/>
              </w:rPr>
              <w:t>antimicrobienii</w:t>
            </w:r>
            <w:proofErr w:type="spellEnd"/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 autorizați în conformitate cu articolul 5 din Directiva 2001/82/CE sau cu articolul 3 din Regulamentul (CE) nr. 726/2004 pot fi utilizați în următoarele cazuri excepționale: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"/>
              <w:gridCol w:w="4855"/>
            </w:tblGrid>
            <w:tr w:rsidR="002447C6" w:rsidRPr="002447C6" w:rsidTr="002447C6">
              <w:tc>
                <w:tcPr>
                  <w:tcW w:w="300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lastRenderedPageBreak/>
                    <w:t>(a)</w:t>
                  </w:r>
                </w:p>
              </w:tc>
              <w:tc>
                <w:tcPr>
                  <w:tcW w:w="9106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 xml:space="preserve">păsările de curte atinse de o infecție provocată de salmonela și însoțită de semne clinice, care pot provoca animalelor suferințe nejustificate; efectivele tratate cu </w:t>
                  </w:r>
                  <w:proofErr w:type="spellStart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antimicrobieni</w:t>
                  </w:r>
                  <w:proofErr w:type="spellEnd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 xml:space="preserve"> sunt considerate în continuare infectate cu salmonela; trebuie luate măsuri corespunzătoare față de efectivele reproducătoare pentru a reduce, atât cât este posibil, riscul de răspândire a salmonelei de-a lungul celorlalte etape ale piramidei de reproducere;</w:t>
                  </w:r>
                </w:p>
              </w:tc>
            </w:tr>
          </w:tbl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vanish/>
                <w:shd w:val="clear" w:color="auto" w:fill="FFFFFF"/>
                <w:lang w:val="ro-RO" w:eastAsia="ro-RO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"/>
              <w:gridCol w:w="4847"/>
            </w:tblGrid>
            <w:tr w:rsidR="002447C6" w:rsidRPr="002447C6" w:rsidTr="002447C6">
              <w:tc>
                <w:tcPr>
                  <w:tcW w:w="315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(b)</w:t>
                  </w:r>
                </w:p>
              </w:tc>
              <w:tc>
                <w:tcPr>
                  <w:tcW w:w="9091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 xml:space="preserve">conservarea materialului genetic de valoare în efectivele reproducătoare în vederea constituirii de noi efective indemne de salmonela, în special a „efectivelor de elită”, a efectivelor de specii amenințate și a efectivelor crescute în scopul cercetării; puii ieșiți din ouă destinate incubației provenite de la păsări de curte tratate cu </w:t>
                  </w:r>
                  <w:proofErr w:type="spellStart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antimicrobieni</w:t>
                  </w:r>
                  <w:proofErr w:type="spellEnd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 xml:space="preserve"> trebuie supuși prelevării de probe o dată la cincisprezece zile pe durata creșterii, obiectivul fiind de a detecta o rată de prevalență a salmonelei în cauză de 1 %, cu o limită de încredere de 95 %;</w:t>
                  </w:r>
                </w:p>
              </w:tc>
            </w:tr>
          </w:tbl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vanish/>
                <w:shd w:val="clear" w:color="auto" w:fill="FFFFFF"/>
                <w:lang w:val="ro-RO" w:eastAsia="ro-RO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"/>
              <w:gridCol w:w="4855"/>
            </w:tblGrid>
            <w:tr w:rsidR="002447C6" w:rsidRPr="002447C6" w:rsidTr="002447C6">
              <w:tc>
                <w:tcPr>
                  <w:tcW w:w="300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(c)</w:t>
                  </w:r>
                </w:p>
              </w:tc>
              <w:tc>
                <w:tcPr>
                  <w:tcW w:w="9106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autorizație acordată de autoritatea competentă de la caz la caz, în alte scopuri decât combaterea salmonelei, într-un efectiv suspect de infecție cu salmonela, în special ca urmare a studiului epidemiologic al unui focar de toxiinfecție alimentară sau a detectării de salmonela în incubator sau în exploatație; cu toate acestea, în caz de urgență, statele membre pot decide să se permită un tratament fără autorizație prealabilă, cu ajutorul prelevării de probe de un medic veterinar autorizat, astfel cum a fost definit la articolul 2 litera (g) din Regulamentul (CE) nr. 854/2004</w:t>
                  </w:r>
                  <w:hyperlink r:id="rId4" w:anchor="ntr7-L_2006212RO.01000301-E0007" w:history="1">
                    <w:r w:rsidRPr="002447C6">
                      <w:rPr>
                        <w:rStyle w:val="Hyperlink"/>
                        <w:bCs/>
                        <w:shd w:val="clear" w:color="auto" w:fill="FFFFFF"/>
                        <w:lang w:val="ro-RO" w:eastAsia="ro-RO"/>
                      </w:rPr>
                      <w:t> (</w:t>
                    </w:r>
                    <w:r w:rsidRPr="002447C6">
                      <w:rPr>
                        <w:rStyle w:val="Hyperlink"/>
                        <w:bCs/>
                        <w:shd w:val="clear" w:color="auto" w:fill="FFFFFF"/>
                        <w:vertAlign w:val="superscript"/>
                        <w:lang w:val="ro-RO" w:eastAsia="ro-RO"/>
                      </w:rPr>
                      <w:t>7</w:t>
                    </w:r>
                    <w:r w:rsidRPr="002447C6">
                      <w:rPr>
                        <w:rStyle w:val="Hyperlink"/>
                        <w:bCs/>
                        <w:shd w:val="clear" w:color="auto" w:fill="FFFFFF"/>
                        <w:lang w:val="ro-RO" w:eastAsia="ro-RO"/>
                      </w:rPr>
                      <w:t>)</w:t>
                    </w:r>
                  </w:hyperlink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, cu condiția de a notifica de îndată acest tratament autorității competente; efectivele sunt considerate infectate cu salmonela în cazul în care prelevarea de probe nu s-a realizat în conformitate cu dispozițiile din prezentul alineat.</w:t>
                  </w:r>
                </w:p>
              </w:tc>
            </w:tr>
          </w:tbl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(3)   Utilizarea de </w:t>
            </w:r>
            <w:proofErr w:type="spellStart"/>
            <w:r w:rsidRPr="002447C6">
              <w:rPr>
                <w:bCs/>
                <w:shd w:val="clear" w:color="auto" w:fill="FFFFFF"/>
                <w:lang w:val="ro-RO" w:eastAsia="ro-RO"/>
              </w:rPr>
              <w:t>antimicrobieni</w:t>
            </w:r>
            <w:proofErr w:type="spellEnd"/>
            <w:r w:rsidRPr="002447C6">
              <w:rPr>
                <w:bCs/>
                <w:shd w:val="clear" w:color="auto" w:fill="FFFFFF"/>
                <w:lang w:val="ro-RO" w:eastAsia="ro-RO"/>
              </w:rPr>
              <w:t xml:space="preserve"> se subordonează monitorizării autorității competente și notificării acesteia din urmă. Această utilizare se bazează, ori de câte ori este posibil, pe rezultatele prelevării de probe bacteriologice și ale testelor de sensibilitate.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lastRenderedPageBreak/>
              <w:t>(4)   Dispozițiile prevăzute în prezentul articol nu se aplică substanțelor, microorganismelor sau preparatelor a căror utilizare în calitate de aditivi pentru hrana animalelor a fost autorizată în conformitate cu articolul 3 din Regulamentul (CE) nr. 1831/2003.</w:t>
            </w:r>
          </w:p>
          <w:p w:rsidR="004E7655" w:rsidRPr="003D55E2" w:rsidRDefault="004E7655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6" w:rsidRPr="00F57096" w:rsidRDefault="00E548AA" w:rsidP="00F57096">
            <w:pPr>
              <w:ind w:firstLine="0"/>
              <w:jc w:val="center"/>
              <w:rPr>
                <w:b/>
              </w:rPr>
            </w:pPr>
            <w:proofErr w:type="spellStart"/>
            <w:r w:rsidRPr="00F57096">
              <w:rPr>
                <w:b/>
              </w:rPr>
              <w:lastRenderedPageBreak/>
              <w:t>Capitolul</w:t>
            </w:r>
            <w:proofErr w:type="spellEnd"/>
            <w:r w:rsidRPr="00F57096">
              <w:rPr>
                <w:b/>
              </w:rPr>
              <w:t xml:space="preserve"> II</w:t>
            </w:r>
          </w:p>
          <w:p w:rsidR="00F57096" w:rsidRPr="00F57096" w:rsidRDefault="00E548AA" w:rsidP="00F57096">
            <w:pPr>
              <w:ind w:firstLine="0"/>
              <w:jc w:val="center"/>
              <w:rPr>
                <w:b/>
              </w:rPr>
            </w:pPr>
            <w:proofErr w:type="spellStart"/>
            <w:r w:rsidRPr="00F57096">
              <w:rPr>
                <w:b/>
              </w:rPr>
              <w:t>Utilizare</w:t>
            </w:r>
            <w:proofErr w:type="spellEnd"/>
            <w:r w:rsidRPr="00F57096">
              <w:rPr>
                <w:b/>
              </w:rPr>
              <w:t xml:space="preserve"> de </w:t>
            </w:r>
            <w:proofErr w:type="spellStart"/>
            <w:r w:rsidRPr="00F57096">
              <w:rPr>
                <w:b/>
              </w:rPr>
              <w:t>antimicrobieni</w:t>
            </w:r>
            <w:proofErr w:type="spellEnd"/>
          </w:p>
          <w:p w:rsidR="00D20F58" w:rsidRDefault="00E548AA" w:rsidP="002B1FAE">
            <w:pPr>
              <w:ind w:firstLine="0"/>
              <w:rPr>
                <w:lang w:val="ro-MD"/>
              </w:rPr>
            </w:pPr>
            <w:r w:rsidRPr="00E548AA">
              <w:t>2</w:t>
            </w:r>
            <w:r w:rsidRPr="00F57096">
              <w:rPr>
                <w:lang w:val="ro-MD"/>
              </w:rPr>
              <w:t xml:space="preserve">. Se interzice aplicarea preparatelor </w:t>
            </w:r>
            <w:proofErr w:type="spellStart"/>
            <w:r w:rsidRPr="00F57096">
              <w:rPr>
                <w:lang w:val="ro-MD"/>
              </w:rPr>
              <w:t>antimicrobiene</w:t>
            </w:r>
            <w:proofErr w:type="spellEnd"/>
            <w:r w:rsidRPr="00F57096">
              <w:rPr>
                <w:lang w:val="ro-MD"/>
              </w:rPr>
              <w:t xml:space="preserve"> de uz veterinar animalelor producătoare de produse alimentare de origine animală destinate consumului uman. </w:t>
            </w:r>
          </w:p>
          <w:p w:rsidR="00AD31F2" w:rsidRDefault="00D20F58" w:rsidP="002B1FAE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 xml:space="preserve">3. </w:t>
            </w:r>
            <w:r w:rsidR="00E548AA" w:rsidRPr="00F57096">
              <w:rPr>
                <w:lang w:val="ro-MD"/>
              </w:rPr>
              <w:t xml:space="preserve">Antibioticele nu trebuie folosite ca metodă specifică de control al </w:t>
            </w:r>
            <w:proofErr w:type="spellStart"/>
            <w:r w:rsidR="00E548AA" w:rsidRPr="00F57096">
              <w:rPr>
                <w:lang w:val="ro-MD"/>
              </w:rPr>
              <w:t>sa</w:t>
            </w:r>
            <w:r>
              <w:rPr>
                <w:lang w:val="ro-MD"/>
              </w:rPr>
              <w:t>lmonelelor</w:t>
            </w:r>
            <w:proofErr w:type="spellEnd"/>
            <w:r>
              <w:rPr>
                <w:lang w:val="ro-MD"/>
              </w:rPr>
              <w:t xml:space="preserve"> la păsările de curte:</w:t>
            </w:r>
            <w:r w:rsidR="00E548AA" w:rsidRPr="00F57096">
              <w:rPr>
                <w:lang w:val="ro-MD"/>
              </w:rPr>
              <w:t xml:space="preserve"> </w:t>
            </w:r>
          </w:p>
          <w:p w:rsidR="00884C74" w:rsidRDefault="00D20F58" w:rsidP="002B1FAE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1)</w:t>
            </w:r>
            <w:r w:rsidR="00AD31F2">
              <w:rPr>
                <w:lang w:val="ro-MD"/>
              </w:rPr>
              <w:t xml:space="preserve">. </w:t>
            </w:r>
            <w:r w:rsidR="00E548AA" w:rsidRPr="00F57096">
              <w:rPr>
                <w:lang w:val="ro-MD"/>
              </w:rPr>
              <w:t xml:space="preserve">Prin derogare de la pct. 2 </w:t>
            </w:r>
            <w:proofErr w:type="spellStart"/>
            <w:r w:rsidR="00E548AA" w:rsidRPr="00F57096">
              <w:rPr>
                <w:lang w:val="ro-MD"/>
              </w:rPr>
              <w:t>şi</w:t>
            </w:r>
            <w:proofErr w:type="spellEnd"/>
            <w:r w:rsidR="00E548AA" w:rsidRPr="00F57096">
              <w:rPr>
                <w:lang w:val="ro-MD"/>
              </w:rPr>
              <w:t xml:space="preserve"> în </w:t>
            </w:r>
            <w:proofErr w:type="spellStart"/>
            <w:r w:rsidR="00E548AA" w:rsidRPr="00F57096">
              <w:rPr>
                <w:lang w:val="ro-MD"/>
              </w:rPr>
              <w:t>condiţiile</w:t>
            </w:r>
            <w:proofErr w:type="spellEnd"/>
            <w:r w:rsidR="00E548AA" w:rsidRPr="00F57096">
              <w:rPr>
                <w:lang w:val="ro-MD"/>
              </w:rPr>
              <w:t xml:space="preserve"> prezentului punct </w:t>
            </w:r>
            <w:proofErr w:type="spellStart"/>
            <w:r w:rsidR="00E548AA" w:rsidRPr="00F57096">
              <w:rPr>
                <w:lang w:val="ro-MD"/>
              </w:rPr>
              <w:t>antimicrobienii</w:t>
            </w:r>
            <w:proofErr w:type="spellEnd"/>
            <w:r w:rsidR="00E548AA" w:rsidRPr="00F57096">
              <w:rPr>
                <w:lang w:val="ro-MD"/>
              </w:rPr>
              <w:t xml:space="preserve"> </w:t>
            </w:r>
            <w:proofErr w:type="spellStart"/>
            <w:r w:rsidR="00E548AA" w:rsidRPr="00F57096">
              <w:rPr>
                <w:lang w:val="ro-MD"/>
              </w:rPr>
              <w:t>autorizaţi</w:t>
            </w:r>
            <w:proofErr w:type="spellEnd"/>
            <w:r w:rsidR="00E548AA" w:rsidRPr="00F57096">
              <w:rPr>
                <w:lang w:val="ro-MD"/>
              </w:rPr>
              <w:t xml:space="preserve"> de autoritatea competentă pot fi </w:t>
            </w:r>
            <w:proofErr w:type="spellStart"/>
            <w:r w:rsidR="00E548AA" w:rsidRPr="00F57096">
              <w:rPr>
                <w:lang w:val="ro-MD"/>
              </w:rPr>
              <w:t>utilizaţi</w:t>
            </w:r>
            <w:proofErr w:type="spellEnd"/>
            <w:r w:rsidR="00E548AA" w:rsidRPr="00F57096">
              <w:rPr>
                <w:lang w:val="ro-MD"/>
              </w:rPr>
              <w:t xml:space="preserve"> în următoarele cazuri </w:t>
            </w:r>
            <w:proofErr w:type="spellStart"/>
            <w:r w:rsidR="00E548AA" w:rsidRPr="00F57096">
              <w:rPr>
                <w:lang w:val="ro-MD"/>
              </w:rPr>
              <w:t>excepţionale</w:t>
            </w:r>
            <w:proofErr w:type="spellEnd"/>
            <w:r w:rsidR="00E548AA" w:rsidRPr="00F57096">
              <w:rPr>
                <w:lang w:val="ro-MD"/>
              </w:rPr>
              <w:t xml:space="preserve">: </w:t>
            </w:r>
          </w:p>
          <w:p w:rsidR="00884C74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lastRenderedPageBreak/>
              <w:t xml:space="preserve">a) păsările de curte atinse de o </w:t>
            </w:r>
            <w:proofErr w:type="spellStart"/>
            <w:r w:rsidRPr="00F57096">
              <w:rPr>
                <w:lang w:val="ro-MD"/>
              </w:rPr>
              <w:t>infecţie</w:t>
            </w:r>
            <w:proofErr w:type="spellEnd"/>
            <w:r w:rsidRPr="00F57096">
              <w:rPr>
                <w:lang w:val="ro-MD"/>
              </w:rPr>
              <w:t xml:space="preserve"> provocată de salmonela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</w:t>
            </w:r>
            <w:proofErr w:type="spellStart"/>
            <w:r w:rsidRPr="00F57096">
              <w:rPr>
                <w:lang w:val="ro-MD"/>
              </w:rPr>
              <w:t>însoţită</w:t>
            </w:r>
            <w:proofErr w:type="spellEnd"/>
            <w:r w:rsidRPr="00F57096">
              <w:rPr>
                <w:lang w:val="ro-MD"/>
              </w:rPr>
              <w:t xml:space="preserve"> de semne clinice, care pot provoca animalelor </w:t>
            </w:r>
            <w:proofErr w:type="spellStart"/>
            <w:r w:rsidRPr="00F57096">
              <w:rPr>
                <w:lang w:val="ro-MD"/>
              </w:rPr>
              <w:t>suferinţe</w:t>
            </w:r>
            <w:proofErr w:type="spellEnd"/>
            <w:r w:rsidRPr="00E548AA">
              <w:t xml:space="preserve"> </w:t>
            </w:r>
            <w:r w:rsidRPr="00F57096">
              <w:rPr>
                <w:lang w:val="ro-MD"/>
              </w:rPr>
              <w:t xml:space="preserve">nejustificate; efectivele tratate cu </w:t>
            </w:r>
            <w:proofErr w:type="spellStart"/>
            <w:r w:rsidRPr="00F57096">
              <w:rPr>
                <w:lang w:val="ro-MD"/>
              </w:rPr>
              <w:t>antimicrobieni</w:t>
            </w:r>
            <w:proofErr w:type="spellEnd"/>
            <w:r w:rsidRPr="00F57096">
              <w:rPr>
                <w:lang w:val="ro-MD"/>
              </w:rPr>
              <w:t xml:space="preserve"> </w:t>
            </w:r>
            <w:proofErr w:type="spellStart"/>
            <w:r w:rsidRPr="00F57096">
              <w:rPr>
                <w:lang w:val="ro-MD"/>
              </w:rPr>
              <w:t>sînt</w:t>
            </w:r>
            <w:proofErr w:type="spellEnd"/>
            <w:r w:rsidRPr="00F57096">
              <w:rPr>
                <w:lang w:val="ro-MD"/>
              </w:rPr>
              <w:t xml:space="preserve"> considerate în continuare infectate cu salmonela; trebuie luate măsuri corespunzătoare </w:t>
            </w:r>
            <w:proofErr w:type="spellStart"/>
            <w:r w:rsidRPr="00F57096">
              <w:rPr>
                <w:lang w:val="ro-MD"/>
              </w:rPr>
              <w:t>faţă</w:t>
            </w:r>
            <w:proofErr w:type="spellEnd"/>
            <w:r w:rsidRPr="00F57096">
              <w:rPr>
                <w:lang w:val="ro-MD"/>
              </w:rPr>
              <w:t xml:space="preserve"> de efectivele reproducătoare pentru a reduce, at</w:t>
            </w:r>
            <w:r w:rsidR="007D614B">
              <w:rPr>
                <w:lang w:val="ro-MD"/>
              </w:rPr>
              <w:t>â</w:t>
            </w:r>
            <w:r w:rsidRPr="00F57096">
              <w:rPr>
                <w:lang w:val="ro-MD"/>
              </w:rPr>
              <w:t>t c</w:t>
            </w:r>
            <w:r w:rsidR="007D614B">
              <w:rPr>
                <w:lang w:val="ro-MD"/>
              </w:rPr>
              <w:t>â</w:t>
            </w:r>
            <w:r w:rsidRPr="00F57096">
              <w:rPr>
                <w:lang w:val="ro-MD"/>
              </w:rPr>
              <w:t>t este posibil, riscul de răsp</w:t>
            </w:r>
            <w:r w:rsidR="007D614B">
              <w:rPr>
                <w:lang w:val="ro-MD"/>
              </w:rPr>
              <w:t>â</w:t>
            </w:r>
            <w:r w:rsidRPr="00F57096">
              <w:rPr>
                <w:lang w:val="ro-MD"/>
              </w:rPr>
              <w:t>ndire a salmonelei de-a lungul celorlalte etape ale piramidei de reproducere;</w:t>
            </w:r>
          </w:p>
          <w:p w:rsidR="00884C74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t xml:space="preserve"> b) conservarea materialului genetic de valoare în efectivele reproducătoare în vederea constituirii de noi efective indemne de salmonela, în special a efectivelor de elită, a efectivelor de specii </w:t>
            </w:r>
            <w:proofErr w:type="spellStart"/>
            <w:r w:rsidRPr="00F57096">
              <w:rPr>
                <w:lang w:val="ro-MD"/>
              </w:rPr>
              <w:t>ameninţate</w:t>
            </w:r>
            <w:proofErr w:type="spellEnd"/>
            <w:r w:rsidRPr="00F57096">
              <w:rPr>
                <w:lang w:val="ro-MD"/>
              </w:rPr>
              <w:t xml:space="preserve">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a efectivelor crescute în scopul cercetării; puii </w:t>
            </w:r>
            <w:proofErr w:type="spellStart"/>
            <w:r w:rsidRPr="00F57096">
              <w:rPr>
                <w:lang w:val="ro-MD"/>
              </w:rPr>
              <w:t>ieşiţi</w:t>
            </w:r>
            <w:proofErr w:type="spellEnd"/>
            <w:r w:rsidRPr="00F57096">
              <w:rPr>
                <w:lang w:val="ro-MD"/>
              </w:rPr>
              <w:t xml:space="preserve"> din ouă destinate </w:t>
            </w:r>
            <w:proofErr w:type="spellStart"/>
            <w:r w:rsidRPr="00F57096">
              <w:rPr>
                <w:lang w:val="ro-MD"/>
              </w:rPr>
              <w:t>incubaţiei</w:t>
            </w:r>
            <w:proofErr w:type="spellEnd"/>
            <w:r w:rsidRPr="00F57096">
              <w:rPr>
                <w:lang w:val="ro-MD"/>
              </w:rPr>
              <w:t xml:space="preserve"> provenite de la păsări de curte tratate cu </w:t>
            </w:r>
            <w:proofErr w:type="spellStart"/>
            <w:r w:rsidRPr="00F57096">
              <w:rPr>
                <w:lang w:val="ro-MD"/>
              </w:rPr>
              <w:t>antimicrobieni</w:t>
            </w:r>
            <w:proofErr w:type="spellEnd"/>
            <w:r w:rsidRPr="00F57096">
              <w:rPr>
                <w:lang w:val="ro-MD"/>
              </w:rPr>
              <w:t xml:space="preserve"> trebuie </w:t>
            </w:r>
            <w:proofErr w:type="spellStart"/>
            <w:r w:rsidRPr="00F57096">
              <w:rPr>
                <w:lang w:val="ro-MD"/>
              </w:rPr>
              <w:t>supuşi</w:t>
            </w:r>
            <w:proofErr w:type="spellEnd"/>
            <w:r w:rsidRPr="00F57096">
              <w:rPr>
                <w:lang w:val="ro-MD"/>
              </w:rPr>
              <w:t xml:space="preserve"> prelevării de probe o dată la cincisprezece zile pe durata </w:t>
            </w:r>
            <w:proofErr w:type="spellStart"/>
            <w:r w:rsidRPr="00F57096">
              <w:rPr>
                <w:lang w:val="ro-MD"/>
              </w:rPr>
              <w:t>creşterii</w:t>
            </w:r>
            <w:proofErr w:type="spellEnd"/>
            <w:r w:rsidRPr="00F57096">
              <w:rPr>
                <w:lang w:val="ro-MD"/>
              </w:rPr>
              <w:t xml:space="preserve">, obiectivul fiind de a detecta o rată de </w:t>
            </w:r>
            <w:proofErr w:type="spellStart"/>
            <w:r w:rsidRPr="00F57096">
              <w:rPr>
                <w:lang w:val="ro-MD"/>
              </w:rPr>
              <w:t>prevalenţă</w:t>
            </w:r>
            <w:proofErr w:type="spellEnd"/>
            <w:r w:rsidRPr="00F57096">
              <w:rPr>
                <w:lang w:val="ro-MD"/>
              </w:rPr>
              <w:t xml:space="preserve"> a salmonelei în cauză de 1 %, cu o limită de încredere de 95 %; </w:t>
            </w:r>
          </w:p>
          <w:p w:rsidR="00D20F58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t xml:space="preserve">c) </w:t>
            </w:r>
            <w:proofErr w:type="spellStart"/>
            <w:r w:rsidRPr="00F57096">
              <w:rPr>
                <w:lang w:val="ro-MD"/>
              </w:rPr>
              <w:t>autorizaţie</w:t>
            </w:r>
            <w:proofErr w:type="spellEnd"/>
            <w:r w:rsidRPr="00F57096">
              <w:rPr>
                <w:lang w:val="ro-MD"/>
              </w:rPr>
              <w:t xml:space="preserve"> acordată de autoritatea sanitar-veterinară competentă de la caz la caz, în alte scopuri </w:t>
            </w:r>
            <w:proofErr w:type="spellStart"/>
            <w:r w:rsidRPr="00F57096">
              <w:rPr>
                <w:lang w:val="ro-MD"/>
              </w:rPr>
              <w:t>decît</w:t>
            </w:r>
            <w:proofErr w:type="spellEnd"/>
            <w:r w:rsidRPr="00F57096">
              <w:rPr>
                <w:lang w:val="ro-MD"/>
              </w:rPr>
              <w:t xml:space="preserve"> combaterea salmonelei, într-un efectiv suspect de </w:t>
            </w:r>
            <w:proofErr w:type="spellStart"/>
            <w:r w:rsidRPr="00F57096">
              <w:rPr>
                <w:lang w:val="ro-MD"/>
              </w:rPr>
              <w:t>infecţie</w:t>
            </w:r>
            <w:proofErr w:type="spellEnd"/>
            <w:r w:rsidRPr="00F57096">
              <w:rPr>
                <w:lang w:val="ro-MD"/>
              </w:rPr>
              <w:t xml:space="preserve"> cu salmonela, în special ca urmare a studiului epidemiologic al unui focar de </w:t>
            </w:r>
            <w:proofErr w:type="spellStart"/>
            <w:r w:rsidRPr="00F57096">
              <w:rPr>
                <w:lang w:val="ro-MD"/>
              </w:rPr>
              <w:t>toxiinfecţie</w:t>
            </w:r>
            <w:proofErr w:type="spellEnd"/>
            <w:r w:rsidRPr="00F57096">
              <w:rPr>
                <w:lang w:val="ro-MD"/>
              </w:rPr>
              <w:t xml:space="preserve"> alimentară sau a detectării de salmonela în incubator sau în </w:t>
            </w:r>
            <w:proofErr w:type="spellStart"/>
            <w:r w:rsidRPr="00F57096">
              <w:rPr>
                <w:lang w:val="ro-MD"/>
              </w:rPr>
              <w:t>exploataţie</w:t>
            </w:r>
            <w:proofErr w:type="spellEnd"/>
            <w:r w:rsidRPr="00F57096">
              <w:rPr>
                <w:lang w:val="ro-MD"/>
              </w:rPr>
              <w:t xml:space="preserve">, iar în cazuri de </w:t>
            </w:r>
            <w:proofErr w:type="spellStart"/>
            <w:r w:rsidRPr="00F57096">
              <w:rPr>
                <w:lang w:val="ro-MD"/>
              </w:rPr>
              <w:t>urgenţă</w:t>
            </w:r>
            <w:proofErr w:type="spellEnd"/>
            <w:r w:rsidRPr="00F57096">
              <w:rPr>
                <w:lang w:val="ro-MD"/>
              </w:rPr>
              <w:t xml:space="preserve">, autoritatea competentă decide să se permită un tratament fără </w:t>
            </w:r>
            <w:proofErr w:type="spellStart"/>
            <w:r w:rsidRPr="00F57096">
              <w:rPr>
                <w:lang w:val="ro-MD"/>
              </w:rPr>
              <w:t>autorizaţie</w:t>
            </w:r>
            <w:proofErr w:type="spellEnd"/>
            <w:r w:rsidRPr="00F57096">
              <w:rPr>
                <w:lang w:val="ro-MD"/>
              </w:rPr>
              <w:t xml:space="preserve"> prealabilă, cu ajutorul prelevării de probe de un medic veterinar autorizat, cu </w:t>
            </w:r>
            <w:proofErr w:type="spellStart"/>
            <w:r w:rsidRPr="00F57096">
              <w:rPr>
                <w:lang w:val="ro-MD"/>
              </w:rPr>
              <w:t>condiţia</w:t>
            </w:r>
            <w:proofErr w:type="spellEnd"/>
            <w:r w:rsidRPr="00F57096">
              <w:rPr>
                <w:lang w:val="ro-MD"/>
              </w:rPr>
              <w:t xml:space="preserve"> de a notifica de îndată acest tratament </w:t>
            </w:r>
            <w:proofErr w:type="spellStart"/>
            <w:r w:rsidRPr="00F57096">
              <w:rPr>
                <w:lang w:val="ro-MD"/>
              </w:rPr>
              <w:t>autorităţii</w:t>
            </w:r>
            <w:proofErr w:type="spellEnd"/>
            <w:r w:rsidRPr="00F57096">
              <w:rPr>
                <w:lang w:val="ro-MD"/>
              </w:rPr>
              <w:t xml:space="preserve"> competente; efectivele </w:t>
            </w:r>
            <w:proofErr w:type="spellStart"/>
            <w:r w:rsidRPr="00F57096">
              <w:rPr>
                <w:lang w:val="ro-MD"/>
              </w:rPr>
              <w:t>sînt</w:t>
            </w:r>
            <w:proofErr w:type="spellEnd"/>
            <w:r w:rsidRPr="00F57096">
              <w:rPr>
                <w:lang w:val="ro-MD"/>
              </w:rPr>
              <w:t xml:space="preserve"> considerate infectate cu salmonela în cazul în care prelevarea de probe nu s-a realizat în conformitate cu </w:t>
            </w:r>
            <w:proofErr w:type="spellStart"/>
            <w:r w:rsidRPr="00F57096">
              <w:rPr>
                <w:lang w:val="ro-MD"/>
              </w:rPr>
              <w:t>dispoziţiile</w:t>
            </w:r>
            <w:proofErr w:type="spellEnd"/>
            <w:r w:rsidRPr="00F57096">
              <w:rPr>
                <w:lang w:val="ro-MD"/>
              </w:rPr>
              <w:t xml:space="preserve"> din prezenta literă. </w:t>
            </w:r>
          </w:p>
          <w:p w:rsidR="00D20F58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t xml:space="preserve">2) Utilizarea de </w:t>
            </w:r>
            <w:proofErr w:type="spellStart"/>
            <w:r w:rsidRPr="00F57096">
              <w:rPr>
                <w:lang w:val="ro-MD"/>
              </w:rPr>
              <w:t>antimicrobieni</w:t>
            </w:r>
            <w:proofErr w:type="spellEnd"/>
            <w:r w:rsidRPr="00F57096">
              <w:rPr>
                <w:lang w:val="ro-MD"/>
              </w:rPr>
              <w:t xml:space="preserve"> se subordonează monitorizării </w:t>
            </w:r>
            <w:proofErr w:type="spellStart"/>
            <w:r w:rsidRPr="00F57096">
              <w:rPr>
                <w:lang w:val="ro-MD"/>
              </w:rPr>
              <w:t>autorităţii</w:t>
            </w:r>
            <w:proofErr w:type="spellEnd"/>
            <w:r w:rsidRPr="00F57096">
              <w:rPr>
                <w:lang w:val="ro-MD"/>
              </w:rPr>
              <w:t xml:space="preserve"> competente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notificării acesteia din urmă.</w:t>
            </w:r>
          </w:p>
          <w:p w:rsidR="00AD31F2" w:rsidRDefault="00E548AA" w:rsidP="002B1FAE">
            <w:pPr>
              <w:ind w:firstLine="0"/>
              <w:rPr>
                <w:lang w:val="ro-MD"/>
              </w:rPr>
            </w:pPr>
            <w:r w:rsidRPr="00F57096">
              <w:rPr>
                <w:lang w:val="ro-MD"/>
              </w:rPr>
              <w:t>3) Această utilizare se bazează, ori de c</w:t>
            </w:r>
            <w:r w:rsidR="007D614B">
              <w:rPr>
                <w:lang w:val="ro-MD"/>
              </w:rPr>
              <w:t>ât</w:t>
            </w:r>
            <w:r w:rsidRPr="00F57096">
              <w:rPr>
                <w:lang w:val="ro-MD"/>
              </w:rPr>
              <w:t xml:space="preserve">e ori este posibil, pe rezultatele prelevării de probe bacteriologice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ale testelor de sensibilitate.</w:t>
            </w: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D20F58" w:rsidRDefault="00D20F58" w:rsidP="002B1FAE">
            <w:pPr>
              <w:ind w:firstLine="0"/>
              <w:rPr>
                <w:lang w:val="ro-MD"/>
              </w:rPr>
            </w:pPr>
          </w:p>
          <w:p w:rsidR="004E7655" w:rsidRPr="00E548AA" w:rsidRDefault="00E548AA" w:rsidP="002B1FAE">
            <w:pPr>
              <w:ind w:firstLine="0"/>
              <w:rPr>
                <w:lang w:val="ro-RO"/>
              </w:rPr>
            </w:pPr>
            <w:r w:rsidRPr="00F57096">
              <w:rPr>
                <w:lang w:val="ro-MD"/>
              </w:rPr>
              <w:lastRenderedPageBreak/>
              <w:t xml:space="preserve"> 4. </w:t>
            </w:r>
            <w:proofErr w:type="spellStart"/>
            <w:r w:rsidRPr="00F57096">
              <w:rPr>
                <w:lang w:val="ro-MD"/>
              </w:rPr>
              <w:t>Dispoziţiile</w:t>
            </w:r>
            <w:proofErr w:type="spellEnd"/>
            <w:r w:rsidRPr="00F57096">
              <w:rPr>
                <w:lang w:val="ro-MD"/>
              </w:rPr>
              <w:t xml:space="preserve"> prevăzute în prezentul capitol nu se aplică </w:t>
            </w:r>
            <w:proofErr w:type="spellStart"/>
            <w:r w:rsidRPr="00F57096">
              <w:rPr>
                <w:lang w:val="ro-MD"/>
              </w:rPr>
              <w:t>substanţelor</w:t>
            </w:r>
            <w:proofErr w:type="spellEnd"/>
            <w:r w:rsidRPr="00F57096">
              <w:rPr>
                <w:lang w:val="ro-MD"/>
              </w:rPr>
              <w:t xml:space="preserve">, microorganismelor sau preparatelor a căror utilizare în calitate de aditivi pentru hrana animalelor a fost autorizată în conformitate cu </w:t>
            </w:r>
            <w:proofErr w:type="spellStart"/>
            <w:r w:rsidRPr="00F57096">
              <w:rPr>
                <w:lang w:val="ro-MD"/>
              </w:rPr>
              <w:t>cerinţele</w:t>
            </w:r>
            <w:proofErr w:type="spellEnd"/>
            <w:r w:rsidRPr="00F57096">
              <w:rPr>
                <w:lang w:val="ro-MD"/>
              </w:rPr>
              <w:t xml:space="preserve"> privind autorizarea, utilizarea, controlul </w:t>
            </w:r>
            <w:proofErr w:type="spellStart"/>
            <w:r w:rsidRPr="00F57096">
              <w:rPr>
                <w:lang w:val="ro-MD"/>
              </w:rPr>
              <w:t>şi</w:t>
            </w:r>
            <w:proofErr w:type="spellEnd"/>
            <w:r w:rsidRPr="00F57096">
              <w:rPr>
                <w:lang w:val="ro-MD"/>
              </w:rPr>
              <w:t xml:space="preserve"> măsurile ce se aplică aditivilor pentru hrana animalelor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Default="00E07318" w:rsidP="007B7AFA">
            <w:pPr>
              <w:ind w:firstLine="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lastRenderedPageBreak/>
              <w:t>compatibil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Pr="00D538C1" w:rsidRDefault="004E765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  <w:tr w:rsidR="002447C6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i/>
                <w:i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lastRenderedPageBreak/>
              <w:t>Articolul 3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/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/>
                <w:bCs/>
                <w:shd w:val="clear" w:color="auto" w:fill="FFFFFF"/>
                <w:lang w:val="ro-RO" w:eastAsia="ro-RO"/>
              </w:rPr>
              <w:t>Utilizare de vaccinuri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(1)   Vaccinurile vii împotriva salmonelei nu se pot utiliza, în cadrul programelor naționale de control, dacă fabricantul nu furnizează o metodă corespunzătoare care să permită diferențierea bacteriologică a tulpinilor de salmonela de tip sălbatic de tulpinile vaccinale.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(2)   Vaccinurile vii împotriva salmonelei nu se pot utiliza, în cadrul programelor naționale de control, la găinile ouătoare în perioada de producție, ci numai dacă s-a stabilit că această utilizare este sigură și cu condiția ca vaccinurile să fie autorizate în acest scop, în conformitate cu Directiva 2001/82/CE.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(3)   Până la 1 ianuarie 2008, se aplică tuturor găinilor ouătoare programe de vaccinare împotriva </w:t>
            </w: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 xml:space="preserve">Salmonella </w:t>
            </w:r>
            <w:proofErr w:type="spellStart"/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enteritidis</w:t>
            </w:r>
            <w:proofErr w:type="spellEnd"/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,</w:t>
            </w:r>
            <w:r w:rsidRPr="002447C6">
              <w:rPr>
                <w:bCs/>
                <w:shd w:val="clear" w:color="auto" w:fill="FFFFFF"/>
                <w:lang w:val="ro-RO" w:eastAsia="ro-RO"/>
              </w:rPr>
              <w:t> care vizează reducerea excreției bacteriilor și a contaminării ouălor, cel puțin în faza de creștere, în statele membre pentru care nu s-a evidențiat o prevalență mai mică de 10 % în rezultatele studiului de referință prevăzut la articolul 1 din Decizia 2004/665/CE a Comisiei sau în monitorizarea destinată să asigure îndeplinirea obiectivului comunitar stabilit în conformitate cu articolul 4 alineatul (1) din Regulamentul (CE) nr. 2160/2003.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Autoritatea competentă poate autoriza o exploatație să deroge de la această dispoziție: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4871"/>
            </w:tblGrid>
            <w:tr w:rsidR="002447C6" w:rsidRPr="002447C6" w:rsidTr="002447C6">
              <w:tc>
                <w:tcPr>
                  <w:tcW w:w="270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—</w:t>
                  </w:r>
                </w:p>
              </w:tc>
              <w:tc>
                <w:tcPr>
                  <w:tcW w:w="9136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în cazul în care este satisfăcută de măsurile preventive luate în exploatația de creștere și în exploatația de producție de ouă și</w:t>
                  </w:r>
                </w:p>
              </w:tc>
            </w:tr>
          </w:tbl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vanish/>
                <w:shd w:val="clear" w:color="auto" w:fill="FFFFFF"/>
                <w:lang w:val="ro-RO" w:eastAsia="ro-RO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4871"/>
            </w:tblGrid>
            <w:tr w:rsidR="002447C6" w:rsidRPr="002447C6" w:rsidTr="002447C6">
              <w:tc>
                <w:tcPr>
                  <w:tcW w:w="270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—</w:t>
                  </w:r>
                </w:p>
              </w:tc>
              <w:tc>
                <w:tcPr>
                  <w:tcW w:w="9136" w:type="dxa"/>
                  <w:shd w:val="clear" w:color="auto" w:fill="FFFFFF"/>
                  <w:hideMark/>
                </w:tcPr>
                <w:p w:rsidR="002447C6" w:rsidRPr="002447C6" w:rsidRDefault="002447C6" w:rsidP="002447C6">
                  <w:pPr>
                    <w:shd w:val="clear" w:color="auto" w:fill="FFFFFF"/>
                    <w:ind w:firstLine="0"/>
                    <w:rPr>
                      <w:bCs/>
                      <w:shd w:val="clear" w:color="auto" w:fill="FFFFFF"/>
                      <w:lang w:val="ro-RO" w:eastAsia="ro-RO"/>
                    </w:rPr>
                  </w:pPr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în cazul în care s-a stabilit că </w:t>
                  </w:r>
                  <w:r w:rsidRPr="002447C6">
                    <w:rPr>
                      <w:bCs/>
                      <w:i/>
                      <w:iCs/>
                      <w:shd w:val="clear" w:color="auto" w:fill="FFFFFF"/>
                      <w:lang w:val="ro-RO" w:eastAsia="ro-RO"/>
                    </w:rPr>
                    <w:t xml:space="preserve">Salmonella </w:t>
                  </w:r>
                  <w:proofErr w:type="spellStart"/>
                  <w:r w:rsidRPr="002447C6">
                    <w:rPr>
                      <w:bCs/>
                      <w:i/>
                      <w:iCs/>
                      <w:shd w:val="clear" w:color="auto" w:fill="FFFFFF"/>
                      <w:lang w:val="ro-RO" w:eastAsia="ro-RO"/>
                    </w:rPr>
                    <w:t>enteritidis</w:t>
                  </w:r>
                  <w:proofErr w:type="spellEnd"/>
                  <w:r w:rsidRPr="002447C6">
                    <w:rPr>
                      <w:bCs/>
                      <w:shd w:val="clear" w:color="auto" w:fill="FFFFFF"/>
                      <w:lang w:val="ro-RO" w:eastAsia="ro-RO"/>
                    </w:rPr>
                    <w:t> nu este prezentă în exploatația de creștere, nici în exploatația de producție în cursul a douăsprezece luni anterioare sosirii animalelor.</w:t>
                  </w:r>
                </w:p>
              </w:tc>
            </w:tr>
          </w:tbl>
          <w:p w:rsidR="002447C6" w:rsidRPr="003D55E2" w:rsidRDefault="002447C6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58" w:rsidRPr="003579C7" w:rsidRDefault="00D20F58" w:rsidP="00D20F58">
            <w:pPr>
              <w:ind w:firstLine="0"/>
              <w:jc w:val="center"/>
              <w:rPr>
                <w:b/>
                <w:lang w:val="ro-MD"/>
              </w:rPr>
            </w:pPr>
            <w:r w:rsidRPr="003579C7">
              <w:rPr>
                <w:b/>
                <w:lang w:val="ro-MD"/>
              </w:rPr>
              <w:t>Capitolul III</w:t>
            </w:r>
          </w:p>
          <w:p w:rsidR="00D20F58" w:rsidRPr="003579C7" w:rsidRDefault="00D20F58" w:rsidP="00D20F58">
            <w:pPr>
              <w:ind w:firstLine="0"/>
              <w:jc w:val="center"/>
              <w:rPr>
                <w:b/>
                <w:lang w:val="ro-MD"/>
              </w:rPr>
            </w:pPr>
            <w:r w:rsidRPr="003579C7">
              <w:rPr>
                <w:b/>
                <w:lang w:val="ro-MD"/>
              </w:rPr>
              <w:t>Utilizare de vaccinuri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 xml:space="preserve">5. Vaccinurile vii împotriva salmonelei nu se pot utiliza, în </w:t>
            </w:r>
            <w:r w:rsidR="00A16033" w:rsidRPr="003579C7">
              <w:rPr>
                <w:lang w:val="ro-MD"/>
              </w:rPr>
              <w:t xml:space="preserve">cadrul programelor </w:t>
            </w:r>
            <w:proofErr w:type="spellStart"/>
            <w:r w:rsidR="00A16033" w:rsidRPr="003579C7">
              <w:rPr>
                <w:lang w:val="ro-MD"/>
              </w:rPr>
              <w:t>naţionale</w:t>
            </w:r>
            <w:proofErr w:type="spellEnd"/>
            <w:r w:rsidR="00A16033" w:rsidRPr="003579C7">
              <w:rPr>
                <w:lang w:val="ro-MD"/>
              </w:rPr>
              <w:t xml:space="preserve"> de </w:t>
            </w:r>
            <w:r w:rsidRPr="003579C7">
              <w:rPr>
                <w:lang w:val="ro-MD"/>
              </w:rPr>
              <w:t xml:space="preserve">control, dacă fabricantul nu furnizează o metodă corespunzătoare care să permită </w:t>
            </w:r>
            <w:proofErr w:type="spellStart"/>
            <w:r w:rsidRPr="003579C7">
              <w:rPr>
                <w:lang w:val="ro-MD"/>
              </w:rPr>
              <w:t>diferenţierea</w:t>
            </w:r>
            <w:proofErr w:type="spellEnd"/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>bacteriologică a tulpinilor de salmonela de tip sălbatic de tulpinile vaccinale.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 xml:space="preserve">6. Vaccinurile vii împotriva salmonelei nu se pot utiliza, în </w:t>
            </w:r>
            <w:r w:rsidR="00A16033" w:rsidRPr="003579C7">
              <w:rPr>
                <w:lang w:val="ro-MD"/>
              </w:rPr>
              <w:t xml:space="preserve">cadrul programelor </w:t>
            </w:r>
            <w:proofErr w:type="spellStart"/>
            <w:r w:rsidR="00A16033" w:rsidRPr="003579C7">
              <w:rPr>
                <w:lang w:val="ro-MD"/>
              </w:rPr>
              <w:t>naţionale</w:t>
            </w:r>
            <w:proofErr w:type="spellEnd"/>
            <w:r w:rsidR="00A16033" w:rsidRPr="003579C7">
              <w:rPr>
                <w:lang w:val="ro-MD"/>
              </w:rPr>
              <w:t xml:space="preserve"> de </w:t>
            </w:r>
            <w:r w:rsidRPr="003579C7">
              <w:rPr>
                <w:lang w:val="ro-MD"/>
              </w:rPr>
              <w:t xml:space="preserve">control, la găinile ouătoare în perioada de </w:t>
            </w:r>
            <w:proofErr w:type="spellStart"/>
            <w:r w:rsidRPr="003579C7">
              <w:rPr>
                <w:lang w:val="ro-MD"/>
              </w:rPr>
              <w:t>producţie</w:t>
            </w:r>
            <w:proofErr w:type="spellEnd"/>
            <w:r w:rsidRPr="003579C7">
              <w:rPr>
                <w:lang w:val="ro-MD"/>
              </w:rPr>
              <w:t>, ci numai dacă s-a stabilit că această utilizare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 xml:space="preserve">este sigură </w:t>
            </w:r>
            <w:proofErr w:type="spellStart"/>
            <w:r w:rsidRPr="003579C7">
              <w:rPr>
                <w:lang w:val="ro-MD"/>
              </w:rPr>
              <w:t>şi</w:t>
            </w:r>
            <w:proofErr w:type="spellEnd"/>
            <w:r w:rsidRPr="003579C7">
              <w:rPr>
                <w:lang w:val="ro-MD"/>
              </w:rPr>
              <w:t xml:space="preserve"> cu </w:t>
            </w:r>
            <w:proofErr w:type="spellStart"/>
            <w:r w:rsidRPr="003579C7">
              <w:rPr>
                <w:lang w:val="ro-MD"/>
              </w:rPr>
              <w:t>condiţia</w:t>
            </w:r>
            <w:proofErr w:type="spellEnd"/>
            <w:r w:rsidRPr="003579C7">
              <w:rPr>
                <w:lang w:val="ro-MD"/>
              </w:rPr>
              <w:t xml:space="preserve"> ca vaccinurile să fie autorizate în acest scop.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 xml:space="preserve">7. Programul de vaccinare contra Salmonela </w:t>
            </w:r>
            <w:proofErr w:type="spellStart"/>
            <w:r w:rsidRPr="003579C7">
              <w:rPr>
                <w:lang w:val="ro-MD"/>
              </w:rPr>
              <w:t>enteritidis</w:t>
            </w:r>
            <w:proofErr w:type="spellEnd"/>
            <w:r w:rsidRPr="003579C7">
              <w:rPr>
                <w:lang w:val="ro-MD"/>
              </w:rPr>
              <w:t xml:space="preserve"> a tutu</w:t>
            </w:r>
            <w:r w:rsidR="00A16033" w:rsidRPr="003579C7">
              <w:rPr>
                <w:lang w:val="ro-MD"/>
              </w:rPr>
              <w:t xml:space="preserve">ror găinilor ouătoare în scopul </w:t>
            </w:r>
            <w:r w:rsidRPr="003579C7">
              <w:rPr>
                <w:lang w:val="ro-MD"/>
              </w:rPr>
              <w:t xml:space="preserve">reducerii </w:t>
            </w:r>
            <w:proofErr w:type="spellStart"/>
            <w:r w:rsidRPr="003579C7">
              <w:rPr>
                <w:lang w:val="ro-MD"/>
              </w:rPr>
              <w:t>excreţiei</w:t>
            </w:r>
            <w:proofErr w:type="spellEnd"/>
            <w:r w:rsidRPr="003579C7">
              <w:rPr>
                <w:lang w:val="ro-MD"/>
              </w:rPr>
              <w:t xml:space="preserve"> agentului patogen </w:t>
            </w:r>
            <w:proofErr w:type="spellStart"/>
            <w:r w:rsidRPr="003579C7">
              <w:rPr>
                <w:lang w:val="ro-MD"/>
              </w:rPr>
              <w:t>şi</w:t>
            </w:r>
            <w:proofErr w:type="spellEnd"/>
            <w:r w:rsidRPr="003579C7">
              <w:rPr>
                <w:lang w:val="ro-MD"/>
              </w:rPr>
              <w:t xml:space="preserve"> contaminării ouălor cel </w:t>
            </w:r>
            <w:proofErr w:type="spellStart"/>
            <w:r w:rsidR="003579C7" w:rsidRPr="003579C7">
              <w:rPr>
                <w:lang w:val="ro-MD"/>
              </w:rPr>
              <w:t>puţin</w:t>
            </w:r>
            <w:proofErr w:type="spellEnd"/>
            <w:r w:rsidR="003579C7" w:rsidRPr="003579C7">
              <w:rPr>
                <w:lang w:val="ro-MD"/>
              </w:rPr>
              <w:t xml:space="preserve"> în faza de </w:t>
            </w:r>
            <w:proofErr w:type="spellStart"/>
            <w:r w:rsidR="003579C7" w:rsidRPr="003579C7">
              <w:rPr>
                <w:lang w:val="ro-MD"/>
              </w:rPr>
              <w:t>creştere</w:t>
            </w:r>
            <w:proofErr w:type="spellEnd"/>
            <w:r w:rsidR="003579C7" w:rsidRPr="003579C7">
              <w:rPr>
                <w:lang w:val="ro-MD"/>
              </w:rPr>
              <w:t xml:space="preserve">, este </w:t>
            </w:r>
            <w:r w:rsidRPr="003579C7">
              <w:rPr>
                <w:lang w:val="ro-MD"/>
              </w:rPr>
              <w:t xml:space="preserve">aplicabil </w:t>
            </w:r>
            <w:proofErr w:type="spellStart"/>
            <w:r w:rsidRPr="003579C7">
              <w:rPr>
                <w:lang w:val="ro-MD"/>
              </w:rPr>
              <w:t>atîta</w:t>
            </w:r>
            <w:proofErr w:type="spellEnd"/>
            <w:r w:rsidRPr="003579C7">
              <w:rPr>
                <w:lang w:val="ro-MD"/>
              </w:rPr>
              <w:t xml:space="preserve"> timp </w:t>
            </w:r>
            <w:proofErr w:type="spellStart"/>
            <w:r w:rsidRPr="003579C7">
              <w:rPr>
                <w:lang w:val="ro-MD"/>
              </w:rPr>
              <w:t>cît</w:t>
            </w:r>
            <w:proofErr w:type="spellEnd"/>
            <w:r w:rsidRPr="003579C7">
              <w:rPr>
                <w:lang w:val="ro-MD"/>
              </w:rPr>
              <w:t xml:space="preserve"> vaccinurile nu demonstrează, prin monitorizare</w:t>
            </w:r>
            <w:r w:rsidR="00A16033" w:rsidRPr="003579C7">
              <w:rPr>
                <w:lang w:val="ro-MD"/>
              </w:rPr>
              <w:t xml:space="preserve"> sau prin rezultatele studiului </w:t>
            </w:r>
            <w:r w:rsidRPr="003579C7">
              <w:rPr>
                <w:lang w:val="ro-MD"/>
              </w:rPr>
              <w:t xml:space="preserve">de </w:t>
            </w:r>
            <w:proofErr w:type="spellStart"/>
            <w:r w:rsidRPr="003579C7">
              <w:rPr>
                <w:lang w:val="ro-MD"/>
              </w:rPr>
              <w:t>referinţă</w:t>
            </w:r>
            <w:proofErr w:type="spellEnd"/>
            <w:r w:rsidRPr="003579C7">
              <w:rPr>
                <w:lang w:val="ro-MD"/>
              </w:rPr>
              <w:t xml:space="preserve">, o </w:t>
            </w:r>
            <w:proofErr w:type="spellStart"/>
            <w:r w:rsidRPr="003579C7">
              <w:rPr>
                <w:lang w:val="ro-MD"/>
              </w:rPr>
              <w:t>prevalenţă</w:t>
            </w:r>
            <w:proofErr w:type="spellEnd"/>
            <w:r w:rsidRPr="003579C7">
              <w:rPr>
                <w:lang w:val="ro-MD"/>
              </w:rPr>
              <w:t xml:space="preserve"> mai mică de 10 </w:t>
            </w:r>
            <w:r w:rsidR="007D614B">
              <w:rPr>
                <w:lang w:val="ro-MD"/>
              </w:rPr>
              <w:t>%</w:t>
            </w:r>
            <w:r w:rsidRPr="003579C7">
              <w:rPr>
                <w:lang w:val="ro-MD"/>
              </w:rPr>
              <w:t xml:space="preserve">, prevăzut de </w:t>
            </w:r>
            <w:r w:rsidR="00C267FE" w:rsidRPr="003579C7">
              <w:rPr>
                <w:lang w:val="ro-MD"/>
              </w:rPr>
              <w:t xml:space="preserve">Norma sanitară veterinară privind controlul salmonelei și al altor agenți </w:t>
            </w:r>
            <w:proofErr w:type="spellStart"/>
            <w:r w:rsidR="00C267FE" w:rsidRPr="003579C7">
              <w:rPr>
                <w:lang w:val="ro-MD"/>
              </w:rPr>
              <w:t>zoonotici</w:t>
            </w:r>
            <w:proofErr w:type="spellEnd"/>
            <w:r w:rsidR="00C267FE" w:rsidRPr="003579C7">
              <w:rPr>
                <w:lang w:val="ro-MD"/>
              </w:rPr>
              <w:t xml:space="preserve"> specifici, prezenți în rețeaua alimentară</w:t>
            </w:r>
            <w:r w:rsidRPr="003579C7">
              <w:rPr>
                <w:lang w:val="ro-MD"/>
              </w:rPr>
              <w:t>,</w:t>
            </w:r>
            <w:r w:rsidR="00A16033" w:rsidRPr="003579C7">
              <w:rPr>
                <w:lang w:val="ro-MD"/>
              </w:rPr>
              <w:t xml:space="preserve"> </w:t>
            </w:r>
            <w:r w:rsidRPr="003579C7">
              <w:rPr>
                <w:lang w:val="ro-MD"/>
              </w:rPr>
              <w:t>(anexa nr. 1).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>8. Autoritatea competentă poate permite neef</w:t>
            </w:r>
            <w:r w:rsidR="003579C7" w:rsidRPr="003579C7">
              <w:rPr>
                <w:lang w:val="ro-MD"/>
              </w:rPr>
              <w:t xml:space="preserve">ectuarea vaccinării în cazul în </w:t>
            </w:r>
            <w:r w:rsidRPr="003579C7">
              <w:rPr>
                <w:lang w:val="ro-MD"/>
              </w:rPr>
              <w:t>care:</w:t>
            </w:r>
          </w:p>
          <w:p w:rsidR="00D20F58" w:rsidRPr="003579C7" w:rsidRDefault="00D20F58" w:rsidP="00D20F58">
            <w:pPr>
              <w:ind w:firstLine="0"/>
              <w:rPr>
                <w:lang w:val="ro-MD"/>
              </w:rPr>
            </w:pPr>
            <w:r w:rsidRPr="003579C7">
              <w:rPr>
                <w:lang w:val="ro-MD"/>
              </w:rPr>
              <w:t>a) este satisfăcută de măsurile preventive, întreprinse de agentul economic pe parcurs</w:t>
            </w:r>
            <w:r w:rsidR="003579C7" w:rsidRPr="003579C7">
              <w:rPr>
                <w:lang w:val="ro-MD"/>
              </w:rPr>
              <w:t xml:space="preserve">ul </w:t>
            </w:r>
            <w:r w:rsidRPr="003579C7">
              <w:rPr>
                <w:lang w:val="ro-MD"/>
              </w:rPr>
              <w:t>ultimei perioade a ouatului;</w:t>
            </w:r>
          </w:p>
          <w:p w:rsidR="002447C6" w:rsidRPr="00D20F58" w:rsidRDefault="00D20F58" w:rsidP="00D20F58">
            <w:pPr>
              <w:ind w:firstLine="0"/>
              <w:rPr>
                <w:lang w:val="ro-RO"/>
              </w:rPr>
            </w:pPr>
            <w:r w:rsidRPr="003579C7">
              <w:rPr>
                <w:lang w:val="ro-MD"/>
              </w:rPr>
              <w:t xml:space="preserve">b) agentul economic a demonstrat lipsa Salmonela </w:t>
            </w:r>
            <w:proofErr w:type="spellStart"/>
            <w:r w:rsidRPr="003579C7">
              <w:rPr>
                <w:lang w:val="ro-MD"/>
              </w:rPr>
              <w:t>enteritid</w:t>
            </w:r>
            <w:r w:rsidR="003579C7" w:rsidRPr="003579C7">
              <w:rPr>
                <w:lang w:val="ro-MD"/>
              </w:rPr>
              <w:t>is</w:t>
            </w:r>
            <w:proofErr w:type="spellEnd"/>
            <w:r w:rsidR="003579C7" w:rsidRPr="003579C7">
              <w:rPr>
                <w:lang w:val="ro-MD"/>
              </w:rPr>
              <w:t xml:space="preserve"> în ultimele 12 luni înaintea </w:t>
            </w:r>
            <w:r w:rsidRPr="00D20F58">
              <w:rPr>
                <w:lang w:val="ro-RO"/>
              </w:rPr>
              <w:t>populării halelor cu animale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Default="00E07318" w:rsidP="007B7AFA">
            <w:pPr>
              <w:ind w:firstLine="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compatibil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Pr="00D538C1" w:rsidRDefault="002447C6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  <w:tr w:rsidR="004E7655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i/>
                <w:i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lastRenderedPageBreak/>
              <w:t>Articolul 4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/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/>
                <w:bCs/>
                <w:shd w:val="clear" w:color="auto" w:fill="FFFFFF"/>
                <w:lang w:val="ro-RO" w:eastAsia="ro-RO"/>
              </w:rPr>
              <w:t>Intrarea în vigoare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Prezentul regulament intră în vigoare în a douăzecea zi de la data publicării în </w:t>
            </w: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Jurnalul Oficial al Uniunii Europene.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Prezentul regulament se aplică fiecărui efectiv de păsări de curte la datele respective menționate în coloana 5 din anexa I la Regulamentul (CE) nr. 2160/2003.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Prezentul regulament este obligatoriu în toate elementele sale și se aplică direct în toate statele membre.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Adoptat la Bruxelles, 1 august 2006.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Pentru Comisie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shd w:val="clear" w:color="auto" w:fill="FFFFFF"/>
                <w:lang w:val="ro-RO" w:eastAsia="ro-RO"/>
              </w:rPr>
              <w:t>Markos KYPRIANOU</w:t>
            </w:r>
          </w:p>
          <w:p w:rsidR="002447C6" w:rsidRPr="002447C6" w:rsidRDefault="002447C6" w:rsidP="002447C6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  <w:r w:rsidRPr="002447C6">
              <w:rPr>
                <w:bCs/>
                <w:i/>
                <w:iCs/>
                <w:shd w:val="clear" w:color="auto" w:fill="FFFFFF"/>
                <w:lang w:val="ro-RO" w:eastAsia="ro-RO"/>
              </w:rPr>
              <w:t>Membru al Comisiei</w:t>
            </w:r>
          </w:p>
          <w:p w:rsidR="004E7655" w:rsidRPr="003D55E2" w:rsidRDefault="004E7655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Pr="006A0462" w:rsidRDefault="004E7655" w:rsidP="007B7AFA">
            <w:pPr>
              <w:ind w:firstLine="0"/>
              <w:rPr>
                <w:b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Default="00E07318" w:rsidP="007B7AFA">
            <w:pPr>
              <w:ind w:firstLine="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Norme UE neaplicabile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55" w:rsidRPr="00D538C1" w:rsidRDefault="004E765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  <w:tr w:rsidR="00186605" w:rsidRPr="00D538C1" w:rsidTr="007B7AFA">
        <w:trPr>
          <w:trHeight w:val="2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3D55E2" w:rsidRDefault="00186605" w:rsidP="007B7AFA">
            <w:pPr>
              <w:shd w:val="clear" w:color="auto" w:fill="FFFFFF"/>
              <w:ind w:firstLine="0"/>
              <w:rPr>
                <w:bCs/>
                <w:shd w:val="clear" w:color="auto" w:fill="FFFFFF"/>
                <w:lang w:val="ro-RO" w:eastAsia="ro-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0C1D10" w:rsidRDefault="00186605" w:rsidP="007B7AFA">
            <w:pPr>
              <w:ind w:firstLine="0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D538C1" w:rsidRDefault="0018660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05" w:rsidRPr="00D538C1" w:rsidRDefault="00186605" w:rsidP="007B7AFA">
            <w:pPr>
              <w:ind w:firstLine="0"/>
              <w:jc w:val="center"/>
              <w:rPr>
                <w:b/>
                <w:lang w:val="ro-MD"/>
              </w:rPr>
            </w:pPr>
          </w:p>
        </w:tc>
      </w:tr>
    </w:tbl>
    <w:p w:rsidR="007F668F" w:rsidRDefault="007F668F" w:rsidP="00EF171D">
      <w:pPr>
        <w:ind w:firstLine="0"/>
      </w:pPr>
    </w:p>
    <w:sectPr w:rsidR="007F668F" w:rsidSect="00B729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6E"/>
    <w:rsid w:val="00001062"/>
    <w:rsid w:val="00016331"/>
    <w:rsid w:val="00033AE8"/>
    <w:rsid w:val="00035457"/>
    <w:rsid w:val="0004233C"/>
    <w:rsid w:val="000520B2"/>
    <w:rsid w:val="000555FC"/>
    <w:rsid w:val="0006201F"/>
    <w:rsid w:val="00063577"/>
    <w:rsid w:val="0006581F"/>
    <w:rsid w:val="000807E3"/>
    <w:rsid w:val="000860A4"/>
    <w:rsid w:val="0009460F"/>
    <w:rsid w:val="0009792B"/>
    <w:rsid w:val="000A0711"/>
    <w:rsid w:val="000A4273"/>
    <w:rsid w:val="000B4471"/>
    <w:rsid w:val="000C0267"/>
    <w:rsid w:val="000C0365"/>
    <w:rsid w:val="000C1D10"/>
    <w:rsid w:val="000D2E18"/>
    <w:rsid w:val="000E228E"/>
    <w:rsid w:val="000E5CD8"/>
    <w:rsid w:val="0010739F"/>
    <w:rsid w:val="00113981"/>
    <w:rsid w:val="0012730A"/>
    <w:rsid w:val="00143929"/>
    <w:rsid w:val="0014416C"/>
    <w:rsid w:val="00153D1F"/>
    <w:rsid w:val="00154209"/>
    <w:rsid w:val="0017279B"/>
    <w:rsid w:val="00172C90"/>
    <w:rsid w:val="00186605"/>
    <w:rsid w:val="0019749D"/>
    <w:rsid w:val="001A1670"/>
    <w:rsid w:val="001A3836"/>
    <w:rsid w:val="001A3B2F"/>
    <w:rsid w:val="001A776B"/>
    <w:rsid w:val="001B0E69"/>
    <w:rsid w:val="001B5F07"/>
    <w:rsid w:val="001E7BC1"/>
    <w:rsid w:val="001F0E97"/>
    <w:rsid w:val="001F11A9"/>
    <w:rsid w:val="001F1E9F"/>
    <w:rsid w:val="00210F3C"/>
    <w:rsid w:val="00221F64"/>
    <w:rsid w:val="00222052"/>
    <w:rsid w:val="00225C82"/>
    <w:rsid w:val="00226021"/>
    <w:rsid w:val="00232145"/>
    <w:rsid w:val="002447C6"/>
    <w:rsid w:val="00252732"/>
    <w:rsid w:val="00252B00"/>
    <w:rsid w:val="0025724E"/>
    <w:rsid w:val="002633E7"/>
    <w:rsid w:val="002A4643"/>
    <w:rsid w:val="002A7688"/>
    <w:rsid w:val="002A7CC1"/>
    <w:rsid w:val="002B1FAE"/>
    <w:rsid w:val="002E2DB7"/>
    <w:rsid w:val="002E6E75"/>
    <w:rsid w:val="00322A49"/>
    <w:rsid w:val="00323D88"/>
    <w:rsid w:val="0034523A"/>
    <w:rsid w:val="003579C7"/>
    <w:rsid w:val="0036214A"/>
    <w:rsid w:val="00363368"/>
    <w:rsid w:val="00367582"/>
    <w:rsid w:val="00372319"/>
    <w:rsid w:val="0037580A"/>
    <w:rsid w:val="0038220D"/>
    <w:rsid w:val="00383F4E"/>
    <w:rsid w:val="00387055"/>
    <w:rsid w:val="003A23F5"/>
    <w:rsid w:val="003A3B3F"/>
    <w:rsid w:val="003B5E25"/>
    <w:rsid w:val="003D3ABE"/>
    <w:rsid w:val="003D55E2"/>
    <w:rsid w:val="003D6AE3"/>
    <w:rsid w:val="003E2FE1"/>
    <w:rsid w:val="00405094"/>
    <w:rsid w:val="00421B50"/>
    <w:rsid w:val="0042215E"/>
    <w:rsid w:val="004317F6"/>
    <w:rsid w:val="00444FE3"/>
    <w:rsid w:val="004617E6"/>
    <w:rsid w:val="00472E24"/>
    <w:rsid w:val="004763AA"/>
    <w:rsid w:val="00476A47"/>
    <w:rsid w:val="004847DB"/>
    <w:rsid w:val="004A42E3"/>
    <w:rsid w:val="004A62D9"/>
    <w:rsid w:val="004B1C3D"/>
    <w:rsid w:val="004B3A63"/>
    <w:rsid w:val="004C6C6E"/>
    <w:rsid w:val="004C6EA9"/>
    <w:rsid w:val="004D49A3"/>
    <w:rsid w:val="004E542F"/>
    <w:rsid w:val="004E7655"/>
    <w:rsid w:val="00512BA1"/>
    <w:rsid w:val="005138FC"/>
    <w:rsid w:val="0052130C"/>
    <w:rsid w:val="00522EC8"/>
    <w:rsid w:val="00524ACE"/>
    <w:rsid w:val="00527DAF"/>
    <w:rsid w:val="00532998"/>
    <w:rsid w:val="00537DD2"/>
    <w:rsid w:val="00570659"/>
    <w:rsid w:val="00580AD5"/>
    <w:rsid w:val="005856C7"/>
    <w:rsid w:val="005962DC"/>
    <w:rsid w:val="005A77E9"/>
    <w:rsid w:val="005B3B2F"/>
    <w:rsid w:val="005B4081"/>
    <w:rsid w:val="005B57F6"/>
    <w:rsid w:val="005E02B2"/>
    <w:rsid w:val="005E3AF0"/>
    <w:rsid w:val="00600DED"/>
    <w:rsid w:val="006028DF"/>
    <w:rsid w:val="006140AC"/>
    <w:rsid w:val="00631D1B"/>
    <w:rsid w:val="006417EA"/>
    <w:rsid w:val="00641FD3"/>
    <w:rsid w:val="006424E4"/>
    <w:rsid w:val="00674323"/>
    <w:rsid w:val="00676A9E"/>
    <w:rsid w:val="0068354E"/>
    <w:rsid w:val="00690150"/>
    <w:rsid w:val="006B4551"/>
    <w:rsid w:val="006C3CB9"/>
    <w:rsid w:val="006C7866"/>
    <w:rsid w:val="006D1C7A"/>
    <w:rsid w:val="006D1DD8"/>
    <w:rsid w:val="006D70B5"/>
    <w:rsid w:val="006D7956"/>
    <w:rsid w:val="006E084C"/>
    <w:rsid w:val="006E69F1"/>
    <w:rsid w:val="006F3186"/>
    <w:rsid w:val="0071149D"/>
    <w:rsid w:val="00716A1C"/>
    <w:rsid w:val="00722F49"/>
    <w:rsid w:val="00754730"/>
    <w:rsid w:val="00754F35"/>
    <w:rsid w:val="00754FA2"/>
    <w:rsid w:val="0076444A"/>
    <w:rsid w:val="007671BE"/>
    <w:rsid w:val="00771E09"/>
    <w:rsid w:val="007942DA"/>
    <w:rsid w:val="007B2017"/>
    <w:rsid w:val="007B2741"/>
    <w:rsid w:val="007C5632"/>
    <w:rsid w:val="007D4CF1"/>
    <w:rsid w:val="007D614B"/>
    <w:rsid w:val="007F1D23"/>
    <w:rsid w:val="007F668F"/>
    <w:rsid w:val="00801FEF"/>
    <w:rsid w:val="0082118A"/>
    <w:rsid w:val="00842AC9"/>
    <w:rsid w:val="00853202"/>
    <w:rsid w:val="008621CE"/>
    <w:rsid w:val="008622F5"/>
    <w:rsid w:val="008631B8"/>
    <w:rsid w:val="00864E6A"/>
    <w:rsid w:val="00866621"/>
    <w:rsid w:val="0087183F"/>
    <w:rsid w:val="008817EE"/>
    <w:rsid w:val="00884C74"/>
    <w:rsid w:val="008C374E"/>
    <w:rsid w:val="008D2E0E"/>
    <w:rsid w:val="008E2934"/>
    <w:rsid w:val="008E2D20"/>
    <w:rsid w:val="00901604"/>
    <w:rsid w:val="00901A93"/>
    <w:rsid w:val="009155C3"/>
    <w:rsid w:val="00916294"/>
    <w:rsid w:val="009511B0"/>
    <w:rsid w:val="00953B78"/>
    <w:rsid w:val="00981349"/>
    <w:rsid w:val="009A1DC8"/>
    <w:rsid w:val="009A2FEF"/>
    <w:rsid w:val="009C0987"/>
    <w:rsid w:val="009C43E5"/>
    <w:rsid w:val="009D1778"/>
    <w:rsid w:val="009D68F9"/>
    <w:rsid w:val="00A0205A"/>
    <w:rsid w:val="00A16033"/>
    <w:rsid w:val="00A37AE1"/>
    <w:rsid w:val="00A41279"/>
    <w:rsid w:val="00A50F6E"/>
    <w:rsid w:val="00A50FFA"/>
    <w:rsid w:val="00A67302"/>
    <w:rsid w:val="00A77426"/>
    <w:rsid w:val="00A7797D"/>
    <w:rsid w:val="00A86E69"/>
    <w:rsid w:val="00A9680C"/>
    <w:rsid w:val="00A976D7"/>
    <w:rsid w:val="00AB5C6A"/>
    <w:rsid w:val="00AC1BAE"/>
    <w:rsid w:val="00AC3BB9"/>
    <w:rsid w:val="00AD1272"/>
    <w:rsid w:val="00AD31F2"/>
    <w:rsid w:val="00AE1371"/>
    <w:rsid w:val="00AE423F"/>
    <w:rsid w:val="00AF7166"/>
    <w:rsid w:val="00B057F4"/>
    <w:rsid w:val="00B2634D"/>
    <w:rsid w:val="00B6064E"/>
    <w:rsid w:val="00B6103E"/>
    <w:rsid w:val="00B72946"/>
    <w:rsid w:val="00B81960"/>
    <w:rsid w:val="00B92D55"/>
    <w:rsid w:val="00B95F01"/>
    <w:rsid w:val="00BA10D1"/>
    <w:rsid w:val="00BA1134"/>
    <w:rsid w:val="00BA6757"/>
    <w:rsid w:val="00C267FE"/>
    <w:rsid w:val="00C478E5"/>
    <w:rsid w:val="00C505ED"/>
    <w:rsid w:val="00C66EA0"/>
    <w:rsid w:val="00C722DB"/>
    <w:rsid w:val="00C95735"/>
    <w:rsid w:val="00CB61CB"/>
    <w:rsid w:val="00CB7DC6"/>
    <w:rsid w:val="00CC6A96"/>
    <w:rsid w:val="00CC7F87"/>
    <w:rsid w:val="00CD12BF"/>
    <w:rsid w:val="00CD5BD7"/>
    <w:rsid w:val="00CD6789"/>
    <w:rsid w:val="00CF033C"/>
    <w:rsid w:val="00CF0929"/>
    <w:rsid w:val="00CF46C0"/>
    <w:rsid w:val="00CF496D"/>
    <w:rsid w:val="00D06E7B"/>
    <w:rsid w:val="00D07D9D"/>
    <w:rsid w:val="00D20F58"/>
    <w:rsid w:val="00D21650"/>
    <w:rsid w:val="00D22FFC"/>
    <w:rsid w:val="00D379BB"/>
    <w:rsid w:val="00D5286E"/>
    <w:rsid w:val="00D538C1"/>
    <w:rsid w:val="00D54386"/>
    <w:rsid w:val="00D61AF0"/>
    <w:rsid w:val="00D728FF"/>
    <w:rsid w:val="00D926DC"/>
    <w:rsid w:val="00D93AA9"/>
    <w:rsid w:val="00D94F9E"/>
    <w:rsid w:val="00DB1101"/>
    <w:rsid w:val="00DC35BF"/>
    <w:rsid w:val="00DE04AF"/>
    <w:rsid w:val="00DE2476"/>
    <w:rsid w:val="00DE3D94"/>
    <w:rsid w:val="00DF4FF0"/>
    <w:rsid w:val="00DF7750"/>
    <w:rsid w:val="00E07318"/>
    <w:rsid w:val="00E12E97"/>
    <w:rsid w:val="00E1356D"/>
    <w:rsid w:val="00E246F1"/>
    <w:rsid w:val="00E412AE"/>
    <w:rsid w:val="00E500CE"/>
    <w:rsid w:val="00E53561"/>
    <w:rsid w:val="00E548AA"/>
    <w:rsid w:val="00E91EEE"/>
    <w:rsid w:val="00EB0C1A"/>
    <w:rsid w:val="00EB5146"/>
    <w:rsid w:val="00EC1D97"/>
    <w:rsid w:val="00ED0C14"/>
    <w:rsid w:val="00EE40C2"/>
    <w:rsid w:val="00EE5E41"/>
    <w:rsid w:val="00EF171D"/>
    <w:rsid w:val="00F22859"/>
    <w:rsid w:val="00F344D7"/>
    <w:rsid w:val="00F34AEF"/>
    <w:rsid w:val="00F4086D"/>
    <w:rsid w:val="00F45774"/>
    <w:rsid w:val="00F53DBF"/>
    <w:rsid w:val="00F57096"/>
    <w:rsid w:val="00F63B26"/>
    <w:rsid w:val="00F829CF"/>
    <w:rsid w:val="00F9614E"/>
    <w:rsid w:val="00FA23E3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69F04-185E-42EA-BE06-7041767C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80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B72946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table" w:customStyle="1" w:styleId="TableGrid1">
    <w:name w:val="Table Grid1"/>
    <w:basedOn w:val="TableNormal"/>
    <w:rsid w:val="00B7294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12BF"/>
    <w:rPr>
      <w:color w:val="0563C1" w:themeColor="hyperlink"/>
      <w:u w:val="single"/>
    </w:rPr>
  </w:style>
  <w:style w:type="paragraph" w:customStyle="1" w:styleId="title-article-norm">
    <w:name w:val="title-article-norm"/>
    <w:basedOn w:val="Normal"/>
    <w:rsid w:val="00722F49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stitle-article-norm">
    <w:name w:val="stitle-article-norm"/>
    <w:basedOn w:val="Normal"/>
    <w:rsid w:val="00722F49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norm">
    <w:name w:val="norm"/>
    <w:basedOn w:val="Normal"/>
    <w:rsid w:val="00722F49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character" w:customStyle="1" w:styleId="italics">
    <w:name w:val="italics"/>
    <w:basedOn w:val="DefaultParagraphFont"/>
    <w:rsid w:val="003D6AE3"/>
  </w:style>
  <w:style w:type="paragraph" w:styleId="ListParagraph">
    <w:name w:val="List Paragraph"/>
    <w:basedOn w:val="Normal"/>
    <w:uiPriority w:val="34"/>
    <w:qFormat/>
    <w:rsid w:val="00222052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  <w:lang w:val="ro-RO" w:eastAsia="ro-RO"/>
    </w:rPr>
  </w:style>
  <w:style w:type="paragraph" w:customStyle="1" w:styleId="oj-tbl-hdr">
    <w:name w:val="oj-tbl-hdr"/>
    <w:basedOn w:val="Normal"/>
    <w:rsid w:val="00DE04AF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oj-tbl-txt">
    <w:name w:val="oj-tbl-txt"/>
    <w:basedOn w:val="Normal"/>
    <w:rsid w:val="00DE04AF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270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021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43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74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5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0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65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5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8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6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63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65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75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50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66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7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11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35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7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798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3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7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850">
              <w:marLeft w:val="810"/>
              <w:marRight w:val="8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3329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-lex.europa.eu/legal-content/RO/TXT/?uri=CELEX%3A32006R1177&amp;qid=1766053210533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1651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Dragan</dc:creator>
  <cp:keywords/>
  <dc:description/>
  <cp:lastModifiedBy>Vitalie Dragan</cp:lastModifiedBy>
  <cp:revision>68</cp:revision>
  <dcterms:created xsi:type="dcterms:W3CDTF">2025-09-01T12:24:00Z</dcterms:created>
  <dcterms:modified xsi:type="dcterms:W3CDTF">2025-12-18T10:49:00Z</dcterms:modified>
</cp:coreProperties>
</file>