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C0CF" w14:textId="22BD93B2" w:rsidR="005C596E" w:rsidRPr="00833D4C" w:rsidRDefault="00847A3C" w:rsidP="00517E20">
      <w:pPr>
        <w:jc w:val="right"/>
        <w:rPr>
          <w:bCs/>
          <w:i/>
          <w:iCs/>
          <w:lang w:val="ro-RO"/>
        </w:rPr>
      </w:pPr>
      <w:r w:rsidRPr="00833D4C">
        <w:rPr>
          <w:bCs/>
          <w:i/>
          <w:iCs/>
          <w:lang w:val="ro-RO"/>
        </w:rPr>
        <w:t>Proiect</w:t>
      </w:r>
      <w:r w:rsidR="004D7AB9" w:rsidRPr="00833D4C">
        <w:rPr>
          <w:bCs/>
          <w:i/>
          <w:iCs/>
          <w:lang w:val="ro-RO"/>
        </w:rPr>
        <w:t xml:space="preserve"> UE</w:t>
      </w:r>
    </w:p>
    <w:p w14:paraId="7F04DC60" w14:textId="77777777" w:rsidR="005C596E" w:rsidRPr="006D4618" w:rsidRDefault="005C596E" w:rsidP="005C596E">
      <w:pPr>
        <w:jc w:val="right"/>
        <w:rPr>
          <w:bCs/>
          <w:sz w:val="28"/>
          <w:szCs w:val="28"/>
          <w:lang w:val="ro-RO"/>
        </w:rPr>
      </w:pPr>
    </w:p>
    <w:p w14:paraId="52B0AED5" w14:textId="77777777" w:rsidR="005C596E" w:rsidRPr="006D4618" w:rsidRDefault="004A3751" w:rsidP="008369FB">
      <w:pPr>
        <w:jc w:val="center"/>
        <w:rPr>
          <w:bCs/>
          <w:sz w:val="28"/>
          <w:szCs w:val="28"/>
          <w:lang w:val="ro-RO"/>
        </w:rPr>
      </w:pPr>
      <w:r w:rsidRPr="006D4618">
        <w:rPr>
          <w:b/>
          <w:sz w:val="28"/>
          <w:szCs w:val="28"/>
          <w:lang w:val="ro-RO"/>
        </w:rPr>
        <w:t>GUVERNUL REPUBLICII MOLDOVA</w:t>
      </w:r>
    </w:p>
    <w:p w14:paraId="4E3E4B18" w14:textId="77777777" w:rsidR="005C596E" w:rsidRPr="006D4618" w:rsidRDefault="005C596E" w:rsidP="008369FB">
      <w:pPr>
        <w:jc w:val="center"/>
        <w:rPr>
          <w:bCs/>
          <w:sz w:val="28"/>
          <w:szCs w:val="28"/>
          <w:lang w:val="ro-RO"/>
        </w:rPr>
      </w:pPr>
    </w:p>
    <w:p w14:paraId="6C1EA921" w14:textId="3315E217" w:rsidR="008369FB" w:rsidRDefault="004A3751" w:rsidP="008369FB">
      <w:pPr>
        <w:jc w:val="center"/>
        <w:rPr>
          <w:b/>
          <w:sz w:val="28"/>
          <w:szCs w:val="28"/>
          <w:lang w:val="ro-RO"/>
        </w:rPr>
      </w:pPr>
      <w:r w:rsidRPr="006D4618">
        <w:rPr>
          <w:b/>
          <w:sz w:val="28"/>
          <w:szCs w:val="28"/>
          <w:lang w:val="ro-RO"/>
        </w:rPr>
        <w:t xml:space="preserve">H O T Ă R </w:t>
      </w:r>
      <w:r w:rsidR="008369FB">
        <w:rPr>
          <w:b/>
          <w:sz w:val="28"/>
          <w:szCs w:val="28"/>
          <w:lang w:val="ro-RO"/>
        </w:rPr>
        <w:t xml:space="preserve">Â </w:t>
      </w:r>
      <w:r w:rsidRPr="006D4618">
        <w:rPr>
          <w:b/>
          <w:sz w:val="28"/>
          <w:szCs w:val="28"/>
          <w:lang w:val="ro-RO"/>
        </w:rPr>
        <w:t>R E nr._______</w:t>
      </w:r>
    </w:p>
    <w:p w14:paraId="3EF990A7" w14:textId="77777777" w:rsidR="008369FB" w:rsidRDefault="008369FB" w:rsidP="008369FB">
      <w:pPr>
        <w:jc w:val="center"/>
        <w:rPr>
          <w:b/>
          <w:sz w:val="28"/>
          <w:szCs w:val="28"/>
          <w:lang w:val="ro-RO"/>
        </w:rPr>
      </w:pPr>
    </w:p>
    <w:p w14:paraId="4CF74A4B" w14:textId="72E80D8F" w:rsidR="008369FB" w:rsidRDefault="008369FB" w:rsidP="008369FB">
      <w:pPr>
        <w:jc w:val="center"/>
        <w:rPr>
          <w:b/>
          <w:sz w:val="28"/>
          <w:szCs w:val="28"/>
          <w:lang w:val="ro-RO"/>
        </w:rPr>
      </w:pPr>
      <w:r>
        <w:rPr>
          <w:b/>
          <w:sz w:val="28"/>
          <w:szCs w:val="28"/>
          <w:lang w:val="ro-RO"/>
        </w:rPr>
        <w:t>d</w:t>
      </w:r>
      <w:r w:rsidR="004A3751" w:rsidRPr="006D4618">
        <w:rPr>
          <w:b/>
          <w:sz w:val="28"/>
          <w:szCs w:val="28"/>
          <w:lang w:val="ro-RO"/>
        </w:rPr>
        <w:t>in</w:t>
      </w:r>
      <w:r>
        <w:rPr>
          <w:b/>
          <w:sz w:val="28"/>
          <w:szCs w:val="28"/>
          <w:lang w:val="ro-RO"/>
        </w:rPr>
        <w:t>_____________________</w:t>
      </w:r>
      <w:r w:rsidR="00E75C0E" w:rsidRPr="006D4618">
        <w:rPr>
          <w:b/>
          <w:sz w:val="28"/>
          <w:szCs w:val="28"/>
          <w:lang w:val="ro-RO"/>
        </w:rPr>
        <w:t>202</w:t>
      </w:r>
      <w:r w:rsidR="004D7AB9">
        <w:rPr>
          <w:b/>
          <w:sz w:val="28"/>
          <w:szCs w:val="28"/>
          <w:lang w:val="ro-RO"/>
        </w:rPr>
        <w:t>6</w:t>
      </w:r>
    </w:p>
    <w:p w14:paraId="4FE762C6" w14:textId="77777777" w:rsidR="008369FB" w:rsidRDefault="004A3751" w:rsidP="008369FB">
      <w:pPr>
        <w:jc w:val="center"/>
        <w:rPr>
          <w:b/>
          <w:sz w:val="28"/>
          <w:szCs w:val="28"/>
          <w:lang w:val="ro-RO"/>
        </w:rPr>
      </w:pPr>
      <w:r w:rsidRPr="006D4618">
        <w:rPr>
          <w:b/>
          <w:sz w:val="28"/>
          <w:szCs w:val="28"/>
          <w:lang w:val="ro-RO"/>
        </w:rPr>
        <w:t>Chișinău</w:t>
      </w:r>
    </w:p>
    <w:p w14:paraId="76BCC19B" w14:textId="77777777" w:rsidR="008369FB" w:rsidRDefault="008369FB" w:rsidP="008369FB">
      <w:pPr>
        <w:jc w:val="center"/>
        <w:rPr>
          <w:b/>
          <w:sz w:val="28"/>
          <w:szCs w:val="28"/>
          <w:lang w:val="ro-RO"/>
        </w:rPr>
      </w:pPr>
    </w:p>
    <w:p w14:paraId="14B18368" w14:textId="4FF76B4F" w:rsidR="00A56529" w:rsidRPr="004D7AB9" w:rsidRDefault="004D7AB9" w:rsidP="00282C1A">
      <w:pPr>
        <w:spacing w:line="276" w:lineRule="auto"/>
        <w:ind w:firstLine="705"/>
        <w:jc w:val="center"/>
        <w:rPr>
          <w:b/>
          <w:sz w:val="26"/>
          <w:szCs w:val="26"/>
          <w:lang w:val="ro-RO"/>
        </w:rPr>
      </w:pPr>
      <w:r w:rsidRPr="004D7AB9">
        <w:rPr>
          <w:b/>
          <w:sz w:val="26"/>
          <w:szCs w:val="26"/>
          <w:lang w:val="ro-RO"/>
        </w:rPr>
        <w:t xml:space="preserve">cu privire la modificarea Hotărârii Guvernului nr.744/2024 pentru aprobarea Regulamentului privind poluanții organici persistenți </w:t>
      </w:r>
      <w:r w:rsidR="00B42FB2">
        <w:rPr>
          <w:b/>
          <w:sz w:val="26"/>
          <w:szCs w:val="26"/>
          <w:lang w:val="ro-RO"/>
        </w:rPr>
        <w:t>(</w:t>
      </w:r>
      <w:proofErr w:type="spellStart"/>
      <w:r w:rsidR="00B42FB2">
        <w:rPr>
          <w:b/>
          <w:sz w:val="26"/>
          <w:szCs w:val="26"/>
          <w:lang w:val="ro-RO"/>
        </w:rPr>
        <w:t>POPs</w:t>
      </w:r>
      <w:proofErr w:type="spellEnd"/>
      <w:r w:rsidR="00B42FB2">
        <w:rPr>
          <w:b/>
          <w:sz w:val="26"/>
          <w:szCs w:val="26"/>
          <w:lang w:val="ro-RO"/>
        </w:rPr>
        <w:t>)</w:t>
      </w:r>
    </w:p>
    <w:p w14:paraId="35AA8490" w14:textId="12F2689F" w:rsidR="004A3751" w:rsidRPr="006D4618" w:rsidRDefault="00847A3C" w:rsidP="00847A3C">
      <w:pPr>
        <w:jc w:val="center"/>
        <w:rPr>
          <w:b/>
          <w:sz w:val="28"/>
          <w:szCs w:val="28"/>
          <w:lang w:val="ro-RO"/>
        </w:rPr>
      </w:pPr>
      <w:r w:rsidRPr="006D4618">
        <w:rPr>
          <w:b/>
          <w:sz w:val="28"/>
          <w:szCs w:val="28"/>
          <w:lang w:val="ro-RO"/>
        </w:rPr>
        <w:t>------------------------------------------------------------</w:t>
      </w:r>
    </w:p>
    <w:p w14:paraId="55B94910" w14:textId="77777777" w:rsidR="004D7AB9" w:rsidRDefault="004D7AB9" w:rsidP="00282C1A">
      <w:pPr>
        <w:spacing w:line="276" w:lineRule="auto"/>
        <w:ind w:firstLine="705"/>
        <w:jc w:val="center"/>
        <w:rPr>
          <w:bCs/>
          <w:sz w:val="28"/>
          <w:szCs w:val="28"/>
          <w:lang w:val="ro-RO"/>
        </w:rPr>
      </w:pPr>
    </w:p>
    <w:p w14:paraId="50E98AF8" w14:textId="2DD2D73F" w:rsidR="00FC375F" w:rsidRPr="00067CBF" w:rsidRDefault="00847A3C" w:rsidP="00E36BB3">
      <w:pPr>
        <w:spacing w:line="276" w:lineRule="auto"/>
        <w:ind w:firstLine="705"/>
        <w:jc w:val="both"/>
        <w:rPr>
          <w:bCs/>
          <w:sz w:val="26"/>
          <w:szCs w:val="26"/>
          <w:lang w:val="ro-RO"/>
        </w:rPr>
      </w:pPr>
      <w:r w:rsidRPr="00067CBF">
        <w:rPr>
          <w:bCs/>
          <w:sz w:val="26"/>
          <w:szCs w:val="26"/>
          <w:lang w:val="ro-RO"/>
        </w:rPr>
        <w:t>În temeiul art.</w:t>
      </w:r>
      <w:r w:rsidR="00FC375F" w:rsidRPr="00067CBF">
        <w:rPr>
          <w:bCs/>
          <w:sz w:val="26"/>
          <w:szCs w:val="26"/>
          <w:lang w:val="ro-RO"/>
        </w:rPr>
        <w:t xml:space="preserve"> 7, alin.1, lit. (c) </w:t>
      </w:r>
      <w:r w:rsidR="006D4618" w:rsidRPr="00067CBF">
        <w:rPr>
          <w:bCs/>
          <w:sz w:val="26"/>
          <w:szCs w:val="26"/>
          <w:lang w:val="ro-RO"/>
        </w:rPr>
        <w:t xml:space="preserve"> </w:t>
      </w:r>
      <w:r w:rsidR="00FC375F" w:rsidRPr="00067CBF">
        <w:rPr>
          <w:bCs/>
          <w:sz w:val="26"/>
          <w:szCs w:val="26"/>
          <w:lang w:val="ro-RO"/>
        </w:rPr>
        <w:t>din Legea 277/2018 privind substanțele chimice, cu modificările ulterioare (Monitorul Oficial al Republicii Moldova, 2019, Nr. 49-58)</w:t>
      </w:r>
      <w:r w:rsidR="00B649C1" w:rsidRPr="00067CBF">
        <w:rPr>
          <w:bCs/>
          <w:sz w:val="26"/>
          <w:szCs w:val="26"/>
          <w:lang w:val="ro-RO"/>
        </w:rPr>
        <w:t xml:space="preserve">, </w:t>
      </w:r>
      <w:r w:rsidR="00E36BB3" w:rsidRPr="00067CBF">
        <w:rPr>
          <w:bCs/>
          <w:sz w:val="26"/>
          <w:szCs w:val="26"/>
          <w:lang w:val="ro-RO"/>
        </w:rPr>
        <w:t>art. 86-87 din Acordul de Asociere dintre Republica Moldova, pe de o parte, și Uniunea Europeană și Comunitatea Europeană a Energiei Atomice și statele membre ale acestora, pe de altă parte, semnat la Bruxelles la 27 iunie 2014, ratificat prin Legea nr.112/2014 (Monitorul Oficial al Republicii Moldova, 2014, nr. 185-199, art. 442)</w:t>
      </w:r>
      <w:r w:rsidR="00021F7D" w:rsidRPr="00067CBF">
        <w:rPr>
          <w:bCs/>
          <w:sz w:val="26"/>
          <w:szCs w:val="26"/>
          <w:lang w:val="ro-RO"/>
        </w:rPr>
        <w:t>.</w:t>
      </w:r>
    </w:p>
    <w:p w14:paraId="011CDEAD" w14:textId="77777777" w:rsidR="006375F9" w:rsidRPr="00067CBF" w:rsidRDefault="006375F9" w:rsidP="004D7AB9">
      <w:pPr>
        <w:ind w:firstLine="705"/>
        <w:rPr>
          <w:bCs/>
          <w:sz w:val="26"/>
          <w:szCs w:val="26"/>
          <w:lang w:val="ro-RO"/>
        </w:rPr>
      </w:pPr>
    </w:p>
    <w:p w14:paraId="030FD4BB" w14:textId="146851F5" w:rsidR="004A3751" w:rsidRPr="00067CBF" w:rsidRDefault="004A3751" w:rsidP="004D7AB9">
      <w:pPr>
        <w:ind w:firstLine="705"/>
        <w:rPr>
          <w:bCs/>
          <w:sz w:val="26"/>
          <w:szCs w:val="26"/>
          <w:lang w:val="ro-RO"/>
        </w:rPr>
      </w:pPr>
      <w:r w:rsidRPr="00067CBF">
        <w:rPr>
          <w:bCs/>
          <w:sz w:val="26"/>
          <w:szCs w:val="26"/>
          <w:lang w:val="ro-RO"/>
        </w:rPr>
        <w:t>Guvernul HOTĂRĂȘTE:</w:t>
      </w:r>
    </w:p>
    <w:p w14:paraId="1160C2CF" w14:textId="40BD568D" w:rsidR="00AF1571" w:rsidRPr="00067CBF" w:rsidRDefault="00021F7D" w:rsidP="00752E41">
      <w:pPr>
        <w:ind w:right="-90" w:firstLine="705"/>
        <w:jc w:val="both"/>
        <w:rPr>
          <w:sz w:val="26"/>
          <w:szCs w:val="26"/>
          <w:lang w:val="ro-RO"/>
        </w:rPr>
      </w:pPr>
      <w:r w:rsidRPr="00067CBF">
        <w:rPr>
          <w:bCs/>
          <w:sz w:val="26"/>
          <w:szCs w:val="26"/>
          <w:lang w:val="ro-RO"/>
        </w:rPr>
        <w:t>Prezenta hotărâre transpune</w:t>
      </w:r>
      <w:r w:rsidR="00FC52F9" w:rsidRPr="00067CBF">
        <w:rPr>
          <w:bCs/>
          <w:sz w:val="26"/>
          <w:szCs w:val="26"/>
          <w:lang w:val="ro-RO"/>
        </w:rPr>
        <w:t xml:space="preserve"> Regulamentul </w:t>
      </w:r>
      <w:r w:rsidR="00752E41" w:rsidRPr="00067CBF">
        <w:rPr>
          <w:bCs/>
          <w:sz w:val="26"/>
          <w:szCs w:val="26"/>
          <w:lang w:val="ro-RO"/>
        </w:rPr>
        <w:t xml:space="preserve">(UE) 2019/1021 al Parlamentului European și al Consiliului din 20 iunie 2019 privind poluanții organici persistenți, astfel cum a fost modificat ultima dată prin </w:t>
      </w:r>
      <w:r w:rsidR="00752E41" w:rsidRPr="00067CBF">
        <w:rPr>
          <w:bCs/>
          <w:i/>
          <w:iCs/>
          <w:sz w:val="26"/>
          <w:szCs w:val="26"/>
          <w:lang w:val="ro-RO"/>
        </w:rPr>
        <w:t xml:space="preserve">Regulamentul delegat (UE) 2025/1482 al Comisiei din 24 iulie 2025 de modificare a Regulamentului (UE) 2019/1021 al Parlamentului European și al Consiliului în ceea ce privește poluanții organici persistenți </w:t>
      </w:r>
      <w:proofErr w:type="spellStart"/>
      <w:r w:rsidR="00752E41" w:rsidRPr="00067CBF">
        <w:rPr>
          <w:bCs/>
          <w:i/>
          <w:iCs/>
          <w:sz w:val="26"/>
          <w:szCs w:val="26"/>
          <w:lang w:val="ro-RO"/>
        </w:rPr>
        <w:t>tetrabromodifenileter</w:t>
      </w:r>
      <w:proofErr w:type="spellEnd"/>
      <w:r w:rsidR="00752E41" w:rsidRPr="00067CBF">
        <w:rPr>
          <w:bCs/>
          <w:i/>
          <w:iCs/>
          <w:sz w:val="26"/>
          <w:szCs w:val="26"/>
          <w:lang w:val="ro-RO"/>
        </w:rPr>
        <w:t xml:space="preserve">, </w:t>
      </w:r>
      <w:proofErr w:type="spellStart"/>
      <w:r w:rsidR="00752E41" w:rsidRPr="00067CBF">
        <w:rPr>
          <w:bCs/>
          <w:i/>
          <w:iCs/>
          <w:sz w:val="26"/>
          <w:szCs w:val="26"/>
          <w:lang w:val="ro-RO"/>
        </w:rPr>
        <w:t>pentabromodifenileter</w:t>
      </w:r>
      <w:proofErr w:type="spellEnd"/>
      <w:r w:rsidR="00752E41" w:rsidRPr="00067CBF">
        <w:rPr>
          <w:bCs/>
          <w:i/>
          <w:iCs/>
          <w:sz w:val="26"/>
          <w:szCs w:val="26"/>
          <w:lang w:val="ro-RO"/>
        </w:rPr>
        <w:t xml:space="preserve">, </w:t>
      </w:r>
      <w:proofErr w:type="spellStart"/>
      <w:r w:rsidR="00752E41" w:rsidRPr="00067CBF">
        <w:rPr>
          <w:bCs/>
          <w:i/>
          <w:iCs/>
          <w:sz w:val="26"/>
          <w:szCs w:val="26"/>
          <w:lang w:val="ro-RO"/>
        </w:rPr>
        <w:t>hexabromodifenileter</w:t>
      </w:r>
      <w:proofErr w:type="spellEnd"/>
      <w:r w:rsidR="00752E41" w:rsidRPr="00067CBF">
        <w:rPr>
          <w:bCs/>
          <w:i/>
          <w:iCs/>
          <w:sz w:val="26"/>
          <w:szCs w:val="26"/>
          <w:lang w:val="ro-RO"/>
        </w:rPr>
        <w:t xml:space="preserve">, </w:t>
      </w:r>
      <w:proofErr w:type="spellStart"/>
      <w:r w:rsidR="00752E41" w:rsidRPr="00067CBF">
        <w:rPr>
          <w:bCs/>
          <w:i/>
          <w:iCs/>
          <w:sz w:val="26"/>
          <w:szCs w:val="26"/>
          <w:lang w:val="ro-RO"/>
        </w:rPr>
        <w:t>heptabromodifenileter</w:t>
      </w:r>
      <w:proofErr w:type="spellEnd"/>
      <w:r w:rsidR="00752E41" w:rsidRPr="00067CBF">
        <w:rPr>
          <w:bCs/>
          <w:i/>
          <w:iCs/>
          <w:sz w:val="26"/>
          <w:szCs w:val="26"/>
          <w:lang w:val="ro-RO"/>
        </w:rPr>
        <w:t xml:space="preserve"> și </w:t>
      </w:r>
      <w:proofErr w:type="spellStart"/>
      <w:r w:rsidR="00752E41" w:rsidRPr="00067CBF">
        <w:rPr>
          <w:bCs/>
          <w:i/>
          <w:iCs/>
          <w:sz w:val="26"/>
          <w:szCs w:val="26"/>
          <w:lang w:val="ro-RO"/>
        </w:rPr>
        <w:t>decabromodifenileter</w:t>
      </w:r>
      <w:proofErr w:type="spellEnd"/>
      <w:r w:rsidR="00752E41" w:rsidRPr="00067CBF">
        <w:rPr>
          <w:bCs/>
          <w:i/>
          <w:iCs/>
          <w:sz w:val="26"/>
          <w:szCs w:val="26"/>
          <w:lang w:val="ro-RO"/>
        </w:rPr>
        <w:t xml:space="preserve"> și</w:t>
      </w:r>
      <w:r w:rsidR="00752E41" w:rsidRPr="00067CBF">
        <w:rPr>
          <w:b/>
          <w:bCs/>
          <w:i/>
          <w:iCs/>
          <w:sz w:val="26"/>
          <w:szCs w:val="26"/>
          <w:lang w:val="ro-MD"/>
        </w:rPr>
        <w:t xml:space="preserve"> </w:t>
      </w:r>
      <w:r w:rsidR="00752E41" w:rsidRPr="00067CBF">
        <w:rPr>
          <w:bCs/>
          <w:i/>
          <w:iCs/>
          <w:sz w:val="26"/>
          <w:szCs w:val="26"/>
          <w:lang w:val="ro-RO"/>
        </w:rPr>
        <w:t>Regulamentul (UE) 2025/2457 al Parlamentului European și al Consiliului din 26 noiembrie 2025 de modificare a Regulamentelor (CE) nr. 178/2002, (CE) nr. 401/2009, (UE) 2017/745 și (UE) 2019/1021 în ceea ce privește reatribuirea sarcinilor științifice și tehnice și îmbunătățirea cooperării dintre agențiile Uniunii în domeniul substanțelor chimice</w:t>
      </w:r>
      <w:r w:rsidR="00752E41" w:rsidRPr="00067CBF">
        <w:rPr>
          <w:bCs/>
          <w:sz w:val="26"/>
          <w:szCs w:val="26"/>
          <w:lang w:val="ro-RO"/>
        </w:rPr>
        <w:t>.</w:t>
      </w:r>
    </w:p>
    <w:p w14:paraId="050077A0" w14:textId="77777777" w:rsidR="00752E41" w:rsidRPr="00067CBF" w:rsidRDefault="00752E41" w:rsidP="00752E41">
      <w:pPr>
        <w:spacing w:line="276" w:lineRule="auto"/>
        <w:ind w:left="360"/>
        <w:jc w:val="both"/>
        <w:rPr>
          <w:bCs/>
          <w:sz w:val="26"/>
          <w:szCs w:val="26"/>
          <w:lang w:val="ro-RO"/>
        </w:rPr>
      </w:pPr>
    </w:p>
    <w:p w14:paraId="48C4A872" w14:textId="6020D286" w:rsidR="004A3751" w:rsidRPr="00067CBF" w:rsidRDefault="00847A3C" w:rsidP="00C90A52">
      <w:pPr>
        <w:pStyle w:val="Listparagraf"/>
        <w:numPr>
          <w:ilvl w:val="0"/>
          <w:numId w:val="7"/>
        </w:numPr>
        <w:spacing w:line="276" w:lineRule="auto"/>
        <w:ind w:left="0" w:firstLine="360"/>
        <w:jc w:val="both"/>
        <w:rPr>
          <w:bCs/>
          <w:sz w:val="26"/>
          <w:szCs w:val="26"/>
          <w:lang w:val="ro-RO"/>
        </w:rPr>
      </w:pPr>
      <w:r w:rsidRPr="00067CBF">
        <w:rPr>
          <w:bCs/>
          <w:sz w:val="26"/>
          <w:szCs w:val="26"/>
          <w:lang w:val="ro-RO"/>
        </w:rPr>
        <w:t xml:space="preserve">Hotărârea Guvernului nr. </w:t>
      </w:r>
      <w:r w:rsidR="004D7AB9" w:rsidRPr="00067CBF">
        <w:rPr>
          <w:bCs/>
          <w:sz w:val="26"/>
          <w:szCs w:val="26"/>
          <w:lang w:val="ro-RO"/>
        </w:rPr>
        <w:t>744/</w:t>
      </w:r>
      <w:r w:rsidRPr="00067CBF">
        <w:rPr>
          <w:bCs/>
          <w:sz w:val="26"/>
          <w:szCs w:val="26"/>
          <w:lang w:val="ro-RO"/>
        </w:rPr>
        <w:t>/202</w:t>
      </w:r>
      <w:r w:rsidR="004D7AB9" w:rsidRPr="00067CBF">
        <w:rPr>
          <w:bCs/>
          <w:sz w:val="26"/>
          <w:szCs w:val="26"/>
          <w:lang w:val="ro-RO"/>
        </w:rPr>
        <w:t>4</w:t>
      </w:r>
      <w:r w:rsidRPr="00067CBF">
        <w:rPr>
          <w:bCs/>
          <w:sz w:val="26"/>
          <w:szCs w:val="26"/>
          <w:lang w:val="ro-RO"/>
        </w:rPr>
        <w:t xml:space="preserve"> pentru aprobarea Regulamentului privind </w:t>
      </w:r>
      <w:r w:rsidR="004D7AB9" w:rsidRPr="00067CBF">
        <w:rPr>
          <w:bCs/>
          <w:sz w:val="26"/>
          <w:szCs w:val="26"/>
          <w:lang w:val="ro-RO"/>
        </w:rPr>
        <w:t xml:space="preserve">poluanții organici persistenți </w:t>
      </w:r>
      <w:r w:rsidR="00B42FB2" w:rsidRPr="00067CBF">
        <w:rPr>
          <w:bCs/>
          <w:sz w:val="26"/>
          <w:szCs w:val="26"/>
          <w:lang w:val="ro-RO"/>
        </w:rPr>
        <w:t>(</w:t>
      </w:r>
      <w:proofErr w:type="spellStart"/>
      <w:r w:rsidR="00B42FB2" w:rsidRPr="00067CBF">
        <w:rPr>
          <w:bCs/>
          <w:sz w:val="26"/>
          <w:szCs w:val="26"/>
          <w:lang w:val="ro-RO"/>
        </w:rPr>
        <w:t>POPs</w:t>
      </w:r>
      <w:proofErr w:type="spellEnd"/>
      <w:r w:rsidR="00B42FB2" w:rsidRPr="00067CBF">
        <w:rPr>
          <w:bCs/>
          <w:sz w:val="26"/>
          <w:szCs w:val="26"/>
          <w:lang w:val="ro-RO"/>
        </w:rPr>
        <w:t>)</w:t>
      </w:r>
      <w:r w:rsidR="00E56D66" w:rsidRPr="00067CBF">
        <w:rPr>
          <w:bCs/>
          <w:sz w:val="26"/>
          <w:szCs w:val="26"/>
          <w:lang w:val="ro-RO"/>
        </w:rPr>
        <w:t xml:space="preserve"> (Monitorul Oficial</w:t>
      </w:r>
      <w:r w:rsidR="004D7AB9" w:rsidRPr="00067CBF">
        <w:rPr>
          <w:bCs/>
          <w:sz w:val="26"/>
          <w:szCs w:val="26"/>
          <w:lang w:val="ro-RO"/>
        </w:rPr>
        <w:t xml:space="preserve">, 2024 </w:t>
      </w:r>
      <w:r w:rsidR="00E56D66" w:rsidRPr="00067CBF">
        <w:rPr>
          <w:bCs/>
          <w:sz w:val="26"/>
          <w:szCs w:val="26"/>
          <w:lang w:val="ro-RO"/>
        </w:rPr>
        <w:t xml:space="preserve">Nr. </w:t>
      </w:r>
      <w:r w:rsidR="004D7AB9" w:rsidRPr="00067CBF">
        <w:rPr>
          <w:bCs/>
          <w:sz w:val="26"/>
          <w:szCs w:val="26"/>
          <w:lang w:val="ro-RO"/>
        </w:rPr>
        <w:t xml:space="preserve">529 </w:t>
      </w:r>
      <w:r w:rsidR="00E56D66" w:rsidRPr="00067CBF">
        <w:rPr>
          <w:bCs/>
          <w:sz w:val="26"/>
          <w:szCs w:val="26"/>
          <w:lang w:val="ro-RO"/>
        </w:rPr>
        <w:t>-</w:t>
      </w:r>
      <w:r w:rsidR="004D7AB9" w:rsidRPr="00067CBF">
        <w:rPr>
          <w:bCs/>
          <w:sz w:val="26"/>
          <w:szCs w:val="26"/>
          <w:lang w:val="ro-RO"/>
        </w:rPr>
        <w:t>532</w:t>
      </w:r>
      <w:r w:rsidR="00E56D66" w:rsidRPr="00067CBF">
        <w:rPr>
          <w:bCs/>
          <w:sz w:val="26"/>
          <w:szCs w:val="26"/>
          <w:lang w:val="ro-RO"/>
        </w:rPr>
        <w:t xml:space="preserve"> art. </w:t>
      </w:r>
      <w:r w:rsidR="004D7AB9" w:rsidRPr="00067CBF">
        <w:rPr>
          <w:bCs/>
          <w:sz w:val="26"/>
          <w:szCs w:val="26"/>
          <w:lang w:val="ro-RO"/>
        </w:rPr>
        <w:t>956</w:t>
      </w:r>
      <w:r w:rsidR="00E56D66" w:rsidRPr="00067CBF">
        <w:rPr>
          <w:bCs/>
          <w:sz w:val="26"/>
          <w:szCs w:val="26"/>
          <w:lang w:val="ro-RO"/>
        </w:rPr>
        <w:t>)</w:t>
      </w:r>
      <w:r w:rsidR="00F301A0" w:rsidRPr="00067CBF">
        <w:rPr>
          <w:bCs/>
          <w:sz w:val="26"/>
          <w:szCs w:val="26"/>
          <w:lang w:val="ro-RO"/>
        </w:rPr>
        <w:t>,</w:t>
      </w:r>
      <w:r w:rsidRPr="00067CBF">
        <w:rPr>
          <w:bCs/>
          <w:sz w:val="26"/>
          <w:szCs w:val="26"/>
          <w:lang w:val="ro-RO"/>
        </w:rPr>
        <w:t xml:space="preserve"> se modifică după cum urmează:</w:t>
      </w:r>
    </w:p>
    <w:p w14:paraId="232B0D1A" w14:textId="2B412E96" w:rsidR="00E0537D" w:rsidRPr="00067CBF" w:rsidRDefault="00C90A52" w:rsidP="003D7538">
      <w:pPr>
        <w:spacing w:line="276" w:lineRule="auto"/>
        <w:ind w:firstLine="705"/>
        <w:jc w:val="both"/>
        <w:rPr>
          <w:bCs/>
          <w:sz w:val="26"/>
          <w:szCs w:val="26"/>
          <w:lang w:val="ro-RO"/>
        </w:rPr>
      </w:pPr>
      <w:r w:rsidRPr="00067CBF">
        <w:rPr>
          <w:bCs/>
          <w:sz w:val="26"/>
          <w:szCs w:val="26"/>
          <w:lang w:val="ro-RO"/>
        </w:rPr>
        <w:t xml:space="preserve">1.1. </w:t>
      </w:r>
      <w:r w:rsidR="00F301A0" w:rsidRPr="00067CBF">
        <w:rPr>
          <w:bCs/>
          <w:sz w:val="26"/>
          <w:szCs w:val="26"/>
          <w:lang w:val="ro-RO"/>
        </w:rPr>
        <w:t>În textul Regulamentului:</w:t>
      </w:r>
    </w:p>
    <w:p w14:paraId="2F0583FD" w14:textId="5160C8FA" w:rsidR="00CF1821" w:rsidRPr="00067CBF" w:rsidRDefault="00C701F7" w:rsidP="00C701F7">
      <w:pPr>
        <w:spacing w:line="276" w:lineRule="auto"/>
        <w:ind w:left="705"/>
        <w:jc w:val="both"/>
        <w:rPr>
          <w:bCs/>
          <w:sz w:val="26"/>
          <w:szCs w:val="26"/>
          <w:lang w:val="ro-RO"/>
        </w:rPr>
      </w:pPr>
      <w:r w:rsidRPr="00067CBF">
        <w:rPr>
          <w:bCs/>
          <w:sz w:val="26"/>
          <w:szCs w:val="26"/>
          <w:lang w:val="ro-RO"/>
        </w:rPr>
        <w:t>1.</w:t>
      </w:r>
      <w:r w:rsidR="003D7538" w:rsidRPr="00067CBF">
        <w:rPr>
          <w:bCs/>
          <w:sz w:val="26"/>
          <w:szCs w:val="26"/>
          <w:lang w:val="ro-RO"/>
        </w:rPr>
        <w:t>1</w:t>
      </w:r>
      <w:r w:rsidRPr="00067CBF">
        <w:rPr>
          <w:bCs/>
          <w:sz w:val="26"/>
          <w:szCs w:val="26"/>
          <w:lang w:val="ro-RO"/>
        </w:rPr>
        <w:t>.1.  clauza de armonizare</w:t>
      </w:r>
      <w:r w:rsidR="00CF1821" w:rsidRPr="00067CBF">
        <w:rPr>
          <w:bCs/>
          <w:sz w:val="26"/>
          <w:szCs w:val="26"/>
          <w:lang w:val="ro-RO"/>
        </w:rPr>
        <w:t xml:space="preserve"> va avea următorul cuprins:</w:t>
      </w:r>
    </w:p>
    <w:p w14:paraId="25037464" w14:textId="573E70BF" w:rsidR="000A0D1D" w:rsidRPr="00067CBF" w:rsidRDefault="00CF1821" w:rsidP="00067CBF">
      <w:pPr>
        <w:ind w:right="90" w:firstLine="705"/>
        <w:jc w:val="both"/>
        <w:rPr>
          <w:sz w:val="26"/>
          <w:szCs w:val="26"/>
          <w:lang w:val="ro-RO"/>
        </w:rPr>
      </w:pPr>
      <w:r w:rsidRPr="00067CBF">
        <w:rPr>
          <w:bCs/>
          <w:sz w:val="26"/>
          <w:szCs w:val="26"/>
          <w:lang w:val="ro-RO"/>
        </w:rPr>
        <w:t xml:space="preserve"> </w:t>
      </w:r>
      <w:r w:rsidR="00B66FA9" w:rsidRPr="00067CBF">
        <w:rPr>
          <w:color w:val="333333"/>
          <w:sz w:val="26"/>
          <w:szCs w:val="26"/>
          <w:shd w:val="clear" w:color="auto" w:fill="FFFFFF"/>
          <w:lang w:val="ro-RO"/>
        </w:rPr>
        <w:t xml:space="preserve">Prezentul Regulament transpune art. 1, art. 2 pct. 6 și 13, art. 3, art. 4 alin. (1) și (4), art. 5 și 6, art. 7 alin. (1)-(4), art. 10 alin. (1), art. 11 alin. (2), art. 13, 14 și 22, </w:t>
      </w:r>
      <w:r w:rsidR="00B66FA9" w:rsidRPr="00067CBF">
        <w:rPr>
          <w:color w:val="333333"/>
          <w:sz w:val="26"/>
          <w:szCs w:val="26"/>
          <w:shd w:val="clear" w:color="auto" w:fill="FFFFFF"/>
          <w:lang w:val="ro-RO"/>
        </w:rPr>
        <w:lastRenderedPageBreak/>
        <w:t>Anexele I-V din Regulamentul (UE) 2019/1021 al Parlamentului European și al Con</w:t>
      </w:r>
      <w:r w:rsidR="00FC52F9" w:rsidRPr="00067CBF">
        <w:rPr>
          <w:color w:val="333333"/>
          <w:sz w:val="26"/>
          <w:szCs w:val="26"/>
          <w:shd w:val="clear" w:color="auto" w:fill="FFFFFF"/>
          <w:lang w:val="ro-RO"/>
        </w:rPr>
        <w:t>siliului</w:t>
      </w:r>
      <w:r w:rsidR="00B66FA9" w:rsidRPr="00067CBF">
        <w:rPr>
          <w:color w:val="333333"/>
          <w:sz w:val="26"/>
          <w:szCs w:val="26"/>
          <w:shd w:val="clear" w:color="auto" w:fill="FFFFFF"/>
          <w:lang w:val="ro-RO"/>
        </w:rPr>
        <w:t xml:space="preserve"> din 20 iunie 2019 privind poluanții organici persistenți (reformare), publicat în Jurnalul Oficial al Uniunii Europene L 169 din 25 iunie 2019 (CELEX: 32019R1021), așa cum a fost modificat ultima data </w:t>
      </w:r>
      <w:r w:rsidR="00B66FA9" w:rsidRPr="00067CBF">
        <w:rPr>
          <w:bCs/>
          <w:sz w:val="26"/>
          <w:szCs w:val="26"/>
          <w:lang w:val="ro-RO"/>
        </w:rPr>
        <w:t xml:space="preserve">prin Regulamentul delegat (UE) 2025/1482 al Comisiei din 24 iulie 2025 de modificare a Regulamentului (UE) 2019/1021 al Parlamentului European și al Consiliului în ceea ce privește poluanții organici persistenți </w:t>
      </w:r>
      <w:proofErr w:type="spellStart"/>
      <w:r w:rsidR="00B66FA9" w:rsidRPr="00067CBF">
        <w:rPr>
          <w:bCs/>
          <w:sz w:val="26"/>
          <w:szCs w:val="26"/>
          <w:lang w:val="ro-RO"/>
        </w:rPr>
        <w:t>tetrabromodifenileter</w:t>
      </w:r>
      <w:proofErr w:type="spellEnd"/>
      <w:r w:rsidR="00B66FA9" w:rsidRPr="00067CBF">
        <w:rPr>
          <w:bCs/>
          <w:sz w:val="26"/>
          <w:szCs w:val="26"/>
          <w:lang w:val="ro-RO"/>
        </w:rPr>
        <w:t xml:space="preserve">, </w:t>
      </w:r>
      <w:proofErr w:type="spellStart"/>
      <w:r w:rsidR="00B66FA9" w:rsidRPr="00067CBF">
        <w:rPr>
          <w:bCs/>
          <w:sz w:val="26"/>
          <w:szCs w:val="26"/>
          <w:lang w:val="ro-RO"/>
        </w:rPr>
        <w:t>pentabromodifenileter</w:t>
      </w:r>
      <w:proofErr w:type="spellEnd"/>
      <w:r w:rsidR="00B66FA9" w:rsidRPr="00067CBF">
        <w:rPr>
          <w:bCs/>
          <w:sz w:val="26"/>
          <w:szCs w:val="26"/>
          <w:lang w:val="ro-RO"/>
        </w:rPr>
        <w:t xml:space="preserve">, </w:t>
      </w:r>
      <w:proofErr w:type="spellStart"/>
      <w:r w:rsidR="00B66FA9" w:rsidRPr="00067CBF">
        <w:rPr>
          <w:bCs/>
          <w:sz w:val="26"/>
          <w:szCs w:val="26"/>
          <w:lang w:val="ro-RO"/>
        </w:rPr>
        <w:t>hexabromodifenileter</w:t>
      </w:r>
      <w:proofErr w:type="spellEnd"/>
      <w:r w:rsidR="00B66FA9" w:rsidRPr="00067CBF">
        <w:rPr>
          <w:bCs/>
          <w:sz w:val="26"/>
          <w:szCs w:val="26"/>
          <w:lang w:val="ro-RO"/>
        </w:rPr>
        <w:t xml:space="preserve">, </w:t>
      </w:r>
      <w:proofErr w:type="spellStart"/>
      <w:r w:rsidR="00B66FA9" w:rsidRPr="00067CBF">
        <w:rPr>
          <w:bCs/>
          <w:sz w:val="26"/>
          <w:szCs w:val="26"/>
          <w:lang w:val="ro-RO"/>
        </w:rPr>
        <w:t>heptabromodifenileter</w:t>
      </w:r>
      <w:proofErr w:type="spellEnd"/>
      <w:r w:rsidR="00B66FA9" w:rsidRPr="00067CBF">
        <w:rPr>
          <w:bCs/>
          <w:sz w:val="26"/>
          <w:szCs w:val="26"/>
          <w:lang w:val="ro-RO"/>
        </w:rPr>
        <w:t xml:space="preserve"> și </w:t>
      </w:r>
      <w:proofErr w:type="spellStart"/>
      <w:r w:rsidR="00B66FA9" w:rsidRPr="00067CBF">
        <w:rPr>
          <w:bCs/>
          <w:sz w:val="26"/>
          <w:szCs w:val="26"/>
          <w:lang w:val="ro-RO"/>
        </w:rPr>
        <w:t>decabromodifenileter</w:t>
      </w:r>
      <w:proofErr w:type="spellEnd"/>
      <w:r w:rsidR="00B66FA9" w:rsidRPr="00067CBF">
        <w:rPr>
          <w:bCs/>
          <w:sz w:val="26"/>
          <w:szCs w:val="26"/>
          <w:lang w:val="ro-RO"/>
        </w:rPr>
        <w:t xml:space="preserve"> și</w:t>
      </w:r>
      <w:r w:rsidR="00B66FA9" w:rsidRPr="00067CBF">
        <w:rPr>
          <w:b/>
          <w:bCs/>
          <w:sz w:val="26"/>
          <w:szCs w:val="26"/>
          <w:lang w:val="ro-MD"/>
        </w:rPr>
        <w:t xml:space="preserve"> </w:t>
      </w:r>
      <w:r w:rsidR="00B66FA9" w:rsidRPr="00067CBF">
        <w:rPr>
          <w:bCs/>
          <w:sz w:val="26"/>
          <w:szCs w:val="26"/>
          <w:lang w:val="ro-RO"/>
        </w:rPr>
        <w:t>Regulamentul (UE) 2025/2457 al Parlamentului European și al Consiliului din 26 noiembrie 2025 de modificare a Regulamentelor (CE) nr. 178/2002, (CE) nr. 401/2009, (UE) 2017/745 și (UE) 2019/1021 în ceea ce privește reatribuirea sarcinilor științifice și tehnice și îmbunătățirea cooperării dintre agențiile Uniunii în domeniul substanțelor chimice.</w:t>
      </w:r>
    </w:p>
    <w:p w14:paraId="33548494" w14:textId="0487E1DB" w:rsidR="00B826C5" w:rsidRPr="00067CBF" w:rsidRDefault="000A0D1D" w:rsidP="00067CBF">
      <w:pPr>
        <w:tabs>
          <w:tab w:val="left" w:pos="810"/>
        </w:tabs>
        <w:spacing w:line="276" w:lineRule="auto"/>
        <w:jc w:val="both"/>
        <w:rPr>
          <w:color w:val="000000" w:themeColor="text1"/>
          <w:sz w:val="26"/>
          <w:szCs w:val="26"/>
          <w:shd w:val="clear" w:color="auto" w:fill="FFFFFF"/>
          <w:lang w:val="ro-RO"/>
        </w:rPr>
      </w:pPr>
      <w:r w:rsidRPr="00067CBF">
        <w:rPr>
          <w:bCs/>
          <w:sz w:val="26"/>
          <w:szCs w:val="26"/>
          <w:lang w:val="ro-RO"/>
        </w:rPr>
        <w:t xml:space="preserve">           </w:t>
      </w:r>
      <w:r w:rsidR="00E0537D" w:rsidRPr="00067CBF">
        <w:rPr>
          <w:bCs/>
          <w:sz w:val="26"/>
          <w:szCs w:val="26"/>
          <w:lang w:val="ro-RO"/>
        </w:rPr>
        <w:t>1.</w:t>
      </w:r>
      <w:r w:rsidR="003D7538" w:rsidRPr="00067CBF">
        <w:rPr>
          <w:bCs/>
          <w:sz w:val="26"/>
          <w:szCs w:val="26"/>
          <w:lang w:val="ro-RO"/>
        </w:rPr>
        <w:t>1</w:t>
      </w:r>
      <w:r w:rsidR="001876DF" w:rsidRPr="00067CBF">
        <w:rPr>
          <w:bCs/>
          <w:sz w:val="26"/>
          <w:szCs w:val="26"/>
          <w:lang w:val="ro-RO"/>
        </w:rPr>
        <w:t>.</w:t>
      </w:r>
      <w:r w:rsidR="00C701F7" w:rsidRPr="00067CBF">
        <w:rPr>
          <w:bCs/>
          <w:sz w:val="26"/>
          <w:szCs w:val="26"/>
          <w:lang w:val="ro-RO"/>
        </w:rPr>
        <w:t>2.</w:t>
      </w:r>
      <w:r w:rsidR="001876DF" w:rsidRPr="00067CBF">
        <w:rPr>
          <w:bCs/>
          <w:sz w:val="26"/>
          <w:szCs w:val="26"/>
          <w:lang w:val="ro-RO"/>
        </w:rPr>
        <w:t xml:space="preserve"> </w:t>
      </w:r>
      <w:r w:rsidR="009F4AE4" w:rsidRPr="00067CBF">
        <w:rPr>
          <w:color w:val="000000" w:themeColor="text1"/>
          <w:sz w:val="26"/>
          <w:szCs w:val="26"/>
          <w:shd w:val="clear" w:color="auto" w:fill="FFFFFF"/>
          <w:lang w:val="ro-RO"/>
        </w:rPr>
        <w:t>la punctul 3, după cuvintele „din Legea nr. 277/2018 privind substanțele chimice” se completează cu cuvintele „precum și din Hotărârea Guvernului nr. 643/2025 pentru aprobarea Reglementării tehnice privind restricționarea utilizării anumitor substanțe periculoase în echipamentele electrice și electronice”</w:t>
      </w:r>
      <w:r w:rsidR="004B5607" w:rsidRPr="00067CBF">
        <w:rPr>
          <w:color w:val="000000" w:themeColor="text1"/>
          <w:sz w:val="26"/>
          <w:szCs w:val="26"/>
          <w:shd w:val="clear" w:color="auto" w:fill="FFFFFF"/>
          <w:lang w:val="ro-RO"/>
        </w:rPr>
        <w:t xml:space="preserve"> și în continuare după text.</w:t>
      </w:r>
    </w:p>
    <w:p w14:paraId="20F5ACF0" w14:textId="4E00AFD6" w:rsidR="00FF4508" w:rsidRPr="00067CBF" w:rsidRDefault="009F4AE4" w:rsidP="00067CBF">
      <w:pPr>
        <w:spacing w:line="276" w:lineRule="auto"/>
        <w:jc w:val="both"/>
        <w:rPr>
          <w:color w:val="000000" w:themeColor="text1"/>
          <w:sz w:val="26"/>
          <w:szCs w:val="26"/>
          <w:shd w:val="clear" w:color="auto" w:fill="FFFFFF"/>
          <w:lang w:val="ro-MD"/>
        </w:rPr>
      </w:pPr>
      <w:r w:rsidRPr="00067CBF">
        <w:rPr>
          <w:color w:val="000000" w:themeColor="text1"/>
          <w:sz w:val="26"/>
          <w:szCs w:val="26"/>
          <w:shd w:val="clear" w:color="auto" w:fill="FFFFFF"/>
          <w:lang w:val="ro-RO"/>
        </w:rPr>
        <w:t xml:space="preserve">           1.</w:t>
      </w:r>
      <w:r w:rsidR="003D7538" w:rsidRPr="00067CBF">
        <w:rPr>
          <w:color w:val="000000" w:themeColor="text1"/>
          <w:sz w:val="26"/>
          <w:szCs w:val="26"/>
          <w:shd w:val="clear" w:color="auto" w:fill="FFFFFF"/>
          <w:lang w:val="ro-RO"/>
        </w:rPr>
        <w:t>1</w:t>
      </w:r>
      <w:r w:rsidRPr="00067CBF">
        <w:rPr>
          <w:color w:val="000000" w:themeColor="text1"/>
          <w:sz w:val="26"/>
          <w:szCs w:val="26"/>
          <w:shd w:val="clear" w:color="auto" w:fill="FFFFFF"/>
          <w:lang w:val="ro-RO"/>
        </w:rPr>
        <w:t>.</w:t>
      </w:r>
      <w:r w:rsidR="004B5607" w:rsidRPr="00067CBF">
        <w:rPr>
          <w:color w:val="000000" w:themeColor="text1"/>
          <w:sz w:val="26"/>
          <w:szCs w:val="26"/>
          <w:shd w:val="clear" w:color="auto" w:fill="FFFFFF"/>
          <w:lang w:val="ro-RO"/>
        </w:rPr>
        <w:t>3</w:t>
      </w:r>
      <w:r w:rsidRPr="00067CBF">
        <w:rPr>
          <w:color w:val="000000" w:themeColor="text1"/>
          <w:sz w:val="26"/>
          <w:szCs w:val="26"/>
          <w:shd w:val="clear" w:color="auto" w:fill="FFFFFF"/>
          <w:lang w:val="ro-RO"/>
        </w:rPr>
        <w:t xml:space="preserve">. </w:t>
      </w:r>
      <w:r w:rsidR="003B089B" w:rsidRPr="00067CBF">
        <w:rPr>
          <w:color w:val="000000" w:themeColor="text1"/>
          <w:sz w:val="26"/>
          <w:szCs w:val="26"/>
          <w:shd w:val="clear" w:color="auto" w:fill="FFFFFF"/>
          <w:lang w:val="ro-MD"/>
        </w:rPr>
        <w:t xml:space="preserve">la </w:t>
      </w:r>
      <w:r w:rsidR="001876DF" w:rsidRPr="00067CBF">
        <w:rPr>
          <w:color w:val="000000" w:themeColor="text1"/>
          <w:sz w:val="26"/>
          <w:szCs w:val="26"/>
          <w:shd w:val="clear" w:color="auto" w:fill="FFFFFF"/>
          <w:lang w:val="ro-MD"/>
        </w:rPr>
        <w:t>punctul 27</w:t>
      </w:r>
      <w:r w:rsidR="00157086" w:rsidRPr="00067CBF">
        <w:rPr>
          <w:color w:val="000000" w:themeColor="text1"/>
          <w:sz w:val="26"/>
          <w:szCs w:val="26"/>
          <w:shd w:val="clear" w:color="auto" w:fill="FFFFFF"/>
          <w:lang w:val="ro-MD"/>
        </w:rPr>
        <w:t>,</w:t>
      </w:r>
      <w:r w:rsidR="001876DF" w:rsidRPr="00067CBF">
        <w:rPr>
          <w:color w:val="000000" w:themeColor="text1"/>
          <w:sz w:val="26"/>
          <w:szCs w:val="26"/>
          <w:shd w:val="clear" w:color="auto" w:fill="FFFFFF"/>
          <w:lang w:val="ro-MD"/>
        </w:rPr>
        <w:t xml:space="preserve"> subpunctul </w:t>
      </w:r>
      <w:r w:rsidR="009B709E" w:rsidRPr="00067CBF">
        <w:rPr>
          <w:color w:val="000000" w:themeColor="text1"/>
          <w:sz w:val="26"/>
          <w:szCs w:val="26"/>
          <w:shd w:val="clear" w:color="auto" w:fill="FFFFFF"/>
          <w:lang w:val="ro-MD"/>
        </w:rPr>
        <w:t xml:space="preserve">27.6 </w:t>
      </w:r>
      <w:proofErr w:type="spellStart"/>
      <w:r w:rsidR="003B089B" w:rsidRPr="00067CBF">
        <w:rPr>
          <w:color w:val="000000" w:themeColor="text1"/>
          <w:sz w:val="26"/>
          <w:szCs w:val="26"/>
          <w:shd w:val="clear" w:color="auto" w:fill="FFFFFF"/>
          <w:lang w:val="ro-MD"/>
        </w:rPr>
        <w:t>cuv</w:t>
      </w:r>
      <w:r w:rsidR="003B089B" w:rsidRPr="00067CBF">
        <w:rPr>
          <w:color w:val="000000" w:themeColor="text1"/>
          <w:sz w:val="26"/>
          <w:szCs w:val="26"/>
          <w:shd w:val="clear" w:color="auto" w:fill="FFFFFF"/>
          <w:lang w:val="ro-RO"/>
        </w:rPr>
        <w:t>ântul</w:t>
      </w:r>
      <w:proofErr w:type="spellEnd"/>
      <w:r w:rsidR="003B089B" w:rsidRPr="00067CBF">
        <w:rPr>
          <w:color w:val="000000" w:themeColor="text1"/>
          <w:sz w:val="26"/>
          <w:szCs w:val="26"/>
          <w:shd w:val="clear" w:color="auto" w:fill="FFFFFF"/>
          <w:lang w:val="ro-RO"/>
        </w:rPr>
        <w:t xml:space="preserve"> „dionine” </w:t>
      </w:r>
      <w:r w:rsidR="003B089B" w:rsidRPr="00067CBF">
        <w:rPr>
          <w:color w:val="000000" w:themeColor="text1"/>
          <w:sz w:val="26"/>
          <w:szCs w:val="26"/>
          <w:shd w:val="clear" w:color="auto" w:fill="FFFFFF"/>
          <w:lang w:val="ro-MD"/>
        </w:rPr>
        <w:t>se substituie cu cuvântul „</w:t>
      </w:r>
      <w:proofErr w:type="spellStart"/>
      <w:r w:rsidR="003B089B" w:rsidRPr="00067CBF">
        <w:rPr>
          <w:color w:val="000000" w:themeColor="text1"/>
          <w:sz w:val="26"/>
          <w:szCs w:val="26"/>
          <w:shd w:val="clear" w:color="auto" w:fill="FFFFFF"/>
          <w:lang w:val="ro-MD"/>
        </w:rPr>
        <w:t>dioxine</w:t>
      </w:r>
      <w:proofErr w:type="spellEnd"/>
      <w:r w:rsidR="003B089B" w:rsidRPr="00067CBF">
        <w:rPr>
          <w:color w:val="000000" w:themeColor="text1"/>
          <w:sz w:val="26"/>
          <w:szCs w:val="26"/>
          <w:shd w:val="clear" w:color="auto" w:fill="FFFFFF"/>
          <w:lang w:val="ro-MD"/>
        </w:rPr>
        <w:t>”.</w:t>
      </w:r>
    </w:p>
    <w:p w14:paraId="79977F37" w14:textId="59BF0AC7" w:rsidR="0091797A" w:rsidRDefault="00FF4508" w:rsidP="00067CBF">
      <w:pPr>
        <w:spacing w:line="276" w:lineRule="auto"/>
        <w:ind w:firstLine="705"/>
        <w:jc w:val="both"/>
        <w:rPr>
          <w:color w:val="000000" w:themeColor="text1"/>
          <w:sz w:val="26"/>
          <w:szCs w:val="26"/>
          <w:shd w:val="clear" w:color="auto" w:fill="FFFFFF"/>
          <w:lang w:val="ro-RO"/>
        </w:rPr>
      </w:pPr>
      <w:r w:rsidRPr="00067CBF">
        <w:rPr>
          <w:color w:val="000000" w:themeColor="text1"/>
          <w:sz w:val="26"/>
          <w:szCs w:val="26"/>
          <w:shd w:val="clear" w:color="auto" w:fill="FFFFFF"/>
          <w:lang w:val="ro-MD"/>
        </w:rPr>
        <w:t>1</w:t>
      </w:r>
      <w:r w:rsidR="009B709E" w:rsidRPr="00067CBF">
        <w:rPr>
          <w:color w:val="000000" w:themeColor="text1"/>
          <w:sz w:val="26"/>
          <w:szCs w:val="26"/>
          <w:shd w:val="clear" w:color="auto" w:fill="FFFFFF"/>
          <w:lang w:val="ro-MD"/>
        </w:rPr>
        <w:t>.</w:t>
      </w:r>
      <w:r w:rsidR="003D7538" w:rsidRPr="00067CBF">
        <w:rPr>
          <w:color w:val="000000" w:themeColor="text1"/>
          <w:sz w:val="26"/>
          <w:szCs w:val="26"/>
          <w:shd w:val="clear" w:color="auto" w:fill="FFFFFF"/>
          <w:lang w:val="ro-MD"/>
        </w:rPr>
        <w:t>1</w:t>
      </w:r>
      <w:r w:rsidR="009B709E" w:rsidRPr="00067CBF">
        <w:rPr>
          <w:color w:val="000000" w:themeColor="text1"/>
          <w:sz w:val="26"/>
          <w:szCs w:val="26"/>
          <w:shd w:val="clear" w:color="auto" w:fill="FFFFFF"/>
          <w:lang w:val="ro-MD"/>
        </w:rPr>
        <w:t>.</w:t>
      </w:r>
      <w:r w:rsidR="003D7538" w:rsidRPr="00067CBF">
        <w:rPr>
          <w:color w:val="000000" w:themeColor="text1"/>
          <w:sz w:val="26"/>
          <w:szCs w:val="26"/>
          <w:shd w:val="clear" w:color="auto" w:fill="FFFFFF"/>
          <w:lang w:val="ro-MD"/>
        </w:rPr>
        <w:t>4</w:t>
      </w:r>
      <w:r w:rsidR="009B709E" w:rsidRPr="00067CBF">
        <w:rPr>
          <w:color w:val="000000" w:themeColor="text1"/>
          <w:sz w:val="26"/>
          <w:szCs w:val="26"/>
          <w:shd w:val="clear" w:color="auto" w:fill="FFFFFF"/>
          <w:lang w:val="ro-MD"/>
        </w:rPr>
        <w:t xml:space="preserve">. </w:t>
      </w:r>
      <w:r w:rsidR="00B66FA9" w:rsidRPr="00067CBF">
        <w:rPr>
          <w:color w:val="000000" w:themeColor="text1"/>
          <w:sz w:val="26"/>
          <w:szCs w:val="26"/>
          <w:shd w:val="clear" w:color="auto" w:fill="FFFFFF"/>
          <w:lang w:val="ro-MD"/>
        </w:rPr>
        <w:t>A</w:t>
      </w:r>
      <w:r w:rsidR="00C701F7" w:rsidRPr="00067CBF">
        <w:rPr>
          <w:color w:val="000000" w:themeColor="text1"/>
          <w:sz w:val="26"/>
          <w:szCs w:val="26"/>
          <w:shd w:val="clear" w:color="auto" w:fill="FFFFFF"/>
          <w:lang w:val="ro-MD"/>
        </w:rPr>
        <w:t xml:space="preserve">nexa </w:t>
      </w:r>
      <w:r w:rsidR="00B66FA9" w:rsidRPr="00067CBF">
        <w:rPr>
          <w:color w:val="000000" w:themeColor="text1"/>
          <w:sz w:val="26"/>
          <w:szCs w:val="26"/>
          <w:shd w:val="clear" w:color="auto" w:fill="FFFFFF"/>
          <w:lang w:val="ro-MD"/>
        </w:rPr>
        <w:t xml:space="preserve">nr. </w:t>
      </w:r>
      <w:r w:rsidR="00C701F7" w:rsidRPr="00067CBF">
        <w:rPr>
          <w:color w:val="000000" w:themeColor="text1"/>
          <w:sz w:val="26"/>
          <w:szCs w:val="26"/>
          <w:shd w:val="clear" w:color="auto" w:fill="FFFFFF"/>
          <w:lang w:val="ro-MD"/>
        </w:rPr>
        <w:t>1</w:t>
      </w:r>
      <w:r w:rsidR="004748EF" w:rsidRPr="00067CBF">
        <w:rPr>
          <w:sz w:val="26"/>
          <w:szCs w:val="26"/>
          <w:lang w:val="ro-MD"/>
        </w:rPr>
        <w:t xml:space="preserve"> (</w:t>
      </w:r>
      <w:r w:rsidR="004748EF" w:rsidRPr="00067CBF">
        <w:rPr>
          <w:color w:val="000000" w:themeColor="text1"/>
          <w:sz w:val="26"/>
          <w:szCs w:val="26"/>
          <w:shd w:val="clear" w:color="auto" w:fill="FFFFFF"/>
          <w:lang w:val="ro-MD"/>
        </w:rPr>
        <w:t>Partea A ‒ Substanțe cuprinse în listele din Convenția de la Stockholm privind poluanții organici persistenți și din Protocolul la Convenția din 1979 privind poluarea atmosferică transfrontalieră pe distanțe lungi)</w:t>
      </w:r>
      <w:r w:rsidR="0091797A" w:rsidRPr="00067CBF">
        <w:rPr>
          <w:color w:val="000000" w:themeColor="text1"/>
          <w:sz w:val="26"/>
          <w:szCs w:val="26"/>
          <w:shd w:val="clear" w:color="auto" w:fill="FFFFFF"/>
          <w:lang w:val="ro-MD"/>
        </w:rPr>
        <w:t xml:space="preserve"> va avea următorul cuprins:</w:t>
      </w:r>
      <w:r w:rsidR="004748EF" w:rsidRPr="0091797A">
        <w:rPr>
          <w:color w:val="000000" w:themeColor="text1"/>
          <w:sz w:val="26"/>
          <w:szCs w:val="26"/>
          <w:shd w:val="clear" w:color="auto" w:fill="FFFFFF"/>
          <w:lang w:val="ro-RO"/>
        </w:rPr>
        <w:t xml:space="preserve"> </w:t>
      </w:r>
      <w:r w:rsidR="00C701F7" w:rsidRPr="0091797A">
        <w:rPr>
          <w:color w:val="000000" w:themeColor="text1"/>
          <w:sz w:val="26"/>
          <w:szCs w:val="26"/>
          <w:shd w:val="clear" w:color="auto" w:fill="FFFFFF"/>
          <w:lang w:val="ro-RO"/>
        </w:rPr>
        <w:t xml:space="preserve"> </w:t>
      </w:r>
    </w:p>
    <w:p w14:paraId="3AC230A0" w14:textId="0FE6812A" w:rsidR="00945C79" w:rsidRPr="00945C79" w:rsidRDefault="00CF67DA" w:rsidP="00945C79">
      <w:pPr>
        <w:spacing w:before="200" w:after="100" w:line="259" w:lineRule="auto"/>
        <w:jc w:val="center"/>
        <w:rPr>
          <w:rFonts w:eastAsia="Arial Unicode MS"/>
          <w:b/>
          <w:iCs/>
          <w:lang w:val="ro-MD" w:eastAsia="ro-RO"/>
        </w:rPr>
      </w:pPr>
      <w:r>
        <w:rPr>
          <w:i/>
          <w:iCs/>
          <w:color w:val="000000" w:themeColor="text1"/>
          <w:sz w:val="26"/>
          <w:szCs w:val="26"/>
          <w:shd w:val="clear" w:color="auto" w:fill="FFFFFF"/>
          <w:lang w:val="ro-RO"/>
        </w:rPr>
        <w:t>,,</w:t>
      </w:r>
      <w:r w:rsidR="00945C79" w:rsidRPr="00945C79">
        <w:rPr>
          <w:rFonts w:eastAsia="Arial Unicode MS"/>
          <w:b/>
          <w:iCs/>
          <w:lang w:val="ro-MD" w:eastAsia="ro-RO"/>
        </w:rPr>
        <w:t>Lista substanțelor care fac obiectul unor interdicții</w:t>
      </w:r>
    </w:p>
    <w:p w14:paraId="46D03940" w14:textId="77777777" w:rsidR="00945C79" w:rsidRPr="00945C79" w:rsidRDefault="00945C79" w:rsidP="00945C79">
      <w:pPr>
        <w:jc w:val="center"/>
        <w:rPr>
          <w:rFonts w:eastAsia="Arial Unicode MS"/>
          <w:b/>
          <w:iCs/>
          <w:lang w:val="ro-RO" w:eastAsia="ro-RO"/>
        </w:rPr>
      </w:pPr>
      <w:r w:rsidRPr="00945C79">
        <w:rPr>
          <w:rFonts w:eastAsia="Arial Unicode MS"/>
          <w:b/>
          <w:iCs/>
          <w:lang w:val="ro-RO" w:eastAsia="ro-RO"/>
        </w:rPr>
        <w:t xml:space="preserve">Partea A ‒ Substanțe cuprinse în listele din Convenția </w:t>
      </w:r>
      <w:r w:rsidRPr="00945C79">
        <w:rPr>
          <w:rFonts w:eastAsia="Arial Unicode MS"/>
          <w:b/>
          <w:lang w:val="ro-RO" w:eastAsia="ro-RO"/>
        </w:rPr>
        <w:t>de la Stockholm privind poluanții organici persistenți</w:t>
      </w:r>
      <w:r w:rsidRPr="00945C79">
        <w:rPr>
          <w:rFonts w:eastAsia="Arial Unicode MS"/>
          <w:b/>
          <w:iCs/>
          <w:lang w:val="ro-RO" w:eastAsia="ro-RO"/>
        </w:rPr>
        <w:t xml:space="preserve"> și din Protocolul</w:t>
      </w:r>
      <w:r w:rsidRPr="00945C79">
        <w:rPr>
          <w:rFonts w:eastAsia="Arial Unicode MS"/>
          <w:b/>
          <w:lang w:val="ro-RO" w:eastAsia="ro-RO"/>
        </w:rPr>
        <w:t xml:space="preserve"> la Convenția din 1979 privind poluarea atmosferică transfrontalieră pe distanțe lungi</w:t>
      </w:r>
    </w:p>
    <w:tbl>
      <w:tblPr>
        <w:tblStyle w:val="Tabelgril"/>
        <w:tblW w:w="0" w:type="auto"/>
        <w:tblLook w:val="04A0" w:firstRow="1" w:lastRow="0" w:firstColumn="1" w:lastColumn="0" w:noHBand="0" w:noVBand="1"/>
      </w:tblPr>
      <w:tblGrid>
        <w:gridCol w:w="3731"/>
        <w:gridCol w:w="1142"/>
        <w:gridCol w:w="792"/>
        <w:gridCol w:w="2936"/>
      </w:tblGrid>
      <w:tr w:rsidR="00044C72" w:rsidRPr="000D2E33" w14:paraId="040E9C18" w14:textId="77777777" w:rsidTr="00067CBF">
        <w:trPr>
          <w:trHeight w:val="728"/>
        </w:trPr>
        <w:tc>
          <w:tcPr>
            <w:tcW w:w="3731" w:type="dxa"/>
          </w:tcPr>
          <w:p w14:paraId="3F747C3D" w14:textId="77777777" w:rsidR="00044C72" w:rsidRPr="00044C72" w:rsidRDefault="00044C72" w:rsidP="00044C72">
            <w:pPr>
              <w:spacing w:before="200" w:after="100" w:line="276" w:lineRule="auto"/>
              <w:jc w:val="center"/>
              <w:rPr>
                <w:rFonts w:eastAsia="Arial Unicode MS"/>
                <w:b/>
                <w:iCs/>
                <w:lang w:val="en-US" w:eastAsia="ro-RO"/>
              </w:rPr>
            </w:pPr>
            <w:proofErr w:type="spellStart"/>
            <w:r w:rsidRPr="00044C72">
              <w:rPr>
                <w:rFonts w:eastAsia="Arial Unicode MS"/>
                <w:b/>
                <w:iCs/>
                <w:lang w:val="en-US" w:eastAsia="ro-RO"/>
              </w:rPr>
              <w:t>Substanța</w:t>
            </w:r>
            <w:proofErr w:type="spellEnd"/>
          </w:p>
        </w:tc>
        <w:tc>
          <w:tcPr>
            <w:tcW w:w="1142" w:type="dxa"/>
          </w:tcPr>
          <w:p w14:paraId="72CF1550" w14:textId="77777777" w:rsidR="00044C72" w:rsidRPr="00044C72" w:rsidRDefault="00044C72" w:rsidP="00044C72">
            <w:pPr>
              <w:spacing w:before="200" w:after="100" w:line="276" w:lineRule="auto"/>
              <w:jc w:val="center"/>
              <w:rPr>
                <w:rFonts w:eastAsia="Arial Unicode MS"/>
                <w:b/>
                <w:iCs/>
                <w:lang w:val="en-US" w:eastAsia="ro-RO"/>
              </w:rPr>
            </w:pPr>
            <w:r w:rsidRPr="00044C72">
              <w:rPr>
                <w:rFonts w:eastAsia="Arial Unicode MS"/>
                <w:b/>
                <w:iCs/>
                <w:lang w:val="en-US" w:eastAsia="ro-RO"/>
              </w:rPr>
              <w:t>nr. CAS</w:t>
            </w:r>
          </w:p>
        </w:tc>
        <w:tc>
          <w:tcPr>
            <w:tcW w:w="792" w:type="dxa"/>
          </w:tcPr>
          <w:p w14:paraId="0D718026" w14:textId="77777777" w:rsidR="00044C72" w:rsidRPr="00044C72" w:rsidRDefault="00044C72" w:rsidP="00044C72">
            <w:pPr>
              <w:spacing w:before="200" w:after="100" w:line="276" w:lineRule="auto"/>
              <w:jc w:val="center"/>
              <w:rPr>
                <w:rFonts w:eastAsia="Arial Unicode MS"/>
                <w:b/>
                <w:iCs/>
                <w:lang w:val="en-US" w:eastAsia="ro-RO"/>
              </w:rPr>
            </w:pPr>
            <w:r w:rsidRPr="00044C72">
              <w:rPr>
                <w:rFonts w:eastAsia="Arial Unicode MS"/>
                <w:b/>
                <w:iCs/>
                <w:lang w:val="en-US" w:eastAsia="ro-RO"/>
              </w:rPr>
              <w:t>nr. CE</w:t>
            </w:r>
          </w:p>
        </w:tc>
        <w:tc>
          <w:tcPr>
            <w:tcW w:w="2936" w:type="dxa"/>
          </w:tcPr>
          <w:p w14:paraId="564DDC70" w14:textId="77777777" w:rsidR="00044C72" w:rsidRPr="00044C72" w:rsidRDefault="00044C72" w:rsidP="00044C72">
            <w:pPr>
              <w:spacing w:line="276" w:lineRule="auto"/>
              <w:rPr>
                <w:rFonts w:eastAsiaTheme="minorHAnsi"/>
                <w:b/>
                <w:lang w:val="ro-RO" w:eastAsia="ro-RO"/>
              </w:rPr>
            </w:pPr>
            <w:r w:rsidRPr="00044C72">
              <w:rPr>
                <w:rFonts w:eastAsiaTheme="minorHAnsi"/>
                <w:b/>
                <w:lang w:val="ro-RO" w:eastAsia="ro-RO"/>
              </w:rPr>
              <w:t>Derogare specială pentru utilizare intermediară sau altă specificație</w:t>
            </w:r>
          </w:p>
        </w:tc>
      </w:tr>
      <w:tr w:rsidR="00044C72" w:rsidRPr="000D2E33" w14:paraId="048CBE1F" w14:textId="77777777" w:rsidTr="00067CBF">
        <w:tc>
          <w:tcPr>
            <w:tcW w:w="3731" w:type="dxa"/>
          </w:tcPr>
          <w:p w14:paraId="3F86EB4F"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Tetrabromodifenileter</w:t>
            </w:r>
            <w:proofErr w:type="spellEnd"/>
          </w:p>
          <w:p w14:paraId="35FDFE15" w14:textId="77777777" w:rsidR="00044C72" w:rsidRPr="00044C72" w:rsidRDefault="00044C72" w:rsidP="00044C72">
            <w:pPr>
              <w:spacing w:line="276" w:lineRule="auto"/>
              <w:textAlignment w:val="baseline"/>
              <w:rPr>
                <w:lang w:val="ro-MD" w:eastAsia="ro-MD"/>
              </w:rPr>
            </w:pPr>
            <w:r w:rsidRPr="00044C72">
              <w:rPr>
                <w:lang w:val="ro-MD" w:eastAsia="ro-MD"/>
              </w:rPr>
              <w:t>C</w:t>
            </w:r>
            <w:r w:rsidRPr="00044C72">
              <w:rPr>
                <w:bdr w:val="none" w:sz="0" w:space="0" w:color="auto" w:frame="1"/>
                <w:vertAlign w:val="subscript"/>
                <w:lang w:val="ro-MD" w:eastAsia="ro-MD"/>
              </w:rPr>
              <w:t>12</w:t>
            </w:r>
            <w:r w:rsidRPr="00044C72">
              <w:rPr>
                <w:lang w:val="ro-MD" w:eastAsia="ro-MD"/>
              </w:rPr>
              <w:t>H</w:t>
            </w:r>
            <w:r w:rsidRPr="00044C72">
              <w:rPr>
                <w:bdr w:val="none" w:sz="0" w:space="0" w:color="auto" w:frame="1"/>
                <w:vertAlign w:val="subscript"/>
                <w:lang w:val="ro-MD" w:eastAsia="ro-MD"/>
              </w:rPr>
              <w:t>6</w:t>
            </w:r>
            <w:r w:rsidRPr="00044C72">
              <w:rPr>
                <w:lang w:val="ro-MD" w:eastAsia="ro-MD"/>
              </w:rPr>
              <w:t>Br</w:t>
            </w:r>
            <w:r w:rsidRPr="00044C72">
              <w:rPr>
                <w:bdr w:val="none" w:sz="0" w:space="0" w:color="auto" w:frame="1"/>
                <w:vertAlign w:val="subscript"/>
                <w:lang w:val="ro-MD" w:eastAsia="ro-MD"/>
              </w:rPr>
              <w:t>4</w:t>
            </w:r>
            <w:r w:rsidRPr="00044C72">
              <w:rPr>
                <w:lang w:val="ro-MD" w:eastAsia="ro-MD"/>
              </w:rPr>
              <w:t>O</w:t>
            </w:r>
          </w:p>
          <w:p w14:paraId="6C0930EF" w14:textId="77777777" w:rsidR="00044C72" w:rsidRPr="00044C72" w:rsidRDefault="00044C72" w:rsidP="00044C72">
            <w:pPr>
              <w:spacing w:before="200" w:after="100" w:line="276" w:lineRule="auto"/>
              <w:jc w:val="center"/>
              <w:rPr>
                <w:rFonts w:eastAsia="Arial Unicode MS"/>
                <w:b/>
                <w:iCs/>
                <w:lang w:val="en-US" w:eastAsia="ro-RO"/>
              </w:rPr>
            </w:pPr>
          </w:p>
        </w:tc>
        <w:tc>
          <w:tcPr>
            <w:tcW w:w="1142" w:type="dxa"/>
          </w:tcPr>
          <w:p w14:paraId="37A741B4"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40088-47-9 și altele</w:t>
            </w:r>
          </w:p>
        </w:tc>
        <w:tc>
          <w:tcPr>
            <w:tcW w:w="792" w:type="dxa"/>
          </w:tcPr>
          <w:p w14:paraId="26905A0E"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254-787-2 și altele</w:t>
            </w:r>
          </w:p>
        </w:tc>
        <w:tc>
          <w:tcPr>
            <w:tcW w:w="2936" w:type="dxa"/>
          </w:tcPr>
          <w:p w14:paraId="0ADB7F64" w14:textId="77777777" w:rsidR="00044C72" w:rsidRPr="00044C72" w:rsidRDefault="00044C72" w:rsidP="00044C72">
            <w:pPr>
              <w:spacing w:after="160" w:line="276" w:lineRule="auto"/>
              <w:jc w:val="both"/>
              <w:rPr>
                <w:rFonts w:eastAsiaTheme="minorHAnsi"/>
                <w:lang w:val="ro-RO" w:eastAsia="en-US"/>
              </w:rPr>
            </w:pPr>
            <w:r w:rsidRPr="00044C72">
              <w:rPr>
                <w:rFonts w:eastAsiaTheme="minorHAnsi"/>
                <w:lang w:val="ro-RO" w:eastAsia="en-US"/>
              </w:rPr>
              <w:t xml:space="preserve">1. Prin derogare de la punctul 4, sunt permise producerea, plasarea pe </w:t>
            </w:r>
            <w:proofErr w:type="spellStart"/>
            <w:r w:rsidRPr="00044C72">
              <w:rPr>
                <w:rFonts w:eastAsiaTheme="minorHAnsi"/>
                <w:lang w:val="ro-RO" w:eastAsia="en-US"/>
              </w:rPr>
              <w:t>piaţă</w:t>
            </w:r>
            <w:proofErr w:type="spellEnd"/>
            <w:r w:rsidRPr="00044C72">
              <w:rPr>
                <w:rFonts w:eastAsiaTheme="minorHAnsi"/>
                <w:lang w:val="ro-RO" w:eastAsia="en-US"/>
              </w:rPr>
              <w:t xml:space="preserve"> </w:t>
            </w:r>
            <w:proofErr w:type="spellStart"/>
            <w:r w:rsidRPr="00044C72">
              <w:rPr>
                <w:rFonts w:eastAsiaTheme="minorHAnsi"/>
                <w:lang w:val="ro-RO" w:eastAsia="en-US"/>
              </w:rPr>
              <w:t>şi</w:t>
            </w:r>
            <w:proofErr w:type="spellEnd"/>
            <w:r w:rsidRPr="00044C72">
              <w:rPr>
                <w:rFonts w:eastAsiaTheme="minorHAnsi"/>
                <w:lang w:val="ro-RO" w:eastAsia="en-US"/>
              </w:rPr>
              <w:t xml:space="preserve"> utilizarea pentru:</w:t>
            </w:r>
          </w:p>
          <w:p w14:paraId="21B2CA90" w14:textId="77777777" w:rsidR="00044C72" w:rsidRPr="00044C72" w:rsidRDefault="00044C72" w:rsidP="00044C72">
            <w:pPr>
              <w:spacing w:after="160" w:line="276" w:lineRule="auto"/>
              <w:jc w:val="both"/>
              <w:rPr>
                <w:rFonts w:eastAsiaTheme="minorHAnsi"/>
                <w:b/>
                <w:bCs/>
                <w:lang w:val="ro-RO" w:eastAsia="en-US"/>
              </w:rPr>
            </w:pPr>
            <w:r w:rsidRPr="00044C72">
              <w:rPr>
                <w:rFonts w:eastAsiaTheme="minorHAnsi"/>
                <w:lang w:val="ro-RO" w:eastAsia="en-US"/>
              </w:rPr>
              <w:t xml:space="preserve">1.1.  fără a aduce atingere subpunctului 9.2, concentrații de </w:t>
            </w:r>
            <w:proofErr w:type="spellStart"/>
            <w:r w:rsidRPr="00044C72">
              <w:rPr>
                <w:rFonts w:eastAsiaTheme="minorHAnsi"/>
                <w:lang w:val="ro-RO" w:eastAsia="en-US"/>
              </w:rPr>
              <w:t>tetrabromodifenil</w:t>
            </w:r>
            <w:proofErr w:type="spellEnd"/>
            <w:r w:rsidRPr="00044C72">
              <w:rPr>
                <w:rFonts w:eastAsiaTheme="minorHAnsi"/>
                <w:lang w:val="ro-RO" w:eastAsia="en-US"/>
              </w:rPr>
              <w:t xml:space="preserve"> eter, egale sau mai mici de </w:t>
            </w:r>
            <w:r w:rsidRPr="00044C72">
              <w:rPr>
                <w:rFonts w:eastAsiaTheme="minorHAnsi"/>
                <w:bCs/>
                <w:lang w:val="ro-RO" w:eastAsia="en-US"/>
              </w:rPr>
              <w:t xml:space="preserve">10mg/kg  </w:t>
            </w:r>
            <w:r w:rsidRPr="00044C72">
              <w:rPr>
                <w:rFonts w:eastAsiaTheme="minorHAnsi"/>
                <w:bCs/>
                <w:lang w:val="ro-RO" w:eastAsia="en-US"/>
              </w:rPr>
              <w:lastRenderedPageBreak/>
              <w:t xml:space="preserve">(0,001% din greutate) </w:t>
            </w:r>
            <w:r w:rsidRPr="00044C72">
              <w:rPr>
                <w:rFonts w:eastAsiaTheme="minorHAnsi"/>
                <w:lang w:val="ro-RO" w:eastAsia="en-US"/>
              </w:rPr>
              <w:t>în cazul în care acestea sunt  prezente în substanțe;</w:t>
            </w:r>
            <w:r w:rsidRPr="00044C72">
              <w:rPr>
                <w:rFonts w:eastAsiaTheme="minorHAnsi"/>
                <w:b/>
                <w:bCs/>
                <w:lang w:val="ro-RO" w:eastAsia="en-US"/>
              </w:rPr>
              <w:t xml:space="preserve"> </w:t>
            </w:r>
          </w:p>
          <w:p w14:paraId="6311C8BB"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1.2. Prin derogare de la punctul 4 și fără a aduce atingere subpunctului 9.2, sunt permise producerea, plasarea pe piață și utilizarea substanțelor sau amestecurilor în cazul în care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prezentă sub formă de </w:t>
            </w:r>
            <w:r w:rsidRPr="00044C72">
              <w:rPr>
                <w:rFonts w:eastAsiaTheme="minorHAnsi"/>
                <w:lang w:val="ro-RO" w:eastAsia="en-US"/>
              </w:rPr>
              <w:t>urmă neintenționată de contaminant,</w:t>
            </w:r>
            <w:r w:rsidRPr="00044C72">
              <w:rPr>
                <w:rFonts w:eastAsiaTheme="minorHAnsi"/>
                <w:bCs/>
                <w:lang w:val="ro-RO" w:eastAsia="en-US"/>
              </w:rPr>
              <w:t xml:space="preserve"> în următoarele limite:</w:t>
            </w:r>
          </w:p>
          <w:p w14:paraId="3C4EA6A5" w14:textId="50595445" w:rsidR="00044C72" w:rsidRPr="00044C72" w:rsidRDefault="00044C72" w:rsidP="00044C72">
            <w:pPr>
              <w:spacing w:after="160" w:line="276" w:lineRule="auto"/>
              <w:jc w:val="both"/>
              <w:rPr>
                <w:rFonts w:eastAsiaTheme="minorHAnsi"/>
                <w:bCs/>
                <w:i/>
                <w:iCs/>
                <w:lang w:val="ro-RO" w:eastAsia="en-US"/>
              </w:rPr>
            </w:pPr>
            <w:r w:rsidRPr="00044C72">
              <w:rPr>
                <w:rFonts w:eastAsiaTheme="minorHAnsi"/>
                <w:bCs/>
                <w:lang w:val="ro-RO" w:eastAsia="en-US"/>
              </w:rPr>
              <w:t xml:space="preserve">a) </w:t>
            </w:r>
            <w:r w:rsidRPr="00044C72">
              <w:rPr>
                <w:rFonts w:eastAsiaTheme="minorHAnsi"/>
                <w:lang w:val="ro-RO" w:eastAsia="en-US"/>
              </w:rPr>
              <w:t>10 mg/kg (0,001 % în greutate),</w:t>
            </w:r>
            <w:r w:rsidRPr="00044C72">
              <w:rPr>
                <w:rFonts w:eastAsiaTheme="minorHAnsi"/>
                <w:bCs/>
                <w:lang w:val="ro-RO" w:eastAsia="en-US"/>
              </w:rPr>
              <w:t xml:space="preserve"> în cazul în care acestea sunt prezente, în </w:t>
            </w:r>
            <w:r w:rsidRPr="00044C72">
              <w:rPr>
                <w:rFonts w:eastAsiaTheme="minorHAnsi"/>
                <w:lang w:val="ro-RO" w:eastAsia="en-US"/>
              </w:rPr>
              <w:t>amestecuri sau articole</w:t>
            </w:r>
            <w:r w:rsidRPr="00044C72">
              <w:rPr>
                <w:rFonts w:eastAsiaTheme="minorHAnsi"/>
                <w:bCs/>
                <w:lang w:val="ro-RO" w:eastAsia="en-US"/>
              </w:rPr>
              <w:t xml:space="preserve">,  </w:t>
            </w:r>
            <w:r w:rsidRPr="00044C72">
              <w:rPr>
                <w:rFonts w:eastAsiaTheme="minorHAnsi"/>
                <w:bCs/>
                <w:i/>
                <w:iCs/>
                <w:lang w:val="ro-RO" w:eastAsia="en-US"/>
              </w:rPr>
              <w:t>cu excepția materialelor care întră în contact cu produsele alimentare conform Regulamentului sanitar privind materialele și obiectele destinate să vină în contact cu produsele alimentare, aprobat prin Hotărârea de Guvern nr.</w:t>
            </w:r>
            <w:r>
              <w:rPr>
                <w:rFonts w:eastAsiaTheme="minorHAnsi"/>
                <w:bCs/>
                <w:i/>
                <w:iCs/>
                <w:lang w:val="ro-RO" w:eastAsia="en-US"/>
              </w:rPr>
              <w:t xml:space="preserve"> </w:t>
            </w:r>
            <w:r w:rsidRPr="00044C72">
              <w:rPr>
                <w:rFonts w:eastAsiaTheme="minorHAnsi"/>
                <w:bCs/>
                <w:i/>
                <w:iCs/>
                <w:lang w:val="ro-RO" w:eastAsia="en-US"/>
              </w:rPr>
              <w:t>308/2011;</w:t>
            </w:r>
          </w:p>
          <w:p w14:paraId="305BD352"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b)  prin derogare de la limita 10 mg/kg, prevăzută la litera a), în  cazul amestecurilor și articolelor fabricate (parțial sau integral) din </w:t>
            </w:r>
            <w:r w:rsidRPr="00044C72">
              <w:rPr>
                <w:rFonts w:eastAsiaTheme="minorHAnsi"/>
                <w:lang w:val="ro-RO" w:eastAsia="en-US"/>
              </w:rPr>
              <w:t>materiale reciclabile</w:t>
            </w:r>
            <w:r w:rsidRPr="00044C72">
              <w:rPr>
                <w:rFonts w:eastAsiaTheme="minorHAnsi"/>
                <w:bCs/>
                <w:lang w:val="ro-RO" w:eastAsia="en-US"/>
              </w:rPr>
              <w:t xml:space="preserve"> sau din deșeuri </w:t>
            </w:r>
            <w:r w:rsidRPr="00044C72">
              <w:rPr>
                <w:rFonts w:eastAsiaTheme="minorHAnsi"/>
                <w:bCs/>
                <w:lang w:val="ro-RO" w:eastAsia="en-US"/>
              </w:rPr>
              <w:lastRenderedPageBreak/>
              <w:t xml:space="preserve">pregătite pentru reutilizare, </w:t>
            </w:r>
            <w:r w:rsidRPr="00044C72">
              <w:rPr>
                <w:rFonts w:eastAsiaTheme="minorHAnsi"/>
                <w:bCs/>
                <w:i/>
                <w:iCs/>
                <w:lang w:val="ro-RO" w:eastAsia="en-US"/>
              </w:rPr>
              <w:t>cu excepția materialelor care întră în contact cu produsele alimentare, conform Hotărârii de Guvern nr. 308/2011,</w:t>
            </w:r>
            <w:r w:rsidRPr="00044C72">
              <w:rPr>
                <w:rFonts w:eastAsiaTheme="minorHAnsi"/>
                <w:bCs/>
                <w:lang w:val="ro-RO" w:eastAsia="en-US"/>
              </w:rPr>
              <w:t xml:space="preserve"> după cum urmează; </w:t>
            </w:r>
          </w:p>
          <w:p w14:paraId="4DC6C04A"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- 500 mg/kg – până la</w:t>
            </w:r>
            <w:r w:rsidRPr="00044C72">
              <w:rPr>
                <w:rFonts w:eastAsiaTheme="minorHAnsi"/>
                <w:bCs/>
                <w:color w:val="000000" w:themeColor="text1"/>
                <w:lang w:val="ro-RO" w:eastAsia="en-US"/>
              </w:rPr>
              <w:t xml:space="preserve"> data intrării în vigoare a prezentei  Hotărâri</w:t>
            </w:r>
            <w:r w:rsidRPr="00044C72">
              <w:rPr>
                <w:rFonts w:eastAsiaTheme="minorHAnsi"/>
                <w:bCs/>
                <w:lang w:val="ro-RO" w:eastAsia="en-US"/>
              </w:rPr>
              <w:t xml:space="preserve">. </w:t>
            </w:r>
          </w:p>
          <w:p w14:paraId="5CCBA601"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- 350 mg/kg – începând cu data intrării</w:t>
            </w:r>
            <w:r w:rsidRPr="00044C72">
              <w:rPr>
                <w:rFonts w:eastAsiaTheme="minorHAnsi"/>
                <w:bCs/>
                <w:color w:val="000000" w:themeColor="text1"/>
                <w:lang w:val="ro-RO" w:eastAsia="en-US"/>
              </w:rPr>
              <w:t xml:space="preserve"> în vigoare a prezentei  Hotărâri</w:t>
            </w:r>
            <w:r w:rsidRPr="00044C72">
              <w:rPr>
                <w:rFonts w:eastAsiaTheme="minorHAnsi"/>
                <w:bCs/>
                <w:lang w:val="ro-RO" w:eastAsia="en-US"/>
              </w:rPr>
              <w:t>.</w:t>
            </w:r>
          </w:p>
          <w:p w14:paraId="0BAC6D60"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-200 mg/kg - începând cu data de 30 decembrie 2027.</w:t>
            </w:r>
          </w:p>
          <w:p w14:paraId="70ECBCC3"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c) prin derogare de la prevederile literei a), în cazul  jucăriilor, </w:t>
            </w:r>
            <w:r w:rsidRPr="00044C72">
              <w:rPr>
                <w:rFonts w:eastAsiaTheme="minorHAnsi"/>
                <w:bCs/>
                <w:i/>
                <w:iCs/>
                <w:lang w:val="ro-RO" w:eastAsia="en-US"/>
              </w:rPr>
              <w:t>ce intră sub incidența  Hotărârii de Guvern nr. 808/2015 pentru aprobarea Reglementării tehnice privind siguranța jucăriilor</w:t>
            </w:r>
            <w:r w:rsidRPr="00044C72">
              <w:rPr>
                <w:rFonts w:eastAsiaTheme="minorHAnsi"/>
                <w:bCs/>
                <w:lang w:val="ro-RO" w:eastAsia="en-US"/>
              </w:rPr>
              <w:t xml:space="preserve">, sau al oricărui produs care facilitează așezarea, somnul, relaxarea, igiena, schimbarea și îngrijirea, hrănirea, suptul, transportul  și protecția copiilor, care conțin sau sunt fabricate din materiale reciclate, cu excepția materialelor care intră în contact cu produsele alimentare,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de:</w:t>
            </w:r>
          </w:p>
          <w:p w14:paraId="45126A38"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lastRenderedPageBreak/>
              <w:t xml:space="preserve">- 500 mg/kg – până la data intrării în vigoare a prezentei hotărâri; </w:t>
            </w:r>
          </w:p>
          <w:p w14:paraId="6E81B70A"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- 350 mg/kg – începând cu data intrării în vigoare a prezentei hotărâri;</w:t>
            </w:r>
          </w:p>
          <w:p w14:paraId="0157EC87"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- 10 mg/kg – începând cu 17 mai 2027;</w:t>
            </w:r>
          </w:p>
          <w:p w14:paraId="2519AE1E" w14:textId="77777777" w:rsidR="00044C72" w:rsidRPr="00044C72" w:rsidRDefault="00044C72" w:rsidP="00044C72">
            <w:pPr>
              <w:spacing w:after="160" w:line="276" w:lineRule="auto"/>
              <w:jc w:val="both"/>
              <w:rPr>
                <w:rFonts w:eastAsiaTheme="minorHAnsi"/>
                <w:lang w:val="ro-RO" w:eastAsia="en-US"/>
              </w:rPr>
            </w:pPr>
            <w:r w:rsidRPr="00044C72">
              <w:rPr>
                <w:rFonts w:eastAsiaTheme="minorHAnsi"/>
                <w:bCs/>
                <w:lang w:val="ro-RO" w:eastAsia="en-US"/>
              </w:rPr>
              <w:t xml:space="preserve">1.3. Prin derogare, se permite fabricarea introducerea  pe piață și utilizarea </w:t>
            </w:r>
            <w:r w:rsidRPr="00044C72">
              <w:rPr>
                <w:rFonts w:eastAsiaTheme="minorHAnsi"/>
                <w:lang w:val="ro-RO" w:eastAsia="en-US"/>
              </w:rPr>
              <w:t xml:space="preserve">echipamentelor electrice </w:t>
            </w:r>
            <w:proofErr w:type="spellStart"/>
            <w:r w:rsidRPr="00044C72">
              <w:rPr>
                <w:rFonts w:eastAsiaTheme="minorHAnsi"/>
                <w:lang w:val="ro-RO" w:eastAsia="en-US"/>
              </w:rPr>
              <w:t>şi</w:t>
            </w:r>
            <w:proofErr w:type="spellEnd"/>
            <w:r w:rsidRPr="00044C72">
              <w:rPr>
                <w:rFonts w:eastAsiaTheme="minorHAnsi"/>
                <w:lang w:val="ro-RO" w:eastAsia="en-US"/>
              </w:rPr>
              <w:t xml:space="preserve"> electronice, conform cerințelor menționate în Reglementarea tehnică privind restricționarea utilizării anumitor substanțe periculoase în  echipamentele electrice și electronice, aprobată prin Hotărârea Guvernului nr. 643/2025;</w:t>
            </w:r>
          </w:p>
          <w:p w14:paraId="5BF333E6" w14:textId="1C1AF192" w:rsidR="00044C72" w:rsidRDefault="00044C72" w:rsidP="00044C72">
            <w:pPr>
              <w:spacing w:after="160" w:line="276" w:lineRule="auto"/>
              <w:jc w:val="both"/>
              <w:rPr>
                <w:rFonts w:eastAsiaTheme="minorHAnsi"/>
                <w:lang w:val="ro-RO" w:eastAsia="en-US"/>
              </w:rPr>
            </w:pPr>
            <w:r w:rsidRPr="00044C72">
              <w:rPr>
                <w:rFonts w:eastAsiaTheme="minorHAnsi"/>
                <w:lang w:val="ro-RO" w:eastAsia="en-US"/>
              </w:rPr>
              <w:t xml:space="preserve">1.4. articolele cu conținut de </w:t>
            </w:r>
            <w:proofErr w:type="spellStart"/>
            <w:r w:rsidRPr="00044C72">
              <w:rPr>
                <w:rFonts w:eastAsiaTheme="minorHAnsi"/>
                <w:lang w:val="ro-RO" w:eastAsia="en-US"/>
              </w:rPr>
              <w:t>tetrabromodifenileter</w:t>
            </w:r>
            <w:proofErr w:type="spellEnd"/>
            <w:r w:rsidRPr="00044C72">
              <w:rPr>
                <w:rFonts w:eastAsiaTheme="minorHAnsi"/>
                <w:lang w:val="ro-RO" w:eastAsia="en-US"/>
              </w:rPr>
              <w:t xml:space="preserve"> ca element constitutiv al acestor articole și care se aflau deja în uz înainte de data intrării în vigoare a prezentei hotărâri,  se utilizează în continuare</w:t>
            </w:r>
            <w:r>
              <w:rPr>
                <w:rFonts w:eastAsiaTheme="minorHAnsi"/>
                <w:lang w:val="ro-RO" w:eastAsia="en-US"/>
              </w:rPr>
              <w:t>.</w:t>
            </w:r>
            <w:r w:rsidRPr="00044C72">
              <w:rPr>
                <w:rFonts w:eastAsiaTheme="minorHAnsi"/>
                <w:lang w:val="ro-RO" w:eastAsia="en-US"/>
              </w:rPr>
              <w:t xml:space="preserve"> </w:t>
            </w:r>
          </w:p>
          <w:p w14:paraId="694E868D" w14:textId="1C49F2C5" w:rsidR="00044C72" w:rsidRPr="00044C72" w:rsidRDefault="00044C72" w:rsidP="00044C72">
            <w:pPr>
              <w:spacing w:after="160" w:line="276" w:lineRule="auto"/>
              <w:jc w:val="both"/>
              <w:rPr>
                <w:rFonts w:eastAsiaTheme="minorHAnsi"/>
                <w:b/>
                <w:lang w:val="ro-RO" w:eastAsia="en-US"/>
              </w:rPr>
            </w:pPr>
            <w:r w:rsidRPr="00044C72">
              <w:rPr>
                <w:rFonts w:eastAsiaTheme="minorHAnsi"/>
                <w:lang w:val="ro-RO" w:eastAsia="en-US"/>
              </w:rPr>
              <w:t>1.4.1 Gestionarea acestor articole după scoaterea din uz se realizează în conformitate cu prevederile prezentului Regulament.</w:t>
            </w:r>
          </w:p>
        </w:tc>
      </w:tr>
      <w:tr w:rsidR="00044C72" w:rsidRPr="000D2E33" w14:paraId="40077E1B" w14:textId="77777777" w:rsidTr="00067CBF">
        <w:tc>
          <w:tcPr>
            <w:tcW w:w="3731" w:type="dxa"/>
          </w:tcPr>
          <w:p w14:paraId="26665825"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lastRenderedPageBreak/>
              <w:t>Pentabromodifenileter</w:t>
            </w:r>
            <w:proofErr w:type="spellEnd"/>
          </w:p>
          <w:p w14:paraId="3F5055B7" w14:textId="77777777" w:rsidR="00044C72" w:rsidRPr="00044C72" w:rsidRDefault="00044C72" w:rsidP="00044C72">
            <w:pPr>
              <w:spacing w:line="276" w:lineRule="auto"/>
              <w:textAlignment w:val="baseline"/>
              <w:rPr>
                <w:lang w:val="ro-MD" w:eastAsia="ro-MD"/>
              </w:rPr>
            </w:pPr>
            <w:r w:rsidRPr="00044C72">
              <w:rPr>
                <w:lang w:val="ro-MD" w:eastAsia="ro-MD"/>
              </w:rPr>
              <w:t>C</w:t>
            </w:r>
            <w:r w:rsidRPr="00044C72">
              <w:rPr>
                <w:bdr w:val="none" w:sz="0" w:space="0" w:color="auto" w:frame="1"/>
                <w:vertAlign w:val="subscript"/>
                <w:lang w:val="ro-MD" w:eastAsia="ro-MD"/>
              </w:rPr>
              <w:t>12</w:t>
            </w:r>
            <w:r w:rsidRPr="00044C72">
              <w:rPr>
                <w:lang w:val="ro-MD" w:eastAsia="ro-MD"/>
              </w:rPr>
              <w:t>H</w:t>
            </w:r>
            <w:r w:rsidRPr="00044C72">
              <w:rPr>
                <w:bdr w:val="none" w:sz="0" w:space="0" w:color="auto" w:frame="1"/>
                <w:vertAlign w:val="subscript"/>
                <w:lang w:val="ro-MD" w:eastAsia="ro-MD"/>
              </w:rPr>
              <w:t>5</w:t>
            </w:r>
            <w:r w:rsidRPr="00044C72">
              <w:rPr>
                <w:lang w:val="ro-MD" w:eastAsia="ro-MD"/>
              </w:rPr>
              <w:t>Br</w:t>
            </w:r>
            <w:r w:rsidRPr="00044C72">
              <w:rPr>
                <w:bdr w:val="none" w:sz="0" w:space="0" w:color="auto" w:frame="1"/>
                <w:vertAlign w:val="subscript"/>
                <w:lang w:val="ro-MD" w:eastAsia="ro-MD"/>
              </w:rPr>
              <w:t>5</w:t>
            </w:r>
            <w:r w:rsidRPr="00044C72">
              <w:rPr>
                <w:lang w:val="ro-MD" w:eastAsia="ro-MD"/>
              </w:rPr>
              <w:t>O</w:t>
            </w:r>
          </w:p>
          <w:p w14:paraId="07F511E5" w14:textId="77777777" w:rsidR="00044C72" w:rsidRPr="00044C72" w:rsidRDefault="00044C72" w:rsidP="00044C72">
            <w:pPr>
              <w:spacing w:before="200" w:after="100" w:line="276" w:lineRule="auto"/>
              <w:jc w:val="center"/>
              <w:rPr>
                <w:rFonts w:eastAsia="Arial Unicode MS"/>
                <w:b/>
                <w:iCs/>
                <w:lang w:val="en-US" w:eastAsia="ro-RO"/>
              </w:rPr>
            </w:pPr>
          </w:p>
        </w:tc>
        <w:tc>
          <w:tcPr>
            <w:tcW w:w="1142" w:type="dxa"/>
          </w:tcPr>
          <w:p w14:paraId="5FBC2B72"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32534-81-9 și altele</w:t>
            </w:r>
          </w:p>
        </w:tc>
        <w:tc>
          <w:tcPr>
            <w:tcW w:w="792" w:type="dxa"/>
          </w:tcPr>
          <w:p w14:paraId="50DBA987"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251-084-2 și altele</w:t>
            </w:r>
          </w:p>
        </w:tc>
        <w:tc>
          <w:tcPr>
            <w:tcW w:w="2936" w:type="dxa"/>
          </w:tcPr>
          <w:p w14:paraId="16037637" w14:textId="77777777" w:rsidR="00044C72" w:rsidRPr="00044C72" w:rsidRDefault="00044C72" w:rsidP="00044C72">
            <w:pPr>
              <w:spacing w:after="160" w:line="276" w:lineRule="auto"/>
              <w:rPr>
                <w:rFonts w:eastAsiaTheme="minorHAnsi"/>
                <w:lang w:val="ro-RO" w:eastAsia="en-US"/>
              </w:rPr>
            </w:pPr>
            <w:r w:rsidRPr="00044C72">
              <w:rPr>
                <w:rFonts w:eastAsiaTheme="minorHAnsi"/>
                <w:lang w:val="ro-RO" w:eastAsia="en-US"/>
              </w:rPr>
              <w:t xml:space="preserve">1. Prin derogare de la punctul 4, sunt permise producerea, plasarea pe </w:t>
            </w:r>
            <w:proofErr w:type="spellStart"/>
            <w:r w:rsidRPr="00044C72">
              <w:rPr>
                <w:rFonts w:eastAsiaTheme="minorHAnsi"/>
                <w:lang w:val="ro-RO" w:eastAsia="en-US"/>
              </w:rPr>
              <w:t>piaţă</w:t>
            </w:r>
            <w:proofErr w:type="spellEnd"/>
            <w:r w:rsidRPr="00044C72">
              <w:rPr>
                <w:rFonts w:eastAsiaTheme="minorHAnsi"/>
                <w:lang w:val="ro-RO" w:eastAsia="en-US"/>
              </w:rPr>
              <w:t xml:space="preserve"> </w:t>
            </w:r>
            <w:proofErr w:type="spellStart"/>
            <w:r w:rsidRPr="00044C72">
              <w:rPr>
                <w:rFonts w:eastAsiaTheme="minorHAnsi"/>
                <w:lang w:val="ro-RO" w:eastAsia="en-US"/>
              </w:rPr>
              <w:t>şi</w:t>
            </w:r>
            <w:proofErr w:type="spellEnd"/>
            <w:r w:rsidRPr="00044C72">
              <w:rPr>
                <w:rFonts w:eastAsiaTheme="minorHAnsi"/>
                <w:lang w:val="ro-RO" w:eastAsia="en-US"/>
              </w:rPr>
              <w:t xml:space="preserve"> utilizarea pentru:</w:t>
            </w:r>
          </w:p>
          <w:p w14:paraId="1DDACB1D" w14:textId="77777777" w:rsidR="00044C72" w:rsidRPr="00044C72" w:rsidRDefault="00044C72" w:rsidP="00044C72">
            <w:pPr>
              <w:spacing w:after="160" w:line="276" w:lineRule="auto"/>
              <w:rPr>
                <w:rFonts w:eastAsiaTheme="minorHAnsi"/>
                <w:lang w:val="ro-RO" w:eastAsia="en-US"/>
              </w:rPr>
            </w:pPr>
            <w:r w:rsidRPr="00044C72">
              <w:rPr>
                <w:rFonts w:eastAsiaTheme="minorHAnsi"/>
                <w:lang w:val="ro-RO" w:eastAsia="en-US"/>
              </w:rPr>
              <w:t xml:space="preserve">1.1.  fără a aduce atingere subpunctului 9.2, concentrații de </w:t>
            </w:r>
            <w:proofErr w:type="spellStart"/>
            <w:r w:rsidRPr="00044C72">
              <w:rPr>
                <w:rFonts w:eastAsiaTheme="minorHAnsi"/>
                <w:lang w:val="ro-RO" w:eastAsia="en-US"/>
              </w:rPr>
              <w:t>pentabromodifenileter</w:t>
            </w:r>
            <w:proofErr w:type="spellEnd"/>
            <w:r w:rsidRPr="00044C72">
              <w:rPr>
                <w:rFonts w:eastAsiaTheme="minorHAnsi"/>
                <w:lang w:val="ro-RO" w:eastAsia="en-US"/>
              </w:rPr>
              <w:t xml:space="preserve">, egale sau mai mici de </w:t>
            </w:r>
            <w:r w:rsidRPr="00044C72">
              <w:rPr>
                <w:rFonts w:eastAsiaTheme="minorHAnsi"/>
                <w:bCs/>
                <w:lang w:val="ro-RO" w:eastAsia="en-US"/>
              </w:rPr>
              <w:t xml:space="preserve">10 mg/kg  (0,001% din greutate) </w:t>
            </w:r>
            <w:r w:rsidRPr="00044C72">
              <w:rPr>
                <w:rFonts w:eastAsiaTheme="minorHAnsi"/>
                <w:lang w:val="ro-RO" w:eastAsia="en-US"/>
              </w:rPr>
              <w:t xml:space="preserve">în cazul în care acestea sunt  prezente în substanțe; </w:t>
            </w:r>
          </w:p>
          <w:p w14:paraId="6DAED4AD"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1.2. Prin derogare de la punctul 4 și fără a aduce atingere subpunctului 9.2, sunt permise producerea, plasarea pe piață și utilizarea substanțelor sau amestecurilor în cazul în care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prezentă sub formă de</w:t>
            </w:r>
            <w:r w:rsidRPr="00044C72">
              <w:rPr>
                <w:rFonts w:eastAsiaTheme="minorHAnsi"/>
                <w:lang w:val="ro-RO" w:eastAsia="en-US"/>
              </w:rPr>
              <w:t> urmă neintenționată de contaminant</w:t>
            </w:r>
            <w:r w:rsidRPr="00044C72">
              <w:rPr>
                <w:rFonts w:eastAsiaTheme="minorHAnsi"/>
                <w:bCs/>
                <w:lang w:val="ro-RO" w:eastAsia="en-US"/>
              </w:rPr>
              <w:t>, în următoarele limite:</w:t>
            </w:r>
          </w:p>
          <w:p w14:paraId="6721D314" w14:textId="77777777" w:rsidR="00044C72" w:rsidRPr="00044C72" w:rsidRDefault="00044C72" w:rsidP="00044C72">
            <w:pPr>
              <w:spacing w:after="160" w:line="276" w:lineRule="auto"/>
              <w:jc w:val="both"/>
              <w:rPr>
                <w:rFonts w:eastAsiaTheme="minorHAnsi"/>
                <w:bCs/>
                <w:i/>
                <w:iCs/>
                <w:lang w:val="ro-RO" w:eastAsia="en-US"/>
              </w:rPr>
            </w:pPr>
            <w:r w:rsidRPr="00044C72">
              <w:rPr>
                <w:rFonts w:eastAsiaTheme="minorHAnsi"/>
                <w:bCs/>
                <w:lang w:val="ro-RO" w:eastAsia="en-US"/>
              </w:rPr>
              <w:t xml:space="preserve">a) </w:t>
            </w:r>
            <w:r w:rsidRPr="00044C72">
              <w:rPr>
                <w:rFonts w:eastAsiaTheme="minorHAnsi"/>
                <w:lang w:val="ro-RO" w:eastAsia="en-US"/>
              </w:rPr>
              <w:t xml:space="preserve">10 mg/kg (0,001 % în greutate), </w:t>
            </w:r>
            <w:r w:rsidRPr="00044C72">
              <w:rPr>
                <w:rFonts w:eastAsiaTheme="minorHAnsi"/>
                <w:bCs/>
                <w:lang w:val="ro-RO" w:eastAsia="en-US"/>
              </w:rPr>
              <w:t xml:space="preserve">în cazul în care acestea sunt prezente, în amestecuri sau articole,  </w:t>
            </w:r>
            <w:r w:rsidRPr="00044C72">
              <w:rPr>
                <w:rFonts w:eastAsiaTheme="minorHAnsi"/>
                <w:bCs/>
                <w:i/>
                <w:iCs/>
                <w:lang w:val="ro-RO" w:eastAsia="en-US"/>
              </w:rPr>
              <w:t xml:space="preserve">cu excepția materialelor care întră în contact cu produsele alimentare conform Regulamentului sanitar privind materialele și obiectele destinate să vină </w:t>
            </w:r>
            <w:r w:rsidRPr="00044C72">
              <w:rPr>
                <w:rFonts w:eastAsiaTheme="minorHAnsi"/>
                <w:bCs/>
                <w:i/>
                <w:iCs/>
                <w:lang w:val="ro-RO" w:eastAsia="en-US"/>
              </w:rPr>
              <w:lastRenderedPageBreak/>
              <w:t>în contact cu produsele alimentare, aprobat prin Hotărârea de Guvern nr.308/2011;</w:t>
            </w:r>
          </w:p>
          <w:p w14:paraId="17AB8534"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b)  prin derogare de la limita 10 mg/kg, prevăzută la litera a), în  cazul amestecurilor și articolelor fabricate (parțial sau integral) din </w:t>
            </w:r>
            <w:r w:rsidRPr="00044C72">
              <w:rPr>
                <w:rFonts w:eastAsiaTheme="minorHAnsi"/>
                <w:lang w:val="ro-RO" w:eastAsia="en-US"/>
              </w:rPr>
              <w:t>materiale reciclabile</w:t>
            </w:r>
            <w:r w:rsidRPr="00044C72">
              <w:rPr>
                <w:rFonts w:eastAsiaTheme="minorHAnsi"/>
                <w:bCs/>
                <w:lang w:val="ro-RO" w:eastAsia="en-US"/>
              </w:rPr>
              <w:t xml:space="preserve"> sau din deșeuri pregătite pentru reutilizare, </w:t>
            </w:r>
            <w:r w:rsidRPr="00044C72">
              <w:rPr>
                <w:rFonts w:eastAsiaTheme="minorHAnsi"/>
                <w:bCs/>
                <w:i/>
                <w:iCs/>
                <w:lang w:val="ro-RO" w:eastAsia="en-US"/>
              </w:rPr>
              <w:t>cu excepția materialelor care întră în contact cu produsele alimentare, conform Hotărârii de Guvern nr. 308/2011,</w:t>
            </w:r>
            <w:r w:rsidRPr="00044C72">
              <w:rPr>
                <w:rFonts w:eastAsiaTheme="minorHAnsi"/>
                <w:bCs/>
                <w:lang w:val="ro-RO" w:eastAsia="en-US"/>
              </w:rPr>
              <w:t xml:space="preserve"> după cum urmează; </w:t>
            </w:r>
          </w:p>
          <w:p w14:paraId="2A21D4B0"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- 500 mg/kg- până l</w:t>
            </w:r>
            <w:r w:rsidRPr="00044C72">
              <w:rPr>
                <w:rFonts w:eastAsiaTheme="minorHAnsi"/>
                <w:bCs/>
                <w:color w:val="000000" w:themeColor="text1"/>
                <w:lang w:val="ro-RO" w:eastAsia="en-US"/>
              </w:rPr>
              <w:t xml:space="preserve">a data intrării în vigoare a prezentei  Hotărâri. </w:t>
            </w:r>
          </w:p>
          <w:p w14:paraId="6EE931A3"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- 350 mg/kg – începând cu data intrării în vigoare a prezentei hotărâri;</w:t>
            </w:r>
          </w:p>
          <w:p w14:paraId="032221EB"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-200 mg/kg - începând cu data de 30 decembrie 2027.</w:t>
            </w:r>
          </w:p>
          <w:p w14:paraId="4F7BF6D5"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c) prin derogare de la prevederile literei a), în cazul  jucăriilor, </w:t>
            </w:r>
            <w:r w:rsidRPr="00044C72">
              <w:rPr>
                <w:rFonts w:eastAsiaTheme="minorHAnsi"/>
                <w:bCs/>
                <w:i/>
                <w:iCs/>
                <w:lang w:val="ro-RO" w:eastAsia="en-US"/>
              </w:rPr>
              <w:t>ce intră sub incidența  Hotărârii de Guvern nr. 808/2015 pentru aprobarea Reglementării tehnice privind siguranța jucăriilor</w:t>
            </w:r>
            <w:r w:rsidRPr="00044C72">
              <w:rPr>
                <w:rFonts w:eastAsiaTheme="minorHAnsi"/>
                <w:bCs/>
                <w:lang w:val="ro-RO" w:eastAsia="en-US"/>
              </w:rPr>
              <w:t xml:space="preserve">, sau al oricărui produs care facilitează așezarea, somnul, relaxarea, igiena, schimbarea și îngrijirea, hrănirea, suptul, transportul pentru protecția </w:t>
            </w:r>
            <w:r w:rsidRPr="00044C72">
              <w:rPr>
                <w:rFonts w:eastAsiaTheme="minorHAnsi"/>
                <w:bCs/>
                <w:lang w:val="ro-RO" w:eastAsia="en-US"/>
              </w:rPr>
              <w:lastRenderedPageBreak/>
              <w:t xml:space="preserve">copiilor, care conțin sau sunt fabricate din materiale reciclate, cu excepția materialelor care intră în contact cu produsele alimentare,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de</w:t>
            </w:r>
            <w:r w:rsidRPr="00044C72">
              <w:rPr>
                <w:rFonts w:eastAsiaTheme="minorHAnsi"/>
                <w:b/>
                <w:lang w:val="ro-RO" w:eastAsia="en-US"/>
              </w:rPr>
              <w:t>:</w:t>
            </w:r>
          </w:p>
          <w:p w14:paraId="61B927A4" w14:textId="61710070"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- 500 mg/kg- până la data intrării în vigoare a prezentei  </w:t>
            </w:r>
            <w:r>
              <w:rPr>
                <w:rFonts w:eastAsiaTheme="minorHAnsi"/>
                <w:bCs/>
                <w:lang w:val="ro-RO" w:eastAsia="en-US"/>
              </w:rPr>
              <w:t>h</w:t>
            </w:r>
            <w:r w:rsidRPr="00044C72">
              <w:rPr>
                <w:rFonts w:eastAsiaTheme="minorHAnsi"/>
                <w:bCs/>
                <w:lang w:val="ro-RO" w:eastAsia="en-US"/>
              </w:rPr>
              <w:t xml:space="preserve">otărâri. </w:t>
            </w:r>
          </w:p>
          <w:p w14:paraId="17329C64"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- 350 mg/kg –începând cu data intrării în vigoare a prezentei hotărâri;</w:t>
            </w:r>
          </w:p>
          <w:p w14:paraId="0BA66BB1"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- 10 mg/kg – începând cu 17 mai 2027;</w:t>
            </w:r>
          </w:p>
          <w:p w14:paraId="0A7E2418" w14:textId="77777777" w:rsidR="00044C72" w:rsidRPr="00044C72" w:rsidRDefault="00044C72" w:rsidP="00044C72">
            <w:pPr>
              <w:spacing w:after="160" w:line="276" w:lineRule="auto"/>
              <w:jc w:val="both"/>
              <w:rPr>
                <w:rFonts w:eastAsiaTheme="minorHAnsi"/>
                <w:lang w:val="ro-RO" w:eastAsia="en-US"/>
              </w:rPr>
            </w:pPr>
            <w:r w:rsidRPr="00044C72">
              <w:rPr>
                <w:rFonts w:eastAsiaTheme="minorHAnsi"/>
                <w:bCs/>
                <w:lang w:val="ro-RO" w:eastAsia="en-US"/>
              </w:rPr>
              <w:t xml:space="preserve">1.3. Prin derogare, se permite fabricarea introducerea  pe piață și utilizarea </w:t>
            </w:r>
            <w:r w:rsidRPr="00044C72">
              <w:rPr>
                <w:rFonts w:eastAsiaTheme="minorHAnsi"/>
                <w:lang w:val="ro-RO" w:eastAsia="en-US"/>
              </w:rPr>
              <w:t xml:space="preserve">echipamentelor electrice </w:t>
            </w:r>
            <w:proofErr w:type="spellStart"/>
            <w:r w:rsidRPr="00044C72">
              <w:rPr>
                <w:rFonts w:eastAsiaTheme="minorHAnsi"/>
                <w:lang w:val="ro-RO" w:eastAsia="en-US"/>
              </w:rPr>
              <w:t>şi</w:t>
            </w:r>
            <w:proofErr w:type="spellEnd"/>
            <w:r w:rsidRPr="00044C72">
              <w:rPr>
                <w:rFonts w:eastAsiaTheme="minorHAnsi"/>
                <w:lang w:val="ro-RO" w:eastAsia="en-US"/>
              </w:rPr>
              <w:t xml:space="preserve"> electronice, conform cerințelor menționate în Reglementarea tehnică privind restricționarea utilizării anumitor substanțe periculoase în  echipamentele electrice și electronice, aprobată prin Hotărârea Guvernului nr. 643/2025;</w:t>
            </w:r>
          </w:p>
          <w:p w14:paraId="1622619D" w14:textId="498A4823" w:rsidR="00044C72" w:rsidRPr="00044C72" w:rsidRDefault="00044C72" w:rsidP="00044C72">
            <w:pPr>
              <w:spacing w:before="60" w:after="60" w:line="276" w:lineRule="auto"/>
              <w:textAlignment w:val="baseline"/>
              <w:rPr>
                <w:b/>
                <w:lang w:val="ro-RO" w:eastAsia="ro-MD"/>
              </w:rPr>
            </w:pPr>
            <w:r w:rsidRPr="00044C72">
              <w:rPr>
                <w:lang w:val="ro-RO" w:eastAsia="ro-MD"/>
              </w:rPr>
              <w:t xml:space="preserve">1.4. Articolele cu conținut de </w:t>
            </w:r>
            <w:proofErr w:type="spellStart"/>
            <w:r w:rsidRPr="00044C72">
              <w:rPr>
                <w:lang w:val="ro-MD" w:eastAsia="ro-MD"/>
              </w:rPr>
              <w:t>pentabromodifenileter</w:t>
            </w:r>
            <w:proofErr w:type="spellEnd"/>
            <w:r w:rsidRPr="00044C72">
              <w:rPr>
                <w:lang w:val="ro-RO" w:eastAsia="ro-MD"/>
              </w:rPr>
              <w:t xml:space="preserve"> ca element constitutiv al acestor articole și care se aflau deja în uz înainte de </w:t>
            </w:r>
            <w:r w:rsidRPr="00044C72">
              <w:rPr>
                <w:lang w:val="ro-RO" w:eastAsia="ro-MD"/>
              </w:rPr>
              <w:lastRenderedPageBreak/>
              <w:t>data intrării în vigoare a prezentei hotărâri,</w:t>
            </w:r>
            <w:r w:rsidRPr="00044C72">
              <w:rPr>
                <w:b/>
                <w:bCs/>
                <w:lang w:val="ro-RO" w:eastAsia="ro-MD"/>
              </w:rPr>
              <w:t> </w:t>
            </w:r>
            <w:r w:rsidRPr="00044C72">
              <w:rPr>
                <w:lang w:val="ro-RO" w:eastAsia="ro-MD"/>
              </w:rPr>
              <w:t xml:space="preserve"> pot fi utilizate în continuare</w:t>
            </w:r>
            <w:r>
              <w:rPr>
                <w:lang w:val="ro-RO" w:eastAsia="ro-MD"/>
              </w:rPr>
              <w:t>.</w:t>
            </w:r>
            <w:r w:rsidRPr="00044C72">
              <w:rPr>
                <w:lang w:val="ro-RO" w:eastAsia="ro-MD"/>
              </w:rPr>
              <w:t xml:space="preserve"> 1.4.1 </w:t>
            </w:r>
            <w:r w:rsidRPr="00044C72">
              <w:rPr>
                <w:rFonts w:eastAsiaTheme="minorHAnsi"/>
                <w:lang w:val="ro-RO" w:eastAsia="en-US"/>
              </w:rPr>
              <w:t>Gestionarea acestor articole după scoaterea din uz se realizează în conformitate cu prevederile prezentului Regulament</w:t>
            </w:r>
          </w:p>
        </w:tc>
      </w:tr>
      <w:tr w:rsidR="00044C72" w:rsidRPr="000D2E33" w14:paraId="54CB16F2" w14:textId="77777777" w:rsidTr="00067CBF">
        <w:tc>
          <w:tcPr>
            <w:tcW w:w="3731" w:type="dxa"/>
          </w:tcPr>
          <w:p w14:paraId="7A7DA2E1"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lastRenderedPageBreak/>
              <w:t>Hexabromodifenileter</w:t>
            </w:r>
            <w:proofErr w:type="spellEnd"/>
          </w:p>
          <w:p w14:paraId="40DE801C" w14:textId="77777777" w:rsidR="00044C72" w:rsidRPr="00044C72" w:rsidRDefault="00044C72" w:rsidP="00044C72">
            <w:pPr>
              <w:spacing w:line="276" w:lineRule="auto"/>
              <w:textAlignment w:val="baseline"/>
              <w:rPr>
                <w:lang w:val="ro-MD" w:eastAsia="ro-MD"/>
              </w:rPr>
            </w:pPr>
            <w:r w:rsidRPr="00044C72">
              <w:rPr>
                <w:lang w:val="ro-MD" w:eastAsia="ro-MD"/>
              </w:rPr>
              <w:t>C</w:t>
            </w:r>
            <w:r w:rsidRPr="00044C72">
              <w:rPr>
                <w:bdr w:val="none" w:sz="0" w:space="0" w:color="auto" w:frame="1"/>
                <w:vertAlign w:val="subscript"/>
                <w:lang w:val="ro-MD" w:eastAsia="ro-MD"/>
              </w:rPr>
              <w:t>12</w:t>
            </w:r>
            <w:r w:rsidRPr="00044C72">
              <w:rPr>
                <w:lang w:val="ro-MD" w:eastAsia="ro-MD"/>
              </w:rPr>
              <w:t>H</w:t>
            </w:r>
            <w:r w:rsidRPr="00044C72">
              <w:rPr>
                <w:bdr w:val="none" w:sz="0" w:space="0" w:color="auto" w:frame="1"/>
                <w:vertAlign w:val="subscript"/>
                <w:lang w:val="ro-MD" w:eastAsia="ro-MD"/>
              </w:rPr>
              <w:t>4</w:t>
            </w:r>
            <w:r w:rsidRPr="00044C72">
              <w:rPr>
                <w:lang w:val="ro-MD" w:eastAsia="ro-MD"/>
              </w:rPr>
              <w:t>Br</w:t>
            </w:r>
            <w:r w:rsidRPr="00044C72">
              <w:rPr>
                <w:bdr w:val="none" w:sz="0" w:space="0" w:color="auto" w:frame="1"/>
                <w:vertAlign w:val="subscript"/>
                <w:lang w:val="ro-MD" w:eastAsia="ro-MD"/>
              </w:rPr>
              <w:t>6</w:t>
            </w:r>
            <w:r w:rsidRPr="00044C72">
              <w:rPr>
                <w:lang w:val="ro-MD" w:eastAsia="ro-MD"/>
              </w:rPr>
              <w:t>O</w:t>
            </w:r>
          </w:p>
          <w:p w14:paraId="32E57B14" w14:textId="77777777" w:rsidR="00044C72" w:rsidRPr="00044C72" w:rsidRDefault="00044C72" w:rsidP="00044C72">
            <w:pPr>
              <w:spacing w:before="200" w:after="100" w:line="276" w:lineRule="auto"/>
              <w:jc w:val="center"/>
              <w:rPr>
                <w:rFonts w:eastAsia="Arial Unicode MS"/>
                <w:b/>
                <w:iCs/>
                <w:lang w:val="en-US" w:eastAsia="ro-RO"/>
              </w:rPr>
            </w:pPr>
          </w:p>
        </w:tc>
        <w:tc>
          <w:tcPr>
            <w:tcW w:w="1142" w:type="dxa"/>
          </w:tcPr>
          <w:p w14:paraId="28AF7DFE"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36483-60-0 și altele</w:t>
            </w:r>
          </w:p>
        </w:tc>
        <w:tc>
          <w:tcPr>
            <w:tcW w:w="792" w:type="dxa"/>
          </w:tcPr>
          <w:p w14:paraId="6F8136F0"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253-058-6 și altele</w:t>
            </w:r>
          </w:p>
        </w:tc>
        <w:tc>
          <w:tcPr>
            <w:tcW w:w="2936" w:type="dxa"/>
          </w:tcPr>
          <w:p w14:paraId="4B2581D5" w14:textId="77777777" w:rsidR="00044C72" w:rsidRPr="00044C72" w:rsidRDefault="00044C72" w:rsidP="00044C72">
            <w:pPr>
              <w:spacing w:after="160" w:line="276" w:lineRule="auto"/>
              <w:rPr>
                <w:rFonts w:eastAsiaTheme="minorHAnsi"/>
                <w:lang w:val="ro-RO" w:eastAsia="en-US"/>
              </w:rPr>
            </w:pPr>
            <w:r w:rsidRPr="00044C72">
              <w:rPr>
                <w:rFonts w:eastAsiaTheme="minorHAnsi"/>
                <w:lang w:val="it-IT" w:eastAsia="en-US"/>
              </w:rPr>
              <w:t xml:space="preserve">1. </w:t>
            </w:r>
            <w:r w:rsidRPr="00044C72">
              <w:rPr>
                <w:rFonts w:eastAsiaTheme="minorHAnsi"/>
                <w:lang w:val="ro-RO" w:eastAsia="en-US"/>
              </w:rPr>
              <w:t xml:space="preserve">Prin derogare de la punctul 4, sunt permise producerea, plasarea pe </w:t>
            </w:r>
            <w:proofErr w:type="spellStart"/>
            <w:r w:rsidRPr="00044C72">
              <w:rPr>
                <w:rFonts w:eastAsiaTheme="minorHAnsi"/>
                <w:lang w:val="ro-RO" w:eastAsia="en-US"/>
              </w:rPr>
              <w:t>piaţă</w:t>
            </w:r>
            <w:proofErr w:type="spellEnd"/>
            <w:r w:rsidRPr="00044C72">
              <w:rPr>
                <w:rFonts w:eastAsiaTheme="minorHAnsi"/>
                <w:lang w:val="ro-RO" w:eastAsia="en-US"/>
              </w:rPr>
              <w:t xml:space="preserve"> </w:t>
            </w:r>
            <w:proofErr w:type="spellStart"/>
            <w:r w:rsidRPr="00044C72">
              <w:rPr>
                <w:rFonts w:eastAsiaTheme="minorHAnsi"/>
                <w:lang w:val="ro-RO" w:eastAsia="en-US"/>
              </w:rPr>
              <w:t>şi</w:t>
            </w:r>
            <w:proofErr w:type="spellEnd"/>
            <w:r w:rsidRPr="00044C72">
              <w:rPr>
                <w:rFonts w:eastAsiaTheme="minorHAnsi"/>
                <w:lang w:val="ro-RO" w:eastAsia="en-US"/>
              </w:rPr>
              <w:t xml:space="preserve"> utilizarea pentru:</w:t>
            </w:r>
          </w:p>
          <w:p w14:paraId="78F2B0E7" w14:textId="77777777" w:rsidR="00044C72" w:rsidRPr="00044C72" w:rsidRDefault="00044C72" w:rsidP="00044C72">
            <w:pPr>
              <w:spacing w:after="160" w:line="276" w:lineRule="auto"/>
              <w:rPr>
                <w:rFonts w:eastAsiaTheme="minorHAnsi"/>
                <w:lang w:val="ro-RO" w:eastAsia="en-US"/>
              </w:rPr>
            </w:pPr>
            <w:r w:rsidRPr="00044C72">
              <w:rPr>
                <w:rFonts w:eastAsiaTheme="minorHAnsi"/>
                <w:lang w:val="ro-RO" w:eastAsia="en-US"/>
              </w:rPr>
              <w:t xml:space="preserve">1.1.  fără a aduce atingere subpunctului 9.2, concentrații de </w:t>
            </w:r>
            <w:proofErr w:type="spellStart"/>
            <w:r w:rsidRPr="00044C72">
              <w:rPr>
                <w:rFonts w:eastAsiaTheme="minorHAnsi"/>
                <w:lang w:val="ro-RO" w:eastAsia="en-US"/>
              </w:rPr>
              <w:t>hexaabromodifenileter</w:t>
            </w:r>
            <w:proofErr w:type="spellEnd"/>
            <w:r w:rsidRPr="00044C72">
              <w:rPr>
                <w:rFonts w:eastAsiaTheme="minorHAnsi"/>
                <w:lang w:val="ro-RO" w:eastAsia="en-US"/>
              </w:rPr>
              <w:t xml:space="preserve">, egale sau mai mici de </w:t>
            </w:r>
            <w:r w:rsidRPr="00044C72">
              <w:rPr>
                <w:rFonts w:eastAsiaTheme="minorHAnsi"/>
                <w:bCs/>
                <w:lang w:val="ro-RO" w:eastAsia="en-US"/>
              </w:rPr>
              <w:t xml:space="preserve">10mg/kg  (0,001% din greutate) </w:t>
            </w:r>
            <w:r w:rsidRPr="00044C72">
              <w:rPr>
                <w:rFonts w:eastAsiaTheme="minorHAnsi"/>
                <w:lang w:val="ro-RO" w:eastAsia="en-US"/>
              </w:rPr>
              <w:t xml:space="preserve">în cazul în care acestea sunt  prezente în substanțe; </w:t>
            </w:r>
          </w:p>
          <w:p w14:paraId="117976AC"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1.2. Prin derogare de la punctul 4 și fără a aduce atingere subpunctului 9.2, sunt permise producerea, plasarea pe piață și utilizarea substanțelor sau amestecurilor în cazul în care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prezentă sub formă de </w:t>
            </w:r>
            <w:r w:rsidRPr="00044C72">
              <w:rPr>
                <w:rFonts w:eastAsiaTheme="minorHAnsi"/>
                <w:lang w:val="ro-RO" w:eastAsia="en-US"/>
              </w:rPr>
              <w:t>urmă neintenționată de contaminant, î</w:t>
            </w:r>
            <w:r w:rsidRPr="00044C72">
              <w:rPr>
                <w:rFonts w:eastAsiaTheme="minorHAnsi"/>
                <w:bCs/>
                <w:lang w:val="ro-RO" w:eastAsia="en-US"/>
              </w:rPr>
              <w:t>n următoarele limite:</w:t>
            </w:r>
          </w:p>
          <w:p w14:paraId="7BCA558F" w14:textId="77777777" w:rsidR="00044C72" w:rsidRPr="00044C72" w:rsidRDefault="00044C72" w:rsidP="00044C72">
            <w:pPr>
              <w:spacing w:after="160" w:line="276" w:lineRule="auto"/>
              <w:jc w:val="both"/>
              <w:rPr>
                <w:rFonts w:eastAsiaTheme="minorHAnsi"/>
                <w:bCs/>
                <w:i/>
                <w:iCs/>
                <w:lang w:val="ro-RO" w:eastAsia="en-US"/>
              </w:rPr>
            </w:pPr>
            <w:r w:rsidRPr="00044C72">
              <w:rPr>
                <w:rFonts w:eastAsiaTheme="minorHAnsi"/>
                <w:bCs/>
                <w:lang w:val="ro-RO" w:eastAsia="en-US"/>
              </w:rPr>
              <w:t xml:space="preserve">a) </w:t>
            </w:r>
            <w:r w:rsidRPr="00044C72">
              <w:rPr>
                <w:rFonts w:eastAsiaTheme="minorHAnsi"/>
                <w:lang w:val="ro-RO" w:eastAsia="en-US"/>
              </w:rPr>
              <w:t>10 mg/kg (0,001 % în greutate),</w:t>
            </w:r>
            <w:r w:rsidRPr="00044C72">
              <w:rPr>
                <w:rFonts w:eastAsiaTheme="minorHAnsi"/>
                <w:bCs/>
                <w:lang w:val="ro-RO" w:eastAsia="en-US"/>
              </w:rPr>
              <w:t xml:space="preserve"> în cazul în care acestea sunt prezente, </w:t>
            </w:r>
            <w:r w:rsidRPr="00044C72">
              <w:rPr>
                <w:rFonts w:eastAsiaTheme="minorHAnsi"/>
                <w:bCs/>
                <w:lang w:val="ro-RO" w:eastAsia="en-US"/>
              </w:rPr>
              <w:lastRenderedPageBreak/>
              <w:t>în </w:t>
            </w:r>
            <w:r w:rsidRPr="00044C72">
              <w:rPr>
                <w:rFonts w:eastAsiaTheme="minorHAnsi"/>
                <w:lang w:val="ro-RO" w:eastAsia="en-US"/>
              </w:rPr>
              <w:t>amestecuri sau articole</w:t>
            </w:r>
            <w:r w:rsidRPr="00044C72">
              <w:rPr>
                <w:rFonts w:eastAsiaTheme="minorHAnsi"/>
                <w:bCs/>
                <w:lang w:val="ro-RO" w:eastAsia="en-US"/>
              </w:rPr>
              <w:t xml:space="preserve">,  </w:t>
            </w:r>
            <w:r w:rsidRPr="00044C72">
              <w:rPr>
                <w:rFonts w:eastAsiaTheme="minorHAnsi"/>
                <w:bCs/>
                <w:i/>
                <w:iCs/>
                <w:lang w:val="ro-RO" w:eastAsia="en-US"/>
              </w:rPr>
              <w:t>cu excepția materialelor care întră în contact cu produsele alimentare conform Regulamentului sanitar privind materialele și obiectele destinate să vină în contact cu produsele alimentare, aprobat prin Hotărârea de Guvern nr.308/2011;</w:t>
            </w:r>
          </w:p>
          <w:p w14:paraId="1C414E2E"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b)  prin derogare de la limita 10 mg/kg, prevăzută la litera a), în  cazul amestecurilor și articolelor fabricate (parțial sau integral) din </w:t>
            </w:r>
            <w:r w:rsidRPr="00044C72">
              <w:rPr>
                <w:rFonts w:eastAsiaTheme="minorHAnsi"/>
                <w:lang w:val="ro-RO" w:eastAsia="en-US"/>
              </w:rPr>
              <w:t>materiale reciclabile</w:t>
            </w:r>
            <w:r w:rsidRPr="00044C72">
              <w:rPr>
                <w:rFonts w:eastAsiaTheme="minorHAnsi"/>
                <w:bCs/>
                <w:lang w:val="ro-RO" w:eastAsia="en-US"/>
              </w:rPr>
              <w:t xml:space="preserve"> sau din deșeuri pregătite pentru reutilizare, </w:t>
            </w:r>
            <w:r w:rsidRPr="00044C72">
              <w:rPr>
                <w:rFonts w:eastAsiaTheme="minorHAnsi"/>
                <w:bCs/>
                <w:i/>
                <w:iCs/>
                <w:lang w:val="ro-RO" w:eastAsia="en-US"/>
              </w:rPr>
              <w:t>cu excepția materialelor care întră în contact cu produsele alimentare, conform Hotărârii de Guvern nr. 308/2011,</w:t>
            </w:r>
            <w:r w:rsidRPr="00044C72">
              <w:rPr>
                <w:rFonts w:eastAsiaTheme="minorHAnsi"/>
                <w:bCs/>
                <w:lang w:val="ro-RO" w:eastAsia="en-US"/>
              </w:rPr>
              <w:t xml:space="preserve"> după cum urmează; </w:t>
            </w:r>
          </w:p>
          <w:p w14:paraId="1060FEAD" w14:textId="6E4595E5" w:rsidR="00044C72" w:rsidRPr="00044C72" w:rsidRDefault="00044C72" w:rsidP="00044C72">
            <w:pPr>
              <w:spacing w:after="160" w:line="276" w:lineRule="auto"/>
              <w:jc w:val="both"/>
              <w:rPr>
                <w:rFonts w:eastAsiaTheme="minorHAnsi"/>
                <w:bCs/>
                <w:color w:val="000000" w:themeColor="text1"/>
                <w:lang w:val="ro-RO" w:eastAsia="en-US"/>
              </w:rPr>
            </w:pPr>
            <w:r w:rsidRPr="00044C72">
              <w:rPr>
                <w:rFonts w:eastAsiaTheme="minorHAnsi"/>
                <w:bCs/>
                <w:lang w:val="ro-RO" w:eastAsia="en-US"/>
              </w:rPr>
              <w:t xml:space="preserve">- 500 mg/kg- până </w:t>
            </w:r>
            <w:r w:rsidRPr="00044C72">
              <w:rPr>
                <w:rFonts w:eastAsiaTheme="minorHAnsi"/>
                <w:bCs/>
                <w:color w:val="000000" w:themeColor="text1"/>
                <w:lang w:val="ro-RO" w:eastAsia="en-US"/>
              </w:rPr>
              <w:t xml:space="preserve">la data intrării în vigoare a prezentei  </w:t>
            </w:r>
            <w:r w:rsidR="00F0483E">
              <w:rPr>
                <w:rFonts w:eastAsiaTheme="minorHAnsi"/>
                <w:bCs/>
                <w:color w:val="000000" w:themeColor="text1"/>
                <w:lang w:val="ro-RO" w:eastAsia="en-US"/>
              </w:rPr>
              <w:t>h</w:t>
            </w:r>
            <w:r w:rsidRPr="00044C72">
              <w:rPr>
                <w:rFonts w:eastAsiaTheme="minorHAnsi"/>
                <w:bCs/>
                <w:color w:val="000000" w:themeColor="text1"/>
                <w:lang w:val="ro-RO" w:eastAsia="en-US"/>
              </w:rPr>
              <w:t xml:space="preserve">otărâri. </w:t>
            </w:r>
          </w:p>
          <w:p w14:paraId="7416DCA8" w14:textId="1B8031DC" w:rsidR="00044C72" w:rsidRPr="00044C72" w:rsidRDefault="00044C72" w:rsidP="00044C72">
            <w:pPr>
              <w:spacing w:after="160" w:line="276" w:lineRule="auto"/>
              <w:jc w:val="both"/>
              <w:rPr>
                <w:rFonts w:eastAsiaTheme="minorHAnsi"/>
                <w:bCs/>
                <w:color w:val="000000" w:themeColor="text1"/>
                <w:lang w:val="ro-RO" w:eastAsia="en-US"/>
              </w:rPr>
            </w:pPr>
            <w:r w:rsidRPr="00044C72">
              <w:rPr>
                <w:rFonts w:eastAsiaTheme="minorHAnsi"/>
                <w:bCs/>
                <w:lang w:val="ro-RO" w:eastAsia="en-US"/>
              </w:rPr>
              <w:t xml:space="preserve">- 350 mg/kg – începând cu </w:t>
            </w:r>
            <w:r w:rsidRPr="00044C72">
              <w:rPr>
                <w:rFonts w:eastAsiaTheme="minorHAnsi"/>
                <w:bCs/>
                <w:color w:val="000000" w:themeColor="text1"/>
                <w:lang w:val="ro-RO" w:eastAsia="en-US"/>
              </w:rPr>
              <w:t xml:space="preserve">data intrării în vigoare a prezentei  </w:t>
            </w:r>
            <w:r w:rsidR="00F0483E">
              <w:rPr>
                <w:rFonts w:eastAsiaTheme="minorHAnsi"/>
                <w:bCs/>
                <w:color w:val="000000" w:themeColor="text1"/>
                <w:lang w:val="ro-RO" w:eastAsia="en-US"/>
              </w:rPr>
              <w:t>h</w:t>
            </w:r>
            <w:r w:rsidRPr="00044C72">
              <w:rPr>
                <w:rFonts w:eastAsiaTheme="minorHAnsi"/>
                <w:bCs/>
                <w:color w:val="000000" w:themeColor="text1"/>
                <w:lang w:val="ro-RO" w:eastAsia="en-US"/>
              </w:rPr>
              <w:t>otărâri</w:t>
            </w:r>
            <w:r w:rsidRPr="00044C72">
              <w:rPr>
                <w:rFonts w:eastAsiaTheme="minorHAnsi"/>
                <w:bCs/>
                <w:lang w:val="ro-RO" w:eastAsia="en-US"/>
              </w:rPr>
              <w:t>;</w:t>
            </w:r>
          </w:p>
          <w:p w14:paraId="2C1C0082"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-200 mg/kg - începând cu data de 30 decembrie 2027.</w:t>
            </w:r>
          </w:p>
          <w:p w14:paraId="494C4F39"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c) prin derogare de la prevederile literei a), în cazul  jucăriilor, </w:t>
            </w:r>
            <w:r w:rsidRPr="00044C72">
              <w:rPr>
                <w:rFonts w:eastAsiaTheme="minorHAnsi"/>
                <w:bCs/>
                <w:i/>
                <w:iCs/>
                <w:lang w:val="ro-RO" w:eastAsia="en-US"/>
              </w:rPr>
              <w:t xml:space="preserve">ce intră sub incidența  Hotărârii de Guvern nr. 808/2015 pentru </w:t>
            </w:r>
            <w:r w:rsidRPr="00044C72">
              <w:rPr>
                <w:rFonts w:eastAsiaTheme="minorHAnsi"/>
                <w:bCs/>
                <w:i/>
                <w:iCs/>
                <w:lang w:val="ro-RO" w:eastAsia="en-US"/>
              </w:rPr>
              <w:lastRenderedPageBreak/>
              <w:t>aprobarea Reglementării tehnice privind siguranța jucăriilor</w:t>
            </w:r>
            <w:r w:rsidRPr="00044C72">
              <w:rPr>
                <w:rFonts w:eastAsiaTheme="minorHAnsi"/>
                <w:bCs/>
                <w:lang w:val="ro-RO" w:eastAsia="en-US"/>
              </w:rPr>
              <w:t xml:space="preserve">, sau al oricărui produs care facilitează așezarea, somnul, relaxarea, igiena, schimbarea și îngrijirea, hrănirea, suptul, transportul  pentru protecția copiilor, care conțin sau sunt fabricate din materiale reciclate, cu excepția materialelor care intră în contact cu produsele alimentare,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de</w:t>
            </w:r>
            <w:r w:rsidRPr="00044C72">
              <w:rPr>
                <w:rFonts w:eastAsiaTheme="minorHAnsi"/>
                <w:b/>
                <w:lang w:val="ro-RO" w:eastAsia="en-US"/>
              </w:rPr>
              <w:t>:</w:t>
            </w:r>
          </w:p>
          <w:p w14:paraId="0F8808F0" w14:textId="0CE8B2BB"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- 500 mg/kg- până la data intrării în vigoare a prezentei  </w:t>
            </w:r>
            <w:r w:rsidR="00F0483E">
              <w:rPr>
                <w:rFonts w:eastAsiaTheme="minorHAnsi"/>
                <w:bCs/>
                <w:lang w:val="ro-RO" w:eastAsia="en-US"/>
              </w:rPr>
              <w:t>h</w:t>
            </w:r>
            <w:r w:rsidRPr="00044C72">
              <w:rPr>
                <w:rFonts w:eastAsiaTheme="minorHAnsi"/>
                <w:bCs/>
                <w:lang w:val="ro-RO" w:eastAsia="en-US"/>
              </w:rPr>
              <w:t xml:space="preserve">otărâri. </w:t>
            </w:r>
          </w:p>
          <w:p w14:paraId="70CBA0BF" w14:textId="406A4598" w:rsidR="00044C72" w:rsidRPr="00044C72" w:rsidRDefault="00044C72" w:rsidP="00044C72">
            <w:pPr>
              <w:spacing w:after="160" w:line="276" w:lineRule="auto"/>
              <w:jc w:val="both"/>
              <w:rPr>
                <w:rFonts w:eastAsiaTheme="minorHAnsi"/>
                <w:bCs/>
                <w:color w:val="000000" w:themeColor="text1"/>
                <w:lang w:val="ro-RO" w:eastAsia="en-US"/>
              </w:rPr>
            </w:pPr>
            <w:r w:rsidRPr="00044C72">
              <w:rPr>
                <w:rFonts w:eastAsiaTheme="minorHAnsi"/>
                <w:bCs/>
                <w:lang w:val="ro-RO" w:eastAsia="en-US"/>
              </w:rPr>
              <w:t>- 350 mg/kg – începând cu</w:t>
            </w:r>
            <w:r w:rsidRPr="00044C72">
              <w:rPr>
                <w:rFonts w:eastAsiaTheme="minorHAnsi"/>
                <w:bCs/>
                <w:color w:val="000000" w:themeColor="text1"/>
                <w:lang w:val="ro-RO" w:eastAsia="en-US"/>
              </w:rPr>
              <w:t xml:space="preserve"> data intrării în vigoare a prezentei  </w:t>
            </w:r>
            <w:r w:rsidR="00F0483E">
              <w:rPr>
                <w:rFonts w:eastAsiaTheme="minorHAnsi"/>
                <w:bCs/>
                <w:color w:val="000000" w:themeColor="text1"/>
                <w:lang w:val="ro-RO" w:eastAsia="en-US"/>
              </w:rPr>
              <w:t>h</w:t>
            </w:r>
            <w:r w:rsidRPr="00044C72">
              <w:rPr>
                <w:rFonts w:eastAsiaTheme="minorHAnsi"/>
                <w:bCs/>
                <w:color w:val="000000" w:themeColor="text1"/>
                <w:lang w:val="ro-RO" w:eastAsia="en-US"/>
              </w:rPr>
              <w:t>otărâri</w:t>
            </w:r>
            <w:r w:rsidRPr="00044C72">
              <w:rPr>
                <w:rFonts w:eastAsiaTheme="minorHAnsi"/>
                <w:bCs/>
                <w:lang w:val="ro-RO" w:eastAsia="en-US"/>
              </w:rPr>
              <w:t>;</w:t>
            </w:r>
          </w:p>
          <w:p w14:paraId="4EE2BD1E"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- 10 mg/kg – începând cu 17 mai 2027;</w:t>
            </w:r>
          </w:p>
          <w:p w14:paraId="6B7DF9F1" w14:textId="77777777" w:rsidR="00044C72" w:rsidRPr="00044C72" w:rsidRDefault="00044C72" w:rsidP="00044C72">
            <w:pPr>
              <w:spacing w:after="160" w:line="276" w:lineRule="auto"/>
              <w:jc w:val="both"/>
              <w:rPr>
                <w:rFonts w:eastAsiaTheme="minorHAnsi"/>
                <w:lang w:val="ro-RO" w:eastAsia="en-US"/>
              </w:rPr>
            </w:pPr>
            <w:r w:rsidRPr="00044C72">
              <w:rPr>
                <w:rFonts w:eastAsiaTheme="minorHAnsi"/>
                <w:bCs/>
                <w:lang w:val="ro-RO" w:eastAsia="en-US"/>
              </w:rPr>
              <w:t xml:space="preserve">1.3. Prin derogare, se permite fabricarea introducerea  pe piață și utilizarea   </w:t>
            </w:r>
            <w:r w:rsidRPr="00044C72">
              <w:rPr>
                <w:rFonts w:eastAsiaTheme="minorHAnsi"/>
                <w:lang w:val="ro-RO" w:eastAsia="en-US"/>
              </w:rPr>
              <w:t xml:space="preserve">echipamentelor electrice </w:t>
            </w:r>
            <w:proofErr w:type="spellStart"/>
            <w:r w:rsidRPr="00044C72">
              <w:rPr>
                <w:rFonts w:eastAsiaTheme="minorHAnsi"/>
                <w:lang w:val="ro-RO" w:eastAsia="en-US"/>
              </w:rPr>
              <w:t>şi</w:t>
            </w:r>
            <w:proofErr w:type="spellEnd"/>
            <w:r w:rsidRPr="00044C72">
              <w:rPr>
                <w:rFonts w:eastAsiaTheme="minorHAnsi"/>
                <w:lang w:val="ro-RO" w:eastAsia="en-US"/>
              </w:rPr>
              <w:t xml:space="preserve"> electronice, conform cerințelor menționate în Reglementarea tehnică privind restricționarea utilizării anumitor substanțe periculoase în  echipamentele electrice și </w:t>
            </w:r>
            <w:r w:rsidRPr="00044C72">
              <w:rPr>
                <w:rFonts w:eastAsiaTheme="minorHAnsi"/>
                <w:lang w:val="ro-RO" w:eastAsia="en-US"/>
              </w:rPr>
              <w:lastRenderedPageBreak/>
              <w:t>electronice, aprobat prin Hotărârea Guvernului nr. 643/2025;</w:t>
            </w:r>
          </w:p>
          <w:p w14:paraId="5AEA8EC8" w14:textId="08005A8C" w:rsidR="00044C72" w:rsidRPr="00044C72" w:rsidRDefault="00044C72" w:rsidP="00044C72">
            <w:pPr>
              <w:spacing w:before="60" w:after="60" w:line="276" w:lineRule="auto"/>
              <w:textAlignment w:val="baseline"/>
              <w:rPr>
                <w:lang w:val="ro-RO" w:eastAsia="ro-MD"/>
              </w:rPr>
            </w:pPr>
            <w:r w:rsidRPr="00044C72">
              <w:rPr>
                <w:lang w:val="ro-RO" w:eastAsia="ro-MD"/>
              </w:rPr>
              <w:t xml:space="preserve">1.4. Articolele cu conținut de </w:t>
            </w:r>
            <w:proofErr w:type="spellStart"/>
            <w:r w:rsidRPr="00044C72">
              <w:rPr>
                <w:lang w:val="ro-RO" w:eastAsia="ro-MD"/>
              </w:rPr>
              <w:t>hex</w:t>
            </w:r>
            <w:r w:rsidRPr="00044C72">
              <w:rPr>
                <w:lang w:val="ro-MD" w:eastAsia="ro-MD"/>
              </w:rPr>
              <w:t>abromodifenileter</w:t>
            </w:r>
            <w:proofErr w:type="spellEnd"/>
            <w:r w:rsidRPr="00044C72">
              <w:rPr>
                <w:lang w:val="ro-RO" w:eastAsia="ro-MD"/>
              </w:rPr>
              <w:t xml:space="preserve"> ca element constitutiv al acestor articole și care se aflau deja în uz înainte de data intrării în vigoare a prezentei hotărâri,</w:t>
            </w:r>
            <w:r w:rsidRPr="00044C72">
              <w:rPr>
                <w:b/>
                <w:bCs/>
                <w:lang w:val="ro-RO" w:eastAsia="ro-MD"/>
              </w:rPr>
              <w:t> </w:t>
            </w:r>
            <w:r w:rsidRPr="00044C72">
              <w:rPr>
                <w:lang w:val="ro-RO" w:eastAsia="ro-MD"/>
              </w:rPr>
              <w:t xml:space="preserve"> pot fi utilizate în continuare.</w:t>
            </w:r>
          </w:p>
          <w:p w14:paraId="73746EC9" w14:textId="109E68F5" w:rsidR="00044C72" w:rsidRPr="00044C72" w:rsidRDefault="00044C72" w:rsidP="00044C72">
            <w:pPr>
              <w:spacing w:after="160" w:line="276" w:lineRule="auto"/>
              <w:jc w:val="both"/>
              <w:rPr>
                <w:rFonts w:eastAsiaTheme="minorHAnsi"/>
                <w:bCs/>
                <w:lang w:val="ro-RO" w:eastAsia="en-US"/>
              </w:rPr>
            </w:pPr>
            <w:r w:rsidRPr="00044C72">
              <w:rPr>
                <w:rFonts w:eastAsiaTheme="minorHAnsi"/>
                <w:lang w:val="ro-RO" w:eastAsia="en-US"/>
              </w:rPr>
              <w:t>1.4.1 Gestionarea acestor articole după scoaterea din uz se realizează în conformitate cu prevederile prezentului Regulament</w:t>
            </w:r>
            <w:r w:rsidR="00F0483E">
              <w:rPr>
                <w:rFonts w:eastAsiaTheme="minorHAnsi"/>
                <w:lang w:val="ro-RO" w:eastAsia="en-US"/>
              </w:rPr>
              <w:t>.</w:t>
            </w:r>
          </w:p>
        </w:tc>
      </w:tr>
      <w:tr w:rsidR="00044C72" w:rsidRPr="000D2E33" w14:paraId="7E0FCEFB" w14:textId="77777777" w:rsidTr="00067CBF">
        <w:tc>
          <w:tcPr>
            <w:tcW w:w="3731" w:type="dxa"/>
          </w:tcPr>
          <w:p w14:paraId="0E3C1A8F"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lastRenderedPageBreak/>
              <w:t>Heptabromodifenileter</w:t>
            </w:r>
            <w:proofErr w:type="spellEnd"/>
          </w:p>
          <w:p w14:paraId="32D38EDB" w14:textId="77777777" w:rsidR="00044C72" w:rsidRPr="00044C72" w:rsidRDefault="00044C72" w:rsidP="00044C72">
            <w:pPr>
              <w:spacing w:line="276" w:lineRule="auto"/>
              <w:textAlignment w:val="baseline"/>
              <w:rPr>
                <w:lang w:val="ro-MD" w:eastAsia="ro-MD"/>
              </w:rPr>
            </w:pPr>
            <w:r w:rsidRPr="00044C72">
              <w:rPr>
                <w:lang w:val="ro-MD" w:eastAsia="ro-MD"/>
              </w:rPr>
              <w:t>C</w:t>
            </w:r>
            <w:r w:rsidRPr="00044C72">
              <w:rPr>
                <w:bdr w:val="none" w:sz="0" w:space="0" w:color="auto" w:frame="1"/>
                <w:vertAlign w:val="subscript"/>
                <w:lang w:val="ro-MD" w:eastAsia="ro-MD"/>
              </w:rPr>
              <w:t>12</w:t>
            </w:r>
            <w:r w:rsidRPr="00044C72">
              <w:rPr>
                <w:lang w:val="ro-MD" w:eastAsia="ro-MD"/>
              </w:rPr>
              <w:t>H</w:t>
            </w:r>
            <w:r w:rsidRPr="00044C72">
              <w:rPr>
                <w:bdr w:val="none" w:sz="0" w:space="0" w:color="auto" w:frame="1"/>
                <w:vertAlign w:val="subscript"/>
                <w:lang w:val="ro-MD" w:eastAsia="ro-MD"/>
              </w:rPr>
              <w:t>3</w:t>
            </w:r>
            <w:r w:rsidRPr="00044C72">
              <w:rPr>
                <w:lang w:val="ro-MD" w:eastAsia="ro-MD"/>
              </w:rPr>
              <w:t>Br</w:t>
            </w:r>
            <w:r w:rsidRPr="00044C72">
              <w:rPr>
                <w:bdr w:val="none" w:sz="0" w:space="0" w:color="auto" w:frame="1"/>
                <w:vertAlign w:val="subscript"/>
                <w:lang w:val="ro-MD" w:eastAsia="ro-MD"/>
              </w:rPr>
              <w:t>7</w:t>
            </w:r>
            <w:r w:rsidRPr="00044C72">
              <w:rPr>
                <w:lang w:val="ro-MD" w:eastAsia="ro-MD"/>
              </w:rPr>
              <w:t>O</w:t>
            </w:r>
          </w:p>
          <w:p w14:paraId="791C3628" w14:textId="77777777" w:rsidR="00044C72" w:rsidRPr="00044C72" w:rsidRDefault="00044C72" w:rsidP="00044C72">
            <w:pPr>
              <w:spacing w:before="60" w:after="60" w:line="276" w:lineRule="auto"/>
              <w:textAlignment w:val="baseline"/>
              <w:rPr>
                <w:lang w:val="ro-MD" w:eastAsia="ro-MD"/>
              </w:rPr>
            </w:pPr>
          </w:p>
        </w:tc>
        <w:tc>
          <w:tcPr>
            <w:tcW w:w="1142" w:type="dxa"/>
          </w:tcPr>
          <w:p w14:paraId="4A568B20"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68928-80-3 și altele</w:t>
            </w:r>
          </w:p>
        </w:tc>
        <w:tc>
          <w:tcPr>
            <w:tcW w:w="792" w:type="dxa"/>
          </w:tcPr>
          <w:p w14:paraId="7524285B" w14:textId="77777777" w:rsidR="00044C72" w:rsidRPr="00044C72" w:rsidRDefault="00044C72" w:rsidP="00044C72">
            <w:pPr>
              <w:spacing w:before="200" w:after="100" w:line="276" w:lineRule="auto"/>
              <w:jc w:val="center"/>
              <w:rPr>
                <w:rFonts w:eastAsia="Arial Unicode MS"/>
                <w:b/>
                <w:iCs/>
                <w:lang w:val="en-US" w:eastAsia="ro-RO"/>
              </w:rPr>
            </w:pPr>
            <w:r w:rsidRPr="00044C72">
              <w:rPr>
                <w:lang w:val="ro-MD" w:eastAsia="ro-MD"/>
              </w:rPr>
              <w:t>273-031-2 și altele</w:t>
            </w:r>
          </w:p>
        </w:tc>
        <w:tc>
          <w:tcPr>
            <w:tcW w:w="2936" w:type="dxa"/>
          </w:tcPr>
          <w:p w14:paraId="072D342E" w14:textId="77777777" w:rsidR="00044C72" w:rsidRPr="00044C72" w:rsidRDefault="00044C72" w:rsidP="00044C72">
            <w:pPr>
              <w:spacing w:after="160" w:line="276" w:lineRule="auto"/>
              <w:rPr>
                <w:rFonts w:eastAsiaTheme="minorHAnsi"/>
                <w:lang w:val="ro-RO" w:eastAsia="en-US"/>
              </w:rPr>
            </w:pPr>
            <w:r w:rsidRPr="00044C72">
              <w:rPr>
                <w:rFonts w:eastAsiaTheme="minorHAnsi"/>
                <w:lang w:val="it-IT" w:eastAsia="en-US"/>
              </w:rPr>
              <w:t xml:space="preserve">1. </w:t>
            </w:r>
            <w:r w:rsidRPr="00044C72">
              <w:rPr>
                <w:rFonts w:eastAsiaTheme="minorHAnsi"/>
                <w:lang w:val="ro-RO" w:eastAsia="en-US"/>
              </w:rPr>
              <w:t xml:space="preserve">Prin derogare de la punctul 4, sunt permise producerea, plasarea pe </w:t>
            </w:r>
            <w:proofErr w:type="spellStart"/>
            <w:r w:rsidRPr="00044C72">
              <w:rPr>
                <w:rFonts w:eastAsiaTheme="minorHAnsi"/>
                <w:lang w:val="ro-RO" w:eastAsia="en-US"/>
              </w:rPr>
              <w:t>piaţă</w:t>
            </w:r>
            <w:proofErr w:type="spellEnd"/>
            <w:r w:rsidRPr="00044C72">
              <w:rPr>
                <w:rFonts w:eastAsiaTheme="minorHAnsi"/>
                <w:lang w:val="ro-RO" w:eastAsia="en-US"/>
              </w:rPr>
              <w:t xml:space="preserve"> </w:t>
            </w:r>
            <w:proofErr w:type="spellStart"/>
            <w:r w:rsidRPr="00044C72">
              <w:rPr>
                <w:rFonts w:eastAsiaTheme="minorHAnsi"/>
                <w:lang w:val="ro-RO" w:eastAsia="en-US"/>
              </w:rPr>
              <w:t>şi</w:t>
            </w:r>
            <w:proofErr w:type="spellEnd"/>
            <w:r w:rsidRPr="00044C72">
              <w:rPr>
                <w:rFonts w:eastAsiaTheme="minorHAnsi"/>
                <w:lang w:val="ro-RO" w:eastAsia="en-US"/>
              </w:rPr>
              <w:t xml:space="preserve"> utilizarea pentru:</w:t>
            </w:r>
          </w:p>
          <w:p w14:paraId="6C378BC5" w14:textId="77777777" w:rsidR="00044C72" w:rsidRPr="00044C72" w:rsidRDefault="00044C72" w:rsidP="00044C72">
            <w:pPr>
              <w:spacing w:after="160" w:line="276" w:lineRule="auto"/>
              <w:rPr>
                <w:rFonts w:eastAsiaTheme="minorHAnsi"/>
                <w:b/>
                <w:bCs/>
                <w:lang w:val="ro-RO" w:eastAsia="en-US"/>
              </w:rPr>
            </w:pPr>
            <w:r w:rsidRPr="00044C72">
              <w:rPr>
                <w:rFonts w:eastAsiaTheme="minorHAnsi"/>
                <w:lang w:val="ro-RO" w:eastAsia="en-US"/>
              </w:rPr>
              <w:t xml:space="preserve">1.1.  fără a aduce atingere subpunctului 9.2, concentrații de </w:t>
            </w:r>
            <w:proofErr w:type="spellStart"/>
            <w:r w:rsidRPr="00044C72">
              <w:rPr>
                <w:rFonts w:eastAsiaTheme="minorHAnsi"/>
                <w:lang w:val="ro-RO" w:eastAsia="en-US"/>
              </w:rPr>
              <w:t>heptabromodifenileter</w:t>
            </w:r>
            <w:proofErr w:type="spellEnd"/>
            <w:r w:rsidRPr="00044C72">
              <w:rPr>
                <w:rFonts w:eastAsiaTheme="minorHAnsi"/>
                <w:lang w:val="ro-RO" w:eastAsia="en-US"/>
              </w:rPr>
              <w:t xml:space="preserve">, </w:t>
            </w:r>
            <w:r w:rsidRPr="00044C72">
              <w:rPr>
                <w:rFonts w:eastAsiaTheme="minorHAnsi"/>
                <w:b/>
                <w:bCs/>
                <w:lang w:val="ro-RO" w:eastAsia="en-US"/>
              </w:rPr>
              <w:t>≤</w:t>
            </w:r>
            <w:r w:rsidRPr="00044C72">
              <w:rPr>
                <w:rFonts w:eastAsiaTheme="minorHAnsi"/>
                <w:lang w:val="ro-RO" w:eastAsia="en-US"/>
              </w:rPr>
              <w:t xml:space="preserve"> de </w:t>
            </w:r>
            <w:r w:rsidRPr="00044C72">
              <w:rPr>
                <w:rFonts w:eastAsiaTheme="minorHAnsi"/>
                <w:bCs/>
                <w:lang w:val="ro-RO" w:eastAsia="en-US"/>
              </w:rPr>
              <w:t xml:space="preserve">10mg/kg  (0,001% din greutate) </w:t>
            </w:r>
            <w:r w:rsidRPr="00044C72">
              <w:rPr>
                <w:rFonts w:eastAsiaTheme="minorHAnsi"/>
                <w:lang w:val="ro-RO" w:eastAsia="en-US"/>
              </w:rPr>
              <w:t>în cazul în care acestea sunt  prezente în substanțe</w:t>
            </w:r>
            <w:r w:rsidRPr="00044C72">
              <w:rPr>
                <w:rFonts w:eastAsiaTheme="minorHAnsi"/>
                <w:b/>
                <w:bCs/>
                <w:lang w:val="ro-RO" w:eastAsia="en-US"/>
              </w:rPr>
              <w:t xml:space="preserve">; </w:t>
            </w:r>
          </w:p>
          <w:p w14:paraId="29F9F436"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1.2. Prin derogare de la punctul 4 și fără a aduce atingere subpunctului 9.2, sunt permise producerea, plasarea pe piață și utilizarea substanțelor sau amestecurilor în cazul în care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w:t>
            </w:r>
            <w:r w:rsidRPr="00044C72">
              <w:rPr>
                <w:rFonts w:eastAsiaTheme="minorHAnsi"/>
                <w:bCs/>
                <w:lang w:val="ro-RO" w:eastAsia="en-US"/>
              </w:rPr>
              <w:lastRenderedPageBreak/>
              <w:t>(BDE) este prezentă sub formă de </w:t>
            </w:r>
            <w:r w:rsidRPr="00044C72">
              <w:rPr>
                <w:rFonts w:eastAsiaTheme="minorHAnsi"/>
                <w:lang w:val="ro-RO" w:eastAsia="en-US"/>
              </w:rPr>
              <w:t>urmă neintenționată de contaminant, î</w:t>
            </w:r>
            <w:r w:rsidRPr="00044C72">
              <w:rPr>
                <w:rFonts w:eastAsiaTheme="minorHAnsi"/>
                <w:bCs/>
                <w:lang w:val="ro-RO" w:eastAsia="en-US"/>
              </w:rPr>
              <w:t>n următoarele limite:</w:t>
            </w:r>
          </w:p>
          <w:p w14:paraId="751A87F7" w14:textId="77777777" w:rsidR="00044C72" w:rsidRPr="00044C72" w:rsidRDefault="00044C72" w:rsidP="00044C72">
            <w:pPr>
              <w:spacing w:after="160" w:line="276" w:lineRule="auto"/>
              <w:jc w:val="both"/>
              <w:rPr>
                <w:rFonts w:eastAsiaTheme="minorHAnsi"/>
                <w:bCs/>
                <w:i/>
                <w:iCs/>
                <w:lang w:val="ro-RO" w:eastAsia="en-US"/>
              </w:rPr>
            </w:pPr>
            <w:r w:rsidRPr="00044C72">
              <w:rPr>
                <w:rFonts w:eastAsiaTheme="minorHAnsi"/>
                <w:bCs/>
                <w:lang w:val="ro-RO" w:eastAsia="en-US"/>
              </w:rPr>
              <w:t xml:space="preserve">a) </w:t>
            </w:r>
            <w:r w:rsidRPr="00044C72">
              <w:rPr>
                <w:rFonts w:eastAsiaTheme="minorHAnsi"/>
                <w:lang w:val="ro-RO" w:eastAsia="en-US"/>
              </w:rPr>
              <w:t>10 mg/kg (0,001 % în greutate</w:t>
            </w:r>
            <w:r w:rsidRPr="00044C72">
              <w:rPr>
                <w:rFonts w:eastAsiaTheme="minorHAnsi"/>
                <w:b/>
                <w:bCs/>
                <w:lang w:val="ro-RO" w:eastAsia="en-US"/>
              </w:rPr>
              <w:t>)</w:t>
            </w:r>
            <w:r w:rsidRPr="00044C72">
              <w:rPr>
                <w:rFonts w:eastAsiaTheme="minorHAnsi"/>
                <w:bCs/>
                <w:lang w:val="ro-RO" w:eastAsia="en-US"/>
              </w:rPr>
              <w:t>, în cazul în care acestea sunt prezente, în </w:t>
            </w:r>
            <w:r w:rsidRPr="00044C72">
              <w:rPr>
                <w:rFonts w:eastAsiaTheme="minorHAnsi"/>
                <w:lang w:val="ro-RO" w:eastAsia="en-US"/>
              </w:rPr>
              <w:t>amestecuri sau articole</w:t>
            </w:r>
            <w:r w:rsidRPr="00044C72">
              <w:rPr>
                <w:rFonts w:eastAsiaTheme="minorHAnsi"/>
                <w:bCs/>
                <w:lang w:val="ro-RO" w:eastAsia="en-US"/>
              </w:rPr>
              <w:t xml:space="preserve">,  </w:t>
            </w:r>
            <w:r w:rsidRPr="00044C72">
              <w:rPr>
                <w:rFonts w:eastAsiaTheme="minorHAnsi"/>
                <w:bCs/>
                <w:i/>
                <w:iCs/>
                <w:lang w:val="ro-RO" w:eastAsia="en-US"/>
              </w:rPr>
              <w:t>cu excepția materialelor care întră în contact cu produsele alimentare conform Regulamentului sanitar privind materialele și obiectele destinate să vină în contact cu produsele alimentare, aprobat prin Hotărârea de Guvern nr.308/2011;</w:t>
            </w:r>
          </w:p>
          <w:p w14:paraId="15DF1275"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b)  prin derogare de la limita 10 mg/kg, prevăzută la litera a), în  cazul amestecurilor și articolelor fabricate (parțial sau integral) din </w:t>
            </w:r>
            <w:r w:rsidRPr="00044C72">
              <w:rPr>
                <w:rFonts w:eastAsiaTheme="minorHAnsi"/>
                <w:lang w:val="ro-RO" w:eastAsia="en-US"/>
              </w:rPr>
              <w:t>materiale reciclabile</w:t>
            </w:r>
            <w:r w:rsidRPr="00044C72">
              <w:rPr>
                <w:rFonts w:eastAsiaTheme="minorHAnsi"/>
                <w:bCs/>
                <w:lang w:val="ro-RO" w:eastAsia="en-US"/>
              </w:rPr>
              <w:t xml:space="preserve"> sau din deșeuri pregătite pentru reutilizare, </w:t>
            </w:r>
            <w:r w:rsidRPr="00044C72">
              <w:rPr>
                <w:rFonts w:eastAsiaTheme="minorHAnsi"/>
                <w:bCs/>
                <w:i/>
                <w:iCs/>
                <w:lang w:val="ro-RO" w:eastAsia="en-US"/>
              </w:rPr>
              <w:t>cu excepția materialelor care întră în contact cu produsele alimentare, conform Hotărârii de Guvern nr. 308/2011,</w:t>
            </w:r>
            <w:r w:rsidRPr="00044C72">
              <w:rPr>
                <w:rFonts w:eastAsiaTheme="minorHAnsi"/>
                <w:bCs/>
                <w:lang w:val="ro-RO" w:eastAsia="en-US"/>
              </w:rPr>
              <w:t xml:space="preserve"> după cum urmează; </w:t>
            </w:r>
          </w:p>
          <w:p w14:paraId="29D3D292" w14:textId="67193FD2"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- 500 mg/kg - până </w:t>
            </w:r>
            <w:r w:rsidRPr="00044C72">
              <w:rPr>
                <w:rFonts w:eastAsiaTheme="minorHAnsi"/>
                <w:bCs/>
                <w:color w:val="000000" w:themeColor="text1"/>
                <w:lang w:val="ro-RO" w:eastAsia="en-US"/>
              </w:rPr>
              <w:t xml:space="preserve">la data intrării în vigoare a prezentei  </w:t>
            </w:r>
            <w:r w:rsidR="00F0483E">
              <w:rPr>
                <w:rFonts w:eastAsiaTheme="minorHAnsi"/>
                <w:bCs/>
                <w:color w:val="000000" w:themeColor="text1"/>
                <w:lang w:val="ro-RO" w:eastAsia="en-US"/>
              </w:rPr>
              <w:t>h</w:t>
            </w:r>
            <w:r w:rsidRPr="00044C72">
              <w:rPr>
                <w:rFonts w:eastAsiaTheme="minorHAnsi"/>
                <w:bCs/>
                <w:color w:val="000000" w:themeColor="text1"/>
                <w:lang w:val="ro-RO" w:eastAsia="en-US"/>
              </w:rPr>
              <w:t>otărâri</w:t>
            </w:r>
            <w:r w:rsidRPr="00044C72">
              <w:rPr>
                <w:rFonts w:eastAsiaTheme="minorHAnsi"/>
                <w:bCs/>
                <w:lang w:val="ro-RO" w:eastAsia="en-US"/>
              </w:rPr>
              <w:t xml:space="preserve">. </w:t>
            </w:r>
          </w:p>
          <w:p w14:paraId="3E41EA21" w14:textId="651E5ADC" w:rsidR="00044C72" w:rsidRPr="00044C72" w:rsidRDefault="00044C72" w:rsidP="00044C72">
            <w:pPr>
              <w:spacing w:after="160" w:line="276" w:lineRule="auto"/>
              <w:jc w:val="both"/>
              <w:rPr>
                <w:rFonts w:eastAsiaTheme="minorHAnsi"/>
                <w:bCs/>
                <w:color w:val="000000" w:themeColor="text1"/>
                <w:lang w:val="ro-RO" w:eastAsia="en-US"/>
              </w:rPr>
            </w:pPr>
            <w:r w:rsidRPr="00044C72">
              <w:rPr>
                <w:rFonts w:eastAsiaTheme="minorHAnsi"/>
                <w:bCs/>
                <w:lang w:val="ro-RO" w:eastAsia="en-US"/>
              </w:rPr>
              <w:lastRenderedPageBreak/>
              <w:t xml:space="preserve">- 350 mg/kg – începând cu </w:t>
            </w:r>
            <w:r w:rsidRPr="00044C72">
              <w:rPr>
                <w:rFonts w:eastAsiaTheme="minorHAnsi"/>
                <w:bCs/>
                <w:color w:val="000000" w:themeColor="text1"/>
                <w:lang w:val="ro-RO" w:eastAsia="en-US"/>
              </w:rPr>
              <w:t xml:space="preserve">data intrării în vigoare a prezentei  </w:t>
            </w:r>
            <w:r w:rsidR="00F0483E">
              <w:rPr>
                <w:rFonts w:eastAsiaTheme="minorHAnsi"/>
                <w:bCs/>
                <w:color w:val="000000" w:themeColor="text1"/>
                <w:lang w:val="ro-RO" w:eastAsia="en-US"/>
              </w:rPr>
              <w:t>h</w:t>
            </w:r>
            <w:r w:rsidRPr="00044C72">
              <w:rPr>
                <w:rFonts w:eastAsiaTheme="minorHAnsi"/>
                <w:bCs/>
                <w:color w:val="000000" w:themeColor="text1"/>
                <w:lang w:val="ro-RO" w:eastAsia="en-US"/>
              </w:rPr>
              <w:t>otărâri</w:t>
            </w:r>
            <w:r w:rsidRPr="00044C72">
              <w:rPr>
                <w:rFonts w:eastAsiaTheme="minorHAnsi"/>
                <w:bCs/>
                <w:lang w:val="ro-RO" w:eastAsia="en-US"/>
              </w:rPr>
              <w:t>;</w:t>
            </w:r>
          </w:p>
          <w:p w14:paraId="01BFCB95"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-200 mg/kg - începând cu data de 30 decembrie 2027.</w:t>
            </w:r>
          </w:p>
          <w:p w14:paraId="35F1D391"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c) prin derogare de la prevederile literei a), în cazul  jucăriilor, </w:t>
            </w:r>
            <w:r w:rsidRPr="00044C72">
              <w:rPr>
                <w:rFonts w:eastAsiaTheme="minorHAnsi"/>
                <w:bCs/>
                <w:i/>
                <w:iCs/>
                <w:lang w:val="ro-RO" w:eastAsia="en-US"/>
              </w:rPr>
              <w:t>ce intră sub incidența  Hotărârii de Guvern nr. 808/2015 pentru aprobarea Reglementării tehnice privind siguranța jucăriilor</w:t>
            </w:r>
            <w:r w:rsidRPr="00044C72">
              <w:rPr>
                <w:rFonts w:eastAsiaTheme="minorHAnsi"/>
                <w:bCs/>
                <w:lang w:val="ro-RO" w:eastAsia="en-US"/>
              </w:rPr>
              <w:t>, sau al oricărui produs care facilitează așezarea, somnul, relaxarea, igiena, schimbarea și îngrijirea, hrănirea, suptul, transportul  pentru protecția copiilor, care conțin sau sunt fabricate din materiale reciclate</w:t>
            </w:r>
            <w:r w:rsidRPr="00044C72">
              <w:rPr>
                <w:rFonts w:eastAsiaTheme="minorHAnsi"/>
                <w:b/>
                <w:lang w:val="ro-RO" w:eastAsia="en-US"/>
              </w:rPr>
              <w:t>,</w:t>
            </w:r>
            <w:r w:rsidRPr="00044C72">
              <w:rPr>
                <w:rFonts w:eastAsiaTheme="minorHAnsi"/>
                <w:bCs/>
                <w:lang w:val="ro-RO" w:eastAsia="en-US"/>
              </w:rPr>
              <w:t xml:space="preserve"> cu excepția materialelor care intră în contact cu produsele alimentare,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de:</w:t>
            </w:r>
          </w:p>
          <w:p w14:paraId="194E439D" w14:textId="3FB34C9E"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- 500 mg/kg - până la data intrării în vigoare a prezentei  </w:t>
            </w:r>
            <w:r w:rsidR="00F0483E">
              <w:rPr>
                <w:rFonts w:eastAsiaTheme="minorHAnsi"/>
                <w:bCs/>
                <w:lang w:val="ro-RO" w:eastAsia="en-US"/>
              </w:rPr>
              <w:t>h</w:t>
            </w:r>
            <w:r w:rsidRPr="00044C72">
              <w:rPr>
                <w:rFonts w:eastAsiaTheme="minorHAnsi"/>
                <w:bCs/>
                <w:lang w:val="ro-RO" w:eastAsia="en-US"/>
              </w:rPr>
              <w:t xml:space="preserve">otărâri. </w:t>
            </w:r>
          </w:p>
          <w:p w14:paraId="6A8491A9" w14:textId="7A954956"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- 350 mg/kg – de la data intrării în vigoare a prezentei  </w:t>
            </w:r>
            <w:r w:rsidR="00F0483E">
              <w:rPr>
                <w:rFonts w:eastAsiaTheme="minorHAnsi"/>
                <w:bCs/>
                <w:lang w:val="ro-RO" w:eastAsia="en-US"/>
              </w:rPr>
              <w:t>h</w:t>
            </w:r>
            <w:r w:rsidRPr="00044C72">
              <w:rPr>
                <w:rFonts w:eastAsiaTheme="minorHAnsi"/>
                <w:bCs/>
                <w:lang w:val="ro-RO" w:eastAsia="en-US"/>
              </w:rPr>
              <w:t>otărâri;</w:t>
            </w:r>
          </w:p>
          <w:p w14:paraId="7AD4E000"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- 10 mg/kg – începând cu 17 mai 2027;</w:t>
            </w:r>
          </w:p>
          <w:p w14:paraId="53A25782" w14:textId="77777777" w:rsidR="00044C72" w:rsidRPr="00044C72" w:rsidRDefault="00044C72" w:rsidP="00044C72">
            <w:pPr>
              <w:spacing w:after="160" w:line="276" w:lineRule="auto"/>
              <w:jc w:val="both"/>
              <w:rPr>
                <w:rFonts w:eastAsiaTheme="minorHAnsi"/>
                <w:lang w:val="ro-RO" w:eastAsia="en-US"/>
              </w:rPr>
            </w:pPr>
            <w:r w:rsidRPr="00044C72">
              <w:rPr>
                <w:rFonts w:eastAsiaTheme="minorHAnsi"/>
                <w:bCs/>
                <w:lang w:val="ro-RO" w:eastAsia="en-US"/>
              </w:rPr>
              <w:lastRenderedPageBreak/>
              <w:t xml:space="preserve">1.3. Prin derogare, se permite fabricarea introducerea  pe piață și utilizarea </w:t>
            </w:r>
            <w:r w:rsidRPr="00044C72">
              <w:rPr>
                <w:rFonts w:eastAsiaTheme="minorHAnsi"/>
                <w:lang w:val="ro-RO" w:eastAsia="en-US"/>
              </w:rPr>
              <w:t xml:space="preserve">echipamentelor electrice </w:t>
            </w:r>
            <w:proofErr w:type="spellStart"/>
            <w:r w:rsidRPr="00044C72">
              <w:rPr>
                <w:rFonts w:eastAsiaTheme="minorHAnsi"/>
                <w:lang w:val="ro-RO" w:eastAsia="en-US"/>
              </w:rPr>
              <w:t>şi</w:t>
            </w:r>
            <w:proofErr w:type="spellEnd"/>
            <w:r w:rsidRPr="00044C72">
              <w:rPr>
                <w:rFonts w:eastAsiaTheme="minorHAnsi"/>
                <w:lang w:val="ro-RO" w:eastAsia="en-US"/>
              </w:rPr>
              <w:t xml:space="preserve"> electronice, conform cerințelor menționate în Reglementarea tehnică privind restricționarea utilizării anumitor substanțe periculoase în  echipamentele electrice și electronice, aprobat prin Hotărârea Guvernului nr. 643/2025;</w:t>
            </w:r>
          </w:p>
          <w:p w14:paraId="16040BA4" w14:textId="769E8264" w:rsidR="00044C72" w:rsidRPr="00044C72" w:rsidRDefault="00044C72" w:rsidP="00044C72">
            <w:pPr>
              <w:spacing w:before="60" w:after="60" w:line="276" w:lineRule="auto"/>
              <w:textAlignment w:val="baseline"/>
              <w:rPr>
                <w:lang w:val="ro-RO" w:eastAsia="ro-MD"/>
              </w:rPr>
            </w:pPr>
            <w:r w:rsidRPr="00044C72">
              <w:rPr>
                <w:lang w:val="ro-RO" w:eastAsia="ro-MD"/>
              </w:rPr>
              <w:t xml:space="preserve">1.4. Articolele cu conținut de </w:t>
            </w:r>
            <w:proofErr w:type="spellStart"/>
            <w:r w:rsidRPr="00044C72">
              <w:rPr>
                <w:lang w:val="ro-RO" w:eastAsia="ro-MD"/>
              </w:rPr>
              <w:t>hept</w:t>
            </w:r>
            <w:r w:rsidRPr="00044C72">
              <w:rPr>
                <w:lang w:val="ro-MD" w:eastAsia="ro-MD"/>
              </w:rPr>
              <w:t>abromodifenileter</w:t>
            </w:r>
            <w:proofErr w:type="spellEnd"/>
            <w:r w:rsidRPr="00044C72">
              <w:rPr>
                <w:lang w:val="ro-RO" w:eastAsia="ro-MD"/>
              </w:rPr>
              <w:t xml:space="preserve"> ca element constitutiv al acestor articole și care se aflau deja în uz înainte de data intrării în vigoare a prezentei hotărâri,  pot fi utilizate în continuare.</w:t>
            </w:r>
          </w:p>
          <w:p w14:paraId="343F5E42" w14:textId="77777777" w:rsidR="00044C72" w:rsidRPr="00044C72" w:rsidRDefault="00044C72" w:rsidP="00044C72">
            <w:pPr>
              <w:spacing w:after="160" w:line="276" w:lineRule="auto"/>
              <w:rPr>
                <w:rFonts w:eastAsiaTheme="minorHAnsi"/>
                <w:lang w:val="ro-RO" w:eastAsia="en-US"/>
              </w:rPr>
            </w:pPr>
            <w:r w:rsidRPr="00044C72">
              <w:rPr>
                <w:rFonts w:eastAsiaTheme="minorHAnsi"/>
                <w:lang w:val="ro-RO" w:eastAsia="en-US"/>
              </w:rPr>
              <w:t>1.4.1 Gestionarea acestor articole după scoaterea din uz se realizează în conformitate cu prevederile prezentului Regulament</w:t>
            </w:r>
          </w:p>
        </w:tc>
      </w:tr>
      <w:tr w:rsidR="00044C72" w:rsidRPr="00044C72" w14:paraId="66AA24C1" w14:textId="77777777" w:rsidTr="00067CBF">
        <w:tc>
          <w:tcPr>
            <w:tcW w:w="3731" w:type="dxa"/>
          </w:tcPr>
          <w:p w14:paraId="3F847E8D" w14:textId="77777777" w:rsidR="00044C72" w:rsidRPr="00044C72" w:rsidRDefault="00044C72" w:rsidP="00044C72">
            <w:pPr>
              <w:spacing w:before="60" w:after="60" w:line="276" w:lineRule="auto"/>
              <w:textAlignment w:val="baseline"/>
              <w:rPr>
                <w:highlight w:val="yellow"/>
                <w:lang w:val="ro-MD" w:eastAsia="ro-MD"/>
              </w:rPr>
            </w:pPr>
            <w:r w:rsidRPr="00044C72">
              <w:rPr>
                <w:rFonts w:eastAsia="Arial Unicode MS"/>
                <w:color w:val="333333"/>
                <w:shd w:val="clear" w:color="auto" w:fill="FFFFFF"/>
                <w:lang w:val="ro-MD" w:eastAsia="ro-MD"/>
              </w:rPr>
              <w:lastRenderedPageBreak/>
              <w:t>Bis(</w:t>
            </w:r>
            <w:proofErr w:type="spellStart"/>
            <w:r w:rsidRPr="00044C72">
              <w:rPr>
                <w:rFonts w:eastAsia="Arial Unicode MS"/>
                <w:color w:val="333333"/>
                <w:shd w:val="clear" w:color="auto" w:fill="FFFFFF"/>
                <w:lang w:val="ro-MD" w:eastAsia="ro-MD"/>
              </w:rPr>
              <w:t>pentabromfenil</w:t>
            </w:r>
            <w:proofErr w:type="spellEnd"/>
            <w:r w:rsidRPr="00044C72">
              <w:rPr>
                <w:rFonts w:eastAsia="Arial Unicode MS"/>
                <w:color w:val="333333"/>
                <w:shd w:val="clear" w:color="auto" w:fill="FFFFFF"/>
                <w:lang w:val="ro-MD" w:eastAsia="ro-MD"/>
              </w:rPr>
              <w:t>) eter (</w:t>
            </w:r>
            <w:proofErr w:type="spellStart"/>
            <w:r w:rsidRPr="00044C72">
              <w:rPr>
                <w:rFonts w:eastAsia="Arial Unicode MS"/>
                <w:color w:val="333333"/>
                <w:shd w:val="clear" w:color="auto" w:fill="FFFFFF"/>
                <w:lang w:val="ro-MD" w:eastAsia="ro-MD"/>
              </w:rPr>
              <w:t>decabromdifenil</w:t>
            </w:r>
            <w:proofErr w:type="spellEnd"/>
            <w:r w:rsidRPr="00044C72">
              <w:rPr>
                <w:rFonts w:eastAsia="Arial Unicode MS"/>
                <w:color w:val="333333"/>
                <w:shd w:val="clear" w:color="auto" w:fill="FFFFFF"/>
                <w:lang w:val="ro-MD" w:eastAsia="ro-MD"/>
              </w:rPr>
              <w:t xml:space="preserve"> eter; </w:t>
            </w:r>
            <w:proofErr w:type="spellStart"/>
            <w:r w:rsidRPr="00044C72">
              <w:rPr>
                <w:rFonts w:eastAsia="Arial Unicode MS"/>
                <w:color w:val="333333"/>
                <w:shd w:val="clear" w:color="auto" w:fill="FFFFFF"/>
                <w:lang w:val="ro-MD" w:eastAsia="ro-MD"/>
              </w:rPr>
              <w:t>decaBDE</w:t>
            </w:r>
            <w:proofErr w:type="spellEnd"/>
            <w:r w:rsidRPr="00044C72">
              <w:rPr>
                <w:rFonts w:eastAsia="Arial Unicode MS"/>
                <w:color w:val="333333"/>
                <w:shd w:val="clear" w:color="auto" w:fill="FFFFFF"/>
                <w:lang w:val="ro-MD" w:eastAsia="ro-MD"/>
              </w:rPr>
              <w:t>)</w:t>
            </w:r>
          </w:p>
        </w:tc>
        <w:tc>
          <w:tcPr>
            <w:tcW w:w="1142" w:type="dxa"/>
          </w:tcPr>
          <w:p w14:paraId="58F7BB5E" w14:textId="77777777" w:rsidR="00044C72" w:rsidRPr="00044C72" w:rsidRDefault="00044C72" w:rsidP="00044C72">
            <w:pPr>
              <w:spacing w:before="200" w:after="100" w:line="259" w:lineRule="auto"/>
              <w:jc w:val="center"/>
              <w:rPr>
                <w:rFonts w:eastAsia="Arial Unicode MS"/>
                <w:color w:val="333333"/>
                <w:shd w:val="clear" w:color="auto" w:fill="FFFFFF"/>
                <w:lang w:val="en-US" w:eastAsia="ro-RO"/>
              </w:rPr>
            </w:pPr>
            <w:r w:rsidRPr="00044C72">
              <w:rPr>
                <w:rFonts w:eastAsia="Arial Unicode MS" w:hint="eastAsia"/>
                <w:color w:val="333333"/>
                <w:shd w:val="clear" w:color="auto" w:fill="FFFFFF"/>
                <w:lang w:val="en-US" w:eastAsia="ro-RO"/>
              </w:rPr>
              <w:t>1163-19-5</w:t>
            </w:r>
          </w:p>
        </w:tc>
        <w:tc>
          <w:tcPr>
            <w:tcW w:w="792" w:type="dxa"/>
          </w:tcPr>
          <w:p w14:paraId="32DBDE50" w14:textId="77777777" w:rsidR="00044C72" w:rsidRPr="00044C72" w:rsidRDefault="00044C72" w:rsidP="00044C72">
            <w:pPr>
              <w:spacing w:before="200" w:after="100" w:line="259" w:lineRule="auto"/>
              <w:jc w:val="center"/>
              <w:rPr>
                <w:rFonts w:eastAsia="Arial Unicode MS"/>
                <w:color w:val="333333"/>
                <w:shd w:val="clear" w:color="auto" w:fill="FFFFFF"/>
                <w:lang w:val="en-US" w:eastAsia="ro-RO"/>
              </w:rPr>
            </w:pPr>
            <w:r w:rsidRPr="00044C72">
              <w:rPr>
                <w:rFonts w:eastAsia="Arial Unicode MS" w:hint="eastAsia"/>
                <w:color w:val="333333"/>
                <w:shd w:val="clear" w:color="auto" w:fill="FFFFFF"/>
                <w:lang w:val="en-US" w:eastAsia="ro-RO"/>
              </w:rPr>
              <w:t>214-604-9</w:t>
            </w:r>
          </w:p>
        </w:tc>
        <w:tc>
          <w:tcPr>
            <w:tcW w:w="2936" w:type="dxa"/>
          </w:tcPr>
          <w:p w14:paraId="37EC82BF" w14:textId="77777777" w:rsidR="00044C72" w:rsidRPr="00044C72" w:rsidRDefault="00044C72" w:rsidP="00044C72">
            <w:pPr>
              <w:spacing w:after="160" w:line="276" w:lineRule="auto"/>
              <w:rPr>
                <w:rFonts w:eastAsiaTheme="minorHAnsi"/>
                <w:lang w:val="ro-RO" w:eastAsia="en-US"/>
              </w:rPr>
            </w:pPr>
            <w:r w:rsidRPr="00044C72">
              <w:rPr>
                <w:rFonts w:eastAsiaTheme="minorHAnsi"/>
                <w:b/>
                <w:bCs/>
                <w:lang w:val="it-IT" w:eastAsia="en-US"/>
              </w:rPr>
              <w:t>1</w:t>
            </w:r>
            <w:r w:rsidRPr="00044C72">
              <w:rPr>
                <w:rFonts w:eastAsiaTheme="minorHAnsi"/>
                <w:lang w:val="it-IT" w:eastAsia="en-US"/>
              </w:rPr>
              <w:t xml:space="preserve">. </w:t>
            </w:r>
            <w:r w:rsidRPr="00044C72">
              <w:rPr>
                <w:rFonts w:eastAsiaTheme="minorHAnsi"/>
                <w:lang w:val="ro-RO" w:eastAsia="en-US"/>
              </w:rPr>
              <w:t xml:space="preserve">Prin derogare de la punctul 4, sunt permise producerea, plasarea pe </w:t>
            </w:r>
            <w:proofErr w:type="spellStart"/>
            <w:r w:rsidRPr="00044C72">
              <w:rPr>
                <w:rFonts w:eastAsiaTheme="minorHAnsi"/>
                <w:lang w:val="ro-RO" w:eastAsia="en-US"/>
              </w:rPr>
              <w:t>piaţă</w:t>
            </w:r>
            <w:proofErr w:type="spellEnd"/>
            <w:r w:rsidRPr="00044C72">
              <w:rPr>
                <w:rFonts w:eastAsiaTheme="minorHAnsi"/>
                <w:lang w:val="ro-RO" w:eastAsia="en-US"/>
              </w:rPr>
              <w:t xml:space="preserve"> </w:t>
            </w:r>
            <w:proofErr w:type="spellStart"/>
            <w:r w:rsidRPr="00044C72">
              <w:rPr>
                <w:rFonts w:eastAsiaTheme="minorHAnsi"/>
                <w:lang w:val="ro-RO" w:eastAsia="en-US"/>
              </w:rPr>
              <w:t>şi</w:t>
            </w:r>
            <w:proofErr w:type="spellEnd"/>
            <w:r w:rsidRPr="00044C72">
              <w:rPr>
                <w:rFonts w:eastAsiaTheme="minorHAnsi"/>
                <w:lang w:val="ro-RO" w:eastAsia="en-US"/>
              </w:rPr>
              <w:t xml:space="preserve"> utilizarea pentru:</w:t>
            </w:r>
          </w:p>
          <w:p w14:paraId="0760B182" w14:textId="77777777" w:rsidR="00044C72" w:rsidRPr="00044C72" w:rsidRDefault="00044C72" w:rsidP="00044C72">
            <w:pPr>
              <w:spacing w:after="160" w:line="276" w:lineRule="auto"/>
              <w:rPr>
                <w:rFonts w:eastAsiaTheme="minorHAnsi"/>
                <w:b/>
                <w:bCs/>
                <w:lang w:val="ro-RO" w:eastAsia="en-US"/>
              </w:rPr>
            </w:pPr>
            <w:r w:rsidRPr="00044C72">
              <w:rPr>
                <w:rFonts w:eastAsiaTheme="minorHAnsi"/>
                <w:lang w:val="ro-RO" w:eastAsia="en-US"/>
              </w:rPr>
              <w:t>1.1.  fără a aduce atingere subpunctului 9.2, concentrații de bis(</w:t>
            </w:r>
            <w:proofErr w:type="spellStart"/>
            <w:r w:rsidRPr="00044C72">
              <w:rPr>
                <w:rFonts w:eastAsiaTheme="minorHAnsi"/>
                <w:lang w:val="ro-RO" w:eastAsia="en-US"/>
              </w:rPr>
              <w:t>pentabromofenileter</w:t>
            </w:r>
            <w:proofErr w:type="spellEnd"/>
            <w:r w:rsidRPr="00044C72">
              <w:rPr>
                <w:rFonts w:eastAsiaTheme="minorHAnsi"/>
                <w:lang w:val="ro-RO" w:eastAsia="en-US"/>
              </w:rPr>
              <w:t xml:space="preserve"> (</w:t>
            </w:r>
            <w:proofErr w:type="spellStart"/>
            <w:r w:rsidRPr="00044C72">
              <w:rPr>
                <w:rFonts w:eastAsiaTheme="minorHAnsi"/>
                <w:lang w:val="ro-RO" w:eastAsia="en-US"/>
              </w:rPr>
              <w:t>decabromodifenileter</w:t>
            </w:r>
            <w:proofErr w:type="spellEnd"/>
            <w:r w:rsidRPr="00044C72">
              <w:rPr>
                <w:rFonts w:eastAsiaTheme="minorHAnsi"/>
                <w:lang w:val="ro-RO" w:eastAsia="en-US"/>
              </w:rPr>
              <w:t xml:space="preserve">; </w:t>
            </w:r>
            <w:proofErr w:type="spellStart"/>
            <w:r w:rsidRPr="00044C72">
              <w:rPr>
                <w:rFonts w:eastAsiaTheme="minorHAnsi"/>
                <w:lang w:val="ro-RO" w:eastAsia="en-US"/>
              </w:rPr>
              <w:t>decaBDE</w:t>
            </w:r>
            <w:proofErr w:type="spellEnd"/>
            <w:r w:rsidRPr="00044C72">
              <w:rPr>
                <w:rFonts w:eastAsiaTheme="minorHAnsi"/>
                <w:lang w:val="ro-RO" w:eastAsia="en-US"/>
              </w:rPr>
              <w:t xml:space="preserve">), </w:t>
            </w:r>
            <w:r w:rsidRPr="00044C72">
              <w:rPr>
                <w:rFonts w:eastAsiaTheme="minorHAnsi"/>
                <w:b/>
                <w:bCs/>
                <w:lang w:val="ro-RO" w:eastAsia="en-US"/>
              </w:rPr>
              <w:t>≤</w:t>
            </w:r>
            <w:r w:rsidRPr="00044C72">
              <w:rPr>
                <w:rFonts w:eastAsiaTheme="minorHAnsi"/>
                <w:lang w:val="ro-RO" w:eastAsia="en-US"/>
              </w:rPr>
              <w:t xml:space="preserve"> de </w:t>
            </w:r>
            <w:r w:rsidRPr="00044C72">
              <w:rPr>
                <w:rFonts w:eastAsiaTheme="minorHAnsi"/>
                <w:bCs/>
                <w:lang w:val="ro-RO" w:eastAsia="en-US"/>
              </w:rPr>
              <w:t xml:space="preserve">10mg/kg  (0,001% din greutate) </w:t>
            </w:r>
            <w:r w:rsidRPr="00044C72">
              <w:rPr>
                <w:rFonts w:eastAsiaTheme="minorHAnsi"/>
                <w:lang w:val="ro-RO" w:eastAsia="en-US"/>
              </w:rPr>
              <w:t xml:space="preserve">în </w:t>
            </w:r>
            <w:r w:rsidRPr="00044C72">
              <w:rPr>
                <w:rFonts w:eastAsiaTheme="minorHAnsi"/>
                <w:lang w:val="ro-RO" w:eastAsia="en-US"/>
              </w:rPr>
              <w:lastRenderedPageBreak/>
              <w:t>cazul în care acestea sunt  prezente în substanțe</w:t>
            </w:r>
            <w:r w:rsidRPr="00044C72">
              <w:rPr>
                <w:rFonts w:eastAsiaTheme="minorHAnsi"/>
                <w:b/>
                <w:bCs/>
                <w:lang w:val="ro-RO" w:eastAsia="en-US"/>
              </w:rPr>
              <w:t xml:space="preserve">; </w:t>
            </w:r>
          </w:p>
          <w:p w14:paraId="23866CB8"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
                <w:lang w:val="ro-RO" w:eastAsia="en-US"/>
              </w:rPr>
              <w:t>1.2</w:t>
            </w:r>
            <w:r w:rsidRPr="00044C72">
              <w:rPr>
                <w:rFonts w:eastAsiaTheme="minorHAnsi"/>
                <w:bCs/>
                <w:lang w:val="ro-RO" w:eastAsia="en-US"/>
              </w:rPr>
              <w:t xml:space="preserve">. Prin derogare de la punctul 4 și fără a aduce atingere subpunctului 9.2, sunt permise producerea, plasarea pe piață și utilizarea substanțelor sau amestecurilor în cazul în care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este prezentă sub formă de </w:t>
            </w:r>
            <w:r w:rsidRPr="00044C72">
              <w:rPr>
                <w:rFonts w:eastAsiaTheme="minorHAnsi"/>
                <w:lang w:val="ro-RO" w:eastAsia="en-US"/>
              </w:rPr>
              <w:t>urmă neintenționată de contaminant</w:t>
            </w:r>
            <w:r w:rsidRPr="00044C72">
              <w:rPr>
                <w:rFonts w:eastAsiaTheme="minorHAnsi"/>
                <w:bCs/>
                <w:lang w:val="ro-RO" w:eastAsia="en-US"/>
              </w:rPr>
              <w:t>, în următoarele limite:</w:t>
            </w:r>
          </w:p>
          <w:p w14:paraId="770593ED" w14:textId="77777777" w:rsidR="00044C72" w:rsidRPr="00044C72" w:rsidRDefault="00044C72" w:rsidP="00044C72">
            <w:pPr>
              <w:spacing w:after="160" w:line="276" w:lineRule="auto"/>
              <w:jc w:val="both"/>
              <w:rPr>
                <w:rFonts w:eastAsiaTheme="minorHAnsi"/>
                <w:bCs/>
                <w:i/>
                <w:iCs/>
                <w:lang w:val="ro-RO" w:eastAsia="en-US"/>
              </w:rPr>
            </w:pPr>
            <w:r w:rsidRPr="00044C72">
              <w:rPr>
                <w:rFonts w:eastAsiaTheme="minorHAnsi"/>
                <w:bCs/>
                <w:lang w:val="ro-RO" w:eastAsia="en-US"/>
              </w:rPr>
              <w:t xml:space="preserve">a) </w:t>
            </w:r>
            <w:r w:rsidRPr="00044C72">
              <w:rPr>
                <w:rFonts w:eastAsiaTheme="minorHAnsi"/>
                <w:lang w:val="ro-RO" w:eastAsia="en-US"/>
              </w:rPr>
              <w:t>10 mg/kg (0,001 % în greutate</w:t>
            </w:r>
            <w:r w:rsidRPr="00044C72">
              <w:rPr>
                <w:rFonts w:eastAsiaTheme="minorHAnsi"/>
                <w:b/>
                <w:bCs/>
                <w:lang w:val="ro-RO" w:eastAsia="en-US"/>
              </w:rPr>
              <w:t>)</w:t>
            </w:r>
            <w:r w:rsidRPr="00044C72">
              <w:rPr>
                <w:rFonts w:eastAsiaTheme="minorHAnsi"/>
                <w:bCs/>
                <w:lang w:val="ro-RO" w:eastAsia="en-US"/>
              </w:rPr>
              <w:t>, în cazul în care acestea sunt prezente, în </w:t>
            </w:r>
            <w:r w:rsidRPr="00044C72">
              <w:rPr>
                <w:rFonts w:eastAsiaTheme="minorHAnsi"/>
                <w:lang w:val="ro-RO" w:eastAsia="en-US"/>
              </w:rPr>
              <w:t>amestecuri sau articole</w:t>
            </w:r>
            <w:r w:rsidRPr="00044C72">
              <w:rPr>
                <w:rFonts w:eastAsiaTheme="minorHAnsi"/>
                <w:bCs/>
                <w:lang w:val="ro-RO" w:eastAsia="en-US"/>
              </w:rPr>
              <w:t xml:space="preserve">,  </w:t>
            </w:r>
            <w:r w:rsidRPr="00044C72">
              <w:rPr>
                <w:rFonts w:eastAsiaTheme="minorHAnsi"/>
                <w:bCs/>
                <w:i/>
                <w:iCs/>
                <w:lang w:val="ro-RO" w:eastAsia="en-US"/>
              </w:rPr>
              <w:t>cu excepția materialelor care întră în contact cu produsele alimentare conform Regulamentului sanitar privind materialele și obiectele destinate să vină în contact cu produsele alimentare, aprobat prin Hotărârea de Guvern nr.308/2011;</w:t>
            </w:r>
          </w:p>
          <w:p w14:paraId="2C08D712"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b)  prin derogare de la limita 10 mg/kg, prevăzută la litera a), în  cazul amestecurilor și articolelor fabricate (parțial sau integral) din </w:t>
            </w:r>
            <w:r w:rsidRPr="00044C72">
              <w:rPr>
                <w:rFonts w:eastAsiaTheme="minorHAnsi"/>
                <w:lang w:val="ro-RO" w:eastAsia="en-US"/>
              </w:rPr>
              <w:t>materiale reciclabile</w:t>
            </w:r>
            <w:r w:rsidRPr="00044C72">
              <w:rPr>
                <w:rFonts w:eastAsiaTheme="minorHAnsi"/>
                <w:bCs/>
                <w:lang w:val="ro-RO" w:eastAsia="en-US"/>
              </w:rPr>
              <w:t xml:space="preserve"> sau din deșeuri pregătite pentru reutilizare, </w:t>
            </w:r>
            <w:r w:rsidRPr="00044C72">
              <w:rPr>
                <w:rFonts w:eastAsiaTheme="minorHAnsi"/>
                <w:bCs/>
                <w:i/>
                <w:iCs/>
                <w:lang w:val="ro-RO" w:eastAsia="en-US"/>
              </w:rPr>
              <w:lastRenderedPageBreak/>
              <w:t>cu excepția materialelor care întră în contact cu produsele alimentare, conform Hotărârii de Guvern nr. 308/2011,</w:t>
            </w:r>
            <w:r w:rsidRPr="00044C72">
              <w:rPr>
                <w:rFonts w:eastAsiaTheme="minorHAnsi"/>
                <w:bCs/>
                <w:lang w:val="ro-RO" w:eastAsia="en-US"/>
              </w:rPr>
              <w:t xml:space="preserve"> după cum urmează; </w:t>
            </w:r>
          </w:p>
          <w:p w14:paraId="6A2F9DA3" w14:textId="03BA12D2"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- 500 mg/kg - până </w:t>
            </w:r>
            <w:r w:rsidRPr="00044C72">
              <w:rPr>
                <w:rFonts w:eastAsiaTheme="minorHAnsi"/>
                <w:bCs/>
                <w:color w:val="000000" w:themeColor="text1"/>
                <w:lang w:val="ro-RO" w:eastAsia="en-US"/>
              </w:rPr>
              <w:t xml:space="preserve">la data intrării în vigoare a prezentei  </w:t>
            </w:r>
            <w:r w:rsidR="00173C44">
              <w:rPr>
                <w:rFonts w:eastAsiaTheme="minorHAnsi"/>
                <w:bCs/>
                <w:color w:val="000000" w:themeColor="text1"/>
                <w:lang w:val="ro-RO" w:eastAsia="en-US"/>
              </w:rPr>
              <w:t>h</w:t>
            </w:r>
            <w:r w:rsidRPr="00044C72">
              <w:rPr>
                <w:rFonts w:eastAsiaTheme="minorHAnsi"/>
                <w:bCs/>
                <w:color w:val="000000" w:themeColor="text1"/>
                <w:lang w:val="ro-RO" w:eastAsia="en-US"/>
              </w:rPr>
              <w:t xml:space="preserve">otărâri. </w:t>
            </w:r>
          </w:p>
          <w:p w14:paraId="3FBF56B9" w14:textId="43D4680C" w:rsidR="00044C72" w:rsidRPr="00044C72" w:rsidRDefault="00044C72" w:rsidP="00044C72">
            <w:pPr>
              <w:spacing w:after="160" w:line="276" w:lineRule="auto"/>
              <w:jc w:val="both"/>
              <w:rPr>
                <w:rFonts w:eastAsiaTheme="minorHAnsi"/>
                <w:bCs/>
                <w:color w:val="000000" w:themeColor="text1"/>
                <w:lang w:val="ro-RO" w:eastAsia="en-US"/>
              </w:rPr>
            </w:pPr>
            <w:r w:rsidRPr="00044C72">
              <w:rPr>
                <w:rFonts w:eastAsiaTheme="minorHAnsi"/>
                <w:bCs/>
                <w:lang w:val="ro-RO" w:eastAsia="en-US"/>
              </w:rPr>
              <w:t>- 350 mg/kg – începând cu</w:t>
            </w:r>
            <w:r w:rsidRPr="00044C72">
              <w:rPr>
                <w:rFonts w:eastAsiaTheme="minorHAnsi"/>
                <w:bCs/>
                <w:color w:val="000000" w:themeColor="text1"/>
                <w:lang w:val="ro-RO" w:eastAsia="en-US"/>
              </w:rPr>
              <w:t xml:space="preserve"> data intrării în vigoare a prezentei  </w:t>
            </w:r>
            <w:r w:rsidR="00173C44">
              <w:rPr>
                <w:rFonts w:eastAsiaTheme="minorHAnsi"/>
                <w:bCs/>
                <w:color w:val="000000" w:themeColor="text1"/>
                <w:lang w:val="ro-RO" w:eastAsia="en-US"/>
              </w:rPr>
              <w:t>h</w:t>
            </w:r>
            <w:r w:rsidRPr="00044C72">
              <w:rPr>
                <w:rFonts w:eastAsiaTheme="minorHAnsi"/>
                <w:bCs/>
                <w:color w:val="000000" w:themeColor="text1"/>
                <w:lang w:val="ro-RO" w:eastAsia="en-US"/>
              </w:rPr>
              <w:t>otărâri</w:t>
            </w:r>
            <w:r w:rsidRPr="00044C72">
              <w:rPr>
                <w:rFonts w:eastAsiaTheme="minorHAnsi"/>
                <w:bCs/>
                <w:lang w:val="ro-RO" w:eastAsia="en-US"/>
              </w:rPr>
              <w:t>;</w:t>
            </w:r>
          </w:p>
          <w:p w14:paraId="2A6ECF40"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-200 mg/kg - începând cu data de 30 decembrie 2027.</w:t>
            </w:r>
          </w:p>
          <w:p w14:paraId="78118E22"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xml:space="preserve">c) prin derogare de la prevederile literei a), în cazul  jucăriilor, </w:t>
            </w:r>
            <w:r w:rsidRPr="00044C72">
              <w:rPr>
                <w:rFonts w:eastAsiaTheme="minorHAnsi"/>
                <w:bCs/>
                <w:i/>
                <w:iCs/>
                <w:lang w:val="ro-RO" w:eastAsia="en-US"/>
              </w:rPr>
              <w:t>ce intră sub incidența  Hotărârii de Guvern nr. 808/2015 pentru aprobarea Reglementării tehnice privind siguranța jucăriilor</w:t>
            </w:r>
            <w:r w:rsidRPr="00044C72">
              <w:rPr>
                <w:rFonts w:eastAsiaTheme="minorHAnsi"/>
                <w:bCs/>
                <w:lang w:val="ro-RO" w:eastAsia="en-US"/>
              </w:rPr>
              <w:t xml:space="preserve">, sau al oricărui produs care facilitează așezarea, somnul, relaxarea, igiena, schimbarea și îngrijirea, hrănirea, suptul, transportul  pentru protecția copiilor, care conțin sau sunt fabricate din materiale reciclate, cu excepția materialelor care intră în contact cu produsele alimentare, suma  concentrațiilor de tetra-, </w:t>
            </w:r>
            <w:proofErr w:type="spellStart"/>
            <w:r w:rsidRPr="00044C72">
              <w:rPr>
                <w:rFonts w:eastAsiaTheme="minorHAnsi"/>
                <w:bCs/>
                <w:lang w:val="ro-RO" w:eastAsia="en-US"/>
              </w:rPr>
              <w:t>penta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hexa</w:t>
            </w:r>
            <w:proofErr w:type="spellEnd"/>
            <w:r w:rsidRPr="00044C72">
              <w:rPr>
                <w:rFonts w:eastAsiaTheme="minorHAnsi"/>
                <w:bCs/>
                <w:lang w:val="ro-RO" w:eastAsia="en-US"/>
              </w:rPr>
              <w:t xml:space="preserve">-, </w:t>
            </w:r>
            <w:proofErr w:type="spellStart"/>
            <w:r w:rsidRPr="00044C72">
              <w:rPr>
                <w:rFonts w:eastAsiaTheme="minorHAnsi"/>
                <w:bCs/>
                <w:lang w:val="ro-RO" w:eastAsia="en-US"/>
              </w:rPr>
              <w:t>hepta</w:t>
            </w:r>
            <w:proofErr w:type="spellEnd"/>
            <w:r w:rsidRPr="00044C72">
              <w:rPr>
                <w:rFonts w:eastAsiaTheme="minorHAnsi"/>
                <w:bCs/>
                <w:lang w:val="ro-RO" w:eastAsia="en-US"/>
              </w:rPr>
              <w:t xml:space="preserve">- și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(BDE) urmează a fi:</w:t>
            </w:r>
          </w:p>
          <w:p w14:paraId="54869DEB" w14:textId="4595B7D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lastRenderedPageBreak/>
              <w:t xml:space="preserve">- 500 mg/kg - până la data intrării în vigoare a prezentei  </w:t>
            </w:r>
            <w:r w:rsidR="00173C44">
              <w:rPr>
                <w:rFonts w:eastAsiaTheme="minorHAnsi"/>
                <w:bCs/>
                <w:lang w:val="ro-RO" w:eastAsia="en-US"/>
              </w:rPr>
              <w:t>h</w:t>
            </w:r>
            <w:r w:rsidRPr="00044C72">
              <w:rPr>
                <w:rFonts w:eastAsiaTheme="minorHAnsi"/>
                <w:bCs/>
                <w:lang w:val="ro-RO" w:eastAsia="en-US"/>
              </w:rPr>
              <w:t xml:space="preserve">otărâri. </w:t>
            </w:r>
          </w:p>
          <w:p w14:paraId="4B652C0B" w14:textId="5CC40859" w:rsidR="00044C72" w:rsidRPr="00044C72" w:rsidRDefault="00044C72" w:rsidP="00044C72">
            <w:pPr>
              <w:spacing w:after="160" w:line="276" w:lineRule="auto"/>
              <w:jc w:val="both"/>
              <w:rPr>
                <w:rFonts w:eastAsiaTheme="minorHAnsi"/>
                <w:bCs/>
                <w:color w:val="000000" w:themeColor="text1"/>
                <w:lang w:val="ro-RO" w:eastAsia="en-US"/>
              </w:rPr>
            </w:pPr>
            <w:r w:rsidRPr="00044C72">
              <w:rPr>
                <w:rFonts w:eastAsiaTheme="minorHAnsi"/>
                <w:bCs/>
                <w:lang w:val="ro-RO" w:eastAsia="en-US"/>
              </w:rPr>
              <w:t xml:space="preserve">- 350 mg/kg – începând cu </w:t>
            </w:r>
            <w:r w:rsidRPr="00044C72">
              <w:rPr>
                <w:rFonts w:eastAsiaTheme="minorHAnsi"/>
                <w:bCs/>
                <w:color w:val="000000" w:themeColor="text1"/>
                <w:lang w:val="ro-RO" w:eastAsia="en-US"/>
              </w:rPr>
              <w:t xml:space="preserve">data intrării în vigoare a prezentei  </w:t>
            </w:r>
            <w:r w:rsidR="00173C44">
              <w:rPr>
                <w:rFonts w:eastAsiaTheme="minorHAnsi"/>
                <w:bCs/>
                <w:color w:val="000000" w:themeColor="text1"/>
                <w:lang w:val="ro-RO" w:eastAsia="en-US"/>
              </w:rPr>
              <w:t>h</w:t>
            </w:r>
            <w:r w:rsidRPr="00044C72">
              <w:rPr>
                <w:rFonts w:eastAsiaTheme="minorHAnsi"/>
                <w:bCs/>
                <w:color w:val="000000" w:themeColor="text1"/>
                <w:lang w:val="ro-RO" w:eastAsia="en-US"/>
              </w:rPr>
              <w:t>otărâri</w:t>
            </w:r>
            <w:r w:rsidRPr="00044C72">
              <w:rPr>
                <w:rFonts w:eastAsiaTheme="minorHAnsi"/>
                <w:bCs/>
                <w:lang w:val="ro-RO" w:eastAsia="en-US"/>
              </w:rPr>
              <w:t>;</w:t>
            </w:r>
          </w:p>
          <w:p w14:paraId="03577C83"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Cs/>
                <w:lang w:val="ro-RO" w:eastAsia="en-US"/>
              </w:rPr>
              <w:t>- 10 mg/kg – începând cu 17 mai 2027;</w:t>
            </w:r>
          </w:p>
          <w:p w14:paraId="4E507140" w14:textId="77777777" w:rsidR="00044C72" w:rsidRPr="00044C72" w:rsidRDefault="00044C72" w:rsidP="00044C72">
            <w:pPr>
              <w:spacing w:after="160" w:line="276" w:lineRule="auto"/>
              <w:jc w:val="both"/>
              <w:rPr>
                <w:rFonts w:eastAsiaTheme="minorHAnsi"/>
                <w:bCs/>
                <w:lang w:val="ro-RO" w:eastAsia="en-US"/>
              </w:rPr>
            </w:pPr>
            <w:r w:rsidRPr="00044C72">
              <w:rPr>
                <w:rFonts w:eastAsiaTheme="minorHAnsi"/>
                <w:b/>
                <w:lang w:val="ro-RO" w:eastAsia="en-US"/>
              </w:rPr>
              <w:t>1.3</w:t>
            </w:r>
            <w:r w:rsidRPr="00044C72">
              <w:rPr>
                <w:rFonts w:eastAsiaTheme="minorHAnsi"/>
                <w:bCs/>
                <w:lang w:val="ro-RO" w:eastAsia="en-US"/>
              </w:rPr>
              <w:t>. Prin derogare, producerea, plasarea pe piață și utilizarea bis(</w:t>
            </w:r>
            <w:proofErr w:type="spellStart"/>
            <w:r w:rsidRPr="00044C72">
              <w:rPr>
                <w:rFonts w:eastAsiaTheme="minorHAnsi"/>
                <w:bCs/>
                <w:lang w:val="ro-RO" w:eastAsia="en-US"/>
              </w:rPr>
              <w:t>pentabromfenil</w:t>
            </w:r>
            <w:proofErr w:type="spellEnd"/>
            <w:r w:rsidRPr="00044C72">
              <w:rPr>
                <w:rFonts w:eastAsiaTheme="minorHAnsi"/>
                <w:bCs/>
                <w:lang w:val="ro-RO" w:eastAsia="en-US"/>
              </w:rPr>
              <w:t>) eterului (</w:t>
            </w:r>
            <w:proofErr w:type="spellStart"/>
            <w:r w:rsidRPr="00044C72">
              <w:rPr>
                <w:rFonts w:eastAsiaTheme="minorHAnsi"/>
                <w:bCs/>
                <w:lang w:val="ro-RO" w:eastAsia="en-US"/>
              </w:rPr>
              <w:t>decabromodifenileter</w:t>
            </w:r>
            <w:proofErr w:type="spellEnd"/>
            <w:r w:rsidRPr="00044C72">
              <w:rPr>
                <w:rFonts w:eastAsiaTheme="minorHAnsi"/>
                <w:bCs/>
                <w:lang w:val="ro-RO" w:eastAsia="en-US"/>
              </w:rPr>
              <w:t xml:space="preserve">; </w:t>
            </w:r>
            <w:proofErr w:type="spellStart"/>
            <w:r w:rsidRPr="00044C72">
              <w:rPr>
                <w:rFonts w:eastAsiaTheme="minorHAnsi"/>
                <w:bCs/>
                <w:lang w:val="ro-RO" w:eastAsia="en-US"/>
              </w:rPr>
              <w:t>decaBDE</w:t>
            </w:r>
            <w:proofErr w:type="spellEnd"/>
            <w:r w:rsidRPr="00044C72">
              <w:rPr>
                <w:rFonts w:eastAsiaTheme="minorHAnsi"/>
                <w:bCs/>
                <w:lang w:val="ro-RO" w:eastAsia="en-US"/>
              </w:rPr>
              <w:t xml:space="preserve">), </w:t>
            </w:r>
            <w:r w:rsidRPr="00044C72">
              <w:rPr>
                <w:rFonts w:eastAsiaTheme="minorHAnsi"/>
                <w:bCs/>
                <w:i/>
                <w:iCs/>
                <w:lang w:val="ro-RO" w:eastAsia="en-US"/>
              </w:rPr>
              <w:t>cu condiția raportării către Secretariatul Convenției de la Stockholm, în conformitate cu procedurile</w:t>
            </w:r>
            <w:r w:rsidRPr="00044C72">
              <w:rPr>
                <w:rFonts w:eastAsiaTheme="minorHAnsi"/>
                <w:bCs/>
                <w:lang w:val="ro-RO" w:eastAsia="en-US"/>
              </w:rPr>
              <w:t xml:space="preserve"> sunt permise în următoarele:</w:t>
            </w:r>
          </w:p>
          <w:p w14:paraId="7F157EE9" w14:textId="77777777" w:rsidR="00044C72" w:rsidRPr="00044C72" w:rsidRDefault="00044C72" w:rsidP="00044C72">
            <w:pPr>
              <w:spacing w:after="160" w:line="276" w:lineRule="auto"/>
              <w:rPr>
                <w:rFonts w:eastAsiaTheme="minorHAnsi"/>
                <w:lang w:val="ro-RO" w:eastAsia="ro-RO"/>
              </w:rPr>
            </w:pPr>
            <w:r w:rsidRPr="00044C72">
              <w:rPr>
                <w:rFonts w:eastAsiaTheme="minorHAnsi"/>
                <w:lang w:val="ro-RO" w:eastAsia="ro-RO"/>
              </w:rPr>
              <w:t>a) în fabricarea unei aeronave, pentru care s-a solicitat omologarea de tip de 2 martie 2019 și a fost primită înainte de decembrie 2022, până la 18 decembrie 2023 sau, în cazurile în care necesitatea continuă este justificată, până la 2 martie 2027;</w:t>
            </w:r>
          </w:p>
          <w:p w14:paraId="76B2A89A" w14:textId="77777777" w:rsidR="00044C72" w:rsidRPr="00044C72" w:rsidRDefault="00044C72" w:rsidP="00044C72">
            <w:pPr>
              <w:spacing w:after="160" w:line="276" w:lineRule="auto"/>
              <w:rPr>
                <w:rFonts w:eastAsiaTheme="minorHAnsi"/>
                <w:lang w:val="ro-RO" w:eastAsia="ro-RO"/>
              </w:rPr>
            </w:pPr>
            <w:r w:rsidRPr="00044C72">
              <w:rPr>
                <w:rFonts w:eastAsiaTheme="minorHAnsi"/>
                <w:lang w:val="ro-RO" w:eastAsia="ro-RO"/>
              </w:rPr>
              <w:t>b) în fabricarea de piese de schimb pentru oarecare dintre următoarele:</w:t>
            </w:r>
          </w:p>
          <w:p w14:paraId="3EFB14CE" w14:textId="77777777" w:rsidR="00044C72" w:rsidRPr="00044C72" w:rsidRDefault="00044C72" w:rsidP="00044C72">
            <w:pPr>
              <w:spacing w:after="160" w:line="259" w:lineRule="auto"/>
              <w:rPr>
                <w:rFonts w:eastAsiaTheme="minorHAnsi"/>
                <w:lang w:val="ro-RO" w:eastAsia="ro-RO"/>
              </w:rPr>
            </w:pPr>
            <w:r w:rsidRPr="00044C72">
              <w:rPr>
                <w:rFonts w:eastAsiaTheme="minorHAnsi"/>
                <w:lang w:val="ro-RO" w:eastAsia="ro-RO"/>
              </w:rPr>
              <w:t xml:space="preserve">1.  o aeronavă menționată la litera (a), produsă înainte de 18 decembrie 2023 sau, în cazurile în care necesitatea continuă este justificată, produsă înainte de 2 martie </w:t>
            </w:r>
            <w:r w:rsidRPr="00044C72">
              <w:rPr>
                <w:rFonts w:eastAsiaTheme="minorHAnsi"/>
                <w:lang w:val="ro-RO" w:eastAsia="ro-RO"/>
              </w:rPr>
              <w:lastRenderedPageBreak/>
              <w:t>2027, până la sfârșitul duratei de viață a aeronavei respective;</w:t>
            </w:r>
          </w:p>
          <w:p w14:paraId="4159FC3A" w14:textId="77777777" w:rsidR="00044C72" w:rsidRPr="00044C72" w:rsidRDefault="00044C72" w:rsidP="00044C72">
            <w:pPr>
              <w:spacing w:after="160" w:line="259" w:lineRule="auto"/>
              <w:rPr>
                <w:rFonts w:eastAsiaTheme="minorHAnsi"/>
                <w:lang w:val="ro-RO" w:eastAsia="ro-RO"/>
              </w:rPr>
            </w:pPr>
            <w:r w:rsidRPr="00044C72">
              <w:rPr>
                <w:rFonts w:eastAsiaTheme="minorHAnsi"/>
                <w:lang w:val="ro-RO" w:eastAsia="ro-RO"/>
              </w:rPr>
              <w:t>2. autovehiculele care se încadrează în domeniul de aplicare a Legii cu privire la omologarea și supravegherea pieței vehiculelor rutiere și pieselor componente pentru acestea, produse înainte de 15 iulie 2019, fie până în anul 2036, fie până la sfârșitul duratei de viață a acestor autovehicule, oricare dintre aceste date survine prima;</w:t>
            </w:r>
          </w:p>
          <w:p w14:paraId="342E0B4C" w14:textId="77777777" w:rsidR="00044C72" w:rsidRPr="00044C72" w:rsidRDefault="00044C72" w:rsidP="00044C72">
            <w:pPr>
              <w:spacing w:after="160" w:line="259" w:lineRule="auto"/>
              <w:rPr>
                <w:rFonts w:eastAsiaTheme="minorHAnsi"/>
                <w:lang w:val="ro-RO" w:eastAsia="ro-RO"/>
              </w:rPr>
            </w:pPr>
            <w:r w:rsidRPr="00044C72">
              <w:rPr>
                <w:rFonts w:eastAsiaTheme="minorHAnsi"/>
                <w:lang w:val="ro-RO" w:eastAsia="ro-RO"/>
              </w:rPr>
              <w:t>c) în echipamentele electrice și electronice care intră sub incidența Hotărârii de Guvern nr.643/2025.</w:t>
            </w:r>
          </w:p>
          <w:p w14:paraId="65742E5C" w14:textId="77777777" w:rsidR="00044C72" w:rsidRPr="00044C72" w:rsidRDefault="00044C72" w:rsidP="00044C72">
            <w:pPr>
              <w:shd w:val="clear" w:color="auto" w:fill="FFFFFF"/>
              <w:spacing w:after="160" w:line="259" w:lineRule="auto"/>
              <w:rPr>
                <w:rFonts w:eastAsiaTheme="minorHAnsi"/>
                <w:lang w:val="ro-RO" w:eastAsia="ro-RO"/>
              </w:rPr>
            </w:pPr>
            <w:r w:rsidRPr="00044C72">
              <w:rPr>
                <w:rFonts w:eastAsiaTheme="minorHAnsi"/>
                <w:b/>
                <w:bCs/>
                <w:lang w:val="ro-RO" w:eastAsia="ro-RO"/>
              </w:rPr>
              <w:t>1.4</w:t>
            </w:r>
            <w:r w:rsidRPr="00044C72">
              <w:rPr>
                <w:rFonts w:eastAsiaTheme="minorHAnsi"/>
                <w:lang w:val="ro-RO" w:eastAsia="ro-RO"/>
              </w:rPr>
              <w:t xml:space="preserve"> Derogările specifice pentru piesele de schimb destinate vehiculelor menționate la subpunctul 1.3 litera (b) punctul 2 se aplică producerii, plasării pe piață și utilizării de bis(</w:t>
            </w:r>
            <w:proofErr w:type="spellStart"/>
            <w:r w:rsidRPr="00044C72">
              <w:rPr>
                <w:rFonts w:eastAsiaTheme="minorHAnsi"/>
                <w:lang w:val="ro-RO" w:eastAsia="ro-RO"/>
              </w:rPr>
              <w:t>pentabromfenil</w:t>
            </w:r>
            <w:proofErr w:type="spellEnd"/>
            <w:r w:rsidRPr="00044C72">
              <w:rPr>
                <w:rFonts w:eastAsiaTheme="minorHAnsi"/>
                <w:lang w:val="ro-RO" w:eastAsia="ro-RO"/>
              </w:rPr>
              <w:t>) eter (</w:t>
            </w:r>
            <w:proofErr w:type="spellStart"/>
            <w:r w:rsidRPr="00044C72">
              <w:rPr>
                <w:rFonts w:eastAsiaTheme="minorHAnsi"/>
                <w:lang w:val="ro-RO" w:eastAsia="ro-RO"/>
              </w:rPr>
              <w:t>decabromodifenileter</w:t>
            </w:r>
            <w:proofErr w:type="spellEnd"/>
            <w:r w:rsidRPr="00044C72">
              <w:rPr>
                <w:rFonts w:eastAsiaTheme="minorHAnsi"/>
                <w:lang w:val="ro-RO" w:eastAsia="ro-RO"/>
              </w:rPr>
              <w:t xml:space="preserve">; </w:t>
            </w:r>
            <w:proofErr w:type="spellStart"/>
            <w:r w:rsidRPr="00044C72">
              <w:rPr>
                <w:rFonts w:eastAsiaTheme="minorHAnsi"/>
                <w:lang w:val="ro-RO" w:eastAsia="ro-RO"/>
              </w:rPr>
              <w:t>decaBDE</w:t>
            </w:r>
            <w:proofErr w:type="spellEnd"/>
            <w:r w:rsidRPr="00044C72">
              <w:rPr>
                <w:rFonts w:eastAsiaTheme="minorHAnsi"/>
                <w:lang w:val="ro-RO" w:eastAsia="ro-RO"/>
              </w:rPr>
              <w:t>) comercial care se încadrează în una sau mai multe dintre următoarele categorii:</w:t>
            </w:r>
          </w:p>
          <w:p w14:paraId="352371C3" w14:textId="77777777" w:rsidR="00044C72" w:rsidRPr="00044C72" w:rsidRDefault="00044C72" w:rsidP="00044C72">
            <w:pPr>
              <w:spacing w:after="160" w:line="259" w:lineRule="auto"/>
              <w:rPr>
                <w:rFonts w:eastAsiaTheme="minorHAnsi"/>
                <w:lang w:val="ro-RO" w:eastAsia="ro-RO"/>
              </w:rPr>
            </w:pPr>
            <w:r w:rsidRPr="00044C72">
              <w:rPr>
                <w:rFonts w:eastAsiaTheme="minorHAnsi"/>
                <w:lang w:val="ro-RO" w:eastAsia="ro-RO"/>
              </w:rPr>
              <w:t xml:space="preserve">a) aplicațiile grupului motopropulsor și cele din compartimentul motorului, cum ar fi cablul de masă al bateriei, cablurile de conectare ale bateriei, țevile sistemului mobil de </w:t>
            </w:r>
            <w:r w:rsidRPr="00044C72">
              <w:rPr>
                <w:rFonts w:eastAsiaTheme="minorHAnsi"/>
                <w:lang w:val="ro-RO" w:eastAsia="ro-RO"/>
              </w:rPr>
              <w:lastRenderedPageBreak/>
              <w:t>climatizare, grupul motopropulsor, cuzineții colectorului de evacuare, izolația compartimentului motorului, cablajul și distribuția electrică din compartimentul motorului (cablajul motorului etc.), senzorii de viteză, tuburile, modulele de ventilație și senzorii de detonație;</w:t>
            </w:r>
          </w:p>
          <w:p w14:paraId="2BD026B9" w14:textId="77777777" w:rsidR="00044C72" w:rsidRPr="00044C72" w:rsidRDefault="00044C72" w:rsidP="00044C72">
            <w:pPr>
              <w:spacing w:after="160" w:line="276" w:lineRule="auto"/>
              <w:rPr>
                <w:rFonts w:eastAsiaTheme="minorHAnsi"/>
                <w:lang w:val="ro-RO" w:eastAsia="ro-RO"/>
              </w:rPr>
            </w:pPr>
            <w:r w:rsidRPr="00044C72">
              <w:rPr>
                <w:rFonts w:eastAsiaTheme="minorHAnsi"/>
                <w:lang w:val="ro-RO" w:eastAsia="ro-RO"/>
              </w:rPr>
              <w:t>b) aplicațiile sistemului de alimentare cu combustibil, cum ar fi furtunurile de combustibil, rezervoarele de combustibil și rezervoarele de combustibil de sub caroserie;</w:t>
            </w:r>
          </w:p>
          <w:p w14:paraId="6B6A5BB9" w14:textId="77777777" w:rsidR="00044C72" w:rsidRPr="00044C72" w:rsidRDefault="00044C72" w:rsidP="00044C72">
            <w:pPr>
              <w:spacing w:after="160" w:line="276" w:lineRule="auto"/>
              <w:rPr>
                <w:rFonts w:eastAsiaTheme="minorHAnsi"/>
                <w:lang w:val="ro-RO" w:eastAsia="ro-RO"/>
              </w:rPr>
            </w:pPr>
            <w:r w:rsidRPr="00044C72">
              <w:rPr>
                <w:rFonts w:eastAsiaTheme="minorHAnsi"/>
                <w:lang w:val="ro-RO" w:eastAsia="ro-RO"/>
              </w:rPr>
              <w:t xml:space="preserve">c) dispozitivele pirotehnice și aplicațiile legate de dispozitive pirotehnice, cum ar fi cablurile de detonare ale </w:t>
            </w:r>
            <w:proofErr w:type="spellStart"/>
            <w:r w:rsidRPr="00044C72">
              <w:rPr>
                <w:rFonts w:eastAsiaTheme="minorHAnsi"/>
                <w:lang w:val="ro-RO" w:eastAsia="ro-RO"/>
              </w:rPr>
              <w:t>airbagului</w:t>
            </w:r>
            <w:proofErr w:type="spellEnd"/>
            <w:r w:rsidRPr="00044C72">
              <w:rPr>
                <w:rFonts w:eastAsiaTheme="minorHAnsi"/>
                <w:lang w:val="ro-RO" w:eastAsia="ro-RO"/>
              </w:rPr>
              <w:t xml:space="preserve">, tapițeria scaunelor/materialele textile care acoperă scaunele (numai dacă sunt relevante pentru </w:t>
            </w:r>
            <w:proofErr w:type="spellStart"/>
            <w:r w:rsidRPr="00044C72">
              <w:rPr>
                <w:rFonts w:eastAsiaTheme="minorHAnsi"/>
                <w:lang w:val="ro-RO" w:eastAsia="ro-RO"/>
              </w:rPr>
              <w:t>airbaguri</w:t>
            </w:r>
            <w:proofErr w:type="spellEnd"/>
            <w:r w:rsidRPr="00044C72">
              <w:rPr>
                <w:rFonts w:eastAsiaTheme="minorHAnsi"/>
                <w:lang w:val="ro-RO" w:eastAsia="ro-RO"/>
              </w:rPr>
              <w:t xml:space="preserve">) și </w:t>
            </w:r>
            <w:proofErr w:type="spellStart"/>
            <w:r w:rsidRPr="00044C72">
              <w:rPr>
                <w:rFonts w:eastAsiaTheme="minorHAnsi"/>
                <w:lang w:val="ro-RO" w:eastAsia="ro-RO"/>
              </w:rPr>
              <w:t>airbagurile</w:t>
            </w:r>
            <w:proofErr w:type="spellEnd"/>
            <w:r w:rsidRPr="00044C72">
              <w:rPr>
                <w:rFonts w:eastAsiaTheme="minorHAnsi"/>
                <w:lang w:val="ro-RO" w:eastAsia="ro-RO"/>
              </w:rPr>
              <w:t xml:space="preserve"> (frontale și laterale). </w:t>
            </w:r>
          </w:p>
          <w:p w14:paraId="6A4DC436" w14:textId="77777777" w:rsidR="00044C72" w:rsidRPr="00044C72" w:rsidRDefault="00044C72" w:rsidP="00044C72">
            <w:pPr>
              <w:spacing w:after="160" w:line="276" w:lineRule="auto"/>
              <w:rPr>
                <w:rFonts w:eastAsiaTheme="minorHAnsi"/>
                <w:lang w:val="ro-RO" w:eastAsia="ro-RO"/>
              </w:rPr>
            </w:pPr>
            <w:r w:rsidRPr="00044C72">
              <w:rPr>
                <w:rFonts w:eastAsiaTheme="minorHAnsi"/>
                <w:b/>
                <w:bCs/>
                <w:lang w:val="ro-RO" w:eastAsia="ro-RO"/>
              </w:rPr>
              <w:t>1.5.</w:t>
            </w:r>
            <w:r w:rsidRPr="00044C72">
              <w:rPr>
                <w:rFonts w:eastAsiaTheme="minorHAnsi"/>
                <w:lang w:val="ro-RO" w:eastAsia="ro-RO"/>
              </w:rPr>
              <w:t xml:space="preserve"> Se permite utilizarea în continuare a articolelor care conțin </w:t>
            </w:r>
            <w:proofErr w:type="spellStart"/>
            <w:r w:rsidRPr="00044C72">
              <w:rPr>
                <w:rFonts w:eastAsiaTheme="minorHAnsi"/>
                <w:lang w:val="ro-RO" w:eastAsia="ro-RO"/>
              </w:rPr>
              <w:t>decaBDE</w:t>
            </w:r>
            <w:proofErr w:type="spellEnd"/>
            <w:r w:rsidRPr="00044C72">
              <w:rPr>
                <w:rFonts w:eastAsiaTheme="minorHAnsi"/>
                <w:lang w:val="ro-RO" w:eastAsia="ro-RO"/>
              </w:rPr>
              <w:t xml:space="preserve"> și care se aflau deja în uz pe piața națională înainte de data de intrarea în vigoare a prezentei hotărâri. Gestionarea acestor articole la scoaterea din uz se </w:t>
            </w:r>
            <w:r w:rsidRPr="00044C72">
              <w:rPr>
                <w:rFonts w:eastAsiaTheme="minorHAnsi"/>
                <w:lang w:val="ro-RO" w:eastAsia="ro-RO"/>
              </w:rPr>
              <w:lastRenderedPageBreak/>
              <w:t>realizează cu respectarea cerințelor de control stabilite în prezentul Regulament.</w:t>
            </w:r>
          </w:p>
          <w:p w14:paraId="446D3D22" w14:textId="77777777" w:rsidR="00044C72" w:rsidRPr="00044C72" w:rsidRDefault="00044C72" w:rsidP="00044C72">
            <w:pPr>
              <w:spacing w:after="160" w:line="276" w:lineRule="auto"/>
              <w:rPr>
                <w:rFonts w:eastAsiaTheme="minorHAnsi"/>
                <w:lang w:val="ro-RO" w:eastAsia="ro-RO"/>
              </w:rPr>
            </w:pPr>
            <w:r w:rsidRPr="00044C72">
              <w:rPr>
                <w:rFonts w:eastAsiaTheme="minorHAnsi"/>
                <w:b/>
                <w:bCs/>
                <w:lang w:val="ro-RO" w:eastAsia="ro-RO"/>
              </w:rPr>
              <w:t xml:space="preserve">1.6. </w:t>
            </w:r>
            <w:r w:rsidRPr="00044C72">
              <w:rPr>
                <w:rFonts w:eastAsiaTheme="minorHAnsi"/>
                <w:lang w:val="ro-RO" w:eastAsia="ro-RO"/>
              </w:rPr>
              <w:t xml:space="preserve">Fără a aduce atingere aplicării altor dispoziții privind clasificarea, ambalarea și etichetarea substanțelor și amestecurilor, articolele în care se utilizează </w:t>
            </w:r>
            <w:proofErr w:type="spellStart"/>
            <w:r w:rsidRPr="00044C72">
              <w:rPr>
                <w:rFonts w:eastAsiaTheme="minorHAnsi"/>
                <w:lang w:val="ro-RO" w:eastAsia="ro-RO"/>
              </w:rPr>
              <w:t>decaBDE</w:t>
            </w:r>
            <w:proofErr w:type="spellEnd"/>
            <w:r w:rsidRPr="00044C72">
              <w:rPr>
                <w:rFonts w:eastAsiaTheme="minorHAnsi"/>
                <w:lang w:val="ro-RO" w:eastAsia="ro-RO"/>
              </w:rPr>
              <w:t xml:space="preserve"> trebuie să fie identificabile prin etichetare sau prin alte mijloace pe tot parcursul ciclului lor de viață;</w:t>
            </w:r>
          </w:p>
          <w:p w14:paraId="2DCF224F" w14:textId="77777777" w:rsidR="00044C72" w:rsidRPr="00044C72" w:rsidRDefault="00044C72" w:rsidP="00044C72">
            <w:pPr>
              <w:spacing w:after="160" w:line="276" w:lineRule="auto"/>
              <w:rPr>
                <w:rFonts w:eastAsiaTheme="minorHAnsi"/>
                <w:lang w:val="ro-RO" w:eastAsia="ro-RO"/>
              </w:rPr>
            </w:pPr>
            <w:r w:rsidRPr="00044C72">
              <w:rPr>
                <w:rFonts w:eastAsiaTheme="minorHAnsi"/>
                <w:b/>
                <w:bCs/>
                <w:lang w:val="ro-RO" w:eastAsia="ro-RO"/>
              </w:rPr>
              <w:t xml:space="preserve">1.7. </w:t>
            </w:r>
            <w:r w:rsidRPr="00044C72">
              <w:rPr>
                <w:rFonts w:eastAsiaTheme="minorHAnsi"/>
                <w:lang w:val="ro-RO" w:eastAsia="ro-RO"/>
              </w:rPr>
              <w:t>Plasarea pe piață și utilizarea articolelor care conțin </w:t>
            </w:r>
            <w:proofErr w:type="spellStart"/>
            <w:r w:rsidRPr="00044C72">
              <w:rPr>
                <w:rFonts w:eastAsiaTheme="minorHAnsi"/>
                <w:lang w:val="ro-RO" w:eastAsia="ro-RO"/>
              </w:rPr>
              <w:t>decaBDE</w:t>
            </w:r>
            <w:proofErr w:type="spellEnd"/>
            <w:r w:rsidRPr="00044C72">
              <w:rPr>
                <w:rFonts w:eastAsiaTheme="minorHAnsi"/>
                <w:lang w:val="ro-RO" w:eastAsia="ro-RO"/>
              </w:rPr>
              <w:t>, importate în scopul derogărilor specifice menționate la punctul 1.3, sunt permise până la expirarea termenelor respective. Prevederile punctului 1.6 se aplică acestor articole ca și cum ar fi fost produse în temeiul derogărilor de la punctul 1.3. Articolele care sunt deja în uz la data expirării derogării relevante pot fi utilizate în continuare până la sfârșitul ciclului lor de viață.</w:t>
            </w:r>
          </w:p>
          <w:p w14:paraId="7E640C2F" w14:textId="77777777" w:rsidR="00044C72" w:rsidRPr="00044C72" w:rsidRDefault="00044C72" w:rsidP="00044C72">
            <w:pPr>
              <w:spacing w:after="160" w:line="276" w:lineRule="auto"/>
              <w:rPr>
                <w:rFonts w:eastAsiaTheme="minorHAnsi"/>
                <w:lang w:val="ro-RO" w:eastAsia="ro-RO"/>
              </w:rPr>
            </w:pPr>
            <w:r w:rsidRPr="00044C72">
              <w:rPr>
                <w:rFonts w:eastAsiaTheme="minorHAnsi"/>
                <w:b/>
                <w:bCs/>
                <w:lang w:val="ro-RO" w:eastAsia="ro-RO"/>
              </w:rPr>
              <w:t>1.8</w:t>
            </w:r>
            <w:r w:rsidRPr="00044C72">
              <w:rPr>
                <w:rFonts w:eastAsiaTheme="minorHAnsi"/>
                <w:lang w:val="ro-RO" w:eastAsia="ro-RO"/>
              </w:rPr>
              <w:t>. În sensul prezentei intrări, prin „aeronavă” se înțelege:</w:t>
            </w:r>
          </w:p>
          <w:p w14:paraId="5F345EF5" w14:textId="77777777" w:rsidR="00044C72" w:rsidRPr="00044C72" w:rsidRDefault="00044C72" w:rsidP="00044C72">
            <w:pPr>
              <w:spacing w:after="160" w:line="276" w:lineRule="auto"/>
              <w:rPr>
                <w:rFonts w:eastAsiaTheme="minorHAnsi"/>
                <w:lang w:val="ro-RO" w:eastAsia="ro-RO"/>
              </w:rPr>
            </w:pPr>
            <w:r w:rsidRPr="00044C72">
              <w:rPr>
                <w:rFonts w:eastAsiaTheme="minorHAnsi"/>
                <w:lang w:val="ro-RO" w:eastAsia="ro-RO"/>
              </w:rPr>
              <w:t xml:space="preserve">a) o aeronavă civilă produsă în conformitate cu un </w:t>
            </w:r>
            <w:r w:rsidRPr="00044C72">
              <w:rPr>
                <w:rFonts w:eastAsiaTheme="minorHAnsi"/>
                <w:lang w:val="ro-RO" w:eastAsia="ro-RO"/>
              </w:rPr>
              <w:lastRenderedPageBreak/>
              <w:t>certificat de tip emis în temeiul Codului aerian al Republicii Moldova nr. 301/2017 sau cu o aprobare de proiectare emisă în temeiul reglementărilor naționale ale unui stat contractant al Organizației Aviației Civile Internaționale (OACI) ori pentru care a fost emis un certificat de navigabilitate de către un stat contractant al OACI în temeiul anexei 8 la Convenția privind aviația civilă internațională;</w:t>
            </w:r>
          </w:p>
          <w:p w14:paraId="772BCED1" w14:textId="77777777" w:rsidR="00044C72" w:rsidRPr="00044C72" w:rsidRDefault="00044C72" w:rsidP="00044C72">
            <w:pPr>
              <w:spacing w:after="160" w:line="276" w:lineRule="auto"/>
              <w:rPr>
                <w:rFonts w:eastAsiaTheme="minorHAnsi"/>
                <w:lang w:val="ro-RO" w:eastAsia="ro-RO"/>
              </w:rPr>
            </w:pPr>
            <w:r w:rsidRPr="00044C72">
              <w:rPr>
                <w:rFonts w:eastAsiaTheme="minorHAnsi"/>
                <w:lang w:val="ro-RO" w:eastAsia="ro-RO"/>
              </w:rPr>
              <w:t>b) o aeronavă militară.</w:t>
            </w:r>
          </w:p>
        </w:tc>
      </w:tr>
      <w:tr w:rsidR="00044C72" w:rsidRPr="00AA2C89" w14:paraId="4751B1FF" w14:textId="77777777" w:rsidTr="00067CBF">
        <w:tc>
          <w:tcPr>
            <w:tcW w:w="3731" w:type="dxa"/>
          </w:tcPr>
          <w:p w14:paraId="2850F1A2" w14:textId="18F5E58D" w:rsidR="00044C72" w:rsidRPr="00044C72" w:rsidRDefault="00044C72" w:rsidP="00044C72">
            <w:pPr>
              <w:spacing w:line="276" w:lineRule="auto"/>
              <w:textAlignment w:val="baseline"/>
              <w:rPr>
                <w:lang w:val="ro-MD" w:eastAsia="ro-MD"/>
              </w:rPr>
            </w:pPr>
            <w:r w:rsidRPr="00044C72">
              <w:rPr>
                <w:rFonts w:eastAsia="Calibri" w:hint="eastAsia"/>
                <w:bCs/>
                <w:lang w:val="ro-MD" w:eastAsia="en-US"/>
              </w:rPr>
              <w:lastRenderedPageBreak/>
              <w:t xml:space="preserve">Acid </w:t>
            </w:r>
            <w:proofErr w:type="spellStart"/>
            <w:r w:rsidRPr="00044C72">
              <w:rPr>
                <w:rFonts w:eastAsia="Calibri" w:hint="eastAsia"/>
                <w:bCs/>
                <w:lang w:val="ro-MD" w:eastAsia="en-US"/>
              </w:rPr>
              <w:t>perfluorooctan</w:t>
            </w:r>
            <w:proofErr w:type="spellEnd"/>
            <w:r w:rsidRPr="00044C72">
              <w:rPr>
                <w:rFonts w:eastAsia="Calibri" w:hint="eastAsia"/>
                <w:bCs/>
                <w:lang w:val="ro-MD" w:eastAsia="en-US"/>
              </w:rPr>
              <w:t xml:space="preserve"> </w:t>
            </w:r>
            <w:proofErr w:type="spellStart"/>
            <w:r w:rsidRPr="00044C72">
              <w:rPr>
                <w:rFonts w:eastAsia="Calibri" w:hint="eastAsia"/>
                <w:bCs/>
                <w:lang w:val="ro-MD" w:eastAsia="en-US"/>
              </w:rPr>
              <w:t>sulfonic</w:t>
            </w:r>
            <w:proofErr w:type="spellEnd"/>
            <w:r w:rsidRPr="00044C72">
              <w:rPr>
                <w:rFonts w:eastAsia="Calibri" w:hint="eastAsia"/>
                <w:bCs/>
                <w:lang w:val="ro-MD" w:eastAsia="en-US"/>
              </w:rPr>
              <w:t xml:space="preserve"> (PFOS), sărurile sale și compuși înrudiți cu PFOS C8F17SO2X</w:t>
            </w:r>
            <w:r w:rsidRPr="00044C72">
              <w:rPr>
                <w:rFonts w:eastAsia="Calibri" w:hint="eastAsia"/>
                <w:bCs/>
                <w:lang w:val="ro-MD" w:eastAsia="en-US"/>
              </w:rPr>
              <w:br/>
              <w:t>( X = OH, Sare metalică (OM </w:t>
            </w:r>
            <w:r w:rsidRPr="00044C72">
              <w:rPr>
                <w:rFonts w:eastAsia="Calibri" w:hint="eastAsia"/>
                <w:bCs/>
                <w:vertAlign w:val="subscript"/>
                <w:lang w:val="ro-MD" w:eastAsia="en-US"/>
              </w:rPr>
              <w:t>+</w:t>
            </w:r>
            <w:r w:rsidRPr="00044C72">
              <w:rPr>
                <w:rFonts w:eastAsia="Calibri" w:hint="eastAsia"/>
                <w:bCs/>
                <w:lang w:val="ro-MD" w:eastAsia="en-US"/>
              </w:rPr>
              <w:t> ) </w:t>
            </w:r>
            <w:r w:rsidRPr="00044C72">
              <w:rPr>
                <w:rFonts w:eastAsia="Calibri" w:hint="eastAsia"/>
                <w:bCs/>
                <w:vertAlign w:val="superscript"/>
                <w:lang w:val="ro-MD" w:eastAsia="en-US"/>
              </w:rPr>
              <w:t>,</w:t>
            </w:r>
            <w:r w:rsidRPr="00044C72">
              <w:rPr>
                <w:rFonts w:eastAsia="Calibri" w:hint="eastAsia"/>
                <w:bCs/>
                <w:lang w:val="ro-MD" w:eastAsia="en-US"/>
              </w:rPr>
              <w:t> halogenură , amidă și alți compuși înrudiți, inclusiv </w:t>
            </w:r>
            <w:r w:rsidRPr="00CF67DA">
              <w:rPr>
                <w:rFonts w:eastAsia="Calibri" w:hint="eastAsia"/>
                <w:bCs/>
                <w:lang w:val="ro-MD" w:eastAsia="en-US"/>
              </w:rPr>
              <w:t>polimeri )</w:t>
            </w:r>
            <w:r w:rsidRPr="00044C72">
              <w:rPr>
                <w:rFonts w:eastAsia="Calibri" w:hint="eastAsia"/>
                <w:bCs/>
                <w:vertAlign w:val="subscript"/>
                <w:lang w:val="ro-MD" w:eastAsia="en-US"/>
              </w:rPr>
              <w:t> </w:t>
            </w:r>
            <w:r w:rsidRPr="00044C72">
              <w:rPr>
                <w:rFonts w:eastAsia="Calibri" w:hint="eastAsia"/>
                <w:b/>
                <w:bCs/>
                <w:lang w:val="ro-MD" w:eastAsia="en-US"/>
              </w:rPr>
              <w:t> </w:t>
            </w:r>
          </w:p>
        </w:tc>
        <w:tc>
          <w:tcPr>
            <w:tcW w:w="1142" w:type="dxa"/>
          </w:tcPr>
          <w:p w14:paraId="44528E72" w14:textId="77777777" w:rsidR="00044C72" w:rsidRPr="00044C72" w:rsidRDefault="00044C72" w:rsidP="00044C72">
            <w:pPr>
              <w:spacing w:before="60" w:after="60" w:line="312" w:lineRule="atLeast"/>
              <w:jc w:val="both"/>
              <w:rPr>
                <w:lang w:val="ro-MD" w:eastAsia="ro-MD"/>
              </w:rPr>
            </w:pPr>
            <w:r w:rsidRPr="00044C72">
              <w:rPr>
                <w:lang w:val="ro-MD" w:eastAsia="ro-MD"/>
              </w:rPr>
              <w:t>1763-23-1</w:t>
            </w:r>
          </w:p>
          <w:p w14:paraId="2E2F86E7" w14:textId="77777777" w:rsidR="00044C72" w:rsidRPr="00044C72" w:rsidRDefault="00044C72" w:rsidP="00044C72">
            <w:pPr>
              <w:spacing w:before="60" w:after="60" w:line="312" w:lineRule="atLeast"/>
              <w:jc w:val="both"/>
              <w:rPr>
                <w:lang w:val="ro-MD" w:eastAsia="ro-MD"/>
              </w:rPr>
            </w:pPr>
            <w:r w:rsidRPr="00044C72">
              <w:rPr>
                <w:lang w:val="ro-MD" w:eastAsia="ro-MD"/>
              </w:rPr>
              <w:t>2795-39-3</w:t>
            </w:r>
          </w:p>
          <w:p w14:paraId="70571D70" w14:textId="77777777" w:rsidR="00044C72" w:rsidRPr="00044C72" w:rsidRDefault="00044C72" w:rsidP="00044C72">
            <w:pPr>
              <w:spacing w:before="60" w:after="60" w:line="312" w:lineRule="atLeast"/>
              <w:jc w:val="both"/>
              <w:rPr>
                <w:lang w:val="ro-MD" w:eastAsia="ro-MD"/>
              </w:rPr>
            </w:pPr>
            <w:r w:rsidRPr="00044C72">
              <w:rPr>
                <w:lang w:val="ro-MD" w:eastAsia="ro-MD"/>
              </w:rPr>
              <w:t>29457-72-5</w:t>
            </w:r>
          </w:p>
          <w:p w14:paraId="59114381" w14:textId="77777777" w:rsidR="00044C72" w:rsidRPr="00044C72" w:rsidRDefault="00044C72" w:rsidP="00044C72">
            <w:pPr>
              <w:spacing w:before="60" w:after="60" w:line="312" w:lineRule="atLeast"/>
              <w:jc w:val="both"/>
              <w:rPr>
                <w:lang w:val="ro-MD" w:eastAsia="ro-MD"/>
              </w:rPr>
            </w:pPr>
            <w:r w:rsidRPr="00044C72">
              <w:rPr>
                <w:lang w:val="ro-MD" w:eastAsia="ro-MD"/>
              </w:rPr>
              <w:t>29081-56-9</w:t>
            </w:r>
          </w:p>
          <w:p w14:paraId="06578269" w14:textId="77777777" w:rsidR="00044C72" w:rsidRPr="00044C72" w:rsidRDefault="00044C72" w:rsidP="00044C72">
            <w:pPr>
              <w:spacing w:before="60" w:after="60" w:line="312" w:lineRule="atLeast"/>
              <w:jc w:val="both"/>
              <w:rPr>
                <w:lang w:val="ro-MD" w:eastAsia="ro-MD"/>
              </w:rPr>
            </w:pPr>
            <w:r w:rsidRPr="00044C72">
              <w:rPr>
                <w:lang w:val="ro-MD" w:eastAsia="ro-MD"/>
              </w:rPr>
              <w:t>70225-14-8</w:t>
            </w:r>
          </w:p>
          <w:p w14:paraId="6632A1C0" w14:textId="77777777" w:rsidR="00044C72" w:rsidRPr="00044C72" w:rsidRDefault="00044C72" w:rsidP="00044C72">
            <w:pPr>
              <w:spacing w:before="60" w:after="60" w:line="312" w:lineRule="atLeast"/>
              <w:jc w:val="both"/>
              <w:rPr>
                <w:lang w:val="ro-MD" w:eastAsia="ro-MD"/>
              </w:rPr>
            </w:pPr>
            <w:r w:rsidRPr="00044C72">
              <w:rPr>
                <w:lang w:val="ro-MD" w:eastAsia="ro-MD"/>
              </w:rPr>
              <w:t>56773-42-3</w:t>
            </w:r>
          </w:p>
          <w:p w14:paraId="3F743803" w14:textId="77777777" w:rsidR="00044C72" w:rsidRPr="00044C72" w:rsidRDefault="00044C72" w:rsidP="00044C72">
            <w:pPr>
              <w:spacing w:before="60" w:after="60" w:line="312" w:lineRule="atLeast"/>
              <w:jc w:val="both"/>
              <w:rPr>
                <w:lang w:val="ro-MD" w:eastAsia="ro-MD"/>
              </w:rPr>
            </w:pPr>
            <w:r w:rsidRPr="00044C72">
              <w:rPr>
                <w:lang w:val="ro-MD" w:eastAsia="ro-MD"/>
              </w:rPr>
              <w:t>251099-16-8</w:t>
            </w:r>
          </w:p>
          <w:p w14:paraId="6895AF31" w14:textId="77777777" w:rsidR="00044C72" w:rsidRPr="00044C72" w:rsidRDefault="00044C72" w:rsidP="00044C72">
            <w:pPr>
              <w:spacing w:before="60" w:after="60" w:line="312" w:lineRule="atLeast"/>
              <w:jc w:val="both"/>
              <w:rPr>
                <w:lang w:val="ro-MD" w:eastAsia="ro-MD"/>
              </w:rPr>
            </w:pPr>
            <w:r w:rsidRPr="00044C72">
              <w:rPr>
                <w:lang w:val="ro-MD" w:eastAsia="ro-MD"/>
              </w:rPr>
              <w:t>4151-50-2</w:t>
            </w:r>
          </w:p>
          <w:p w14:paraId="516EDE6A" w14:textId="77777777" w:rsidR="00044C72" w:rsidRPr="00044C72" w:rsidRDefault="00044C72" w:rsidP="00044C72">
            <w:pPr>
              <w:spacing w:before="60" w:after="60" w:line="312" w:lineRule="atLeast"/>
              <w:jc w:val="both"/>
              <w:rPr>
                <w:lang w:val="ro-MD" w:eastAsia="ro-MD"/>
              </w:rPr>
            </w:pPr>
            <w:r w:rsidRPr="00044C72">
              <w:rPr>
                <w:lang w:val="ro-MD" w:eastAsia="ro-MD"/>
              </w:rPr>
              <w:t>31506-32-8</w:t>
            </w:r>
          </w:p>
          <w:p w14:paraId="25576CC4" w14:textId="77777777" w:rsidR="00044C72" w:rsidRPr="00044C72" w:rsidRDefault="00044C72" w:rsidP="00044C72">
            <w:pPr>
              <w:spacing w:before="60" w:after="60" w:line="312" w:lineRule="atLeast"/>
              <w:jc w:val="both"/>
              <w:rPr>
                <w:lang w:val="ro-MD" w:eastAsia="ro-MD"/>
              </w:rPr>
            </w:pPr>
            <w:r w:rsidRPr="00044C72">
              <w:rPr>
                <w:lang w:val="ro-MD" w:eastAsia="ro-MD"/>
              </w:rPr>
              <w:t>1691-99-2</w:t>
            </w:r>
          </w:p>
          <w:p w14:paraId="25F45008" w14:textId="77777777" w:rsidR="00044C72" w:rsidRPr="00044C72" w:rsidRDefault="00044C72" w:rsidP="00044C72">
            <w:pPr>
              <w:spacing w:before="60" w:after="60" w:line="312" w:lineRule="atLeast"/>
              <w:jc w:val="both"/>
              <w:rPr>
                <w:lang w:val="ro-MD" w:eastAsia="ro-MD"/>
              </w:rPr>
            </w:pPr>
            <w:r w:rsidRPr="00044C72">
              <w:rPr>
                <w:lang w:val="ro-MD" w:eastAsia="ro-MD"/>
              </w:rPr>
              <w:lastRenderedPageBreak/>
              <w:t>24448-09-7</w:t>
            </w:r>
          </w:p>
          <w:p w14:paraId="28AEF88F" w14:textId="77777777" w:rsidR="00044C72" w:rsidRPr="00044C72" w:rsidRDefault="00044C72" w:rsidP="00044C72">
            <w:pPr>
              <w:spacing w:before="200" w:after="100" w:line="276" w:lineRule="auto"/>
              <w:jc w:val="center"/>
              <w:rPr>
                <w:rFonts w:eastAsia="Arial Unicode MS"/>
                <w:iCs/>
                <w:lang w:val="en-US" w:eastAsia="ro-RO"/>
              </w:rPr>
            </w:pPr>
            <w:r w:rsidRPr="00044C72">
              <w:rPr>
                <w:lang w:val="ro-MD" w:eastAsia="ro-MD"/>
              </w:rPr>
              <w:t>307-35-7 și altele</w:t>
            </w:r>
          </w:p>
        </w:tc>
        <w:tc>
          <w:tcPr>
            <w:tcW w:w="792" w:type="dxa"/>
          </w:tcPr>
          <w:p w14:paraId="5B823B86" w14:textId="77777777" w:rsidR="00044C72" w:rsidRPr="00044C72" w:rsidRDefault="00044C72" w:rsidP="00044C72">
            <w:pPr>
              <w:spacing w:before="60" w:after="60" w:line="312" w:lineRule="atLeast"/>
              <w:jc w:val="both"/>
              <w:rPr>
                <w:lang w:val="ro-MD" w:eastAsia="ro-MD"/>
              </w:rPr>
            </w:pPr>
            <w:r w:rsidRPr="00044C72">
              <w:rPr>
                <w:lang w:val="ro-MD" w:eastAsia="ro-MD"/>
              </w:rPr>
              <w:lastRenderedPageBreak/>
              <w:t>217-179-8</w:t>
            </w:r>
          </w:p>
          <w:p w14:paraId="2E3258A6" w14:textId="77777777" w:rsidR="00044C72" w:rsidRPr="00044C72" w:rsidRDefault="00044C72" w:rsidP="00044C72">
            <w:pPr>
              <w:spacing w:before="60" w:after="60" w:line="312" w:lineRule="atLeast"/>
              <w:jc w:val="both"/>
              <w:rPr>
                <w:lang w:val="ro-MD" w:eastAsia="ro-MD"/>
              </w:rPr>
            </w:pPr>
            <w:r w:rsidRPr="00044C72">
              <w:rPr>
                <w:lang w:val="ro-MD" w:eastAsia="ro-MD"/>
              </w:rPr>
              <w:t>220-527-1</w:t>
            </w:r>
          </w:p>
          <w:p w14:paraId="5C7FB165" w14:textId="77777777" w:rsidR="00044C72" w:rsidRPr="00044C72" w:rsidRDefault="00044C72" w:rsidP="00044C72">
            <w:pPr>
              <w:spacing w:before="60" w:after="60" w:line="312" w:lineRule="atLeast"/>
              <w:jc w:val="both"/>
              <w:rPr>
                <w:lang w:val="ro-MD" w:eastAsia="ro-MD"/>
              </w:rPr>
            </w:pPr>
            <w:r w:rsidRPr="00044C72">
              <w:rPr>
                <w:lang w:val="ro-MD" w:eastAsia="ro-MD"/>
              </w:rPr>
              <w:t>249-644-6</w:t>
            </w:r>
          </w:p>
          <w:p w14:paraId="29C54868" w14:textId="77777777" w:rsidR="00044C72" w:rsidRPr="00044C72" w:rsidRDefault="00044C72" w:rsidP="00044C72">
            <w:pPr>
              <w:spacing w:before="60" w:after="60" w:line="312" w:lineRule="atLeast"/>
              <w:jc w:val="both"/>
              <w:rPr>
                <w:lang w:val="ro-MD" w:eastAsia="ro-MD"/>
              </w:rPr>
            </w:pPr>
            <w:r w:rsidRPr="00044C72">
              <w:rPr>
                <w:lang w:val="ro-MD" w:eastAsia="ro-MD"/>
              </w:rPr>
              <w:t>249-415-0</w:t>
            </w:r>
          </w:p>
          <w:p w14:paraId="10779A05" w14:textId="77777777" w:rsidR="00044C72" w:rsidRPr="00044C72" w:rsidRDefault="00044C72" w:rsidP="00044C72">
            <w:pPr>
              <w:spacing w:before="60" w:after="60" w:line="312" w:lineRule="atLeast"/>
              <w:jc w:val="both"/>
              <w:rPr>
                <w:lang w:val="ro-MD" w:eastAsia="ro-MD"/>
              </w:rPr>
            </w:pPr>
            <w:r w:rsidRPr="00044C72">
              <w:rPr>
                <w:lang w:val="ro-MD" w:eastAsia="ro-MD"/>
              </w:rPr>
              <w:t>274-460-8</w:t>
            </w:r>
          </w:p>
          <w:p w14:paraId="575C7C4B" w14:textId="77777777" w:rsidR="00044C72" w:rsidRPr="00044C72" w:rsidRDefault="00044C72" w:rsidP="00044C72">
            <w:pPr>
              <w:spacing w:before="60" w:after="60" w:line="312" w:lineRule="atLeast"/>
              <w:jc w:val="both"/>
              <w:rPr>
                <w:lang w:val="ro-MD" w:eastAsia="ro-MD"/>
              </w:rPr>
            </w:pPr>
            <w:r w:rsidRPr="00044C72">
              <w:rPr>
                <w:lang w:val="ro-MD" w:eastAsia="ro-MD"/>
              </w:rPr>
              <w:t>260-375-3</w:t>
            </w:r>
          </w:p>
          <w:p w14:paraId="12193838" w14:textId="77777777" w:rsidR="00044C72" w:rsidRPr="00044C72" w:rsidRDefault="00044C72" w:rsidP="00044C72">
            <w:pPr>
              <w:spacing w:before="60" w:after="60" w:line="312" w:lineRule="atLeast"/>
              <w:jc w:val="both"/>
              <w:rPr>
                <w:lang w:val="ro-MD" w:eastAsia="ro-MD"/>
              </w:rPr>
            </w:pPr>
            <w:r w:rsidRPr="00044C72">
              <w:rPr>
                <w:lang w:val="ro-MD" w:eastAsia="ro-MD"/>
              </w:rPr>
              <w:t>223-980-3</w:t>
            </w:r>
          </w:p>
          <w:p w14:paraId="6C8E7031" w14:textId="77777777" w:rsidR="00044C72" w:rsidRPr="00044C72" w:rsidRDefault="00044C72" w:rsidP="00044C72">
            <w:pPr>
              <w:spacing w:before="60" w:after="60" w:line="312" w:lineRule="atLeast"/>
              <w:jc w:val="both"/>
              <w:rPr>
                <w:lang w:val="ro-MD" w:eastAsia="ro-MD"/>
              </w:rPr>
            </w:pPr>
            <w:r w:rsidRPr="00044C72">
              <w:rPr>
                <w:lang w:val="ro-MD" w:eastAsia="ro-MD"/>
              </w:rPr>
              <w:t>250-665-8</w:t>
            </w:r>
          </w:p>
          <w:p w14:paraId="2F72FC51" w14:textId="77777777" w:rsidR="00044C72" w:rsidRPr="00044C72" w:rsidRDefault="00044C72" w:rsidP="00044C72">
            <w:pPr>
              <w:spacing w:before="60" w:after="60" w:line="312" w:lineRule="atLeast"/>
              <w:jc w:val="both"/>
              <w:rPr>
                <w:lang w:val="ro-MD" w:eastAsia="ro-MD"/>
              </w:rPr>
            </w:pPr>
            <w:r w:rsidRPr="00044C72">
              <w:rPr>
                <w:lang w:val="ro-MD" w:eastAsia="ro-MD"/>
              </w:rPr>
              <w:t>216-887-4</w:t>
            </w:r>
          </w:p>
          <w:p w14:paraId="69467448" w14:textId="77777777" w:rsidR="00044C72" w:rsidRPr="00044C72" w:rsidRDefault="00044C72" w:rsidP="00044C72">
            <w:pPr>
              <w:spacing w:before="60" w:after="60" w:line="312" w:lineRule="atLeast"/>
              <w:jc w:val="both"/>
              <w:rPr>
                <w:lang w:val="ro-MD" w:eastAsia="ro-MD"/>
              </w:rPr>
            </w:pPr>
            <w:r w:rsidRPr="00044C72">
              <w:rPr>
                <w:lang w:val="ro-MD" w:eastAsia="ro-MD"/>
              </w:rPr>
              <w:t>246-262-1</w:t>
            </w:r>
          </w:p>
          <w:p w14:paraId="4EE7EB96" w14:textId="77777777" w:rsidR="00044C72" w:rsidRPr="00044C72" w:rsidRDefault="00044C72" w:rsidP="00044C72">
            <w:pPr>
              <w:spacing w:before="200" w:after="100" w:line="276" w:lineRule="auto"/>
              <w:jc w:val="center"/>
              <w:rPr>
                <w:rFonts w:eastAsia="Arial Unicode MS"/>
                <w:iCs/>
                <w:lang w:val="en-US" w:eastAsia="ro-RO"/>
              </w:rPr>
            </w:pPr>
            <w:r w:rsidRPr="00044C72">
              <w:rPr>
                <w:lang w:val="ro-MD" w:eastAsia="ro-MD"/>
              </w:rPr>
              <w:lastRenderedPageBreak/>
              <w:t>206-200-6 și altele</w:t>
            </w:r>
          </w:p>
        </w:tc>
        <w:tc>
          <w:tcPr>
            <w:tcW w:w="2936" w:type="dxa"/>
          </w:tcPr>
          <w:p w14:paraId="3245B5E1" w14:textId="77777777" w:rsidR="00044C72" w:rsidRPr="00044C72" w:rsidRDefault="00044C72" w:rsidP="00044C72">
            <w:pPr>
              <w:jc w:val="both"/>
              <w:rPr>
                <w:rFonts w:eastAsiaTheme="minorHAnsi"/>
                <w:lang w:val="ro-RO" w:eastAsia="ro-RO"/>
              </w:rPr>
            </w:pPr>
            <w:r w:rsidRPr="00044C72">
              <w:rPr>
                <w:rFonts w:eastAsiaTheme="minorHAnsi"/>
                <w:lang w:val="ro-RO" w:eastAsia="ro-RO"/>
              </w:rPr>
              <w:lastRenderedPageBreak/>
              <w:t xml:space="preserve">1. Prin derogare de la punctul 4, fără a aduce atingere subpunctului 9.2, se permite producerea, plasarea pe piață și utilizarea substanțelor, amestecurilor sau articolelor, în cazul în care acid </w:t>
            </w:r>
            <w:proofErr w:type="spellStart"/>
            <w:r w:rsidRPr="00044C72">
              <w:rPr>
                <w:rFonts w:eastAsiaTheme="minorHAnsi"/>
                <w:lang w:val="ro-RO" w:eastAsia="ro-RO"/>
              </w:rPr>
              <w:t>perfluorooctan</w:t>
            </w:r>
            <w:proofErr w:type="spellEnd"/>
            <w:r w:rsidRPr="00044C72">
              <w:rPr>
                <w:rFonts w:eastAsiaTheme="minorHAnsi"/>
                <w:lang w:val="ro-RO" w:eastAsia="ro-RO"/>
              </w:rPr>
              <w:t xml:space="preserve"> </w:t>
            </w:r>
            <w:proofErr w:type="spellStart"/>
            <w:r w:rsidRPr="00044C72">
              <w:rPr>
                <w:rFonts w:eastAsiaTheme="minorHAnsi"/>
                <w:lang w:val="ro-RO" w:eastAsia="ro-RO"/>
              </w:rPr>
              <w:t>sulfonic</w:t>
            </w:r>
            <w:proofErr w:type="spellEnd"/>
            <w:r w:rsidRPr="00044C72">
              <w:rPr>
                <w:rFonts w:eastAsiaTheme="minorHAnsi"/>
                <w:lang w:val="ro-RO" w:eastAsia="ro-RO"/>
              </w:rPr>
              <w:t xml:space="preserve"> (PFOS) sau oarecare din sărurile sale, este prezent într-o concentrație egală cu sau mai mică de 0,025 mg/kg (≤ 0,025 mg/kg) (0,0000025 % în greutate)</w:t>
            </w:r>
          </w:p>
          <w:p w14:paraId="375F5128" w14:textId="77777777" w:rsidR="00044C72" w:rsidRPr="00044C72" w:rsidRDefault="00044C72" w:rsidP="00044C72">
            <w:pPr>
              <w:jc w:val="both"/>
              <w:rPr>
                <w:rFonts w:eastAsiaTheme="minorHAnsi"/>
                <w:lang w:val="ro-RO" w:eastAsia="ro-RO"/>
              </w:rPr>
            </w:pPr>
            <w:r w:rsidRPr="00044C72">
              <w:rPr>
                <w:rFonts w:eastAsiaTheme="minorHAnsi"/>
                <w:lang w:val="ro-RO" w:eastAsia="ro-RO"/>
              </w:rPr>
              <w:t xml:space="preserve">1.2. În cazul compușilor înrudiți cu acidul </w:t>
            </w:r>
            <w:proofErr w:type="spellStart"/>
            <w:r w:rsidRPr="00044C72">
              <w:rPr>
                <w:rFonts w:eastAsiaTheme="minorHAnsi"/>
                <w:lang w:val="ro-RO" w:eastAsia="ro-RO"/>
              </w:rPr>
              <w:t>perfluorooctan</w:t>
            </w:r>
            <w:proofErr w:type="spellEnd"/>
            <w:r w:rsidRPr="00044C72">
              <w:rPr>
                <w:rFonts w:eastAsiaTheme="minorHAnsi"/>
                <w:b/>
                <w:bCs/>
                <w:lang w:val="ro-RO" w:eastAsia="ro-RO"/>
              </w:rPr>
              <w:t xml:space="preserve"> </w:t>
            </w:r>
            <w:proofErr w:type="spellStart"/>
            <w:r w:rsidRPr="00044C72">
              <w:rPr>
                <w:rFonts w:eastAsiaTheme="minorHAnsi"/>
                <w:lang w:val="ro-RO" w:eastAsia="ro-RO"/>
              </w:rPr>
              <w:t>sulfonic</w:t>
            </w:r>
            <w:proofErr w:type="spellEnd"/>
            <w:r w:rsidRPr="00044C72">
              <w:rPr>
                <w:rFonts w:eastAsiaTheme="minorHAnsi"/>
                <w:lang w:val="ro-RO" w:eastAsia="ro-RO"/>
              </w:rPr>
              <w:t xml:space="preserve"> (PFOS), prin derogare de la punctul 4 și fără a aduce atingere subpunctului 9.2, se permit producerea, introducerea pe piață și utilizarea substanțelor, amestecurilor sau articolelor, în cazul în care </w:t>
            </w:r>
            <w:r w:rsidRPr="00044C72">
              <w:rPr>
                <w:rFonts w:eastAsiaTheme="minorHAnsi"/>
                <w:lang w:val="ro-RO" w:eastAsia="ro-RO"/>
              </w:rPr>
              <w:lastRenderedPageBreak/>
              <w:t>suma concentrațiilor acestora este egală cu sau mai mică de 1 mg/kg (≤ 1 mg/kg) (0,0001 % în greutate).</w:t>
            </w:r>
          </w:p>
          <w:p w14:paraId="5EB92BE5" w14:textId="77777777" w:rsidR="00044C72" w:rsidRPr="00044C72" w:rsidRDefault="00044C72" w:rsidP="00044C72">
            <w:pPr>
              <w:jc w:val="both"/>
              <w:rPr>
                <w:rFonts w:eastAsiaTheme="minorHAnsi"/>
                <w:lang w:val="ro-RO" w:eastAsia="ro-RO"/>
              </w:rPr>
            </w:pPr>
            <w:r w:rsidRPr="00044C72">
              <w:rPr>
                <w:rFonts w:eastAsiaTheme="minorHAnsi"/>
                <w:lang w:val="ro-RO" w:eastAsia="ro-RO"/>
              </w:rPr>
              <w:t>1.3.  Se permite utilizarea în continuare a articolelor care conțin PFOS și care se aflau deja în uz pe piața națională înainte de data intrării în vigoare a prezentei hotărâri. Gestionarea acestor articole la scoaterea din uz se realizează cu respectarea cerințelor de control stabilite în prezentul Regulament.</w:t>
            </w:r>
          </w:p>
          <w:p w14:paraId="00D5CB29" w14:textId="77777777" w:rsidR="00044C72" w:rsidRPr="00044C72" w:rsidRDefault="00044C72" w:rsidP="00044C72">
            <w:pPr>
              <w:jc w:val="both"/>
              <w:rPr>
                <w:rFonts w:eastAsiaTheme="minorHAnsi"/>
                <w:lang w:val="ro-RO" w:eastAsia="ro-RO"/>
              </w:rPr>
            </w:pPr>
            <w:r w:rsidRPr="00044C72">
              <w:rPr>
                <w:rFonts w:eastAsiaTheme="minorHAnsi"/>
                <w:lang w:val="ro-RO" w:eastAsia="ro-RO"/>
              </w:rPr>
              <w:t xml:space="preserve">1.4. Se interzice producerea și plasarea pe piață a acidului </w:t>
            </w:r>
            <w:proofErr w:type="spellStart"/>
            <w:r w:rsidRPr="00044C72">
              <w:rPr>
                <w:rFonts w:eastAsiaTheme="minorHAnsi"/>
                <w:lang w:val="ro-RO" w:eastAsia="ro-RO"/>
              </w:rPr>
              <w:t>perfluorooctan</w:t>
            </w:r>
            <w:proofErr w:type="spellEnd"/>
            <w:r w:rsidRPr="00044C72">
              <w:rPr>
                <w:rFonts w:eastAsiaTheme="minorHAnsi"/>
                <w:lang w:val="ro-RO" w:eastAsia="ro-RO"/>
              </w:rPr>
              <w:t xml:space="preserve"> </w:t>
            </w:r>
            <w:proofErr w:type="spellStart"/>
            <w:r w:rsidRPr="00044C72">
              <w:rPr>
                <w:rFonts w:eastAsiaTheme="minorHAnsi"/>
                <w:lang w:val="ro-RO" w:eastAsia="ro-RO"/>
              </w:rPr>
              <w:t>sulfonic</w:t>
            </w:r>
            <w:proofErr w:type="spellEnd"/>
            <w:r w:rsidRPr="00044C72">
              <w:rPr>
                <w:rFonts w:eastAsiaTheme="minorHAnsi"/>
                <w:lang w:val="ro-RO" w:eastAsia="ro-RO"/>
              </w:rPr>
              <w:t xml:space="preserve"> (PFOS) pentru utilizarea ca agent de reducere a ceții în placarea cu crom dur (VI) nedecorativ, având în vedere expirarea la data de 7 septembrie 2025 a termenului de derogare stabilit pentru sistemele cu circuit închis.</w:t>
            </w:r>
          </w:p>
          <w:p w14:paraId="24DF84A4" w14:textId="77777777" w:rsidR="00044C72" w:rsidRPr="00044C72" w:rsidRDefault="00044C72" w:rsidP="00044C72">
            <w:pPr>
              <w:jc w:val="both"/>
              <w:rPr>
                <w:rFonts w:eastAsiaTheme="minorHAnsi"/>
                <w:lang w:val="ro-RO" w:eastAsia="ro-RO"/>
              </w:rPr>
            </w:pPr>
            <w:r w:rsidRPr="00044C72">
              <w:rPr>
                <w:rFonts w:eastAsiaTheme="minorHAnsi"/>
                <w:lang w:val="ro-RO" w:eastAsia="ro-RO"/>
              </w:rPr>
              <w:t>1.4.1. În cazul în care derogarea prevăzută la subpunctul 1.4 vizează producția sau utilizarea într-o instalație care intră sub incidența Legii nr. 227/2022 privind emisiile industriale, se aplică cele mai bune tehnici disponibile (BAT) relevante pentru prevenirea și reducerea la minimum a emisiilor de PFOS, în conformitate cu cerințele stabilite de legea menționată.</w:t>
            </w:r>
          </w:p>
          <w:p w14:paraId="2DF04985" w14:textId="77777777" w:rsidR="00044C72" w:rsidRPr="00044C72" w:rsidRDefault="00044C72" w:rsidP="00044C72">
            <w:pPr>
              <w:jc w:val="both"/>
              <w:rPr>
                <w:rFonts w:eastAsiaTheme="minorHAnsi"/>
                <w:lang w:val="ro-RO" w:eastAsia="ro-RO"/>
              </w:rPr>
            </w:pPr>
            <w:r w:rsidRPr="00044C72">
              <w:rPr>
                <w:rFonts w:eastAsiaTheme="minorHAnsi"/>
                <w:lang w:val="ro-RO" w:eastAsia="ro-RO"/>
              </w:rPr>
              <w:lastRenderedPageBreak/>
              <w:t>1.4.2. De îndată ce devin disponibile noi informații privind modalitățile de utilizare a substanțelor sau a tehnologiilor alternative mai sigure:</w:t>
            </w:r>
          </w:p>
          <w:p w14:paraId="76412C4C" w14:textId="77777777" w:rsidR="00044C72" w:rsidRPr="00044C72" w:rsidRDefault="00044C72" w:rsidP="00044C72">
            <w:pPr>
              <w:jc w:val="both"/>
              <w:rPr>
                <w:rFonts w:eastAsiaTheme="minorHAnsi"/>
                <w:lang w:val="ro-RO" w:eastAsia="ro-RO"/>
              </w:rPr>
            </w:pPr>
            <w:r w:rsidRPr="00044C72">
              <w:rPr>
                <w:rFonts w:eastAsiaTheme="minorHAnsi"/>
                <w:lang w:val="ro-RO" w:eastAsia="ro-RO"/>
              </w:rPr>
              <w:t>a) utilizările PFOS să fie eliminate treptat, de îndată ce utilizarea alternativelor mai sigure este fezabilă din punct de vedere tehnic și economic;</w:t>
            </w:r>
          </w:p>
          <w:p w14:paraId="3D4D51EA" w14:textId="77777777" w:rsidR="00044C72" w:rsidRPr="00044C72" w:rsidRDefault="00044C72" w:rsidP="00044C72">
            <w:pPr>
              <w:jc w:val="both"/>
              <w:rPr>
                <w:rFonts w:eastAsiaTheme="minorHAnsi"/>
                <w:lang w:val="ro-RO" w:eastAsia="ro-RO"/>
              </w:rPr>
            </w:pPr>
            <w:r w:rsidRPr="00044C72">
              <w:rPr>
                <w:rFonts w:eastAsiaTheme="minorHAnsi"/>
                <w:lang w:val="ro-RO" w:eastAsia="ro-RO"/>
              </w:rPr>
              <w:t>(b) emisiile de PFOS în mediu să fie reduse la minimum prin aplicarea celor mai bune tehnici disponibile (BAT), în conformitate cu cerințele Legii nr. 227/2022 privind emisiile industriale.</w:t>
            </w:r>
          </w:p>
          <w:p w14:paraId="5A4C4843" w14:textId="77777777" w:rsidR="00044C72" w:rsidRPr="00044C72" w:rsidRDefault="00044C72" w:rsidP="00044C72">
            <w:pPr>
              <w:jc w:val="both"/>
              <w:rPr>
                <w:rFonts w:eastAsiaTheme="minorHAnsi"/>
                <w:lang w:val="ro-RO" w:eastAsia="ro-RO"/>
              </w:rPr>
            </w:pPr>
            <w:r w:rsidRPr="00044C72">
              <w:rPr>
                <w:rFonts w:eastAsiaTheme="minorHAnsi"/>
                <w:lang w:val="ro-RO" w:eastAsia="ro-RO"/>
              </w:rPr>
              <w:t>1.5. Metodele analitice de testare utilizate pentru demonstrarea conformității substanțelor, amestecurilor și articolelor cu limitele de concentrație stabilite la subpunctele 1.1 și 1.2 se bazează pe standardele adoptate de Comitetul European de Standardizare (CEN) și preluate de către Institutul Național de Standardizare ca standarde moldovenești (SM) care armonizează standarde europene.</w:t>
            </w:r>
          </w:p>
          <w:p w14:paraId="3B7D0C67" w14:textId="77777777" w:rsidR="00044C72" w:rsidRPr="00044C72" w:rsidRDefault="00044C72" w:rsidP="00044C72">
            <w:pPr>
              <w:jc w:val="both"/>
              <w:rPr>
                <w:rFonts w:eastAsiaTheme="minorHAnsi"/>
                <w:lang w:val="ro-RO" w:eastAsia="ro-RO"/>
              </w:rPr>
            </w:pPr>
            <w:r w:rsidRPr="00044C72">
              <w:rPr>
                <w:rFonts w:eastAsiaTheme="minorHAnsi"/>
                <w:lang w:val="ro-RO" w:eastAsia="ro-RO"/>
              </w:rPr>
              <w:t xml:space="preserve">1.5.1. În absența standardelor menționate la subpunctul 1.5 sau ca alternativă la acestea, poate fi utilizată orice altă metodă analitică pentru care utilizatorul poate demonstra un nivel de performanță echivalent, confirmat prin proceduri de validare </w:t>
            </w:r>
            <w:r w:rsidRPr="00044C72">
              <w:rPr>
                <w:rFonts w:eastAsiaTheme="minorHAnsi"/>
                <w:lang w:val="ro-RO" w:eastAsia="ro-RO"/>
              </w:rPr>
              <w:lastRenderedPageBreak/>
              <w:t>recunoscute la nivel național.</w:t>
            </w:r>
          </w:p>
        </w:tc>
      </w:tr>
      <w:tr w:rsidR="00044C72" w:rsidRPr="00044C72" w14:paraId="021898F3" w14:textId="77777777" w:rsidTr="00067CBF">
        <w:tc>
          <w:tcPr>
            <w:tcW w:w="3731" w:type="dxa"/>
          </w:tcPr>
          <w:p w14:paraId="242650AA" w14:textId="77777777" w:rsidR="00044C72" w:rsidRPr="00044C72" w:rsidRDefault="00044C72" w:rsidP="00044C72">
            <w:pPr>
              <w:spacing w:before="200" w:after="100" w:line="276" w:lineRule="auto"/>
              <w:rPr>
                <w:rFonts w:eastAsia="Arial Unicode MS"/>
                <w:iCs/>
                <w:lang w:val="en-US" w:eastAsia="ro-RO"/>
              </w:rPr>
            </w:pPr>
            <w:r w:rsidRPr="00044C72">
              <w:rPr>
                <w:rFonts w:eastAsia="Arial Unicode MS"/>
                <w:iCs/>
                <w:lang w:val="en-US" w:eastAsia="ro-RO"/>
              </w:rPr>
              <w:lastRenderedPageBreak/>
              <w:t>DDT (1,1,1-triclor-2,2-bis(4-</w:t>
            </w:r>
            <w:proofErr w:type="gramStart"/>
            <w:r w:rsidRPr="00044C72">
              <w:rPr>
                <w:rFonts w:eastAsia="Arial Unicode MS"/>
                <w:iCs/>
                <w:lang w:val="en-US" w:eastAsia="ro-RO"/>
              </w:rPr>
              <w:t>clorfenil)</w:t>
            </w:r>
            <w:proofErr w:type="spellStart"/>
            <w:r w:rsidRPr="00044C72">
              <w:rPr>
                <w:rFonts w:eastAsia="Arial Unicode MS"/>
                <w:iCs/>
                <w:lang w:val="en-US" w:eastAsia="ro-RO"/>
              </w:rPr>
              <w:t>etan</w:t>
            </w:r>
            <w:proofErr w:type="spellEnd"/>
            <w:proofErr w:type="gramEnd"/>
            <w:r w:rsidRPr="00044C72">
              <w:rPr>
                <w:rFonts w:eastAsia="Arial Unicode MS"/>
                <w:iCs/>
                <w:lang w:val="en-US" w:eastAsia="ro-RO"/>
              </w:rPr>
              <w:t>)</w:t>
            </w:r>
          </w:p>
        </w:tc>
        <w:tc>
          <w:tcPr>
            <w:tcW w:w="1142" w:type="dxa"/>
          </w:tcPr>
          <w:p w14:paraId="6CF1591B" w14:textId="77777777" w:rsidR="00044C72" w:rsidRPr="00044C72" w:rsidRDefault="00044C72" w:rsidP="00044C72">
            <w:pPr>
              <w:spacing w:before="200" w:after="100" w:line="276" w:lineRule="auto"/>
              <w:rPr>
                <w:rFonts w:eastAsia="Arial Unicode MS"/>
                <w:iCs/>
                <w:lang w:val="en-US" w:eastAsia="ro-RO"/>
              </w:rPr>
            </w:pPr>
            <w:r w:rsidRPr="00044C72">
              <w:rPr>
                <w:rFonts w:eastAsia="Arial Unicode MS"/>
                <w:iCs/>
                <w:lang w:val="en-US" w:eastAsia="ro-RO"/>
              </w:rPr>
              <w:t>50-29-3</w:t>
            </w:r>
          </w:p>
        </w:tc>
        <w:tc>
          <w:tcPr>
            <w:tcW w:w="792" w:type="dxa"/>
          </w:tcPr>
          <w:p w14:paraId="01F4485D" w14:textId="77777777" w:rsidR="00044C72" w:rsidRPr="00044C72" w:rsidRDefault="00044C72" w:rsidP="00044C72">
            <w:pPr>
              <w:spacing w:before="200" w:after="100" w:line="276" w:lineRule="auto"/>
              <w:rPr>
                <w:rFonts w:eastAsia="Arial Unicode MS"/>
                <w:iCs/>
                <w:lang w:val="en-US" w:eastAsia="ro-RO"/>
              </w:rPr>
            </w:pPr>
            <w:r w:rsidRPr="00044C72">
              <w:rPr>
                <w:rFonts w:eastAsia="Arial Unicode MS"/>
                <w:iCs/>
                <w:lang w:val="en-US" w:eastAsia="ro-RO"/>
              </w:rPr>
              <w:t>200-024-3</w:t>
            </w:r>
          </w:p>
        </w:tc>
        <w:tc>
          <w:tcPr>
            <w:tcW w:w="2936" w:type="dxa"/>
          </w:tcPr>
          <w:p w14:paraId="1388CC76" w14:textId="77777777" w:rsidR="00044C72" w:rsidRPr="00044C72" w:rsidRDefault="00044C72" w:rsidP="00044C72">
            <w:pPr>
              <w:spacing w:line="276" w:lineRule="auto"/>
              <w:rPr>
                <w:rFonts w:eastAsiaTheme="minorHAnsi"/>
                <w:lang w:val="ro-RO" w:eastAsia="ro-RO"/>
              </w:rPr>
            </w:pPr>
            <w:r w:rsidRPr="00044C72">
              <w:rPr>
                <w:rFonts w:eastAsiaTheme="minorHAnsi"/>
                <w:lang w:val="ro-RO" w:eastAsia="ro-RO"/>
              </w:rPr>
              <w:t>---</w:t>
            </w:r>
          </w:p>
        </w:tc>
      </w:tr>
      <w:tr w:rsidR="00044C72" w:rsidRPr="00044C72" w14:paraId="0BFC95A9" w14:textId="77777777" w:rsidTr="00067CBF">
        <w:tc>
          <w:tcPr>
            <w:tcW w:w="3731" w:type="dxa"/>
          </w:tcPr>
          <w:p w14:paraId="04B050BD" w14:textId="77777777" w:rsidR="00044C72" w:rsidRPr="00044C72" w:rsidRDefault="00044C72" w:rsidP="00044C72">
            <w:pPr>
              <w:spacing w:before="200" w:after="100" w:line="259" w:lineRule="auto"/>
              <w:rPr>
                <w:rFonts w:eastAsia="Arial Unicode MS"/>
                <w:iCs/>
                <w:lang w:val="en-US" w:eastAsia="ro-RO"/>
              </w:rPr>
            </w:pPr>
            <w:proofErr w:type="spellStart"/>
            <w:r w:rsidRPr="00044C72">
              <w:rPr>
                <w:rFonts w:eastAsia="Arial Unicode MS"/>
                <w:color w:val="333333"/>
                <w:shd w:val="clear" w:color="auto" w:fill="FFFFFF"/>
                <w:lang w:val="en-US" w:eastAsia="en-US"/>
              </w:rPr>
              <w:t>Clordan</w:t>
            </w:r>
            <w:proofErr w:type="spellEnd"/>
          </w:p>
        </w:tc>
        <w:tc>
          <w:tcPr>
            <w:tcW w:w="1142" w:type="dxa"/>
            <w:tcBorders>
              <w:top w:val="single" w:sz="4" w:space="0" w:color="auto"/>
              <w:left w:val="single" w:sz="4" w:space="0" w:color="auto"/>
              <w:bottom w:val="single" w:sz="4" w:space="0" w:color="auto"/>
              <w:right w:val="single" w:sz="4" w:space="0" w:color="auto"/>
            </w:tcBorders>
          </w:tcPr>
          <w:p w14:paraId="7B160773" w14:textId="77777777" w:rsidR="00044C72" w:rsidRPr="00044C72" w:rsidRDefault="00044C72" w:rsidP="00044C72">
            <w:pPr>
              <w:spacing w:before="200" w:after="100" w:line="259" w:lineRule="auto"/>
              <w:rPr>
                <w:rFonts w:eastAsia="Arial Unicode MS"/>
                <w:iCs/>
                <w:lang w:val="en-US" w:eastAsia="ro-RO"/>
              </w:rPr>
            </w:pPr>
            <w:r w:rsidRPr="00044C72">
              <w:rPr>
                <w:rFonts w:eastAsiaTheme="minorHAnsi" w:cstheme="minorBidi"/>
                <w:bCs/>
                <w:lang w:val="en-US" w:eastAsia="en-US"/>
              </w:rPr>
              <w:t>57-74-9</w:t>
            </w:r>
          </w:p>
        </w:tc>
        <w:tc>
          <w:tcPr>
            <w:tcW w:w="792" w:type="dxa"/>
            <w:tcBorders>
              <w:top w:val="single" w:sz="4" w:space="0" w:color="auto"/>
              <w:left w:val="single" w:sz="4" w:space="0" w:color="auto"/>
              <w:bottom w:val="single" w:sz="4" w:space="0" w:color="auto"/>
              <w:right w:val="single" w:sz="4" w:space="0" w:color="auto"/>
            </w:tcBorders>
          </w:tcPr>
          <w:p w14:paraId="1728BEBB" w14:textId="77777777" w:rsidR="00044C72" w:rsidRPr="00044C72" w:rsidRDefault="00044C72" w:rsidP="00044C72">
            <w:pPr>
              <w:spacing w:before="200" w:after="100" w:line="259" w:lineRule="auto"/>
              <w:rPr>
                <w:rFonts w:eastAsia="Arial Unicode MS"/>
                <w:iCs/>
                <w:lang w:val="en-US" w:eastAsia="ro-RO"/>
              </w:rPr>
            </w:pPr>
            <w:r w:rsidRPr="00044C72">
              <w:rPr>
                <w:rFonts w:eastAsiaTheme="minorHAnsi" w:cstheme="minorBidi"/>
                <w:bCs/>
                <w:lang w:val="en-US" w:eastAsia="en-US"/>
              </w:rPr>
              <w:t>200-349-0</w:t>
            </w:r>
          </w:p>
        </w:tc>
        <w:tc>
          <w:tcPr>
            <w:tcW w:w="2936" w:type="dxa"/>
          </w:tcPr>
          <w:p w14:paraId="1129CF26" w14:textId="77777777" w:rsidR="00044C72" w:rsidRPr="00044C72" w:rsidRDefault="00044C72" w:rsidP="00044C72">
            <w:pPr>
              <w:spacing w:line="276" w:lineRule="auto"/>
              <w:rPr>
                <w:rFonts w:eastAsiaTheme="minorHAnsi"/>
                <w:lang w:val="ro-RO" w:eastAsia="ro-RO"/>
              </w:rPr>
            </w:pPr>
            <w:r w:rsidRPr="00044C72">
              <w:rPr>
                <w:rFonts w:eastAsiaTheme="minorHAnsi"/>
                <w:lang w:val="ro-RO" w:eastAsia="ro-RO"/>
              </w:rPr>
              <w:t>---</w:t>
            </w:r>
          </w:p>
        </w:tc>
      </w:tr>
      <w:tr w:rsidR="00044C72" w:rsidRPr="00044C72" w14:paraId="358B7DB8" w14:textId="77777777" w:rsidTr="00067CBF">
        <w:trPr>
          <w:trHeight w:val="210"/>
        </w:trPr>
        <w:tc>
          <w:tcPr>
            <w:tcW w:w="3731" w:type="dxa"/>
            <w:vMerge w:val="restart"/>
          </w:tcPr>
          <w:p w14:paraId="7406385A" w14:textId="77777777" w:rsidR="00044C72" w:rsidRPr="00044C72" w:rsidRDefault="00044C72" w:rsidP="00044C72">
            <w:pPr>
              <w:spacing w:before="200" w:after="100" w:line="276" w:lineRule="auto"/>
              <w:rPr>
                <w:rFonts w:eastAsia="Arial Unicode MS"/>
                <w:iCs/>
                <w:lang w:val="en-US" w:eastAsia="ro-RO"/>
              </w:rPr>
            </w:pPr>
            <w:proofErr w:type="spellStart"/>
            <w:r w:rsidRPr="00044C72">
              <w:rPr>
                <w:rFonts w:eastAsiaTheme="minorHAnsi"/>
                <w:shd w:val="clear" w:color="auto" w:fill="FFFFFF"/>
                <w:lang w:val="en-US" w:eastAsia="en-US"/>
              </w:rPr>
              <w:t>Hexaclorciclohexani</w:t>
            </w:r>
            <w:proofErr w:type="spellEnd"/>
            <w:r w:rsidRPr="00044C72">
              <w:rPr>
                <w:rFonts w:eastAsiaTheme="minorHAnsi"/>
                <w:shd w:val="clear" w:color="auto" w:fill="FFFFFF"/>
                <w:lang w:val="en-US" w:eastAsia="en-US"/>
              </w:rPr>
              <w:t xml:space="preserve">, </w:t>
            </w:r>
            <w:proofErr w:type="spellStart"/>
            <w:r w:rsidRPr="00044C72">
              <w:rPr>
                <w:rFonts w:eastAsiaTheme="minorHAnsi"/>
                <w:shd w:val="clear" w:color="auto" w:fill="FFFFFF"/>
                <w:lang w:val="en-US" w:eastAsia="en-US"/>
              </w:rPr>
              <w:t>inclusiv</w:t>
            </w:r>
            <w:proofErr w:type="spellEnd"/>
            <w:r w:rsidRPr="00044C72">
              <w:rPr>
                <w:rFonts w:eastAsiaTheme="minorHAnsi"/>
                <w:shd w:val="clear" w:color="auto" w:fill="FFFFFF"/>
                <w:lang w:val="en-US" w:eastAsia="en-US"/>
              </w:rPr>
              <w:t xml:space="preserve"> </w:t>
            </w:r>
            <w:proofErr w:type="spellStart"/>
            <w:r w:rsidRPr="00044C72">
              <w:rPr>
                <w:rFonts w:eastAsiaTheme="minorHAnsi"/>
                <w:shd w:val="clear" w:color="auto" w:fill="FFFFFF"/>
                <w:lang w:val="en-US" w:eastAsia="en-US"/>
              </w:rPr>
              <w:t>lindan</w:t>
            </w:r>
            <w:proofErr w:type="spellEnd"/>
          </w:p>
        </w:tc>
        <w:tc>
          <w:tcPr>
            <w:tcW w:w="1142" w:type="dxa"/>
          </w:tcPr>
          <w:p w14:paraId="2DACCB3C" w14:textId="77777777" w:rsidR="00044C72" w:rsidRPr="00044C72" w:rsidRDefault="00044C72" w:rsidP="00044C72">
            <w:pPr>
              <w:spacing w:before="60" w:after="60" w:line="276" w:lineRule="auto"/>
              <w:textAlignment w:val="baseline"/>
              <w:rPr>
                <w:lang w:val="ro-MD" w:eastAsia="ro-MD"/>
              </w:rPr>
            </w:pPr>
            <w:r w:rsidRPr="00044C72">
              <w:rPr>
                <w:lang w:val="ro-MD" w:eastAsia="ro-MD"/>
              </w:rPr>
              <w:t>58-89-9</w:t>
            </w:r>
          </w:p>
        </w:tc>
        <w:tc>
          <w:tcPr>
            <w:tcW w:w="792" w:type="dxa"/>
          </w:tcPr>
          <w:p w14:paraId="58FD7E0F" w14:textId="77777777" w:rsidR="00044C72" w:rsidRPr="00044C72" w:rsidRDefault="00044C72" w:rsidP="00044C72">
            <w:pPr>
              <w:spacing w:before="60" w:after="60" w:line="276" w:lineRule="auto"/>
              <w:textAlignment w:val="baseline"/>
              <w:rPr>
                <w:lang w:val="ro-MD" w:eastAsia="ro-MD"/>
              </w:rPr>
            </w:pPr>
            <w:r w:rsidRPr="00044C72">
              <w:rPr>
                <w:lang w:val="ro-MD" w:eastAsia="ro-MD"/>
              </w:rPr>
              <w:t>200-401-2</w:t>
            </w:r>
          </w:p>
        </w:tc>
        <w:tc>
          <w:tcPr>
            <w:tcW w:w="2936" w:type="dxa"/>
          </w:tcPr>
          <w:p w14:paraId="0FD9E74F" w14:textId="77777777" w:rsidR="00044C72" w:rsidRPr="00044C72" w:rsidRDefault="00044C72" w:rsidP="00044C72">
            <w:pPr>
              <w:spacing w:before="60" w:after="60" w:line="276" w:lineRule="auto"/>
              <w:textAlignment w:val="baseline"/>
              <w:rPr>
                <w:lang w:val="ro-MD" w:eastAsia="ro-MD"/>
              </w:rPr>
            </w:pPr>
            <w:r w:rsidRPr="00044C72">
              <w:rPr>
                <w:lang w:val="ro-MD" w:eastAsia="ro-MD"/>
              </w:rPr>
              <w:t>---</w:t>
            </w:r>
          </w:p>
        </w:tc>
      </w:tr>
      <w:tr w:rsidR="00044C72" w:rsidRPr="00044C72" w14:paraId="28A44713" w14:textId="77777777" w:rsidTr="00067CBF">
        <w:trPr>
          <w:trHeight w:val="360"/>
        </w:trPr>
        <w:tc>
          <w:tcPr>
            <w:tcW w:w="3731" w:type="dxa"/>
            <w:vMerge/>
          </w:tcPr>
          <w:p w14:paraId="4362C247" w14:textId="77777777" w:rsidR="00044C72" w:rsidRPr="00044C72" w:rsidRDefault="00044C72" w:rsidP="00044C72">
            <w:pPr>
              <w:spacing w:before="200" w:after="100" w:line="276" w:lineRule="auto"/>
              <w:rPr>
                <w:rFonts w:eastAsiaTheme="minorHAnsi"/>
                <w:shd w:val="clear" w:color="auto" w:fill="FFFFFF"/>
                <w:lang w:val="en-US" w:eastAsia="en-US"/>
              </w:rPr>
            </w:pPr>
          </w:p>
        </w:tc>
        <w:tc>
          <w:tcPr>
            <w:tcW w:w="1142" w:type="dxa"/>
          </w:tcPr>
          <w:p w14:paraId="3EC3EDBE" w14:textId="77777777" w:rsidR="00044C72" w:rsidRPr="00044C72" w:rsidRDefault="00044C72" w:rsidP="00044C72">
            <w:pPr>
              <w:spacing w:before="60" w:after="60" w:line="276" w:lineRule="auto"/>
              <w:textAlignment w:val="baseline"/>
              <w:rPr>
                <w:lang w:val="ro-MD" w:eastAsia="ro-MD"/>
              </w:rPr>
            </w:pPr>
            <w:r w:rsidRPr="00044C72">
              <w:rPr>
                <w:lang w:val="ro-MD" w:eastAsia="ro-MD"/>
              </w:rPr>
              <w:t>319-84-6</w:t>
            </w:r>
          </w:p>
        </w:tc>
        <w:tc>
          <w:tcPr>
            <w:tcW w:w="792" w:type="dxa"/>
          </w:tcPr>
          <w:p w14:paraId="7D846497" w14:textId="77777777" w:rsidR="00044C72" w:rsidRPr="00044C72" w:rsidRDefault="00044C72" w:rsidP="00044C72">
            <w:pPr>
              <w:spacing w:before="60" w:after="60" w:line="276" w:lineRule="auto"/>
              <w:textAlignment w:val="baseline"/>
              <w:rPr>
                <w:lang w:val="ro-MD" w:eastAsia="ro-MD"/>
              </w:rPr>
            </w:pPr>
            <w:r w:rsidRPr="00044C72">
              <w:rPr>
                <w:lang w:val="ro-MD" w:eastAsia="ro-MD"/>
              </w:rPr>
              <w:t>206-270-8</w:t>
            </w:r>
          </w:p>
        </w:tc>
        <w:tc>
          <w:tcPr>
            <w:tcW w:w="2936" w:type="dxa"/>
            <w:vAlign w:val="bottom"/>
          </w:tcPr>
          <w:p w14:paraId="5B13FB80"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2E11B6A5" w14:textId="77777777" w:rsidTr="00067CBF">
        <w:trPr>
          <w:trHeight w:val="330"/>
        </w:trPr>
        <w:tc>
          <w:tcPr>
            <w:tcW w:w="3731" w:type="dxa"/>
            <w:vMerge/>
          </w:tcPr>
          <w:p w14:paraId="41477B1E" w14:textId="77777777" w:rsidR="00044C72" w:rsidRPr="00044C72" w:rsidRDefault="00044C72" w:rsidP="00044C72">
            <w:pPr>
              <w:spacing w:before="200" w:after="100" w:line="276" w:lineRule="auto"/>
              <w:rPr>
                <w:rFonts w:eastAsiaTheme="minorHAnsi"/>
                <w:shd w:val="clear" w:color="auto" w:fill="FFFFFF"/>
                <w:lang w:val="en-US" w:eastAsia="en-US"/>
              </w:rPr>
            </w:pPr>
          </w:p>
        </w:tc>
        <w:tc>
          <w:tcPr>
            <w:tcW w:w="1142" w:type="dxa"/>
          </w:tcPr>
          <w:p w14:paraId="6E4B1838" w14:textId="77777777" w:rsidR="00044C72" w:rsidRPr="00044C72" w:rsidRDefault="00044C72" w:rsidP="00044C72">
            <w:pPr>
              <w:spacing w:before="60" w:after="60" w:line="276" w:lineRule="auto"/>
              <w:textAlignment w:val="baseline"/>
              <w:rPr>
                <w:lang w:val="ro-MD" w:eastAsia="ro-MD"/>
              </w:rPr>
            </w:pPr>
            <w:r w:rsidRPr="00044C72">
              <w:rPr>
                <w:lang w:val="ro-MD" w:eastAsia="ro-MD"/>
              </w:rPr>
              <w:t>319-85-7</w:t>
            </w:r>
          </w:p>
        </w:tc>
        <w:tc>
          <w:tcPr>
            <w:tcW w:w="792" w:type="dxa"/>
          </w:tcPr>
          <w:p w14:paraId="51ED12E1" w14:textId="77777777" w:rsidR="00044C72" w:rsidRPr="00044C72" w:rsidRDefault="00044C72" w:rsidP="00044C72">
            <w:pPr>
              <w:spacing w:before="60" w:after="60" w:line="276" w:lineRule="auto"/>
              <w:textAlignment w:val="baseline"/>
              <w:rPr>
                <w:lang w:val="ro-MD" w:eastAsia="ro-MD"/>
              </w:rPr>
            </w:pPr>
            <w:r w:rsidRPr="00044C72">
              <w:rPr>
                <w:lang w:val="ro-MD" w:eastAsia="ro-MD"/>
              </w:rPr>
              <w:t>206-271-3</w:t>
            </w:r>
          </w:p>
        </w:tc>
        <w:tc>
          <w:tcPr>
            <w:tcW w:w="2936" w:type="dxa"/>
            <w:vAlign w:val="bottom"/>
          </w:tcPr>
          <w:p w14:paraId="0EFA295E"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1376161F" w14:textId="77777777" w:rsidTr="00067CBF">
        <w:trPr>
          <w:trHeight w:val="690"/>
        </w:trPr>
        <w:tc>
          <w:tcPr>
            <w:tcW w:w="3731" w:type="dxa"/>
            <w:vMerge/>
          </w:tcPr>
          <w:p w14:paraId="789893F5" w14:textId="77777777" w:rsidR="00044C72" w:rsidRPr="00044C72" w:rsidRDefault="00044C72" w:rsidP="00044C72">
            <w:pPr>
              <w:spacing w:before="200" w:after="100" w:line="276" w:lineRule="auto"/>
              <w:rPr>
                <w:rFonts w:eastAsiaTheme="minorHAnsi"/>
                <w:shd w:val="clear" w:color="auto" w:fill="FFFFFF"/>
                <w:lang w:val="en-US" w:eastAsia="en-US"/>
              </w:rPr>
            </w:pPr>
          </w:p>
        </w:tc>
        <w:tc>
          <w:tcPr>
            <w:tcW w:w="1142" w:type="dxa"/>
          </w:tcPr>
          <w:p w14:paraId="10710ACE" w14:textId="77777777" w:rsidR="00044C72" w:rsidRPr="00044C72" w:rsidRDefault="00044C72" w:rsidP="00044C72">
            <w:pPr>
              <w:spacing w:before="60" w:after="60" w:line="276" w:lineRule="auto"/>
              <w:textAlignment w:val="baseline"/>
              <w:rPr>
                <w:lang w:val="ro-MD" w:eastAsia="ro-MD"/>
              </w:rPr>
            </w:pPr>
            <w:r w:rsidRPr="00044C72">
              <w:rPr>
                <w:lang w:val="ro-MD" w:eastAsia="ro-MD"/>
              </w:rPr>
              <w:t>608-73-1</w:t>
            </w:r>
          </w:p>
        </w:tc>
        <w:tc>
          <w:tcPr>
            <w:tcW w:w="792" w:type="dxa"/>
          </w:tcPr>
          <w:p w14:paraId="5BB82A6B" w14:textId="77777777" w:rsidR="00044C72" w:rsidRPr="00044C72" w:rsidRDefault="00044C72" w:rsidP="00044C72">
            <w:pPr>
              <w:spacing w:before="60" w:after="60" w:line="276" w:lineRule="auto"/>
              <w:textAlignment w:val="baseline"/>
              <w:rPr>
                <w:lang w:val="ro-MD" w:eastAsia="ro-MD"/>
              </w:rPr>
            </w:pPr>
            <w:r w:rsidRPr="00044C72">
              <w:rPr>
                <w:lang w:val="ro-MD" w:eastAsia="ro-MD"/>
              </w:rPr>
              <w:t>210-168-9</w:t>
            </w:r>
          </w:p>
        </w:tc>
        <w:tc>
          <w:tcPr>
            <w:tcW w:w="2936" w:type="dxa"/>
            <w:vAlign w:val="bottom"/>
          </w:tcPr>
          <w:p w14:paraId="434043CE"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7C1BFE1E" w14:textId="77777777" w:rsidTr="00067CBF">
        <w:trPr>
          <w:trHeight w:val="690"/>
        </w:trPr>
        <w:tc>
          <w:tcPr>
            <w:tcW w:w="3731" w:type="dxa"/>
          </w:tcPr>
          <w:p w14:paraId="343B6666" w14:textId="77777777" w:rsidR="00044C72" w:rsidRPr="00044C72" w:rsidRDefault="00044C72" w:rsidP="00044C72">
            <w:pPr>
              <w:spacing w:before="200" w:after="100" w:line="276" w:lineRule="auto"/>
              <w:rPr>
                <w:rFonts w:eastAsiaTheme="minorHAnsi"/>
                <w:shd w:val="clear" w:color="auto" w:fill="FFFFFF"/>
                <w:lang w:val="en-US" w:eastAsia="en-US"/>
              </w:rPr>
            </w:pPr>
            <w:r w:rsidRPr="00044C72">
              <w:rPr>
                <w:rFonts w:asciiTheme="minorHAnsi" w:eastAsiaTheme="minorHAnsi" w:hAnsiTheme="minorHAnsi" w:cstheme="minorBidi"/>
                <w:sz w:val="22"/>
                <w:szCs w:val="22"/>
                <w:lang w:val="en-US" w:eastAsia="en-US"/>
              </w:rPr>
              <w:t>Dieldrin</w:t>
            </w:r>
          </w:p>
        </w:tc>
        <w:tc>
          <w:tcPr>
            <w:tcW w:w="1142" w:type="dxa"/>
          </w:tcPr>
          <w:p w14:paraId="65D4274D" w14:textId="77777777" w:rsidR="00044C72" w:rsidRPr="00044C72" w:rsidRDefault="00044C72" w:rsidP="00044C72">
            <w:pPr>
              <w:spacing w:before="60" w:after="60" w:line="276" w:lineRule="auto"/>
              <w:textAlignment w:val="baseline"/>
              <w:rPr>
                <w:lang w:val="ro-MD" w:eastAsia="ro-MD"/>
              </w:rPr>
            </w:pPr>
            <w:r w:rsidRPr="00044C72">
              <w:rPr>
                <w:lang w:val="ro-MD" w:eastAsia="ro-MD"/>
              </w:rPr>
              <w:t>60-57-1</w:t>
            </w:r>
          </w:p>
        </w:tc>
        <w:tc>
          <w:tcPr>
            <w:tcW w:w="792" w:type="dxa"/>
          </w:tcPr>
          <w:p w14:paraId="16F4A36B" w14:textId="77777777" w:rsidR="00044C72" w:rsidRPr="00044C72" w:rsidRDefault="00044C72" w:rsidP="00044C72">
            <w:pPr>
              <w:spacing w:before="60" w:after="60" w:line="276" w:lineRule="auto"/>
              <w:textAlignment w:val="baseline"/>
              <w:rPr>
                <w:lang w:val="ro-MD" w:eastAsia="ro-MD"/>
              </w:rPr>
            </w:pPr>
            <w:r w:rsidRPr="00044C72">
              <w:rPr>
                <w:lang w:val="ro-MD" w:eastAsia="ro-MD"/>
              </w:rPr>
              <w:t>200-484-5</w:t>
            </w:r>
          </w:p>
        </w:tc>
        <w:tc>
          <w:tcPr>
            <w:tcW w:w="2936" w:type="dxa"/>
            <w:vAlign w:val="bottom"/>
          </w:tcPr>
          <w:p w14:paraId="422E0FAB" w14:textId="77777777" w:rsidR="00044C72" w:rsidRPr="00044C72" w:rsidRDefault="00044C72" w:rsidP="00044C72">
            <w:pPr>
              <w:spacing w:after="160" w:line="276" w:lineRule="auto"/>
              <w:rPr>
                <w:rFonts w:eastAsiaTheme="minorHAnsi"/>
                <w:highlight w:val="yellow"/>
                <w:lang w:val="en-US" w:eastAsia="en-US"/>
              </w:rPr>
            </w:pPr>
            <w:r w:rsidRPr="00044C72">
              <w:rPr>
                <w:rFonts w:eastAsiaTheme="minorHAnsi"/>
                <w:lang w:val="en-US" w:eastAsia="en-US"/>
              </w:rPr>
              <w:t>---</w:t>
            </w:r>
          </w:p>
        </w:tc>
      </w:tr>
      <w:tr w:rsidR="00044C72" w:rsidRPr="00044C72" w14:paraId="11352687" w14:textId="77777777" w:rsidTr="00067CBF">
        <w:trPr>
          <w:trHeight w:val="690"/>
        </w:trPr>
        <w:tc>
          <w:tcPr>
            <w:tcW w:w="3731" w:type="dxa"/>
          </w:tcPr>
          <w:p w14:paraId="58F0AD6C"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Endrin</w:t>
            </w:r>
            <w:proofErr w:type="spellEnd"/>
          </w:p>
        </w:tc>
        <w:tc>
          <w:tcPr>
            <w:tcW w:w="1142" w:type="dxa"/>
          </w:tcPr>
          <w:p w14:paraId="2439F110" w14:textId="77777777" w:rsidR="00044C72" w:rsidRPr="00044C72" w:rsidRDefault="00044C72" w:rsidP="00044C72">
            <w:pPr>
              <w:spacing w:before="60" w:after="60" w:line="276" w:lineRule="auto"/>
              <w:textAlignment w:val="baseline"/>
              <w:rPr>
                <w:lang w:val="ro-MD" w:eastAsia="ro-MD"/>
              </w:rPr>
            </w:pPr>
            <w:r w:rsidRPr="00044C72">
              <w:rPr>
                <w:lang w:val="ro-MD" w:eastAsia="ro-MD"/>
              </w:rPr>
              <w:t>72-20-8</w:t>
            </w:r>
          </w:p>
        </w:tc>
        <w:tc>
          <w:tcPr>
            <w:tcW w:w="792" w:type="dxa"/>
          </w:tcPr>
          <w:p w14:paraId="5DE1AAB5" w14:textId="77777777" w:rsidR="00044C72" w:rsidRPr="00044C72" w:rsidRDefault="00044C72" w:rsidP="00044C72">
            <w:pPr>
              <w:spacing w:before="60" w:after="60" w:line="276" w:lineRule="auto"/>
              <w:textAlignment w:val="baseline"/>
              <w:rPr>
                <w:lang w:val="ro-MD" w:eastAsia="ro-MD"/>
              </w:rPr>
            </w:pPr>
            <w:r w:rsidRPr="00044C72">
              <w:rPr>
                <w:lang w:val="ro-MD" w:eastAsia="ro-MD"/>
              </w:rPr>
              <w:t>200-775-7</w:t>
            </w:r>
          </w:p>
        </w:tc>
        <w:tc>
          <w:tcPr>
            <w:tcW w:w="2936" w:type="dxa"/>
            <w:vAlign w:val="bottom"/>
          </w:tcPr>
          <w:p w14:paraId="355ECEED" w14:textId="77777777" w:rsidR="00044C72" w:rsidRPr="00044C72" w:rsidRDefault="00044C72" w:rsidP="00044C72">
            <w:pPr>
              <w:spacing w:after="160" w:line="259" w:lineRule="auto"/>
              <w:rPr>
                <w:rFonts w:eastAsiaTheme="minorHAnsi"/>
                <w:lang w:val="en-US" w:eastAsia="en-US"/>
              </w:rPr>
            </w:pPr>
            <w:r w:rsidRPr="00044C72">
              <w:rPr>
                <w:rFonts w:eastAsiaTheme="minorHAnsi"/>
                <w:lang w:val="en-US" w:eastAsia="en-US"/>
              </w:rPr>
              <w:t>---</w:t>
            </w:r>
          </w:p>
        </w:tc>
      </w:tr>
      <w:tr w:rsidR="00044C72" w:rsidRPr="00044C72" w14:paraId="7B6361E2" w14:textId="77777777" w:rsidTr="00067CBF">
        <w:trPr>
          <w:trHeight w:val="690"/>
        </w:trPr>
        <w:tc>
          <w:tcPr>
            <w:tcW w:w="3731" w:type="dxa"/>
          </w:tcPr>
          <w:p w14:paraId="3F13C702"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Heptaclor</w:t>
            </w:r>
            <w:proofErr w:type="spellEnd"/>
          </w:p>
        </w:tc>
        <w:tc>
          <w:tcPr>
            <w:tcW w:w="1142" w:type="dxa"/>
          </w:tcPr>
          <w:p w14:paraId="74C679E1" w14:textId="77777777" w:rsidR="00044C72" w:rsidRPr="00044C72" w:rsidRDefault="00044C72" w:rsidP="00044C72">
            <w:pPr>
              <w:spacing w:before="60" w:after="60" w:line="276" w:lineRule="auto"/>
              <w:textAlignment w:val="baseline"/>
              <w:rPr>
                <w:lang w:val="ro-MD" w:eastAsia="ro-MD"/>
              </w:rPr>
            </w:pPr>
            <w:r w:rsidRPr="00044C72">
              <w:rPr>
                <w:lang w:val="ro-MD" w:eastAsia="ro-MD"/>
              </w:rPr>
              <w:t>76-44-8</w:t>
            </w:r>
          </w:p>
        </w:tc>
        <w:tc>
          <w:tcPr>
            <w:tcW w:w="792" w:type="dxa"/>
          </w:tcPr>
          <w:p w14:paraId="7D3EAAFD" w14:textId="77777777" w:rsidR="00044C72" w:rsidRPr="00044C72" w:rsidRDefault="00044C72" w:rsidP="00044C72">
            <w:pPr>
              <w:spacing w:before="60" w:after="60" w:line="276" w:lineRule="auto"/>
              <w:textAlignment w:val="baseline"/>
              <w:rPr>
                <w:lang w:val="ro-MD" w:eastAsia="ro-MD"/>
              </w:rPr>
            </w:pPr>
            <w:r w:rsidRPr="00044C72">
              <w:rPr>
                <w:lang w:val="ro-MD" w:eastAsia="ro-MD"/>
              </w:rPr>
              <w:t>200-962-3</w:t>
            </w:r>
          </w:p>
        </w:tc>
        <w:tc>
          <w:tcPr>
            <w:tcW w:w="2936" w:type="dxa"/>
            <w:vAlign w:val="bottom"/>
          </w:tcPr>
          <w:p w14:paraId="6832AEA8"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AA2C89" w14:paraId="179CACB7" w14:textId="77777777" w:rsidTr="00067CBF">
        <w:trPr>
          <w:trHeight w:val="690"/>
        </w:trPr>
        <w:tc>
          <w:tcPr>
            <w:tcW w:w="3731" w:type="dxa"/>
          </w:tcPr>
          <w:p w14:paraId="2EAF08CC"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Endosulfan</w:t>
            </w:r>
            <w:proofErr w:type="spellEnd"/>
          </w:p>
        </w:tc>
        <w:tc>
          <w:tcPr>
            <w:tcW w:w="1142" w:type="dxa"/>
          </w:tcPr>
          <w:p w14:paraId="0BF150F4" w14:textId="77777777" w:rsidR="00044C72" w:rsidRPr="00044C72" w:rsidRDefault="00044C72" w:rsidP="00044C72">
            <w:pPr>
              <w:spacing w:before="60" w:after="60" w:line="276" w:lineRule="auto"/>
              <w:textAlignment w:val="baseline"/>
              <w:rPr>
                <w:lang w:val="ro-MD" w:eastAsia="ro-MD"/>
              </w:rPr>
            </w:pPr>
            <w:r w:rsidRPr="00044C72">
              <w:rPr>
                <w:lang w:val="ro-MD" w:eastAsia="ro-MD"/>
              </w:rPr>
              <w:t>115-29-7</w:t>
            </w:r>
          </w:p>
          <w:p w14:paraId="43BB681F" w14:textId="77777777" w:rsidR="00044C72" w:rsidRPr="00044C72" w:rsidRDefault="00044C72" w:rsidP="00044C72">
            <w:pPr>
              <w:spacing w:before="60" w:after="60" w:line="276" w:lineRule="auto"/>
              <w:textAlignment w:val="baseline"/>
              <w:rPr>
                <w:lang w:val="ro-MD" w:eastAsia="ro-MD"/>
              </w:rPr>
            </w:pPr>
            <w:r w:rsidRPr="00044C72">
              <w:rPr>
                <w:lang w:val="ro-MD" w:eastAsia="ro-MD"/>
              </w:rPr>
              <w:t>959-98-8</w:t>
            </w:r>
          </w:p>
          <w:p w14:paraId="0796520B" w14:textId="77777777" w:rsidR="00044C72" w:rsidRPr="00044C72" w:rsidRDefault="00044C72" w:rsidP="00044C72">
            <w:pPr>
              <w:spacing w:before="60" w:after="60" w:line="276" w:lineRule="auto"/>
              <w:textAlignment w:val="baseline"/>
              <w:rPr>
                <w:lang w:val="ro-MD" w:eastAsia="ro-MD"/>
              </w:rPr>
            </w:pPr>
            <w:r w:rsidRPr="00044C72">
              <w:rPr>
                <w:lang w:val="ro-MD" w:eastAsia="ro-MD"/>
              </w:rPr>
              <w:t>33213</w:t>
            </w:r>
          </w:p>
        </w:tc>
        <w:tc>
          <w:tcPr>
            <w:tcW w:w="792" w:type="dxa"/>
          </w:tcPr>
          <w:p w14:paraId="2CD62F3D" w14:textId="77777777" w:rsidR="00044C72" w:rsidRPr="00044C72" w:rsidRDefault="00044C72" w:rsidP="00044C72">
            <w:pPr>
              <w:spacing w:before="60" w:after="60" w:line="276" w:lineRule="auto"/>
              <w:textAlignment w:val="baseline"/>
              <w:rPr>
                <w:lang w:val="ro-MD" w:eastAsia="ro-MD"/>
              </w:rPr>
            </w:pPr>
            <w:r w:rsidRPr="00044C72">
              <w:rPr>
                <w:lang w:val="ro-MD" w:eastAsia="ro-MD"/>
              </w:rPr>
              <w:t>204-079-4</w:t>
            </w:r>
          </w:p>
        </w:tc>
        <w:tc>
          <w:tcPr>
            <w:tcW w:w="2936" w:type="dxa"/>
            <w:vAlign w:val="bottom"/>
          </w:tcPr>
          <w:p w14:paraId="2FDEF653" w14:textId="77777777" w:rsidR="00044C72" w:rsidRPr="00044C72" w:rsidRDefault="00044C72" w:rsidP="00044C72">
            <w:pPr>
              <w:spacing w:before="60" w:after="60" w:line="312" w:lineRule="atLeast"/>
              <w:jc w:val="both"/>
              <w:rPr>
                <w:highlight w:val="yellow"/>
                <w:lang w:val="ro-MD" w:eastAsia="ro-MD"/>
              </w:rPr>
            </w:pPr>
            <w:r w:rsidRPr="00044C72">
              <w:rPr>
                <w:lang w:val="ro-MD" w:eastAsia="ro-MD"/>
              </w:rPr>
              <w:t xml:space="preserve">Sunt permise plasarea pe piață și utilizarea articolelor care conțin </w:t>
            </w:r>
            <w:proofErr w:type="spellStart"/>
            <w:r w:rsidRPr="00044C72">
              <w:rPr>
                <w:lang w:val="ro-MD" w:eastAsia="ro-MD"/>
              </w:rPr>
              <w:t>endosulfan</w:t>
            </w:r>
            <w:proofErr w:type="spellEnd"/>
            <w:r w:rsidRPr="00044C72">
              <w:rPr>
                <w:lang w:val="ro-MD" w:eastAsia="ro-MD"/>
              </w:rPr>
              <w:t>, aflate deja în uz înainte de aprobarea prezentului Regulament.</w:t>
            </w:r>
          </w:p>
        </w:tc>
      </w:tr>
      <w:tr w:rsidR="00044C72" w:rsidRPr="00AA2C89" w14:paraId="42935A21" w14:textId="77777777" w:rsidTr="00067CBF">
        <w:trPr>
          <w:trHeight w:val="690"/>
        </w:trPr>
        <w:tc>
          <w:tcPr>
            <w:tcW w:w="3731" w:type="dxa"/>
          </w:tcPr>
          <w:p w14:paraId="709AA4CC" w14:textId="77777777" w:rsidR="00044C72" w:rsidRPr="00044C72" w:rsidRDefault="00044C72" w:rsidP="00044C72">
            <w:pPr>
              <w:spacing w:before="60" w:after="60" w:line="276" w:lineRule="auto"/>
              <w:textAlignment w:val="baseline"/>
              <w:rPr>
                <w:lang w:val="ro-MD" w:eastAsia="ro-MD"/>
              </w:rPr>
            </w:pPr>
            <w:r w:rsidRPr="00044C72">
              <w:rPr>
                <w:lang w:val="ro-MD" w:eastAsia="ro-MD"/>
              </w:rPr>
              <w:t>Hexaclorbenzen</w:t>
            </w:r>
          </w:p>
        </w:tc>
        <w:tc>
          <w:tcPr>
            <w:tcW w:w="1142" w:type="dxa"/>
          </w:tcPr>
          <w:p w14:paraId="77B1086A" w14:textId="77777777" w:rsidR="00044C72" w:rsidRPr="00044C72" w:rsidRDefault="00044C72" w:rsidP="00044C72">
            <w:pPr>
              <w:spacing w:before="60" w:after="60" w:line="276" w:lineRule="auto"/>
              <w:textAlignment w:val="baseline"/>
              <w:rPr>
                <w:lang w:val="ro-MD" w:eastAsia="ro-MD"/>
              </w:rPr>
            </w:pPr>
            <w:r w:rsidRPr="00044C72">
              <w:rPr>
                <w:lang w:val="ro-MD" w:eastAsia="ro-MD"/>
              </w:rPr>
              <w:t>118-74-1</w:t>
            </w:r>
          </w:p>
        </w:tc>
        <w:tc>
          <w:tcPr>
            <w:tcW w:w="792" w:type="dxa"/>
          </w:tcPr>
          <w:p w14:paraId="5D9CB055" w14:textId="77777777" w:rsidR="00044C72" w:rsidRPr="00044C72" w:rsidRDefault="00044C72" w:rsidP="00044C72">
            <w:pPr>
              <w:spacing w:before="60" w:after="60" w:line="276" w:lineRule="auto"/>
              <w:textAlignment w:val="baseline"/>
              <w:rPr>
                <w:lang w:val="ro-MD" w:eastAsia="ro-MD"/>
              </w:rPr>
            </w:pPr>
            <w:r w:rsidRPr="00044C72">
              <w:rPr>
                <w:lang w:val="ro-MD" w:eastAsia="ro-MD"/>
              </w:rPr>
              <w:t>200-273-9</w:t>
            </w:r>
          </w:p>
        </w:tc>
        <w:tc>
          <w:tcPr>
            <w:tcW w:w="2936" w:type="dxa"/>
            <w:vAlign w:val="bottom"/>
          </w:tcPr>
          <w:p w14:paraId="5F25A763" w14:textId="0A9995FE" w:rsidR="00044C72" w:rsidRPr="00044C72" w:rsidRDefault="00044C72" w:rsidP="00044C72">
            <w:pPr>
              <w:spacing w:after="160" w:line="276" w:lineRule="auto"/>
              <w:rPr>
                <w:rFonts w:eastAsiaTheme="minorHAnsi"/>
                <w:highlight w:val="yellow"/>
                <w:lang w:val="ro-MD" w:eastAsia="en-US"/>
              </w:rPr>
            </w:pPr>
            <w:r w:rsidRPr="00044C72">
              <w:rPr>
                <w:lang w:val="ro-MD" w:eastAsia="ro-MD"/>
              </w:rPr>
              <w:t xml:space="preserve">Se aplică concentrațiilor de hexaclorbenzen  mai mici sau egale cu 10 mg/kg (0,001 </w:t>
            </w:r>
            <w:r w:rsidR="00173C44">
              <w:rPr>
                <w:lang w:val="ro-MD" w:eastAsia="ro-MD"/>
              </w:rPr>
              <w:t xml:space="preserve">% </w:t>
            </w:r>
            <w:r w:rsidR="00811B60">
              <w:rPr>
                <w:lang w:val="ro-MD" w:eastAsia="ro-MD"/>
              </w:rPr>
              <w:t>în</w:t>
            </w:r>
            <w:r w:rsidRPr="00044C72">
              <w:rPr>
                <w:lang w:val="ro-MD" w:eastAsia="ro-MD"/>
              </w:rPr>
              <w:t xml:space="preserve"> masă) în cazul în care acesta este prezent în substanțe, amestecuri sau articole.</w:t>
            </w:r>
          </w:p>
        </w:tc>
      </w:tr>
      <w:tr w:rsidR="00044C72" w:rsidRPr="00044C72" w14:paraId="30E1F38F" w14:textId="77777777" w:rsidTr="00067CBF">
        <w:trPr>
          <w:trHeight w:val="690"/>
        </w:trPr>
        <w:tc>
          <w:tcPr>
            <w:tcW w:w="3731" w:type="dxa"/>
          </w:tcPr>
          <w:p w14:paraId="29F583AC"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Clordecon</w:t>
            </w:r>
            <w:proofErr w:type="spellEnd"/>
          </w:p>
        </w:tc>
        <w:tc>
          <w:tcPr>
            <w:tcW w:w="1142" w:type="dxa"/>
          </w:tcPr>
          <w:p w14:paraId="4AC9359A" w14:textId="77777777" w:rsidR="00044C72" w:rsidRPr="00044C72" w:rsidRDefault="00044C72" w:rsidP="00044C72">
            <w:pPr>
              <w:spacing w:before="60" w:after="60" w:line="276" w:lineRule="auto"/>
              <w:textAlignment w:val="baseline"/>
              <w:rPr>
                <w:lang w:val="ro-MD" w:eastAsia="ro-MD"/>
              </w:rPr>
            </w:pPr>
            <w:r w:rsidRPr="00044C72">
              <w:rPr>
                <w:lang w:val="ro-MD" w:eastAsia="ro-MD"/>
              </w:rPr>
              <w:t>143-50-0</w:t>
            </w:r>
          </w:p>
        </w:tc>
        <w:tc>
          <w:tcPr>
            <w:tcW w:w="792" w:type="dxa"/>
          </w:tcPr>
          <w:p w14:paraId="241A1FCD" w14:textId="77777777" w:rsidR="00044C72" w:rsidRPr="00044C72" w:rsidRDefault="00044C72" w:rsidP="00044C72">
            <w:pPr>
              <w:spacing w:before="60" w:after="60" w:line="276" w:lineRule="auto"/>
              <w:textAlignment w:val="baseline"/>
              <w:rPr>
                <w:lang w:val="ro-MD" w:eastAsia="ro-MD"/>
              </w:rPr>
            </w:pPr>
            <w:r w:rsidRPr="00044C72">
              <w:rPr>
                <w:lang w:val="ro-MD" w:eastAsia="ro-MD"/>
              </w:rPr>
              <w:t>205-601-3</w:t>
            </w:r>
          </w:p>
        </w:tc>
        <w:tc>
          <w:tcPr>
            <w:tcW w:w="2936" w:type="dxa"/>
            <w:vAlign w:val="bottom"/>
          </w:tcPr>
          <w:p w14:paraId="1942C08F"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55C6F246" w14:textId="77777777" w:rsidTr="00067CBF">
        <w:trPr>
          <w:trHeight w:val="690"/>
        </w:trPr>
        <w:tc>
          <w:tcPr>
            <w:tcW w:w="3731" w:type="dxa"/>
          </w:tcPr>
          <w:p w14:paraId="674984F8" w14:textId="77777777" w:rsidR="00044C72" w:rsidRPr="00044C72" w:rsidRDefault="00044C72" w:rsidP="00044C72">
            <w:pPr>
              <w:spacing w:before="60" w:after="60" w:line="276" w:lineRule="auto"/>
              <w:textAlignment w:val="baseline"/>
              <w:rPr>
                <w:lang w:val="ro-MD" w:eastAsia="ro-MD"/>
              </w:rPr>
            </w:pPr>
            <w:r w:rsidRPr="00044C72">
              <w:rPr>
                <w:lang w:val="ro-MD" w:eastAsia="ro-MD"/>
              </w:rPr>
              <w:lastRenderedPageBreak/>
              <w:t>Aldrin</w:t>
            </w:r>
          </w:p>
        </w:tc>
        <w:tc>
          <w:tcPr>
            <w:tcW w:w="1142" w:type="dxa"/>
          </w:tcPr>
          <w:p w14:paraId="0A7F1E00" w14:textId="77777777" w:rsidR="00044C72" w:rsidRPr="00044C72" w:rsidRDefault="00044C72" w:rsidP="00044C72">
            <w:pPr>
              <w:spacing w:before="60" w:after="60" w:line="276" w:lineRule="auto"/>
              <w:textAlignment w:val="baseline"/>
              <w:rPr>
                <w:lang w:val="ro-MD" w:eastAsia="ro-MD"/>
              </w:rPr>
            </w:pPr>
            <w:r w:rsidRPr="00044C72">
              <w:rPr>
                <w:lang w:val="ro-MD" w:eastAsia="ro-MD"/>
              </w:rPr>
              <w:t>309-00-2</w:t>
            </w:r>
          </w:p>
        </w:tc>
        <w:tc>
          <w:tcPr>
            <w:tcW w:w="792" w:type="dxa"/>
          </w:tcPr>
          <w:p w14:paraId="49AE9BCC" w14:textId="77777777" w:rsidR="00044C72" w:rsidRPr="00044C72" w:rsidRDefault="00044C72" w:rsidP="00044C72">
            <w:pPr>
              <w:spacing w:before="60" w:after="60" w:line="276" w:lineRule="auto"/>
              <w:textAlignment w:val="baseline"/>
              <w:rPr>
                <w:lang w:val="ro-MD" w:eastAsia="ro-MD"/>
              </w:rPr>
            </w:pPr>
            <w:r w:rsidRPr="00044C72">
              <w:rPr>
                <w:lang w:val="ro-MD" w:eastAsia="ro-MD"/>
              </w:rPr>
              <w:t>206-215-8</w:t>
            </w:r>
          </w:p>
        </w:tc>
        <w:tc>
          <w:tcPr>
            <w:tcW w:w="2936" w:type="dxa"/>
            <w:vAlign w:val="bottom"/>
          </w:tcPr>
          <w:p w14:paraId="4A9BCAFC"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24855B08" w14:textId="77777777" w:rsidTr="00067CBF">
        <w:trPr>
          <w:trHeight w:val="690"/>
        </w:trPr>
        <w:tc>
          <w:tcPr>
            <w:tcW w:w="3731" w:type="dxa"/>
          </w:tcPr>
          <w:p w14:paraId="4C494145"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Pentaclorbenzen</w:t>
            </w:r>
            <w:proofErr w:type="spellEnd"/>
          </w:p>
        </w:tc>
        <w:tc>
          <w:tcPr>
            <w:tcW w:w="1142" w:type="dxa"/>
          </w:tcPr>
          <w:p w14:paraId="3159C5BD" w14:textId="77777777" w:rsidR="00044C72" w:rsidRPr="00044C72" w:rsidRDefault="00044C72" w:rsidP="00044C72">
            <w:pPr>
              <w:spacing w:before="60" w:after="60" w:line="276" w:lineRule="auto"/>
              <w:textAlignment w:val="baseline"/>
              <w:rPr>
                <w:lang w:val="ro-MD" w:eastAsia="ro-MD"/>
              </w:rPr>
            </w:pPr>
            <w:r w:rsidRPr="00044C72">
              <w:rPr>
                <w:lang w:val="ro-MD" w:eastAsia="ro-MD"/>
              </w:rPr>
              <w:t>608-93-5</w:t>
            </w:r>
          </w:p>
        </w:tc>
        <w:tc>
          <w:tcPr>
            <w:tcW w:w="792" w:type="dxa"/>
          </w:tcPr>
          <w:p w14:paraId="5C03BD0C" w14:textId="77777777" w:rsidR="00044C72" w:rsidRPr="00044C72" w:rsidRDefault="00044C72" w:rsidP="00044C72">
            <w:pPr>
              <w:spacing w:before="60" w:after="60" w:line="276" w:lineRule="auto"/>
              <w:textAlignment w:val="baseline"/>
              <w:rPr>
                <w:lang w:val="ro-MD" w:eastAsia="ro-MD"/>
              </w:rPr>
            </w:pPr>
            <w:r w:rsidRPr="00044C72">
              <w:rPr>
                <w:lang w:val="ro-MD" w:eastAsia="ro-MD"/>
              </w:rPr>
              <w:t>210-172-5</w:t>
            </w:r>
          </w:p>
        </w:tc>
        <w:tc>
          <w:tcPr>
            <w:tcW w:w="2936" w:type="dxa"/>
            <w:vAlign w:val="bottom"/>
          </w:tcPr>
          <w:p w14:paraId="167869F3"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AA2C89" w14:paraId="439B8F23" w14:textId="77777777" w:rsidTr="00067CBF">
        <w:trPr>
          <w:trHeight w:val="690"/>
        </w:trPr>
        <w:tc>
          <w:tcPr>
            <w:tcW w:w="3731" w:type="dxa"/>
          </w:tcPr>
          <w:p w14:paraId="2B020DE3"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Bifenili</w:t>
            </w:r>
            <w:proofErr w:type="spellEnd"/>
            <w:r w:rsidRPr="00044C72">
              <w:rPr>
                <w:lang w:val="ro-MD" w:eastAsia="ro-MD"/>
              </w:rPr>
              <w:t xml:space="preserve"> </w:t>
            </w:r>
            <w:proofErr w:type="spellStart"/>
            <w:r w:rsidRPr="00044C72">
              <w:rPr>
                <w:lang w:val="ro-MD" w:eastAsia="ro-MD"/>
              </w:rPr>
              <w:t>policlorurați</w:t>
            </w:r>
            <w:proofErr w:type="spellEnd"/>
            <w:r w:rsidRPr="00044C72">
              <w:rPr>
                <w:lang w:val="ro-MD" w:eastAsia="ro-MD"/>
              </w:rPr>
              <w:t xml:space="preserve"> (BPC)</w:t>
            </w:r>
          </w:p>
        </w:tc>
        <w:tc>
          <w:tcPr>
            <w:tcW w:w="1142" w:type="dxa"/>
          </w:tcPr>
          <w:p w14:paraId="08DB77FD" w14:textId="77777777" w:rsidR="00044C72" w:rsidRPr="00044C72" w:rsidRDefault="00044C72" w:rsidP="00044C72">
            <w:pPr>
              <w:spacing w:before="60" w:after="60" w:line="276" w:lineRule="auto"/>
              <w:textAlignment w:val="baseline"/>
              <w:rPr>
                <w:lang w:val="ro-MD" w:eastAsia="ro-MD"/>
              </w:rPr>
            </w:pPr>
            <w:r w:rsidRPr="00044C72">
              <w:rPr>
                <w:lang w:val="ro-MD" w:eastAsia="ro-MD"/>
              </w:rPr>
              <w:t>1336-36-3 și altele</w:t>
            </w:r>
          </w:p>
        </w:tc>
        <w:tc>
          <w:tcPr>
            <w:tcW w:w="792" w:type="dxa"/>
          </w:tcPr>
          <w:p w14:paraId="6696D310" w14:textId="77777777" w:rsidR="00044C72" w:rsidRPr="00044C72" w:rsidRDefault="00044C72" w:rsidP="00044C72">
            <w:pPr>
              <w:spacing w:before="60" w:after="60" w:line="276" w:lineRule="auto"/>
              <w:textAlignment w:val="baseline"/>
              <w:rPr>
                <w:lang w:val="ro-MD" w:eastAsia="ro-MD"/>
              </w:rPr>
            </w:pPr>
            <w:r w:rsidRPr="00044C72">
              <w:rPr>
                <w:lang w:val="ro-MD" w:eastAsia="ro-MD"/>
              </w:rPr>
              <w:t>215-648-1 și altele</w:t>
            </w:r>
          </w:p>
        </w:tc>
        <w:tc>
          <w:tcPr>
            <w:tcW w:w="2936" w:type="dxa"/>
            <w:vAlign w:val="bottom"/>
          </w:tcPr>
          <w:p w14:paraId="432C08D2" w14:textId="77777777" w:rsidR="00044C72" w:rsidRPr="00044C72" w:rsidRDefault="00044C72" w:rsidP="00044C72">
            <w:pPr>
              <w:spacing w:after="160" w:line="259" w:lineRule="auto"/>
              <w:rPr>
                <w:rFonts w:eastAsia="Calibri"/>
                <w:lang w:val="ro-MD" w:eastAsia="en-US"/>
              </w:rPr>
            </w:pPr>
            <w:r w:rsidRPr="00044C72">
              <w:rPr>
                <w:rFonts w:eastAsia="Calibri"/>
                <w:lang w:val="ro-MD" w:eastAsia="en-US"/>
              </w:rPr>
              <w:t xml:space="preserve">Fără a aduce atingere Regulamentului privind </w:t>
            </w:r>
            <w:proofErr w:type="spellStart"/>
            <w:r w:rsidRPr="00044C72">
              <w:rPr>
                <w:rFonts w:eastAsia="Calibri"/>
                <w:lang w:val="ro-MD" w:eastAsia="en-US"/>
              </w:rPr>
              <w:t>bifenilii</w:t>
            </w:r>
            <w:proofErr w:type="spellEnd"/>
            <w:r w:rsidRPr="00044C72">
              <w:rPr>
                <w:rFonts w:eastAsia="Calibri"/>
                <w:lang w:val="ro-MD" w:eastAsia="en-US"/>
              </w:rPr>
              <w:t xml:space="preserve"> </w:t>
            </w:r>
            <w:proofErr w:type="spellStart"/>
            <w:r w:rsidRPr="00044C72">
              <w:rPr>
                <w:rFonts w:eastAsia="Calibri"/>
                <w:lang w:val="ro-MD" w:eastAsia="en-US"/>
              </w:rPr>
              <w:t>policloruraţi</w:t>
            </w:r>
            <w:proofErr w:type="spellEnd"/>
            <w:r w:rsidRPr="00044C72">
              <w:rPr>
                <w:rFonts w:eastAsia="Calibri"/>
                <w:lang w:val="ro-MD" w:eastAsia="en-US"/>
              </w:rPr>
              <w:t>, aprobat prin HG nr. 81/2009 se aprobă utilizarea articolelor care se află deja în uz la momentul intrării în vigoare a prezentului regulament.</w:t>
            </w:r>
          </w:p>
          <w:p w14:paraId="0B5B2B5F" w14:textId="77777777" w:rsidR="00044C72" w:rsidRPr="00044C72" w:rsidRDefault="00044C72" w:rsidP="00044C72">
            <w:pPr>
              <w:spacing w:after="160" w:line="259" w:lineRule="auto"/>
              <w:rPr>
                <w:rFonts w:eastAsia="Calibri"/>
                <w:lang w:val="ro-MD" w:eastAsia="en-US"/>
              </w:rPr>
            </w:pPr>
            <w:r w:rsidRPr="00044C72">
              <w:rPr>
                <w:lang w:val="ro-MD" w:eastAsia="ro-MD"/>
              </w:rPr>
              <w:t>Echipamentele (de exemplu, transformatoare, condensatoare sau alte recipiente conținând stocuri de lichide reziduale) care conțin BPC în proporție de peste 0,005 % și în volume de peste 0,05 dm</w:t>
            </w:r>
            <w:r w:rsidRPr="00044C72">
              <w:rPr>
                <w:sz w:val="17"/>
                <w:szCs w:val="17"/>
                <w:vertAlign w:val="superscript"/>
                <w:lang w:val="ro-MD" w:eastAsia="ro-MD"/>
              </w:rPr>
              <w:t>3</w:t>
            </w:r>
            <w:r w:rsidRPr="00044C72">
              <w:rPr>
                <w:lang w:val="ro-MD" w:eastAsia="ro-MD"/>
              </w:rPr>
              <w:t>, se identifică și se scot din uz cât mai curând posibil, dar nu mai târziu de 31 decembrie 2025.</w:t>
            </w:r>
          </w:p>
        </w:tc>
      </w:tr>
      <w:tr w:rsidR="00044C72" w:rsidRPr="00044C72" w14:paraId="2F23A71E" w14:textId="77777777" w:rsidTr="00067CBF">
        <w:trPr>
          <w:trHeight w:val="690"/>
        </w:trPr>
        <w:tc>
          <w:tcPr>
            <w:tcW w:w="3731" w:type="dxa"/>
          </w:tcPr>
          <w:p w14:paraId="41CF1153"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Mirex</w:t>
            </w:r>
            <w:proofErr w:type="spellEnd"/>
          </w:p>
        </w:tc>
        <w:tc>
          <w:tcPr>
            <w:tcW w:w="1142" w:type="dxa"/>
          </w:tcPr>
          <w:p w14:paraId="3FD86E4D" w14:textId="77777777" w:rsidR="00044C72" w:rsidRPr="00044C72" w:rsidRDefault="00044C72" w:rsidP="00044C72">
            <w:pPr>
              <w:spacing w:before="60" w:after="60" w:line="276" w:lineRule="auto"/>
              <w:textAlignment w:val="baseline"/>
              <w:rPr>
                <w:lang w:val="ro-MD" w:eastAsia="ro-MD"/>
              </w:rPr>
            </w:pPr>
            <w:r w:rsidRPr="00044C72">
              <w:rPr>
                <w:lang w:val="ro-MD" w:eastAsia="ro-MD"/>
              </w:rPr>
              <w:t>2385-85-5</w:t>
            </w:r>
          </w:p>
        </w:tc>
        <w:tc>
          <w:tcPr>
            <w:tcW w:w="792" w:type="dxa"/>
          </w:tcPr>
          <w:p w14:paraId="6D0C4EF2" w14:textId="77777777" w:rsidR="00044C72" w:rsidRPr="00044C72" w:rsidRDefault="00044C72" w:rsidP="00044C72">
            <w:pPr>
              <w:spacing w:before="60" w:after="60" w:line="276" w:lineRule="auto"/>
              <w:textAlignment w:val="baseline"/>
              <w:rPr>
                <w:lang w:val="ro-MD" w:eastAsia="ro-MD"/>
              </w:rPr>
            </w:pPr>
            <w:r w:rsidRPr="00044C72">
              <w:rPr>
                <w:lang w:val="ro-MD" w:eastAsia="ro-MD"/>
              </w:rPr>
              <w:t>219-196-6</w:t>
            </w:r>
          </w:p>
        </w:tc>
        <w:tc>
          <w:tcPr>
            <w:tcW w:w="2936" w:type="dxa"/>
            <w:vAlign w:val="bottom"/>
          </w:tcPr>
          <w:p w14:paraId="0C3D84FD"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1835CC45" w14:textId="77777777" w:rsidTr="00067CBF">
        <w:trPr>
          <w:trHeight w:val="690"/>
        </w:trPr>
        <w:tc>
          <w:tcPr>
            <w:tcW w:w="3731" w:type="dxa"/>
          </w:tcPr>
          <w:p w14:paraId="05CEEF23"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Toxafen</w:t>
            </w:r>
            <w:proofErr w:type="spellEnd"/>
          </w:p>
        </w:tc>
        <w:tc>
          <w:tcPr>
            <w:tcW w:w="1142" w:type="dxa"/>
          </w:tcPr>
          <w:p w14:paraId="6EB8BEE5" w14:textId="77777777" w:rsidR="00044C72" w:rsidRPr="00044C72" w:rsidRDefault="00044C72" w:rsidP="00044C72">
            <w:pPr>
              <w:spacing w:before="60" w:after="60" w:line="276" w:lineRule="auto"/>
              <w:textAlignment w:val="baseline"/>
              <w:rPr>
                <w:lang w:val="ro-MD" w:eastAsia="ro-MD"/>
              </w:rPr>
            </w:pPr>
            <w:r w:rsidRPr="00044C72">
              <w:rPr>
                <w:lang w:val="ro-MD" w:eastAsia="ro-MD"/>
              </w:rPr>
              <w:t>8001-35-2</w:t>
            </w:r>
          </w:p>
        </w:tc>
        <w:tc>
          <w:tcPr>
            <w:tcW w:w="792" w:type="dxa"/>
          </w:tcPr>
          <w:p w14:paraId="40804556" w14:textId="77777777" w:rsidR="00044C72" w:rsidRPr="00044C72" w:rsidRDefault="00044C72" w:rsidP="00044C72">
            <w:pPr>
              <w:spacing w:before="60" w:after="60" w:line="276" w:lineRule="auto"/>
              <w:textAlignment w:val="baseline"/>
              <w:rPr>
                <w:lang w:val="ro-MD" w:eastAsia="ro-MD"/>
              </w:rPr>
            </w:pPr>
            <w:r w:rsidRPr="00044C72">
              <w:rPr>
                <w:lang w:val="ro-MD" w:eastAsia="ro-MD"/>
              </w:rPr>
              <w:t>232-283-3</w:t>
            </w:r>
          </w:p>
        </w:tc>
        <w:tc>
          <w:tcPr>
            <w:tcW w:w="2936" w:type="dxa"/>
            <w:vAlign w:val="bottom"/>
          </w:tcPr>
          <w:p w14:paraId="13F0CEAF"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tc>
      </w:tr>
      <w:tr w:rsidR="00044C72" w:rsidRPr="00044C72" w14:paraId="0C46F784" w14:textId="77777777" w:rsidTr="00067CBF">
        <w:trPr>
          <w:trHeight w:val="690"/>
        </w:trPr>
        <w:tc>
          <w:tcPr>
            <w:tcW w:w="3731" w:type="dxa"/>
          </w:tcPr>
          <w:p w14:paraId="62EA2B7C"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t>Hexabromdifenil</w:t>
            </w:r>
            <w:proofErr w:type="spellEnd"/>
          </w:p>
        </w:tc>
        <w:tc>
          <w:tcPr>
            <w:tcW w:w="1142" w:type="dxa"/>
          </w:tcPr>
          <w:p w14:paraId="4C932BA2" w14:textId="77777777" w:rsidR="00044C72" w:rsidRPr="00044C72" w:rsidRDefault="00044C72" w:rsidP="00044C72">
            <w:pPr>
              <w:spacing w:before="60" w:after="60" w:line="276" w:lineRule="auto"/>
              <w:textAlignment w:val="baseline"/>
              <w:rPr>
                <w:lang w:val="ro-MD" w:eastAsia="ro-MD"/>
              </w:rPr>
            </w:pPr>
            <w:r w:rsidRPr="00044C72">
              <w:rPr>
                <w:lang w:val="ro-MD" w:eastAsia="ro-MD"/>
              </w:rPr>
              <w:t>36355-01-8</w:t>
            </w:r>
          </w:p>
        </w:tc>
        <w:tc>
          <w:tcPr>
            <w:tcW w:w="792" w:type="dxa"/>
          </w:tcPr>
          <w:p w14:paraId="44FDBBCB" w14:textId="77777777" w:rsidR="00044C72" w:rsidRPr="00044C72" w:rsidRDefault="00044C72" w:rsidP="00044C72">
            <w:pPr>
              <w:spacing w:before="60" w:after="60" w:line="276" w:lineRule="auto"/>
              <w:textAlignment w:val="baseline"/>
              <w:rPr>
                <w:lang w:val="ro-MD" w:eastAsia="ro-MD"/>
              </w:rPr>
            </w:pPr>
            <w:r w:rsidRPr="00044C72">
              <w:rPr>
                <w:lang w:val="ro-MD" w:eastAsia="ro-MD"/>
              </w:rPr>
              <w:t>252-994-2</w:t>
            </w:r>
          </w:p>
        </w:tc>
        <w:tc>
          <w:tcPr>
            <w:tcW w:w="2936" w:type="dxa"/>
            <w:vAlign w:val="bottom"/>
          </w:tcPr>
          <w:p w14:paraId="551A41B2" w14:textId="77777777" w:rsidR="00044C72" w:rsidRPr="00044C72" w:rsidRDefault="00044C72" w:rsidP="00044C72">
            <w:pPr>
              <w:spacing w:after="160" w:line="276" w:lineRule="auto"/>
              <w:rPr>
                <w:rFonts w:eastAsiaTheme="minorHAnsi"/>
                <w:lang w:val="en-US" w:eastAsia="en-US"/>
              </w:rPr>
            </w:pPr>
            <w:r w:rsidRPr="00044C72">
              <w:rPr>
                <w:rFonts w:eastAsiaTheme="minorHAnsi"/>
                <w:lang w:val="en-US" w:eastAsia="en-US"/>
              </w:rPr>
              <w:t>---</w:t>
            </w:r>
          </w:p>
          <w:p w14:paraId="6B573988" w14:textId="77777777" w:rsidR="00044C72" w:rsidRPr="00044C72" w:rsidRDefault="00044C72" w:rsidP="00044C72">
            <w:pPr>
              <w:spacing w:after="160" w:line="276" w:lineRule="auto"/>
              <w:rPr>
                <w:rFonts w:eastAsiaTheme="minorHAnsi"/>
                <w:lang w:val="en-US" w:eastAsia="en-US"/>
              </w:rPr>
            </w:pPr>
          </w:p>
        </w:tc>
      </w:tr>
      <w:tr w:rsidR="00044C72" w:rsidRPr="00AA2C89" w14:paraId="0F7C1D00" w14:textId="77777777" w:rsidTr="00067CBF">
        <w:trPr>
          <w:trHeight w:val="690"/>
        </w:trPr>
        <w:tc>
          <w:tcPr>
            <w:tcW w:w="3731" w:type="dxa"/>
          </w:tcPr>
          <w:p w14:paraId="19924604" w14:textId="77777777" w:rsidR="00044C72" w:rsidRPr="00044C72" w:rsidRDefault="00044C72" w:rsidP="00044C72">
            <w:pPr>
              <w:spacing w:before="54" w:after="54" w:line="276" w:lineRule="auto"/>
              <w:textAlignment w:val="baseline"/>
              <w:rPr>
                <w:lang w:val="ro-MD" w:eastAsia="ro-MD"/>
              </w:rPr>
            </w:pPr>
            <w:r w:rsidRPr="00044C72">
              <w:rPr>
                <w:lang w:val="ro-MD" w:eastAsia="ro-MD"/>
              </w:rPr>
              <w:t>„</w:t>
            </w:r>
            <w:proofErr w:type="spellStart"/>
            <w:r w:rsidRPr="00044C72">
              <w:rPr>
                <w:lang w:val="ro-MD" w:eastAsia="ro-MD"/>
              </w:rPr>
              <w:t>Hexabromociclododecan</w:t>
            </w:r>
            <w:proofErr w:type="spellEnd"/>
          </w:p>
          <w:p w14:paraId="1B94D0BC" w14:textId="77777777" w:rsidR="00044C72" w:rsidRPr="00044C72" w:rsidRDefault="00044C72" w:rsidP="00044C72">
            <w:pPr>
              <w:spacing w:before="54" w:after="54" w:line="276" w:lineRule="auto"/>
              <w:textAlignment w:val="baseline"/>
              <w:rPr>
                <w:lang w:val="ro-MD" w:eastAsia="ro-MD"/>
              </w:rPr>
            </w:pPr>
            <w:r w:rsidRPr="00044C72">
              <w:rPr>
                <w:lang w:val="ro-MD" w:eastAsia="ro-MD"/>
              </w:rPr>
              <w:t>«</w:t>
            </w:r>
            <w:proofErr w:type="spellStart"/>
            <w:r w:rsidRPr="00044C72">
              <w:rPr>
                <w:lang w:val="ro-MD" w:eastAsia="ro-MD"/>
              </w:rPr>
              <w:t>Hexabromociclododecan</w:t>
            </w:r>
            <w:proofErr w:type="spellEnd"/>
            <w:r w:rsidRPr="00044C72">
              <w:rPr>
                <w:lang w:val="ro-MD" w:eastAsia="ro-MD"/>
              </w:rPr>
              <w:t xml:space="preserve">» înseamnă: </w:t>
            </w:r>
            <w:proofErr w:type="spellStart"/>
            <w:r w:rsidRPr="00044C72">
              <w:rPr>
                <w:lang w:val="ro-MD" w:eastAsia="ro-MD"/>
              </w:rPr>
              <w:t>hexabromociclododecan</w:t>
            </w:r>
            <w:proofErr w:type="spellEnd"/>
            <w:r w:rsidRPr="00044C72">
              <w:rPr>
                <w:lang w:val="ro-MD" w:eastAsia="ro-MD"/>
              </w:rPr>
              <w:t xml:space="preserve">, 1,2,5,6,9,10-hexabromociclododecan și principalii săi </w:t>
            </w:r>
            <w:proofErr w:type="spellStart"/>
            <w:r w:rsidRPr="00044C72">
              <w:rPr>
                <w:lang w:val="ro-MD" w:eastAsia="ro-MD"/>
              </w:rPr>
              <w:t>diastereoizomeri</w:t>
            </w:r>
            <w:proofErr w:type="spellEnd"/>
            <w:r w:rsidRPr="00044C72">
              <w:rPr>
                <w:lang w:val="ro-MD" w:eastAsia="ro-MD"/>
              </w:rPr>
              <w:t>: alfa-</w:t>
            </w:r>
            <w:proofErr w:type="spellStart"/>
            <w:r w:rsidRPr="00044C72">
              <w:rPr>
                <w:lang w:val="ro-MD" w:eastAsia="ro-MD"/>
              </w:rPr>
              <w:t>hexabromociclododecan</w:t>
            </w:r>
            <w:proofErr w:type="spellEnd"/>
            <w:r w:rsidRPr="00044C72">
              <w:rPr>
                <w:lang w:val="ro-MD" w:eastAsia="ro-MD"/>
              </w:rPr>
              <w:t>; beta-</w:t>
            </w:r>
            <w:proofErr w:type="spellStart"/>
            <w:r w:rsidRPr="00044C72">
              <w:rPr>
                <w:lang w:val="ro-MD" w:eastAsia="ro-MD"/>
              </w:rPr>
              <w:lastRenderedPageBreak/>
              <w:t>hexabromociclododecan</w:t>
            </w:r>
            <w:proofErr w:type="spellEnd"/>
            <w:r w:rsidRPr="00044C72">
              <w:rPr>
                <w:lang w:val="ro-MD" w:eastAsia="ro-MD"/>
              </w:rPr>
              <w:t xml:space="preserve"> și gama-</w:t>
            </w:r>
            <w:proofErr w:type="spellStart"/>
            <w:r w:rsidRPr="00044C72">
              <w:rPr>
                <w:lang w:val="ro-MD" w:eastAsia="ro-MD"/>
              </w:rPr>
              <w:t>hexabromociclododecan</w:t>
            </w:r>
            <w:proofErr w:type="spellEnd"/>
          </w:p>
          <w:p w14:paraId="37188880" w14:textId="77777777" w:rsidR="00044C72" w:rsidRPr="00044C72" w:rsidRDefault="00044C72" w:rsidP="00044C72">
            <w:pPr>
              <w:spacing w:before="60" w:after="60" w:line="276" w:lineRule="auto"/>
              <w:textAlignment w:val="baseline"/>
              <w:rPr>
                <w:lang w:val="ro-MD" w:eastAsia="ro-MD"/>
              </w:rPr>
            </w:pPr>
          </w:p>
        </w:tc>
        <w:tc>
          <w:tcPr>
            <w:tcW w:w="1142" w:type="dxa"/>
          </w:tcPr>
          <w:p w14:paraId="433965ED" w14:textId="77777777" w:rsidR="00044C72" w:rsidRPr="00044C72" w:rsidRDefault="00044C72" w:rsidP="00044C72">
            <w:pPr>
              <w:spacing w:before="54" w:after="54" w:line="276" w:lineRule="auto"/>
              <w:textAlignment w:val="baseline"/>
              <w:rPr>
                <w:lang w:val="ro-MD" w:eastAsia="ro-MD"/>
              </w:rPr>
            </w:pPr>
            <w:r w:rsidRPr="00044C72">
              <w:rPr>
                <w:lang w:val="ro-MD" w:eastAsia="ro-MD"/>
              </w:rPr>
              <w:lastRenderedPageBreak/>
              <w:t>25637-99-4</w:t>
            </w:r>
          </w:p>
          <w:p w14:paraId="0C07FD42" w14:textId="77777777" w:rsidR="00044C72" w:rsidRPr="00044C72" w:rsidRDefault="00044C72" w:rsidP="00044C72">
            <w:pPr>
              <w:spacing w:before="54" w:after="54" w:line="276" w:lineRule="auto"/>
              <w:textAlignment w:val="baseline"/>
              <w:rPr>
                <w:lang w:val="ro-MD" w:eastAsia="ro-MD"/>
              </w:rPr>
            </w:pPr>
            <w:r w:rsidRPr="00044C72">
              <w:rPr>
                <w:lang w:val="ro-MD" w:eastAsia="ro-MD"/>
              </w:rPr>
              <w:t>3194-55-6</w:t>
            </w:r>
          </w:p>
          <w:p w14:paraId="298B7D62" w14:textId="77777777" w:rsidR="00044C72" w:rsidRPr="00044C72" w:rsidRDefault="00044C72" w:rsidP="00044C72">
            <w:pPr>
              <w:spacing w:before="54" w:after="54" w:line="276" w:lineRule="auto"/>
              <w:textAlignment w:val="baseline"/>
              <w:rPr>
                <w:lang w:val="ro-MD" w:eastAsia="ro-MD"/>
              </w:rPr>
            </w:pPr>
            <w:r w:rsidRPr="00044C72">
              <w:rPr>
                <w:lang w:val="ro-MD" w:eastAsia="ro-MD"/>
              </w:rPr>
              <w:t>134237-50-6</w:t>
            </w:r>
          </w:p>
          <w:p w14:paraId="6755D91D" w14:textId="77777777" w:rsidR="00044C72" w:rsidRPr="00044C72" w:rsidRDefault="00044C72" w:rsidP="00044C72">
            <w:pPr>
              <w:spacing w:before="54" w:after="54" w:line="276" w:lineRule="auto"/>
              <w:textAlignment w:val="baseline"/>
              <w:rPr>
                <w:lang w:val="ro-MD" w:eastAsia="ro-MD"/>
              </w:rPr>
            </w:pPr>
            <w:r w:rsidRPr="00044C72">
              <w:rPr>
                <w:lang w:val="ro-MD" w:eastAsia="ro-MD"/>
              </w:rPr>
              <w:lastRenderedPageBreak/>
              <w:t>134237-51-7</w:t>
            </w:r>
          </w:p>
          <w:p w14:paraId="6377166F" w14:textId="77777777" w:rsidR="00044C72" w:rsidRPr="00044C72" w:rsidRDefault="00044C72" w:rsidP="00044C72">
            <w:pPr>
              <w:spacing w:before="54" w:after="54" w:line="276" w:lineRule="auto"/>
              <w:textAlignment w:val="baseline"/>
              <w:rPr>
                <w:lang w:val="ro-MD" w:eastAsia="ro-MD"/>
              </w:rPr>
            </w:pPr>
            <w:r w:rsidRPr="00044C72">
              <w:rPr>
                <w:lang w:val="ro-MD" w:eastAsia="ro-MD"/>
              </w:rPr>
              <w:t>134237-52-8</w:t>
            </w:r>
          </w:p>
          <w:p w14:paraId="6AA4858D" w14:textId="77777777" w:rsidR="00044C72" w:rsidRPr="00044C72" w:rsidRDefault="00044C72" w:rsidP="00044C72">
            <w:pPr>
              <w:spacing w:before="60" w:after="60" w:line="276" w:lineRule="auto"/>
              <w:textAlignment w:val="baseline"/>
              <w:rPr>
                <w:lang w:val="ro-MD" w:eastAsia="ro-MD"/>
              </w:rPr>
            </w:pPr>
          </w:p>
        </w:tc>
        <w:tc>
          <w:tcPr>
            <w:tcW w:w="792" w:type="dxa"/>
          </w:tcPr>
          <w:p w14:paraId="44A45B46" w14:textId="77777777" w:rsidR="00044C72" w:rsidRPr="00044C72" w:rsidRDefault="00044C72" w:rsidP="00044C72">
            <w:pPr>
              <w:spacing w:before="54" w:after="54" w:line="276" w:lineRule="auto"/>
              <w:textAlignment w:val="baseline"/>
              <w:rPr>
                <w:lang w:val="ro-MD" w:eastAsia="ro-MD"/>
              </w:rPr>
            </w:pPr>
            <w:r w:rsidRPr="00044C72">
              <w:rPr>
                <w:lang w:val="ro-MD" w:eastAsia="ro-MD"/>
              </w:rPr>
              <w:lastRenderedPageBreak/>
              <w:t>247-148-4</w:t>
            </w:r>
          </w:p>
          <w:p w14:paraId="704E593B" w14:textId="77777777" w:rsidR="00044C72" w:rsidRPr="00044C72" w:rsidRDefault="00044C72" w:rsidP="00044C72">
            <w:pPr>
              <w:spacing w:before="54" w:after="54" w:line="276" w:lineRule="auto"/>
              <w:textAlignment w:val="baseline"/>
              <w:rPr>
                <w:lang w:val="ro-MD" w:eastAsia="ro-MD"/>
              </w:rPr>
            </w:pPr>
            <w:r w:rsidRPr="00044C72">
              <w:rPr>
                <w:lang w:val="ro-MD" w:eastAsia="ro-MD"/>
              </w:rPr>
              <w:t>221-695-9</w:t>
            </w:r>
          </w:p>
          <w:p w14:paraId="08C20D3F" w14:textId="77777777" w:rsidR="00044C72" w:rsidRPr="00044C72" w:rsidRDefault="00044C72" w:rsidP="00044C72">
            <w:pPr>
              <w:spacing w:before="60" w:after="60" w:line="276" w:lineRule="auto"/>
              <w:textAlignment w:val="baseline"/>
              <w:rPr>
                <w:lang w:val="ro-MD" w:eastAsia="ro-MD"/>
              </w:rPr>
            </w:pPr>
          </w:p>
        </w:tc>
        <w:tc>
          <w:tcPr>
            <w:tcW w:w="2936" w:type="dxa"/>
            <w:vAlign w:val="bottom"/>
          </w:tcPr>
          <w:p w14:paraId="1782D114" w14:textId="77777777" w:rsidR="00044C72" w:rsidRPr="00044C72" w:rsidRDefault="00044C72" w:rsidP="00044C72">
            <w:pPr>
              <w:spacing w:before="60" w:after="60" w:line="312" w:lineRule="atLeast"/>
              <w:rPr>
                <w:lang w:val="ro-MD" w:eastAsia="ro-MD"/>
              </w:rPr>
            </w:pPr>
            <w:r w:rsidRPr="00044C72">
              <w:rPr>
                <w:lang w:val="ro-MD" w:eastAsia="ro-MD"/>
              </w:rPr>
              <w:t xml:space="preserve">1.Prin derogare de la prevederile art. 4, fără  a atinge subpunctul 9.2  – limita pentru concentrația de </w:t>
            </w:r>
            <w:proofErr w:type="spellStart"/>
            <w:r w:rsidRPr="00044C72">
              <w:rPr>
                <w:lang w:val="ro-MD" w:eastAsia="ro-MD"/>
              </w:rPr>
              <w:t>hexabromociclododecanului</w:t>
            </w:r>
            <w:proofErr w:type="spellEnd"/>
            <w:r w:rsidRPr="00044C72">
              <w:rPr>
                <w:lang w:val="ro-MD" w:eastAsia="ro-MD"/>
              </w:rPr>
              <w:t xml:space="preserve"> (HBCDD) prezent ca </w:t>
            </w:r>
            <w:r w:rsidRPr="00044C72">
              <w:rPr>
                <w:lang w:val="ro-MD" w:eastAsia="ro-MD"/>
              </w:rPr>
              <w:lastRenderedPageBreak/>
              <w:t>contaminant neintenționat sub formă de urme se stabilește la:</w:t>
            </w:r>
          </w:p>
          <w:p w14:paraId="109B9FAB" w14:textId="77777777" w:rsidR="00044C72" w:rsidRPr="00044C72" w:rsidRDefault="00044C72" w:rsidP="00044C72">
            <w:pPr>
              <w:spacing w:before="60" w:after="60" w:line="312" w:lineRule="atLeast"/>
              <w:rPr>
                <w:lang w:val="ro-MD" w:eastAsia="ro-MD"/>
              </w:rPr>
            </w:pPr>
            <w:r w:rsidRPr="00044C72">
              <w:rPr>
                <w:lang w:val="ro-MD" w:eastAsia="ro-MD"/>
              </w:rPr>
              <w:t>a) un nivel egal sau mai mic de 75 mg/kg (0,0075 % în greutate), atunci când acesta este prezent în substanțe, amestecuri, articole sau în calitate de constituenți ai articolelor ignifuge;</w:t>
            </w:r>
          </w:p>
          <w:p w14:paraId="3D492DD3" w14:textId="77777777" w:rsidR="00044C72" w:rsidRPr="00044C72" w:rsidRDefault="00044C72" w:rsidP="00044C72">
            <w:pPr>
              <w:spacing w:before="60" w:after="60" w:line="312" w:lineRule="atLeast"/>
              <w:rPr>
                <w:lang w:val="ro-RO" w:eastAsia="ro-MD"/>
              </w:rPr>
            </w:pPr>
            <w:r w:rsidRPr="00044C72">
              <w:rPr>
                <w:lang w:val="ro-RO" w:eastAsia="ro-MD"/>
              </w:rPr>
              <w:t>b) un nivel egal sau mai mic de 100 mg/kg (0,01 % în greutate</w:t>
            </w:r>
            <w:r w:rsidRPr="00044C72">
              <w:rPr>
                <w:b/>
                <w:bCs/>
                <w:lang w:val="ro-RO" w:eastAsia="ro-MD"/>
              </w:rPr>
              <w:t>)</w:t>
            </w:r>
            <w:r w:rsidRPr="00044C72">
              <w:rPr>
                <w:lang w:val="ro-RO" w:eastAsia="ro-MD"/>
              </w:rPr>
              <w:t>, în cazul utilizării polistirenului reciclat pentru producerea de materiale izolatoare din polistiren expandat (EPS) și polistiren extrudat (XPS) destinate utilizării în clădiri sau lucrări de inginerie civilă.</w:t>
            </w:r>
          </w:p>
          <w:p w14:paraId="3B6FD52A" w14:textId="77777777" w:rsidR="00044C72" w:rsidRPr="00044C72" w:rsidRDefault="00044C72" w:rsidP="00044C72">
            <w:pPr>
              <w:spacing w:before="60" w:after="160" w:line="312" w:lineRule="atLeast"/>
              <w:rPr>
                <w:lang w:val="ro-MD" w:eastAsia="ro-MD"/>
              </w:rPr>
            </w:pPr>
            <w:r w:rsidRPr="00044C72">
              <w:rPr>
                <w:lang w:val="ro-RO" w:eastAsia="ro-MD"/>
              </w:rPr>
              <w:t>1.</w:t>
            </w:r>
            <w:r w:rsidRPr="00044C72">
              <w:rPr>
                <w:lang w:val="ro-MD" w:eastAsia="ro-MD"/>
              </w:rPr>
              <w:t xml:space="preserve">2 Se permite utilizarea în continuare a articolelor din polistiren expandat (EPS) și extrudat (XPS) care conțin HBCDD, dacă acestea au fost deja instalate în clădiri înainte de data intrării în vigoare a prezentei hotărâri: </w:t>
            </w:r>
          </w:p>
          <w:p w14:paraId="4C517A1C" w14:textId="77777777" w:rsidR="00044C72" w:rsidRPr="00044C72" w:rsidRDefault="00044C72" w:rsidP="00044C72">
            <w:pPr>
              <w:spacing w:before="60" w:after="160" w:line="312" w:lineRule="atLeast"/>
              <w:rPr>
                <w:lang w:val="ro-MD" w:eastAsia="ro-MD"/>
              </w:rPr>
            </w:pPr>
            <w:r w:rsidRPr="00044C72">
              <w:rPr>
                <w:lang w:val="ro-MD" w:eastAsia="ro-MD"/>
              </w:rPr>
              <w:t>1.2.1 Articolelor menționate la pct. 1.2  se aplică prevederile prezentului Regulament privind gestionarea stocurilor și a deșeurilor din momentul în care acestea sunt scoase din uz sau devin deșeuri.</w:t>
            </w:r>
          </w:p>
          <w:p w14:paraId="6CC65372" w14:textId="77777777" w:rsidR="00044C72" w:rsidRPr="00044C72" w:rsidRDefault="00044C72" w:rsidP="00044C72">
            <w:pPr>
              <w:spacing w:before="60" w:after="160" w:line="312" w:lineRule="atLeast"/>
              <w:rPr>
                <w:lang w:val="ro-MD" w:eastAsia="ro-MD"/>
              </w:rPr>
            </w:pPr>
            <w:r w:rsidRPr="00044C72">
              <w:rPr>
                <w:lang w:val="ro-MD" w:eastAsia="ro-MD"/>
              </w:rPr>
              <w:t xml:space="preserve">1.3 Fără a aduce atingere altor dispoziții privind clasificarea, ambalarea și </w:t>
            </w:r>
            <w:r w:rsidRPr="00044C72">
              <w:rPr>
                <w:lang w:val="ro-MD" w:eastAsia="ro-MD"/>
              </w:rPr>
              <w:lastRenderedPageBreak/>
              <w:t xml:space="preserve">etichetarea, polistirenul expandat plasat pe piață după intrarea în vigoare a prezentei hotărâri, în care s-a utilizat </w:t>
            </w:r>
            <w:proofErr w:type="spellStart"/>
            <w:r w:rsidRPr="00044C72">
              <w:rPr>
                <w:lang w:val="ro-MD" w:eastAsia="ro-MD"/>
              </w:rPr>
              <w:t>hexabromociclododecan</w:t>
            </w:r>
            <w:proofErr w:type="spellEnd"/>
            <w:r w:rsidRPr="00044C72">
              <w:rPr>
                <w:lang w:val="ro-MD" w:eastAsia="ro-MD"/>
              </w:rPr>
              <w:t>, trebuie să fie identificabil prin etichetare, marcaj direct sau prin documentația tehnică însoțitoare, pe tot parcursul ciclului său de viață.</w:t>
            </w:r>
          </w:p>
        </w:tc>
      </w:tr>
      <w:tr w:rsidR="00044C72" w:rsidRPr="00AA2C89" w14:paraId="6F56A820" w14:textId="77777777" w:rsidTr="00067CBF">
        <w:trPr>
          <w:trHeight w:val="690"/>
        </w:trPr>
        <w:tc>
          <w:tcPr>
            <w:tcW w:w="3731" w:type="dxa"/>
          </w:tcPr>
          <w:p w14:paraId="277141B9"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lastRenderedPageBreak/>
              <w:t>Hexaclorbutadienă</w:t>
            </w:r>
            <w:proofErr w:type="spellEnd"/>
          </w:p>
        </w:tc>
        <w:tc>
          <w:tcPr>
            <w:tcW w:w="1142" w:type="dxa"/>
          </w:tcPr>
          <w:p w14:paraId="3EF31CF1" w14:textId="77777777" w:rsidR="00044C72" w:rsidRPr="00044C72" w:rsidRDefault="00044C72" w:rsidP="00044C72">
            <w:pPr>
              <w:spacing w:before="60" w:after="60" w:line="276" w:lineRule="auto"/>
              <w:textAlignment w:val="baseline"/>
              <w:rPr>
                <w:lang w:val="ro-MD" w:eastAsia="ro-MD"/>
              </w:rPr>
            </w:pPr>
            <w:r w:rsidRPr="00044C72">
              <w:rPr>
                <w:rFonts w:eastAsia="MS Mincho"/>
                <w:lang w:val="ro-MD" w:eastAsia="ja-JP"/>
              </w:rPr>
              <w:t>87-68-3</w:t>
            </w:r>
          </w:p>
        </w:tc>
        <w:tc>
          <w:tcPr>
            <w:tcW w:w="792" w:type="dxa"/>
          </w:tcPr>
          <w:p w14:paraId="0FAA0F03" w14:textId="77777777" w:rsidR="00044C72" w:rsidRPr="00044C72" w:rsidRDefault="00044C72" w:rsidP="00044C72">
            <w:pPr>
              <w:spacing w:before="60" w:after="60" w:line="276" w:lineRule="auto"/>
              <w:textAlignment w:val="baseline"/>
              <w:rPr>
                <w:lang w:val="ro-MD" w:eastAsia="ro-MD"/>
              </w:rPr>
            </w:pPr>
            <w:r w:rsidRPr="00044C72">
              <w:rPr>
                <w:rFonts w:eastAsia="MS Mincho"/>
                <w:lang w:val="ro-MD" w:eastAsia="ja-JP"/>
              </w:rPr>
              <w:t>201-765-5</w:t>
            </w:r>
          </w:p>
        </w:tc>
        <w:tc>
          <w:tcPr>
            <w:tcW w:w="2936" w:type="dxa"/>
          </w:tcPr>
          <w:p w14:paraId="0A0EA82E" w14:textId="77777777" w:rsidR="00044C72" w:rsidRPr="00044C72" w:rsidRDefault="00044C72" w:rsidP="00044C72">
            <w:pPr>
              <w:spacing w:before="60" w:after="60" w:line="312" w:lineRule="atLeast"/>
              <w:jc w:val="both"/>
              <w:rPr>
                <w:highlight w:val="yellow"/>
                <w:lang w:val="ro-MD" w:eastAsia="ro-MD"/>
              </w:rPr>
            </w:pPr>
            <w:r w:rsidRPr="00044C72">
              <w:rPr>
                <w:lang w:val="ro-MD" w:eastAsia="ro-MD"/>
              </w:rPr>
              <w:t xml:space="preserve">Se permite utilizarea articolelor care conțin </w:t>
            </w:r>
            <w:proofErr w:type="spellStart"/>
            <w:r w:rsidRPr="00044C72">
              <w:rPr>
                <w:lang w:val="ro-MD" w:eastAsia="ro-MD"/>
              </w:rPr>
              <w:t>hexaclorbutadienă</w:t>
            </w:r>
            <w:proofErr w:type="spellEnd"/>
            <w:r w:rsidRPr="00044C72">
              <w:rPr>
                <w:lang w:val="ro-MD" w:eastAsia="ro-MD"/>
              </w:rPr>
              <w:t xml:space="preserve"> aflate deja în uz la momentul aprobării prezentului Regulament până la sfârșitul duratei de viață a acestora.</w:t>
            </w:r>
          </w:p>
        </w:tc>
      </w:tr>
      <w:tr w:rsidR="00044C72" w:rsidRPr="00AA2C89" w14:paraId="19293587" w14:textId="77777777" w:rsidTr="00067CBF">
        <w:trPr>
          <w:trHeight w:val="690"/>
        </w:trPr>
        <w:tc>
          <w:tcPr>
            <w:tcW w:w="3731" w:type="dxa"/>
          </w:tcPr>
          <w:p w14:paraId="6A7CD566" w14:textId="77777777" w:rsidR="00044C72" w:rsidRPr="00044C72" w:rsidRDefault="00044C72" w:rsidP="00044C72">
            <w:pPr>
              <w:spacing w:before="60" w:after="60" w:line="276" w:lineRule="auto"/>
              <w:textAlignment w:val="baseline"/>
              <w:rPr>
                <w:lang w:val="ro-MD" w:eastAsia="ro-MD"/>
              </w:rPr>
            </w:pPr>
            <w:proofErr w:type="spellStart"/>
            <w:r w:rsidRPr="00044C72">
              <w:rPr>
                <w:rFonts w:eastAsia="Arial Unicode MS"/>
                <w:color w:val="333333"/>
                <w:shd w:val="clear" w:color="auto" w:fill="FFFFFF"/>
                <w:lang w:val="ro-MD" w:eastAsia="ro-MD"/>
              </w:rPr>
              <w:t>Pentaclorfenol</w:t>
            </w:r>
            <w:proofErr w:type="spellEnd"/>
            <w:r w:rsidRPr="00044C72">
              <w:rPr>
                <w:rFonts w:eastAsia="Arial Unicode MS"/>
                <w:color w:val="333333"/>
                <w:shd w:val="clear" w:color="auto" w:fill="FFFFFF"/>
                <w:lang w:val="ro-MD" w:eastAsia="ro-MD"/>
              </w:rPr>
              <w:t xml:space="preserve"> și sărurile și esterii acestuia</w:t>
            </w:r>
          </w:p>
        </w:tc>
        <w:tc>
          <w:tcPr>
            <w:tcW w:w="1142" w:type="dxa"/>
          </w:tcPr>
          <w:p w14:paraId="52139AF9" w14:textId="77777777" w:rsidR="00044C72" w:rsidRPr="00044C72" w:rsidRDefault="00044C72" w:rsidP="00044C72">
            <w:pPr>
              <w:spacing w:before="60" w:after="60" w:line="276" w:lineRule="auto"/>
              <w:textAlignment w:val="baseline"/>
              <w:rPr>
                <w:rFonts w:eastAsia="MS Mincho"/>
                <w:lang w:val="ro-MD" w:eastAsia="ja-JP"/>
              </w:rPr>
            </w:pPr>
            <w:r w:rsidRPr="00044C72">
              <w:rPr>
                <w:rFonts w:eastAsia="Arial Unicode MS"/>
                <w:color w:val="333333"/>
                <w:lang w:val="ro-MD" w:eastAsia="ro-MD"/>
              </w:rPr>
              <w:t>7-86-5 și altele</w:t>
            </w:r>
          </w:p>
        </w:tc>
        <w:tc>
          <w:tcPr>
            <w:tcW w:w="792" w:type="dxa"/>
          </w:tcPr>
          <w:p w14:paraId="552D1208" w14:textId="77777777" w:rsidR="00044C72" w:rsidRPr="00044C72" w:rsidRDefault="00044C72" w:rsidP="00044C72">
            <w:pPr>
              <w:spacing w:before="60" w:after="60" w:line="276" w:lineRule="auto"/>
              <w:textAlignment w:val="baseline"/>
              <w:rPr>
                <w:rFonts w:eastAsia="MS Mincho"/>
                <w:lang w:val="ro-MD" w:eastAsia="ja-JP"/>
              </w:rPr>
            </w:pPr>
            <w:r w:rsidRPr="00044C72">
              <w:rPr>
                <w:rFonts w:eastAsia="Arial Unicode MS"/>
                <w:color w:val="333333"/>
                <w:lang w:val="ro-MD" w:eastAsia="ro-MD"/>
              </w:rPr>
              <w:t>201-778-6 și altele</w:t>
            </w:r>
          </w:p>
        </w:tc>
        <w:tc>
          <w:tcPr>
            <w:tcW w:w="2936" w:type="dxa"/>
            <w:vAlign w:val="bottom"/>
          </w:tcPr>
          <w:p w14:paraId="3D199300" w14:textId="715729D0" w:rsidR="00044C72" w:rsidRPr="00044C72" w:rsidRDefault="00044C72" w:rsidP="00044C72">
            <w:pPr>
              <w:spacing w:after="160" w:line="259" w:lineRule="auto"/>
              <w:rPr>
                <w:rFonts w:eastAsia="Arial Unicode MS"/>
                <w:b/>
                <w:iCs/>
                <w:highlight w:val="yellow"/>
                <w:lang w:val="ro-MD" w:eastAsia="ro-RO"/>
              </w:rPr>
            </w:pPr>
            <w:r w:rsidRPr="00044C72">
              <w:rPr>
                <w:lang w:val="ro-MD" w:eastAsia="ro-MD"/>
              </w:rPr>
              <w:t xml:space="preserve">În scopul acestei </w:t>
            </w:r>
            <w:r w:rsidR="00997CC2">
              <w:rPr>
                <w:lang w:val="ro-MD" w:eastAsia="ro-MD"/>
              </w:rPr>
              <w:t>poziții</w:t>
            </w:r>
            <w:r w:rsidRPr="00044C72">
              <w:rPr>
                <w:lang w:val="ro-MD" w:eastAsia="ro-MD"/>
              </w:rPr>
              <w:t>, pct.</w:t>
            </w:r>
            <w:r w:rsidR="00676C2F">
              <w:rPr>
                <w:lang w:val="ro-MD" w:eastAsia="ro-MD"/>
              </w:rPr>
              <w:t xml:space="preserve">4, subpunctul </w:t>
            </w:r>
            <w:r w:rsidRPr="00044C72">
              <w:rPr>
                <w:lang w:val="ro-MD" w:eastAsia="ro-MD"/>
              </w:rPr>
              <w:t xml:space="preserve"> 9, 2 se aplică pentru </w:t>
            </w:r>
            <w:proofErr w:type="spellStart"/>
            <w:r w:rsidRPr="00044C72">
              <w:rPr>
                <w:lang w:val="ro-MD" w:eastAsia="ro-MD"/>
              </w:rPr>
              <w:t>pentaclorfenol</w:t>
            </w:r>
            <w:proofErr w:type="spellEnd"/>
            <w:r w:rsidRPr="00044C72">
              <w:rPr>
                <w:lang w:val="ro-MD" w:eastAsia="ro-MD"/>
              </w:rPr>
              <w:t xml:space="preserve"> și sărurile și esterii săi, atunci când aceștia sunt prezenți în substanțe, amestecuri sau articole în concentrații mai mici sau egale cu 5 mg/kg (0,0005 % de masă).</w:t>
            </w:r>
            <w:r w:rsidRPr="00044C72">
              <w:rPr>
                <w:b/>
                <w:bCs/>
                <w:lang w:val="ro-MD" w:eastAsia="ro-MD"/>
              </w:rPr>
              <w:t> </w:t>
            </w:r>
          </w:p>
        </w:tc>
      </w:tr>
      <w:tr w:rsidR="00044C72" w:rsidRPr="00AA2C89" w14:paraId="68FB692C" w14:textId="77777777" w:rsidTr="00067CBF">
        <w:trPr>
          <w:trHeight w:val="690"/>
        </w:trPr>
        <w:tc>
          <w:tcPr>
            <w:tcW w:w="3731" w:type="dxa"/>
          </w:tcPr>
          <w:p w14:paraId="5CF73D4E" w14:textId="77777777" w:rsidR="00044C72" w:rsidRPr="00044C72" w:rsidRDefault="00044C72" w:rsidP="00044C72">
            <w:pPr>
              <w:spacing w:before="60" w:after="60" w:line="276" w:lineRule="auto"/>
              <w:textAlignment w:val="baseline"/>
              <w:rPr>
                <w:lang w:val="ro-MD" w:eastAsia="ro-MD"/>
              </w:rPr>
            </w:pPr>
            <w:r w:rsidRPr="00044C72">
              <w:rPr>
                <w:rFonts w:eastAsia="Arial Unicode MS"/>
                <w:iCs/>
                <w:lang w:val="ro-MD" w:eastAsia="ro-MD"/>
              </w:rPr>
              <w:t xml:space="preserve">Naftaline </w:t>
            </w:r>
            <w:proofErr w:type="spellStart"/>
            <w:r w:rsidRPr="00044C72">
              <w:rPr>
                <w:rFonts w:eastAsia="Arial Unicode MS"/>
                <w:iCs/>
                <w:lang w:val="ro-MD" w:eastAsia="ro-MD"/>
              </w:rPr>
              <w:t>policrorurate</w:t>
            </w:r>
            <w:proofErr w:type="spellEnd"/>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3F7BB32"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70776-03-3 și altele</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21D5292F"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274-864-4 și altele</w:t>
            </w:r>
          </w:p>
        </w:tc>
        <w:tc>
          <w:tcPr>
            <w:tcW w:w="2936" w:type="dxa"/>
          </w:tcPr>
          <w:p w14:paraId="0999B683" w14:textId="77777777" w:rsidR="00044C72" w:rsidRPr="00044C72" w:rsidRDefault="00044C72" w:rsidP="00044C72">
            <w:pPr>
              <w:spacing w:after="160" w:line="259" w:lineRule="auto"/>
              <w:rPr>
                <w:rFonts w:eastAsiaTheme="minorHAnsi"/>
                <w:highlight w:val="yellow"/>
                <w:lang w:val="ro-MD" w:eastAsia="en-US"/>
              </w:rPr>
            </w:pPr>
            <w:r w:rsidRPr="00044C72">
              <w:rPr>
                <w:lang w:val="ro-MD" w:eastAsia="ro-MD"/>
              </w:rPr>
              <w:t xml:space="preserve">Se permite utilizarea articolelor care conțin naftaline </w:t>
            </w:r>
            <w:proofErr w:type="spellStart"/>
            <w:r w:rsidRPr="00044C72">
              <w:rPr>
                <w:lang w:val="ro-MD" w:eastAsia="ro-MD"/>
              </w:rPr>
              <w:t>policlorurate</w:t>
            </w:r>
            <w:proofErr w:type="spellEnd"/>
            <w:r w:rsidRPr="00044C72">
              <w:rPr>
                <w:lang w:val="ro-MD" w:eastAsia="ro-MD"/>
              </w:rPr>
              <w:t xml:space="preserve"> aflate deja în uz la momentul aprobării prezentului Regulament până la sfârșitul duratei de viață a acestora.</w:t>
            </w:r>
          </w:p>
        </w:tc>
      </w:tr>
      <w:tr w:rsidR="00044C72" w:rsidRPr="00AA2C89" w14:paraId="475D2D39" w14:textId="77777777" w:rsidTr="00067CBF">
        <w:trPr>
          <w:trHeight w:val="690"/>
        </w:trPr>
        <w:tc>
          <w:tcPr>
            <w:tcW w:w="3731" w:type="dxa"/>
          </w:tcPr>
          <w:p w14:paraId="0FFEB5EC" w14:textId="77777777" w:rsidR="00044C72" w:rsidRPr="00044C72" w:rsidRDefault="00044C72" w:rsidP="00044C72">
            <w:pPr>
              <w:spacing w:before="60" w:after="60" w:line="276" w:lineRule="auto"/>
              <w:textAlignment w:val="baseline"/>
              <w:rPr>
                <w:rFonts w:eastAsia="Arial Unicode MS"/>
                <w:iCs/>
                <w:lang w:val="ro-MD" w:eastAsia="ro-MD"/>
              </w:rPr>
            </w:pPr>
            <w:proofErr w:type="spellStart"/>
            <w:r w:rsidRPr="00044C72">
              <w:rPr>
                <w:rFonts w:eastAsia="Arial Unicode MS"/>
                <w:iCs/>
                <w:lang w:val="ro-MD" w:eastAsia="ro-MD"/>
              </w:rPr>
              <w:lastRenderedPageBreak/>
              <w:t>Cloroalcalini</w:t>
            </w:r>
            <w:proofErr w:type="spellEnd"/>
            <w:r w:rsidRPr="00044C72">
              <w:rPr>
                <w:rFonts w:eastAsia="Arial Unicode MS"/>
                <w:iCs/>
                <w:lang w:val="ro-MD" w:eastAsia="ro-MD"/>
              </w:rPr>
              <w:t xml:space="preserve"> C10-C13 (parafine clorurate cu catenă scurtă – PCCS-uri)</w:t>
            </w: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3995D8A8" w14:textId="77777777" w:rsidR="00044C72" w:rsidRPr="00044C72" w:rsidRDefault="00044C72" w:rsidP="00044C72">
            <w:pPr>
              <w:spacing w:before="60" w:after="60" w:line="276" w:lineRule="auto"/>
              <w:textAlignment w:val="baseline"/>
              <w:rPr>
                <w:rFonts w:eastAsia="Arial Unicode MS"/>
                <w:color w:val="333333"/>
                <w:lang w:val="ro-MD" w:eastAsia="ro-MD"/>
              </w:rPr>
            </w:pPr>
            <w:r w:rsidRPr="00044C72">
              <w:rPr>
                <w:rFonts w:eastAsia="Arial Unicode MS"/>
                <w:iCs/>
                <w:lang w:val="ro-MD" w:eastAsia="ro-MD"/>
              </w:rPr>
              <w:t>85535-87-8</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44A5682B" w14:textId="77777777" w:rsidR="00044C72" w:rsidRPr="00044C72" w:rsidRDefault="00044C72" w:rsidP="00044C72">
            <w:pPr>
              <w:spacing w:before="60" w:after="60" w:line="276" w:lineRule="auto"/>
              <w:textAlignment w:val="baseline"/>
              <w:rPr>
                <w:rFonts w:eastAsia="Arial Unicode MS"/>
                <w:color w:val="333333"/>
                <w:lang w:val="ro-MD" w:eastAsia="ro-MD"/>
              </w:rPr>
            </w:pPr>
            <w:r w:rsidRPr="00044C72">
              <w:rPr>
                <w:rFonts w:eastAsia="Arial Unicode MS"/>
                <w:iCs/>
                <w:lang w:val="ro-MD" w:eastAsia="ro-MD"/>
              </w:rPr>
              <w:t>287-476-5</w:t>
            </w:r>
          </w:p>
        </w:tc>
        <w:tc>
          <w:tcPr>
            <w:tcW w:w="2936" w:type="dxa"/>
          </w:tcPr>
          <w:p w14:paraId="189A09DF" w14:textId="1B49D1A8" w:rsidR="00044C72" w:rsidRPr="00044C72" w:rsidRDefault="00044C72" w:rsidP="00044C72">
            <w:pPr>
              <w:spacing w:after="160" w:line="259" w:lineRule="auto"/>
              <w:jc w:val="both"/>
              <w:rPr>
                <w:rFonts w:eastAsiaTheme="minorHAnsi" w:cstheme="minorBidi"/>
                <w:lang w:val="ro-MD" w:eastAsia="en-US"/>
              </w:rPr>
            </w:pPr>
            <w:r w:rsidRPr="00044C72">
              <w:rPr>
                <w:rFonts w:eastAsiaTheme="minorHAnsi" w:cstheme="minorBidi"/>
                <w:lang w:val="ro-MD" w:eastAsia="en-US"/>
              </w:rPr>
              <w:t xml:space="preserve">1 Prin derogare de la </w:t>
            </w:r>
            <w:proofErr w:type="spellStart"/>
            <w:r w:rsidRPr="00044C72">
              <w:rPr>
                <w:rFonts w:eastAsiaTheme="minorHAnsi" w:cstheme="minorBidi"/>
                <w:lang w:val="ro-MD" w:eastAsia="en-US"/>
              </w:rPr>
              <w:t>art</w:t>
            </w:r>
            <w:proofErr w:type="spellEnd"/>
            <w:r w:rsidRPr="00044C72">
              <w:rPr>
                <w:rFonts w:eastAsiaTheme="minorHAnsi" w:cstheme="minorBidi"/>
                <w:lang w:val="ro-MD" w:eastAsia="en-US"/>
              </w:rPr>
              <w:t xml:space="preserve"> 4,</w:t>
            </w:r>
            <w:r w:rsidR="00676C2F">
              <w:rPr>
                <w:rFonts w:eastAsiaTheme="minorHAnsi" w:cstheme="minorBidi"/>
                <w:lang w:val="ro-MD" w:eastAsia="en-US"/>
              </w:rPr>
              <w:t xml:space="preserve"> subpunctul 9.2</w:t>
            </w:r>
            <w:r w:rsidRPr="00044C72">
              <w:rPr>
                <w:rFonts w:eastAsiaTheme="minorHAnsi" w:cstheme="minorBidi"/>
                <w:lang w:val="ro-MD" w:eastAsia="en-US"/>
              </w:rPr>
              <w:t xml:space="preserve">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ca </w:t>
            </w:r>
            <w:proofErr w:type="spellStart"/>
            <w:r w:rsidRPr="00044C72">
              <w:rPr>
                <w:rFonts w:eastAsiaTheme="minorHAnsi" w:cstheme="minorBidi"/>
                <w:lang w:val="ro-MD" w:eastAsia="en-US"/>
              </w:rPr>
              <w:t>substanţe</w:t>
            </w:r>
            <w:proofErr w:type="spellEnd"/>
            <w:r w:rsidRPr="00044C72">
              <w:rPr>
                <w:rFonts w:eastAsiaTheme="minorHAnsi" w:cstheme="minorBidi"/>
                <w:lang w:val="ro-MD" w:eastAsia="en-US"/>
              </w:rPr>
              <w:t xml:space="preserve"> sau drept </w:t>
            </w:r>
            <w:proofErr w:type="spellStart"/>
            <w:r w:rsidRPr="00044C72">
              <w:rPr>
                <w:rFonts w:eastAsiaTheme="minorHAnsi" w:cstheme="minorBidi"/>
                <w:lang w:val="ro-MD" w:eastAsia="en-US"/>
              </w:rPr>
              <w:t>constituenţi</w:t>
            </w:r>
            <w:proofErr w:type="spellEnd"/>
            <w:r w:rsidRPr="00044C72">
              <w:rPr>
                <w:rFonts w:eastAsiaTheme="minorHAnsi" w:cstheme="minorBidi"/>
                <w:lang w:val="ro-MD" w:eastAsia="en-US"/>
              </w:rPr>
              <w:t xml:space="preserve"> ai altor </w:t>
            </w:r>
            <w:proofErr w:type="spellStart"/>
            <w:r w:rsidRPr="00044C72">
              <w:rPr>
                <w:rFonts w:eastAsiaTheme="minorHAnsi" w:cstheme="minorBidi"/>
                <w:lang w:val="ro-MD" w:eastAsia="en-US"/>
              </w:rPr>
              <w:t>substanţe</w:t>
            </w:r>
            <w:proofErr w:type="spellEnd"/>
            <w:r w:rsidRPr="00044C72">
              <w:rPr>
                <w:rFonts w:eastAsiaTheme="minorHAnsi" w:cstheme="minorBidi"/>
                <w:lang w:val="ro-MD" w:eastAsia="en-US"/>
              </w:rPr>
              <w:t xml:space="preserve"> sau în amestecuri în </w:t>
            </w:r>
            <w:proofErr w:type="spellStart"/>
            <w:r w:rsidRPr="00044C72">
              <w:rPr>
                <w:rFonts w:eastAsiaTheme="minorHAnsi" w:cstheme="minorBidi"/>
                <w:lang w:val="ro-MD" w:eastAsia="en-US"/>
              </w:rPr>
              <w:t>concentraţii</w:t>
            </w:r>
            <w:proofErr w:type="spellEnd"/>
            <w:r w:rsidRPr="00044C72">
              <w:rPr>
                <w:rFonts w:eastAsiaTheme="minorHAnsi" w:cstheme="minorBidi"/>
                <w:lang w:val="ro-MD" w:eastAsia="en-US"/>
              </w:rPr>
              <w:t xml:space="preserve"> mai mici de 1 % de greutate </w:t>
            </w:r>
            <w:r w:rsidRPr="00044C72">
              <w:rPr>
                <w:lang w:val="ro-MD" w:eastAsia="ro-MD"/>
              </w:rPr>
              <w:t>sau a articolelor care conțin PCCS în concentrații mai mici de 0,15 % de greutate.</w:t>
            </w:r>
          </w:p>
          <w:p w14:paraId="68797817" w14:textId="77777777" w:rsidR="00044C72" w:rsidRPr="00044C72" w:rsidRDefault="00044C72" w:rsidP="00044C72">
            <w:pPr>
              <w:spacing w:after="160" w:line="259" w:lineRule="auto"/>
              <w:jc w:val="both"/>
              <w:rPr>
                <w:rFonts w:eastAsiaTheme="minorHAnsi" w:cstheme="minorBidi"/>
                <w:lang w:val="ro-MD" w:eastAsia="en-US"/>
              </w:rPr>
            </w:pPr>
            <w:r w:rsidRPr="00044C72">
              <w:rPr>
                <w:rFonts w:eastAsiaTheme="minorHAnsi" w:cstheme="minorBidi"/>
                <w:lang w:val="ro-MD" w:eastAsia="en-US"/>
              </w:rPr>
              <w:t>1.2 Se permite utilizarea în continuare a următoarelor articole care conțin PCCS:</w:t>
            </w:r>
          </w:p>
          <w:p w14:paraId="17010085" w14:textId="77777777" w:rsidR="00044C72" w:rsidRPr="00044C72" w:rsidRDefault="00044C72" w:rsidP="00044C72">
            <w:pPr>
              <w:spacing w:after="160" w:line="259" w:lineRule="auto"/>
              <w:jc w:val="both"/>
              <w:rPr>
                <w:rFonts w:eastAsiaTheme="minorHAnsi" w:cstheme="minorBidi"/>
                <w:lang w:val="ro-MD" w:eastAsia="en-US"/>
              </w:rPr>
            </w:pPr>
            <w:r w:rsidRPr="00044C72">
              <w:rPr>
                <w:rFonts w:eastAsiaTheme="minorHAnsi" w:cstheme="minorBidi"/>
                <w:lang w:val="ro-MD" w:eastAsia="en-US"/>
              </w:rPr>
              <w:t xml:space="preserve">a) benzile transportoare din industria minieră și materialele de etanșare a barajelor, aflate deja în uz la data intrării în vigoare a prezentei hotărâri; </w:t>
            </w:r>
          </w:p>
          <w:p w14:paraId="1C7DB2F4" w14:textId="77777777" w:rsidR="00044C72" w:rsidRPr="00044C72" w:rsidRDefault="00044C72" w:rsidP="00044C72">
            <w:pPr>
              <w:spacing w:before="60" w:after="60" w:line="312" w:lineRule="atLeast"/>
              <w:jc w:val="both"/>
              <w:rPr>
                <w:rFonts w:eastAsiaTheme="minorHAnsi" w:cstheme="minorBidi"/>
                <w:lang w:val="it-IT" w:eastAsia="en-US"/>
              </w:rPr>
            </w:pPr>
            <w:r w:rsidRPr="00044C72">
              <w:rPr>
                <w:rFonts w:eastAsiaTheme="minorHAnsi" w:cstheme="minorBidi"/>
                <w:lang w:val="it-IT" w:eastAsia="en-US"/>
              </w:rPr>
              <w:t>b) alte articole decât cele menționate la lit. a), aflate deja în uz la data intrării în vigoare a prezentei hotărâri.</w:t>
            </w:r>
          </w:p>
          <w:p w14:paraId="1D46FCCE" w14:textId="77777777" w:rsidR="00044C72" w:rsidRPr="00044C72" w:rsidRDefault="00044C72" w:rsidP="00044C72">
            <w:pPr>
              <w:spacing w:before="60" w:after="60" w:line="312" w:lineRule="atLeast"/>
              <w:jc w:val="both"/>
              <w:rPr>
                <w:rFonts w:eastAsiaTheme="minorHAnsi" w:cstheme="minorBidi"/>
                <w:lang w:val="it-IT" w:eastAsia="en-US"/>
              </w:rPr>
            </w:pPr>
            <w:r w:rsidRPr="00044C72">
              <w:rPr>
                <w:rFonts w:eastAsiaTheme="minorHAnsi" w:cstheme="minorBidi"/>
                <w:lang w:val="it-IT" w:eastAsia="en-US"/>
              </w:rPr>
              <w:t>1.3 Articolelor menționate la pct. 1.2 se aplică prevederile prezentului Regulament privind gestionarea stocurilor și a deșeurilor din momentul în care acestea sunt scoase din uz sau devin deșeuri.</w:t>
            </w:r>
          </w:p>
        </w:tc>
      </w:tr>
      <w:tr w:rsidR="00044C72" w:rsidRPr="00AA2C89" w14:paraId="25225632" w14:textId="77777777" w:rsidTr="00067CBF">
        <w:trPr>
          <w:trHeight w:val="690"/>
        </w:trPr>
        <w:tc>
          <w:tcPr>
            <w:tcW w:w="3731" w:type="dxa"/>
          </w:tcPr>
          <w:p w14:paraId="5C9CBAFF"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color w:val="333333"/>
                <w:lang w:val="ro-MD" w:eastAsia="ro-MD"/>
              </w:rPr>
              <w:t xml:space="preserve">Acid </w:t>
            </w:r>
            <w:proofErr w:type="spellStart"/>
            <w:r w:rsidRPr="00044C72">
              <w:rPr>
                <w:rFonts w:eastAsia="Arial Unicode MS"/>
                <w:color w:val="333333"/>
                <w:lang w:val="ro-MD" w:eastAsia="ro-MD"/>
              </w:rPr>
              <w:t>perfluorooctanoic</w:t>
            </w:r>
            <w:proofErr w:type="spellEnd"/>
            <w:r w:rsidRPr="00044C72">
              <w:rPr>
                <w:rFonts w:eastAsia="Arial Unicode MS"/>
                <w:color w:val="333333"/>
                <w:lang w:val="ro-MD" w:eastAsia="ro-MD"/>
              </w:rPr>
              <w:t xml:space="preserve"> (PFOA), sărurile acestuia și compuși înrudiți cu acesta</w:t>
            </w:r>
          </w:p>
          <w:p w14:paraId="03BEB9EF"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color w:val="333333"/>
                <w:lang w:val="ro-MD" w:eastAsia="ro-MD"/>
              </w:rPr>
              <w:t xml:space="preserve">Acid </w:t>
            </w:r>
            <w:proofErr w:type="spellStart"/>
            <w:r w:rsidRPr="00044C72">
              <w:rPr>
                <w:rFonts w:eastAsia="Arial Unicode MS"/>
                <w:color w:val="333333"/>
                <w:lang w:val="ro-MD" w:eastAsia="ro-MD"/>
              </w:rPr>
              <w:t>perfluorooctanoic</w:t>
            </w:r>
            <w:proofErr w:type="spellEnd"/>
            <w:r w:rsidRPr="00044C72">
              <w:rPr>
                <w:rFonts w:eastAsia="Arial Unicode MS"/>
                <w:color w:val="333333"/>
                <w:lang w:val="ro-MD" w:eastAsia="ro-MD"/>
              </w:rPr>
              <w:t xml:space="preserve"> (PFOA), sărurile acestuia și compuși înrudiți cu acesta” înseamnă:</w:t>
            </w:r>
          </w:p>
          <w:p w14:paraId="46EFAB83"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lastRenderedPageBreak/>
              <w:t xml:space="preserve">(i)  acidul </w:t>
            </w:r>
            <w:proofErr w:type="spellStart"/>
            <w:r w:rsidRPr="00044C72">
              <w:rPr>
                <w:rFonts w:eastAsia="Arial Unicode MS"/>
                <w:color w:val="333333"/>
                <w:lang w:val="ro-MD" w:eastAsia="ro-MD"/>
              </w:rPr>
              <w:t>perfluorooctanoic</w:t>
            </w:r>
            <w:proofErr w:type="spellEnd"/>
            <w:r w:rsidRPr="00044C72">
              <w:rPr>
                <w:rFonts w:eastAsia="Arial Unicode MS"/>
                <w:color w:val="333333"/>
                <w:lang w:val="ro-MD" w:eastAsia="ro-MD"/>
              </w:rPr>
              <w:t>, inclusiv toți izomerii săi ramificați;</w:t>
            </w:r>
          </w:p>
          <w:p w14:paraId="7393A870"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(ii)  sărurile sale;</w:t>
            </w:r>
          </w:p>
          <w:p w14:paraId="02B1C774"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 xml:space="preserve">(iii)  compușii înrudiți cu PFOA, care, în sensul convenției, sunt toate substanțele care se degradează până la PFOA, inclusiv toate substanțele (inclusiv săruri și polimeri) la care unul din elementele structurale este un grup </w:t>
            </w:r>
            <w:proofErr w:type="spellStart"/>
            <w:r w:rsidRPr="00044C72">
              <w:rPr>
                <w:rFonts w:eastAsia="Arial Unicode MS"/>
                <w:color w:val="333333"/>
                <w:lang w:val="ro-MD" w:eastAsia="ro-MD"/>
              </w:rPr>
              <w:t>perfluoroheptil</w:t>
            </w:r>
            <w:proofErr w:type="spellEnd"/>
            <w:r w:rsidRPr="00044C72">
              <w:rPr>
                <w:rFonts w:eastAsia="Arial Unicode MS"/>
                <w:color w:val="333333"/>
                <w:lang w:val="ro-MD" w:eastAsia="ro-MD"/>
              </w:rPr>
              <w:t xml:space="preserve"> liniar sau ramificat cu formula (C</w:t>
            </w:r>
            <w:r w:rsidRPr="00044C72">
              <w:rPr>
                <w:rFonts w:eastAsia="Arial Unicode MS"/>
                <w:color w:val="333333"/>
                <w:vertAlign w:val="subscript"/>
                <w:lang w:val="ro-MD" w:eastAsia="ro-MD"/>
              </w:rPr>
              <w:t>7</w:t>
            </w:r>
            <w:r w:rsidRPr="00044C72">
              <w:rPr>
                <w:rFonts w:eastAsia="Arial Unicode MS"/>
                <w:color w:val="333333"/>
                <w:lang w:val="ro-MD" w:eastAsia="ro-MD"/>
              </w:rPr>
              <w:t>F</w:t>
            </w:r>
            <w:r w:rsidRPr="00044C72">
              <w:rPr>
                <w:rFonts w:eastAsia="Arial Unicode MS"/>
                <w:color w:val="333333"/>
                <w:vertAlign w:val="subscript"/>
                <w:lang w:val="ro-MD" w:eastAsia="ro-MD"/>
              </w:rPr>
              <w:t>15</w:t>
            </w:r>
            <w:r w:rsidRPr="00044C72">
              <w:rPr>
                <w:rFonts w:eastAsia="Arial Unicode MS"/>
                <w:color w:val="333333"/>
                <w:lang w:val="ro-MD" w:eastAsia="ro-MD"/>
              </w:rPr>
              <w:t>)C.</w:t>
            </w:r>
          </w:p>
          <w:p w14:paraId="793D5CDE"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color w:val="333333"/>
                <w:lang w:val="ro-MD" w:eastAsia="ro-MD"/>
              </w:rPr>
              <w:t>Următorii compuși nu sunt considerați compuși înrudiți cu PFOA:</w:t>
            </w:r>
          </w:p>
          <w:p w14:paraId="4220A58A"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(i)  C</w:t>
            </w:r>
            <w:r w:rsidRPr="00044C72">
              <w:rPr>
                <w:rFonts w:eastAsia="Arial Unicode MS"/>
                <w:color w:val="333333"/>
                <w:vertAlign w:val="subscript"/>
                <w:lang w:val="ro-MD" w:eastAsia="ro-MD"/>
              </w:rPr>
              <w:t>8</w:t>
            </w:r>
            <w:r w:rsidRPr="00044C72">
              <w:rPr>
                <w:rFonts w:eastAsia="Arial Unicode MS"/>
                <w:color w:val="333333"/>
                <w:lang w:val="ro-MD" w:eastAsia="ro-MD"/>
              </w:rPr>
              <w:t>F</w:t>
            </w:r>
            <w:r w:rsidRPr="00044C72">
              <w:rPr>
                <w:rFonts w:eastAsia="Arial Unicode MS"/>
                <w:color w:val="333333"/>
                <w:vertAlign w:val="subscript"/>
                <w:lang w:val="ro-MD" w:eastAsia="ro-MD"/>
              </w:rPr>
              <w:t>17</w:t>
            </w:r>
            <w:r w:rsidRPr="00044C72">
              <w:rPr>
                <w:rFonts w:eastAsia="Arial Unicode MS"/>
                <w:color w:val="333333"/>
                <w:lang w:val="ro-MD" w:eastAsia="ro-MD"/>
              </w:rPr>
              <w:t>-X, unde X = F, Cl, Br;</w:t>
            </w:r>
          </w:p>
          <w:p w14:paraId="797B7778"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(ii)  </w:t>
            </w:r>
            <w:proofErr w:type="spellStart"/>
            <w:r w:rsidRPr="00044C72">
              <w:rPr>
                <w:rFonts w:eastAsia="Arial Unicode MS"/>
                <w:color w:val="333333"/>
                <w:lang w:val="ro-MD" w:eastAsia="ro-MD"/>
              </w:rPr>
              <w:t>fluoropolimerii</w:t>
            </w:r>
            <w:proofErr w:type="spellEnd"/>
            <w:r w:rsidRPr="00044C72">
              <w:rPr>
                <w:rFonts w:eastAsia="Arial Unicode MS"/>
                <w:color w:val="333333"/>
                <w:lang w:val="ro-MD" w:eastAsia="ro-MD"/>
              </w:rPr>
              <w:t xml:space="preserve"> cu formula CF</w:t>
            </w:r>
            <w:r w:rsidRPr="00044C72">
              <w:rPr>
                <w:rFonts w:eastAsia="Arial Unicode MS"/>
                <w:color w:val="333333"/>
                <w:vertAlign w:val="subscript"/>
                <w:lang w:val="ro-MD" w:eastAsia="ro-MD"/>
              </w:rPr>
              <w:t>3</w:t>
            </w:r>
            <w:r w:rsidRPr="00044C72">
              <w:rPr>
                <w:rFonts w:eastAsia="Arial Unicode MS"/>
                <w:color w:val="333333"/>
                <w:lang w:val="ro-MD" w:eastAsia="ro-MD"/>
              </w:rPr>
              <w:t>[CF</w:t>
            </w:r>
            <w:r w:rsidRPr="00044C72">
              <w:rPr>
                <w:rFonts w:eastAsia="Arial Unicode MS"/>
                <w:color w:val="333333"/>
                <w:vertAlign w:val="subscript"/>
                <w:lang w:val="ro-MD" w:eastAsia="ro-MD"/>
              </w:rPr>
              <w:t>2</w:t>
            </w:r>
            <w:r w:rsidRPr="00044C72">
              <w:rPr>
                <w:rFonts w:eastAsia="Arial Unicode MS"/>
                <w:color w:val="333333"/>
                <w:lang w:val="ro-MD" w:eastAsia="ro-MD"/>
              </w:rPr>
              <w:t>]</w:t>
            </w:r>
            <w:r w:rsidRPr="00044C72">
              <w:rPr>
                <w:rFonts w:eastAsia="Arial Unicode MS"/>
                <w:color w:val="333333"/>
                <w:vertAlign w:val="subscript"/>
                <w:lang w:val="ro-MD" w:eastAsia="ro-MD"/>
              </w:rPr>
              <w:t>n</w:t>
            </w:r>
            <w:r w:rsidRPr="00044C72">
              <w:rPr>
                <w:rFonts w:eastAsia="Arial Unicode MS"/>
                <w:color w:val="333333"/>
                <w:lang w:val="ro-MD" w:eastAsia="ro-MD"/>
              </w:rPr>
              <w:t>-R’, unde R’ = orice grup și n &gt; 16;</w:t>
            </w:r>
          </w:p>
          <w:p w14:paraId="10A33CB8"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 xml:space="preserve">(iii)  acizii </w:t>
            </w:r>
            <w:proofErr w:type="spellStart"/>
            <w:r w:rsidRPr="00044C72">
              <w:rPr>
                <w:rFonts w:eastAsia="Arial Unicode MS"/>
                <w:color w:val="333333"/>
                <w:lang w:val="ro-MD" w:eastAsia="ro-MD"/>
              </w:rPr>
              <w:t>carboxilici</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perfluoroalchilați</w:t>
            </w:r>
            <w:proofErr w:type="spellEnd"/>
            <w:r w:rsidRPr="00044C72">
              <w:rPr>
                <w:rFonts w:eastAsia="Arial Unicode MS"/>
                <w:color w:val="333333"/>
                <w:lang w:val="ro-MD" w:eastAsia="ro-MD"/>
              </w:rPr>
              <w:t xml:space="preserve"> (inclusiv sărurile, esterii, halogenurile și anhidridele acestora) cu ≥ 8 atomi de carbon </w:t>
            </w:r>
            <w:proofErr w:type="spellStart"/>
            <w:r w:rsidRPr="00044C72">
              <w:rPr>
                <w:rFonts w:eastAsia="Arial Unicode MS"/>
                <w:color w:val="333333"/>
                <w:lang w:val="ro-MD" w:eastAsia="ro-MD"/>
              </w:rPr>
              <w:t>perfluorurați</w:t>
            </w:r>
            <w:proofErr w:type="spellEnd"/>
            <w:r w:rsidRPr="00044C72">
              <w:rPr>
                <w:rFonts w:eastAsia="Arial Unicode MS"/>
                <w:color w:val="333333"/>
                <w:lang w:val="ro-MD" w:eastAsia="ro-MD"/>
              </w:rPr>
              <w:t>;</w:t>
            </w:r>
          </w:p>
          <w:p w14:paraId="615D17B6"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 xml:space="preserve">(iv)  acizii </w:t>
            </w:r>
            <w:proofErr w:type="spellStart"/>
            <w:r w:rsidRPr="00044C72">
              <w:rPr>
                <w:rFonts w:eastAsia="Arial Unicode MS"/>
                <w:color w:val="333333"/>
                <w:lang w:val="ro-MD" w:eastAsia="ro-MD"/>
              </w:rPr>
              <w:t>perfluoroalcan</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sulfonici</w:t>
            </w:r>
            <w:proofErr w:type="spellEnd"/>
            <w:r w:rsidRPr="00044C72">
              <w:rPr>
                <w:rFonts w:eastAsia="Arial Unicode MS"/>
                <w:color w:val="333333"/>
                <w:lang w:val="ro-MD" w:eastAsia="ro-MD"/>
              </w:rPr>
              <w:t xml:space="preserve"> și acizii </w:t>
            </w:r>
            <w:proofErr w:type="spellStart"/>
            <w:r w:rsidRPr="00044C72">
              <w:rPr>
                <w:rFonts w:eastAsia="Arial Unicode MS"/>
                <w:color w:val="333333"/>
                <w:lang w:val="ro-MD" w:eastAsia="ro-MD"/>
              </w:rPr>
              <w:t>perfluorofosfonici</w:t>
            </w:r>
            <w:proofErr w:type="spellEnd"/>
            <w:r w:rsidRPr="00044C72">
              <w:rPr>
                <w:rFonts w:eastAsia="Arial Unicode MS"/>
                <w:color w:val="333333"/>
                <w:lang w:val="ro-MD" w:eastAsia="ro-MD"/>
              </w:rPr>
              <w:t xml:space="preserve"> (inclusiv sărurile, esterii, halogenurile și anhidridele acestora) cu ≥ 9 atomi de carbon </w:t>
            </w:r>
            <w:proofErr w:type="spellStart"/>
            <w:r w:rsidRPr="00044C72">
              <w:rPr>
                <w:rFonts w:eastAsia="Arial Unicode MS"/>
                <w:color w:val="333333"/>
                <w:lang w:val="ro-MD" w:eastAsia="ro-MD"/>
              </w:rPr>
              <w:t>perfluorurați</w:t>
            </w:r>
            <w:proofErr w:type="spellEnd"/>
            <w:r w:rsidRPr="00044C72">
              <w:rPr>
                <w:rFonts w:eastAsia="Arial Unicode MS"/>
                <w:color w:val="333333"/>
                <w:lang w:val="ro-MD" w:eastAsia="ro-MD"/>
              </w:rPr>
              <w:t>;</w:t>
            </w:r>
          </w:p>
          <w:p w14:paraId="476A4162" w14:textId="36D70609"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(v)  </w:t>
            </w:r>
            <w:r w:rsidR="008D4D9B" w:rsidRPr="008D4D9B">
              <w:rPr>
                <w:rFonts w:eastAsia="Arial Unicode MS"/>
                <w:color w:val="333333"/>
                <w:lang w:val="ro-MD" w:eastAsia="ro-MD"/>
              </w:rPr>
              <w:t xml:space="preserve">acid </w:t>
            </w:r>
            <w:proofErr w:type="spellStart"/>
            <w:r w:rsidR="008D4D9B" w:rsidRPr="008D4D9B">
              <w:rPr>
                <w:rFonts w:eastAsia="Arial Unicode MS"/>
                <w:color w:val="333333"/>
                <w:lang w:val="ro-MD" w:eastAsia="ro-MD"/>
              </w:rPr>
              <w:t>perfluorooctan</w:t>
            </w:r>
            <w:proofErr w:type="spellEnd"/>
            <w:r w:rsidR="008D4D9B" w:rsidRPr="008D4D9B">
              <w:rPr>
                <w:rFonts w:eastAsia="Arial Unicode MS"/>
                <w:color w:val="333333"/>
                <w:lang w:val="ro-MD" w:eastAsia="ro-MD"/>
              </w:rPr>
              <w:t xml:space="preserve"> </w:t>
            </w:r>
            <w:proofErr w:type="spellStart"/>
            <w:r w:rsidR="008D4D9B" w:rsidRPr="008D4D9B">
              <w:rPr>
                <w:rFonts w:eastAsia="Arial Unicode MS"/>
                <w:color w:val="333333"/>
                <w:lang w:val="ro-MD" w:eastAsia="ro-MD"/>
              </w:rPr>
              <w:t>sulfonic</w:t>
            </w:r>
            <w:proofErr w:type="spellEnd"/>
            <w:r w:rsidR="008D4D9B" w:rsidRPr="008D4D9B">
              <w:rPr>
                <w:rFonts w:eastAsia="Arial Unicode MS"/>
                <w:color w:val="333333"/>
                <w:lang w:val="ro-MD" w:eastAsia="ro-MD"/>
              </w:rPr>
              <w:t xml:space="preserve"> (PFOS), sărurile sale și compușii înrudiți cu PFOS, așa cum sunt enumerați în prezenta anexă. </w:t>
            </w: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25B35CD"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lastRenderedPageBreak/>
              <w:t>335-67-1 și altele</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102BD437"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206-397-9 și altele</w:t>
            </w:r>
          </w:p>
        </w:tc>
        <w:tc>
          <w:tcPr>
            <w:tcW w:w="2936" w:type="dxa"/>
            <w:tcBorders>
              <w:top w:val="single" w:sz="4" w:space="0" w:color="auto"/>
              <w:left w:val="single" w:sz="4" w:space="0" w:color="auto"/>
              <w:bottom w:val="single" w:sz="4" w:space="0" w:color="auto"/>
              <w:right w:val="single" w:sz="4" w:space="0" w:color="auto"/>
            </w:tcBorders>
          </w:tcPr>
          <w:p w14:paraId="7C78F42E" w14:textId="77777777" w:rsidR="00044C72" w:rsidRPr="00044C72" w:rsidRDefault="00044C72" w:rsidP="00044C72">
            <w:pPr>
              <w:spacing w:after="160" w:line="259" w:lineRule="auto"/>
              <w:jc w:val="both"/>
              <w:rPr>
                <w:highlight w:val="yellow"/>
                <w:lang w:val="ro-MD" w:eastAsia="ro-MD"/>
              </w:rPr>
            </w:pPr>
            <w:r w:rsidRPr="00044C72">
              <w:rPr>
                <w:rFonts w:eastAsiaTheme="minorHAnsi" w:cstheme="minorBidi"/>
                <w:lang w:val="ro-MD" w:eastAsia="en-US"/>
              </w:rPr>
              <w:t xml:space="preserve">1.Prin derogare de la art. 4, </w:t>
            </w:r>
            <w:proofErr w:type="spellStart"/>
            <w:r w:rsidRPr="00044C72">
              <w:rPr>
                <w:rFonts w:eastAsiaTheme="minorHAnsi" w:cstheme="minorBidi"/>
                <w:lang w:val="ro-MD" w:eastAsia="en-US"/>
              </w:rPr>
              <w:t>fară</w:t>
            </w:r>
            <w:proofErr w:type="spellEnd"/>
            <w:r w:rsidRPr="00044C72">
              <w:rPr>
                <w:rFonts w:eastAsiaTheme="minorHAnsi" w:cstheme="minorBidi"/>
                <w:lang w:val="ro-MD" w:eastAsia="en-US"/>
              </w:rPr>
              <w:t xml:space="preserve"> aduce atingere subpunctului 9.2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w:t>
            </w:r>
            <w:r w:rsidRPr="00044C72">
              <w:rPr>
                <w:lang w:val="ro-MD" w:eastAsia="ro-MD"/>
              </w:rPr>
              <w:t xml:space="preserve">PFOA și toate sărurile sale, atunci când acestea sunt </w:t>
            </w:r>
            <w:r w:rsidRPr="00044C72">
              <w:rPr>
                <w:lang w:val="ro-MD" w:eastAsia="ro-MD"/>
              </w:rPr>
              <w:lastRenderedPageBreak/>
              <w:t>prezente în substanțe, amestecuri sau articole, în concentrații mai mici sau egale cu 0,025 mg/kg (0,0000025 procente în greutate).</w:t>
            </w:r>
            <w:r w:rsidRPr="00044C72">
              <w:rPr>
                <w:lang w:val="ro-MD" w:eastAsia="ro-MD"/>
              </w:rPr>
              <w:br/>
              <w:t>1.2.  </w:t>
            </w:r>
            <w:r w:rsidRPr="00044C72">
              <w:rPr>
                <w:rFonts w:eastAsiaTheme="minorHAnsi" w:cstheme="minorBidi"/>
                <w:lang w:val="ro-MD" w:eastAsia="en-US"/>
              </w:rPr>
              <w:t xml:space="preserve">Prin derogare de la art. 4, fără aduce atingere subpunctului 9.2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oricărui </w:t>
            </w:r>
            <w:r w:rsidRPr="00044C72">
              <w:rPr>
                <w:lang w:val="ro-MD" w:eastAsia="ro-MD"/>
              </w:rPr>
              <w:t>compus înrudit cu PFOA sau orice combinație de compuși înrudiți cu PFOA, atunci când aceștia sunt prezenți în substanțe, amestecuri sau articole, în concentrații mai mici sau egale cu 1 mg/kg (0,0001 procente în greutate).</w:t>
            </w:r>
          </w:p>
          <w:p w14:paraId="473C7D60" w14:textId="77777777" w:rsidR="00044C72" w:rsidRPr="00044C72" w:rsidRDefault="00044C72" w:rsidP="00044C72">
            <w:pPr>
              <w:spacing w:after="160" w:line="259" w:lineRule="auto"/>
              <w:jc w:val="both"/>
              <w:rPr>
                <w:lang w:val="ro-MD" w:eastAsia="ro-MD"/>
              </w:rPr>
            </w:pPr>
            <w:r w:rsidRPr="00044C72">
              <w:rPr>
                <w:rFonts w:eastAsiaTheme="minorHAnsi" w:cstheme="minorBidi"/>
                <w:lang w:val="ro-MD" w:eastAsia="en-US"/>
              </w:rPr>
              <w:t>1.3.</w:t>
            </w:r>
            <w:r w:rsidRPr="00044C72">
              <w:rPr>
                <w:rFonts w:asciiTheme="minorHAnsi" w:eastAsiaTheme="minorHAnsi" w:hAnsiTheme="minorHAnsi" w:cstheme="minorBidi"/>
                <w:sz w:val="22"/>
                <w:szCs w:val="22"/>
                <w:lang w:val="ro-MD" w:eastAsia="en-US"/>
              </w:rPr>
              <w:t xml:space="preserve"> </w:t>
            </w:r>
            <w:r w:rsidRPr="00044C72">
              <w:rPr>
                <w:rFonts w:eastAsiaTheme="minorHAnsi" w:cstheme="minorBidi"/>
                <w:lang w:val="ro-MD" w:eastAsia="en-US"/>
              </w:rPr>
              <w:t xml:space="preserve">Prin derogare de la art. 4, fără aduce atingere subpunctului 9.2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w:t>
            </w:r>
            <w:r w:rsidRPr="00044C72">
              <w:rPr>
                <w:lang w:val="ro-MD" w:eastAsia="ro-MD"/>
              </w:rPr>
              <w:t xml:space="preserve">compușilor înrudiți cu PFOA, atunci când aceștia sunt prezenți, în concentrații mai mici sau egale cu 20 mg/kg (0,002 procente de masă), într-o substanță care urmează a fi utilizată ca intermediar izolat transportat, cu condiția ca fabricarea și utilizarea acesteia să aibă loc în condiții strict controlate conform Legii 277/2018 privind substanțele chimice și a actelor normative aprobate de Guvern, în scopul producerii de </w:t>
            </w:r>
            <w:r w:rsidRPr="00044C72">
              <w:rPr>
                <w:lang w:val="ro-MD" w:eastAsia="ro-MD"/>
              </w:rPr>
              <w:lastRenderedPageBreak/>
              <w:t>substanțe fluorurate cu un lanț de carbon egal sau mai mic de 6 atomi.</w:t>
            </w:r>
          </w:p>
          <w:p w14:paraId="76A29EAB" w14:textId="2C8B83F6" w:rsidR="00044C72" w:rsidRPr="00044C72" w:rsidRDefault="00044C72" w:rsidP="00044C72">
            <w:pPr>
              <w:spacing w:after="160" w:line="259" w:lineRule="auto"/>
              <w:jc w:val="both"/>
              <w:rPr>
                <w:lang w:val="ro-MD" w:eastAsia="ro-MD"/>
              </w:rPr>
            </w:pPr>
            <w:r w:rsidRPr="00044C72">
              <w:rPr>
                <w:lang w:val="ro-MD" w:eastAsia="ro-MD"/>
              </w:rPr>
              <w:t>1.4. </w:t>
            </w:r>
            <w:r w:rsidRPr="00044C72">
              <w:rPr>
                <w:rFonts w:eastAsiaTheme="minorHAnsi" w:cstheme="minorBidi"/>
                <w:lang w:val="ro-MD" w:eastAsia="en-US"/>
              </w:rPr>
              <w:t xml:space="preserve">Prin derogare de la art. 4, fără aduce atingere subpunctului 9.2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w:t>
            </w:r>
            <w:r w:rsidRPr="00044C72">
              <w:rPr>
                <w:lang w:val="ro-MD" w:eastAsia="ro-MD"/>
              </w:rPr>
              <w:t xml:space="preserve">PFOA și de săruri ale acestuia mai mici sau egale cu 1 mg/kg (0,0001 % din greutate) atunci când sunt prezente în </w:t>
            </w:r>
            <w:proofErr w:type="spellStart"/>
            <w:r w:rsidRPr="00044C72">
              <w:rPr>
                <w:lang w:val="ro-MD" w:eastAsia="ro-MD"/>
              </w:rPr>
              <w:t>micropulberile</w:t>
            </w:r>
            <w:proofErr w:type="spellEnd"/>
            <w:r w:rsidRPr="00044C72">
              <w:rPr>
                <w:lang w:val="ro-MD" w:eastAsia="ro-MD"/>
              </w:rPr>
              <w:t xml:space="preserve"> de politetrafluoretilenă (PTFE) produse prin iradiere ionizantă sau prin degradare termică, precum și în amestecuri și articole pentru utilizări industriale și profesionale care conțin </w:t>
            </w:r>
            <w:proofErr w:type="spellStart"/>
            <w:r w:rsidRPr="00044C72">
              <w:rPr>
                <w:lang w:val="ro-MD" w:eastAsia="ro-MD"/>
              </w:rPr>
              <w:t>micropulberi</w:t>
            </w:r>
            <w:proofErr w:type="spellEnd"/>
            <w:r w:rsidRPr="00044C72">
              <w:rPr>
                <w:lang w:val="ro-MD" w:eastAsia="ro-MD"/>
              </w:rPr>
              <w:t xml:space="preserve"> de PTFE utilizate până la data intrării în vigoare a prezentei hotărâri. Emisiile de PFOA care au loc în cursul producerii și al utilizării </w:t>
            </w:r>
            <w:proofErr w:type="spellStart"/>
            <w:r w:rsidRPr="00044C72">
              <w:rPr>
                <w:lang w:val="ro-MD" w:eastAsia="ro-MD"/>
              </w:rPr>
              <w:t>micropulberilor</w:t>
            </w:r>
            <w:proofErr w:type="spellEnd"/>
            <w:r w:rsidRPr="00044C72">
              <w:rPr>
                <w:lang w:val="ro-MD" w:eastAsia="ro-MD"/>
              </w:rPr>
              <w:t xml:space="preserve"> de PTFE trebuie evitate în totalitate sau, dacă acest lucru nu este fezabil, trebuie reduse cât mai mult posibil. Limita de 1 mg/kg (0,0001 % din greutate) se aplică numai producerii, plasării pe piață și utilizării PFOA și a sărurilor acestuia în cazul în care acestea sunt prezente în </w:t>
            </w:r>
            <w:proofErr w:type="spellStart"/>
            <w:r w:rsidRPr="00044C72">
              <w:rPr>
                <w:lang w:val="ro-MD" w:eastAsia="ro-MD"/>
              </w:rPr>
              <w:t>micropulberile</w:t>
            </w:r>
            <w:proofErr w:type="spellEnd"/>
            <w:r w:rsidRPr="00044C72">
              <w:rPr>
                <w:lang w:val="ro-MD" w:eastAsia="ro-MD"/>
              </w:rPr>
              <w:t xml:space="preserve"> de PTFE care sunt transportate sau tratate în scopul reducerii concentrației de PFOA și de săruri ale acestuia sub limita </w:t>
            </w:r>
            <w:r w:rsidRPr="00044C72">
              <w:rPr>
                <w:lang w:val="ro-MD" w:eastAsia="ro-MD"/>
              </w:rPr>
              <w:lastRenderedPageBreak/>
              <w:t>de 0,025 mg/kg (0,0000025 % din greutate).</w:t>
            </w:r>
          </w:p>
          <w:p w14:paraId="57ADFB4F" w14:textId="77777777" w:rsidR="00044C72" w:rsidRPr="00044C72" w:rsidRDefault="00044C72" w:rsidP="00044C72">
            <w:pPr>
              <w:spacing w:after="160" w:line="259" w:lineRule="auto"/>
              <w:jc w:val="both"/>
              <w:rPr>
                <w:lang w:val="ro-MD" w:eastAsia="ro-MD"/>
              </w:rPr>
            </w:pPr>
            <w:r w:rsidRPr="00044C72">
              <w:rPr>
                <w:lang w:val="ro-MD" w:eastAsia="ro-MD"/>
              </w:rPr>
              <w:t>1.4.1 Prin derogare de la art. 4, fără aduce atingere subpunctului 9.2 se aplică concentrațiilor de PFOA sau ale oricărui dintre sărurile sale egale sau mai mici de 1 mg/kg(0,0001% în greutate) și concentrațiilor oricărui compus individual înrudit cu PFOA egale sau ai mici de 10 mg/kg ( 0,001% în greutate), în cazul în care acestea sunt prezente în spuma de stingere a incendiilor pentru suprimarea vaporilor de combustibil lichid (incendii clasa B) deja instalată în sisteme. Această valoare limită se aplică până la 3 august 2028.</w:t>
            </w:r>
          </w:p>
          <w:p w14:paraId="488EE2D6" w14:textId="12334894" w:rsidR="00044C72" w:rsidRPr="00044C72" w:rsidRDefault="00044C72" w:rsidP="00044C72">
            <w:pPr>
              <w:spacing w:after="160" w:line="259" w:lineRule="auto"/>
              <w:jc w:val="both"/>
              <w:rPr>
                <w:lang w:val="ro-MD" w:eastAsia="ro-MD"/>
              </w:rPr>
            </w:pPr>
            <w:r w:rsidRPr="00044C72">
              <w:rPr>
                <w:lang w:val="ro-MD" w:eastAsia="ro-MD"/>
              </w:rPr>
              <w:t>1.4.2</w:t>
            </w:r>
            <w:r w:rsidRPr="00044C72">
              <w:rPr>
                <w:rFonts w:asciiTheme="minorHAnsi" w:eastAsiaTheme="minorHAnsi" w:hAnsiTheme="minorHAnsi" w:cstheme="minorBidi"/>
                <w:sz w:val="22"/>
                <w:szCs w:val="22"/>
                <w:lang w:val="ro-MD" w:eastAsia="en-US"/>
              </w:rPr>
              <w:t xml:space="preserve"> </w:t>
            </w:r>
            <w:r w:rsidRPr="00044C72">
              <w:rPr>
                <w:lang w:val="ro-MD" w:eastAsia="ro-MD"/>
              </w:rPr>
              <w:t>Prin derogare de la art. 4, fără a aduce atingere subpunctului 9.2, se permite prezența PFOA, a sărurilor sale și a compușilor înrudiți cu PFOA în concentrație sumară egală sau mai mică 10  mg/kg (0,001 % în greutate), în cazul în care aceștia sunt prezenți în spuma de stingere a incendiilor fără fluor și provin din echipamente curățate în conformitate cu cele mai bune tehnici disponibile.</w:t>
            </w:r>
            <w:r w:rsidRPr="00044C72">
              <w:rPr>
                <w:lang w:val="ro-MD" w:eastAsia="ro-MD"/>
              </w:rPr>
              <w:br/>
              <w:t xml:space="preserve">1.5. Prin derogare, fabricarea, plasarea pe piață și utilizarea PFOA, a </w:t>
            </w:r>
            <w:r w:rsidRPr="00044C72">
              <w:rPr>
                <w:lang w:val="ro-MD" w:eastAsia="ro-MD"/>
              </w:rPr>
              <w:lastRenderedPageBreak/>
              <w:t>sărurilor acestuia și a compușilor înrudiți cu acesta sunt permise pentru:</w:t>
            </w:r>
            <w:r w:rsidRPr="00044C72">
              <w:rPr>
                <w:lang w:val="ro-MD" w:eastAsia="ro-MD"/>
              </w:rPr>
              <w:br/>
              <w:t>(a) procesele de fotolitografie sau de gravare utilizate la fabricarea semiconductorilor, până la data intrării în vigoare a prezentei hotărâri;</w:t>
            </w:r>
            <w:r w:rsidRPr="00044C72">
              <w:rPr>
                <w:lang w:val="ro-MD" w:eastAsia="ro-MD"/>
              </w:rPr>
              <w:br/>
              <w:t>(b) acoperiri fotografice aplicate pe pelicule, până la data intrării în vigoare a prezentei hotărâri;</w:t>
            </w:r>
          </w:p>
          <w:p w14:paraId="2CA0FD1E" w14:textId="77777777" w:rsidR="00044C72" w:rsidRPr="00044C72" w:rsidRDefault="00044C72" w:rsidP="00044C72">
            <w:pPr>
              <w:spacing w:after="160" w:line="259" w:lineRule="auto"/>
              <w:jc w:val="both"/>
              <w:rPr>
                <w:lang w:val="ro-MD" w:eastAsia="ro-MD"/>
              </w:rPr>
            </w:pPr>
            <w:r w:rsidRPr="00044C72">
              <w:rPr>
                <w:lang w:val="ro-MD" w:eastAsia="ro-MD"/>
              </w:rPr>
              <w:t>(c) textile pentru rezistență la ulei și apă pentru protecția lucrătorilor împotriva lichidelor periculoase care prezintă riscuri pentru sănătatea și securitatea lor, până la data intrării în vigoare a prezentei hotărâri;</w:t>
            </w:r>
          </w:p>
          <w:p w14:paraId="371B256A" w14:textId="77777777" w:rsidR="00044C72" w:rsidRPr="00044C72" w:rsidRDefault="00044C72" w:rsidP="00044C72">
            <w:pPr>
              <w:spacing w:after="160" w:line="259" w:lineRule="auto"/>
              <w:jc w:val="both"/>
              <w:rPr>
                <w:lang w:val="ro-MD" w:eastAsia="ro-MD"/>
              </w:rPr>
            </w:pPr>
            <w:r w:rsidRPr="00044C72">
              <w:rPr>
                <w:lang w:val="ro-MD" w:eastAsia="ro-MD"/>
              </w:rPr>
              <w:t xml:space="preserve">(d) dispozitive medicale invazive și implantabile, până la data intrării în vigoare a prezentei hotărâri. </w:t>
            </w:r>
          </w:p>
          <w:p w14:paraId="27773238" w14:textId="77777777" w:rsidR="00044C72" w:rsidRPr="00044C72" w:rsidRDefault="00044C72" w:rsidP="00044C72">
            <w:pPr>
              <w:spacing w:after="160" w:line="259" w:lineRule="auto"/>
              <w:jc w:val="both"/>
              <w:rPr>
                <w:lang w:val="ro-MD" w:eastAsia="ro-MD"/>
              </w:rPr>
            </w:pPr>
            <w:r w:rsidRPr="00044C72">
              <w:rPr>
                <w:lang w:val="ro-MD" w:eastAsia="ro-MD"/>
              </w:rPr>
              <w:t xml:space="preserve">(e) fabricarea de </w:t>
            </w:r>
            <w:proofErr w:type="spellStart"/>
            <w:r w:rsidRPr="00044C72">
              <w:rPr>
                <w:lang w:val="ro-MD" w:eastAsia="ro-MD"/>
              </w:rPr>
              <w:t>politetrafluoroetilenă</w:t>
            </w:r>
            <w:proofErr w:type="spellEnd"/>
            <w:r w:rsidRPr="00044C72">
              <w:rPr>
                <w:lang w:val="ro-MD" w:eastAsia="ro-MD"/>
              </w:rPr>
              <w:t xml:space="preserve"> (PTFE) și fluorură de </w:t>
            </w:r>
            <w:proofErr w:type="spellStart"/>
            <w:r w:rsidRPr="00044C72">
              <w:rPr>
                <w:lang w:val="ro-MD" w:eastAsia="ro-MD"/>
              </w:rPr>
              <w:t>poliviniliden</w:t>
            </w:r>
            <w:proofErr w:type="spellEnd"/>
            <w:r w:rsidRPr="00044C72">
              <w:rPr>
                <w:lang w:val="ro-MD" w:eastAsia="ro-MD"/>
              </w:rPr>
              <w:t xml:space="preserve"> (PVDF) pentru producerea de:</w:t>
            </w:r>
          </w:p>
          <w:p w14:paraId="22CE589A" w14:textId="77777777" w:rsidR="00044C72" w:rsidRPr="00044C72" w:rsidRDefault="00044C72" w:rsidP="00044C72">
            <w:pPr>
              <w:spacing w:after="160" w:line="259" w:lineRule="auto"/>
              <w:jc w:val="both"/>
              <w:rPr>
                <w:lang w:val="ro-MD" w:eastAsia="ro-MD"/>
              </w:rPr>
            </w:pPr>
            <w:r w:rsidRPr="00044C72">
              <w:rPr>
                <w:lang w:val="ro-MD" w:eastAsia="ro-MD"/>
              </w:rPr>
              <w:t>(i) membrane filtrante de gaz de înaltă performanță, rezistente la coroziune, membrane filtrante de apă și membrane pentru textile medicale;</w:t>
            </w:r>
          </w:p>
          <w:p w14:paraId="6129BFA5" w14:textId="77777777" w:rsidR="00044C72" w:rsidRPr="00044C72" w:rsidRDefault="00044C72" w:rsidP="00044C72">
            <w:pPr>
              <w:spacing w:after="160" w:line="259" w:lineRule="auto"/>
              <w:jc w:val="both"/>
              <w:rPr>
                <w:lang w:val="ro-MD" w:eastAsia="ro-MD"/>
              </w:rPr>
            </w:pPr>
            <w:r w:rsidRPr="00044C72">
              <w:rPr>
                <w:lang w:val="ro-MD" w:eastAsia="ro-MD"/>
              </w:rPr>
              <w:t>(ii) echipamente industriale pentru schimbătoare de căldură reziduală,</w:t>
            </w:r>
          </w:p>
          <w:p w14:paraId="19AA0385" w14:textId="77777777" w:rsidR="00044C72" w:rsidRPr="00044C72" w:rsidRDefault="00044C72" w:rsidP="00044C72">
            <w:pPr>
              <w:spacing w:after="160" w:line="259" w:lineRule="auto"/>
              <w:jc w:val="both"/>
              <w:rPr>
                <w:lang w:val="ro-MD" w:eastAsia="ro-MD"/>
              </w:rPr>
            </w:pPr>
            <w:r w:rsidRPr="00044C72">
              <w:rPr>
                <w:lang w:val="ro-MD" w:eastAsia="ro-MD"/>
              </w:rPr>
              <w:lastRenderedPageBreak/>
              <w:t>(iii) materiale de etanșare industriale capabile să prevină scurgerile de compuși organici volatili și particule PM2,5;</w:t>
            </w:r>
          </w:p>
          <w:p w14:paraId="2A55D258" w14:textId="77777777" w:rsidR="00044C72" w:rsidRPr="00044C72" w:rsidRDefault="00044C72" w:rsidP="00044C72">
            <w:pPr>
              <w:spacing w:after="160" w:line="259" w:lineRule="auto"/>
              <w:jc w:val="both"/>
              <w:rPr>
                <w:lang w:val="ro-MD" w:eastAsia="ro-MD"/>
              </w:rPr>
            </w:pPr>
            <w:r w:rsidRPr="00044C72">
              <w:rPr>
                <w:lang w:val="ro-MD" w:eastAsia="ro-MD"/>
              </w:rPr>
              <w:t>până la data intrării în vigoare a prezentei hotărâri.</w:t>
            </w:r>
          </w:p>
          <w:p w14:paraId="39734952" w14:textId="77777777" w:rsidR="00044C72" w:rsidRPr="00044C72" w:rsidRDefault="00044C72" w:rsidP="00044C72">
            <w:pPr>
              <w:spacing w:after="160" w:line="259" w:lineRule="auto"/>
              <w:jc w:val="both"/>
              <w:rPr>
                <w:lang w:val="ro-MD" w:eastAsia="ro-MD"/>
              </w:rPr>
            </w:pPr>
            <w:r w:rsidRPr="00044C72">
              <w:rPr>
                <w:lang w:val="ro-MD" w:eastAsia="ro-MD"/>
              </w:rPr>
              <w:t>1.6. Prin derogare,  utilizarea PFOA, a sărurilor sale și a compușilor înrudiți în spuma de stingere a incendiilor de clasa B, deja instalată în sisteme mobile și fixe, este permisă până la data intrării în vigoare a prezentei hotărâri, sub rezerva respectării următoarelor condiții:</w:t>
            </w:r>
            <w:r w:rsidRPr="00044C72">
              <w:rPr>
                <w:lang w:val="ro-MD" w:eastAsia="ro-MD"/>
              </w:rPr>
              <w:br/>
              <w:t>(a)  spuma de stingere a incendiilor care conține sau poate conține PFOA, săruri ale acestuia și/sau compuși înrudiți cu acesta să nu fie utilizată pentru antrenament și pregătire;</w:t>
            </w:r>
            <w:r w:rsidRPr="00044C72">
              <w:rPr>
                <w:lang w:val="ro-MD" w:eastAsia="ro-MD"/>
              </w:rPr>
              <w:br/>
              <w:t>(b)  spuma de stingere a incendiilor care conține sau poate conține PFOA, săruri ale acestuia și/sau compuși înrudiți cu acesta să nu fie utilizată pentru testare, decât dacă toate emisiile pot fi reținute într-un spațiu închis;</w:t>
            </w:r>
            <w:r w:rsidRPr="00044C72">
              <w:rPr>
                <w:lang w:val="ro-MD" w:eastAsia="ro-MD"/>
              </w:rPr>
              <w:br/>
              <w:t xml:space="preserve">(c) începând cu data intrării în vigoare a prezentei hotărâri, utilizările spumei de stingere a incendiilor care conține sau poate conține PFOA, sărurile acestuia și/sau compuși înrudiți cu </w:t>
            </w:r>
            <w:r w:rsidRPr="00044C72">
              <w:rPr>
                <w:lang w:val="ro-MD" w:eastAsia="ro-MD"/>
              </w:rPr>
              <w:lastRenderedPageBreak/>
              <w:t>PFOA sunt permise numai în amplasamentele în care toate emisiile pot fi reținute.</w:t>
            </w:r>
          </w:p>
          <w:p w14:paraId="16D08FFB" w14:textId="77777777" w:rsidR="00044C72" w:rsidRDefault="00044C72" w:rsidP="00044C72">
            <w:pPr>
              <w:spacing w:after="160" w:line="259" w:lineRule="auto"/>
              <w:jc w:val="both"/>
              <w:rPr>
                <w:lang w:val="ro-MD" w:eastAsia="ro-MD"/>
              </w:rPr>
            </w:pPr>
            <w:r w:rsidRPr="00044C72">
              <w:rPr>
                <w:lang w:val="ro-MD" w:eastAsia="ro-MD"/>
              </w:rPr>
              <w:t>d) stocurile de spumă de stingere a incendiilor care conțin sau pot conține PFOA, sărurile acestuia și/sau compuși înrudiți cu PFOA se gestionează în conformitate cu capitolul IV.</w:t>
            </w:r>
          </w:p>
          <w:p w14:paraId="74ED8B46" w14:textId="7AC35BB6" w:rsidR="00265C0C" w:rsidRPr="00265C0C" w:rsidRDefault="00265C0C" w:rsidP="00044C72">
            <w:pPr>
              <w:spacing w:after="160" w:line="259" w:lineRule="auto"/>
              <w:jc w:val="both"/>
              <w:rPr>
                <w:i/>
                <w:iCs/>
                <w:lang w:val="ro-MD" w:eastAsia="ro-MD"/>
              </w:rPr>
            </w:pPr>
            <w:r w:rsidRPr="00265C0C">
              <w:rPr>
                <w:i/>
                <w:iCs/>
                <w:lang w:val="ro-MD" w:eastAsia="ro-MD"/>
              </w:rPr>
              <w:t xml:space="preserve">Notă: </w:t>
            </w:r>
            <w:r w:rsidRPr="00265C0C">
              <w:rPr>
                <w:rFonts w:hint="eastAsia"/>
                <w:i/>
                <w:iCs/>
                <w:lang w:val="ro-MD" w:eastAsia="ro-MD"/>
              </w:rPr>
              <w:t>spumă de stingere a incendiilor” înseamnă orice amestec pentru stingerea incendiilor cu spumă și include, dar nu se limitează la, concentrate de spumă de stingere a incendiilor și soluții de spumă de stingere a incendiilor pentru producerea spumei.</w:t>
            </w:r>
          </w:p>
          <w:p w14:paraId="5A3044B5" w14:textId="77777777" w:rsidR="00044C72" w:rsidRPr="00044C72" w:rsidRDefault="00044C72" w:rsidP="00044C72">
            <w:pPr>
              <w:spacing w:after="160" w:line="259" w:lineRule="auto"/>
              <w:jc w:val="both"/>
              <w:rPr>
                <w:lang w:val="ro-MD" w:eastAsia="ro-MD"/>
              </w:rPr>
            </w:pPr>
            <w:r w:rsidRPr="00044C72">
              <w:rPr>
                <w:lang w:val="ro-MD" w:eastAsia="ro-MD"/>
              </w:rPr>
              <w:t xml:space="preserve">1.7.  Prin derogare de la art. 4, </w:t>
            </w:r>
            <w:proofErr w:type="spellStart"/>
            <w:r w:rsidRPr="00044C72">
              <w:rPr>
                <w:lang w:val="ro-MD" w:eastAsia="ro-MD"/>
              </w:rPr>
              <w:t>fară</w:t>
            </w:r>
            <w:proofErr w:type="spellEnd"/>
            <w:r w:rsidRPr="00044C72">
              <w:rPr>
                <w:lang w:val="ro-MD" w:eastAsia="ro-MD"/>
              </w:rPr>
              <w:t xml:space="preserve"> a aduce atingere subpunctului 9.2, se permite utilizarea bromurii de </w:t>
            </w:r>
            <w:proofErr w:type="spellStart"/>
            <w:r w:rsidRPr="00044C72">
              <w:rPr>
                <w:lang w:val="ro-MD" w:eastAsia="ro-MD"/>
              </w:rPr>
              <w:t>perfluoroctil</w:t>
            </w:r>
            <w:proofErr w:type="spellEnd"/>
            <w:r w:rsidRPr="00044C72">
              <w:rPr>
                <w:lang w:val="ro-MD" w:eastAsia="ro-MD"/>
              </w:rPr>
              <w:t xml:space="preserve"> care conține iodură de </w:t>
            </w:r>
            <w:proofErr w:type="spellStart"/>
            <w:r w:rsidRPr="00044C72">
              <w:rPr>
                <w:lang w:val="ro-MD" w:eastAsia="ro-MD"/>
              </w:rPr>
              <w:t>perfluoroctil</w:t>
            </w:r>
            <w:proofErr w:type="spellEnd"/>
            <w:r w:rsidRPr="00044C72">
              <w:rPr>
                <w:lang w:val="ro-MD" w:eastAsia="ro-MD"/>
              </w:rPr>
              <w:t xml:space="preserve"> în scopul fabricării de produse farmaceutice, începând cu intrarea în vigoare a prezentei hotărâri și ulterior la fiecare patru ani, până la data de 31 decembrie 2036.</w:t>
            </w:r>
          </w:p>
          <w:p w14:paraId="08C8BA42" w14:textId="77777777" w:rsidR="00044C72" w:rsidRPr="00044C72" w:rsidRDefault="00044C72" w:rsidP="00044C72">
            <w:pPr>
              <w:spacing w:after="160" w:line="259" w:lineRule="auto"/>
              <w:jc w:val="both"/>
              <w:rPr>
                <w:lang w:val="ro-MD" w:eastAsia="ro-MD"/>
              </w:rPr>
            </w:pPr>
            <w:r w:rsidRPr="00044C72">
              <w:rPr>
                <w:lang w:val="ro-MD" w:eastAsia="ro-MD"/>
              </w:rPr>
              <w:t xml:space="preserve">1.8.  Se permite utilizarea în continuare, până la sfârșitul duratei de viață, a articolelor care conțin PFOA, sărurile acestuia și/sau compuși înrudiți cu PFOA, care au fost deja utilizate înainte de </w:t>
            </w:r>
            <w:r w:rsidRPr="00044C72">
              <w:rPr>
                <w:lang w:val="ro-MD" w:eastAsia="ro-MD"/>
              </w:rPr>
              <w:lastRenderedPageBreak/>
              <w:t>data intrării în vigoare a prezentei hotărâri.</w:t>
            </w:r>
          </w:p>
          <w:p w14:paraId="179E3C0A" w14:textId="77777777" w:rsidR="00044C72" w:rsidRPr="00044C72" w:rsidRDefault="00044C72" w:rsidP="00044C72">
            <w:pPr>
              <w:spacing w:after="160" w:line="259" w:lineRule="auto"/>
              <w:jc w:val="both"/>
              <w:rPr>
                <w:lang w:val="ro-MD" w:eastAsia="ro-MD"/>
              </w:rPr>
            </w:pPr>
            <w:r w:rsidRPr="00044C72">
              <w:rPr>
                <w:lang w:val="ro-MD" w:eastAsia="ro-MD"/>
              </w:rPr>
              <w:t>1.8.1 După scoaterea din uz, articolele menționate la pct. 1.8 se supun prevederilor de  gestionare a stocurilor și a deșeurilor, stabilit de prezentul Regulament..</w:t>
            </w:r>
          </w:p>
          <w:p w14:paraId="2C71F8BE" w14:textId="77777777" w:rsidR="00044C72" w:rsidRPr="00044C72" w:rsidRDefault="00044C72" w:rsidP="00044C72">
            <w:pPr>
              <w:spacing w:after="160" w:line="259" w:lineRule="auto"/>
              <w:jc w:val="both"/>
              <w:rPr>
                <w:lang w:val="ro-MD" w:eastAsia="ro-MD"/>
              </w:rPr>
            </w:pPr>
            <w:r w:rsidRPr="00044C72">
              <w:rPr>
                <w:lang w:val="ro-MD" w:eastAsia="ro-MD"/>
              </w:rPr>
              <w:t xml:space="preserve">1.8.2. Producerea, plasarea pe piață și utilizarea PFOA, a sărurilor acestuia și a compușilor înrudiți au fost permise până la data intrării în vigoare a prezentei hotărâri pentru: dispozitive medicale neimplantabile în sensul Legii 102/2017 cu privire la dispozitivele medicale, cerneluri latex și </w:t>
            </w:r>
            <w:proofErr w:type="spellStart"/>
            <w:r w:rsidRPr="00044C72">
              <w:rPr>
                <w:lang w:val="ro-MD" w:eastAsia="ro-MD"/>
              </w:rPr>
              <w:t>nanoacoperiri</w:t>
            </w:r>
            <w:proofErr w:type="spellEnd"/>
            <w:r w:rsidRPr="00044C72">
              <w:rPr>
                <w:lang w:val="ro-MD" w:eastAsia="ro-MD"/>
              </w:rPr>
              <w:t xml:space="preserve"> cu plasmă.</w:t>
            </w:r>
          </w:p>
          <w:p w14:paraId="2B6051D7" w14:textId="77777777" w:rsidR="00044C72" w:rsidRPr="00044C72" w:rsidRDefault="00044C72" w:rsidP="00044C72">
            <w:pPr>
              <w:spacing w:after="160" w:line="259" w:lineRule="auto"/>
              <w:jc w:val="both"/>
              <w:rPr>
                <w:lang w:val="ro-MD" w:eastAsia="ro-MD"/>
              </w:rPr>
            </w:pPr>
            <w:r w:rsidRPr="00044C72">
              <w:rPr>
                <w:lang w:val="ro-MD" w:eastAsia="ro-MD"/>
              </w:rPr>
              <w:t>1.9. Prin derogare de la art. 4, fără a aduce atingere subpunctului 9.2, prezența PFOA, a sărurilor sale și a compușilor înrudiți în concentrații  2 mg/kg (0,0002 % în greutate) a fost permisă până la data intrării în vigoare a prezentei hotărâri, în cazul în care aceștia erau prezenți în dispozitive medicale, altele decât cele invazive și cele implantabile.</w:t>
            </w:r>
          </w:p>
          <w:p w14:paraId="29305D27" w14:textId="77777777" w:rsidR="00044C72" w:rsidRPr="00044C72" w:rsidRDefault="00044C72" w:rsidP="00044C72">
            <w:pPr>
              <w:spacing w:after="160" w:line="259" w:lineRule="auto"/>
              <w:jc w:val="both"/>
              <w:rPr>
                <w:lang w:val="ro-MD" w:eastAsia="ro-MD"/>
              </w:rPr>
            </w:pPr>
            <w:r w:rsidRPr="00044C72">
              <w:rPr>
                <w:lang w:val="ro-MD" w:eastAsia="ro-MD"/>
              </w:rPr>
              <w:t xml:space="preserve">1.10. Prin derogare de la art. 4, fără a aduce atingere subpunctului 9.2, articolele care conțin PFOA, sărurile acestuia sau compuși înrudiți, aflate deja în uz înainte de sau la data </w:t>
            </w:r>
            <w:r w:rsidRPr="00044C72">
              <w:rPr>
                <w:lang w:val="ro-MD" w:eastAsia="ro-MD"/>
              </w:rPr>
              <w:lastRenderedPageBreak/>
              <w:t xml:space="preserve">expirării derogărilor prevăzute la pct. 1.5 lit. a)–d), pot fi utilizate în continuare. </w:t>
            </w:r>
          </w:p>
          <w:p w14:paraId="3F7275EA" w14:textId="77777777" w:rsidR="00044C72" w:rsidRPr="00044C72" w:rsidRDefault="00044C72" w:rsidP="00044C72">
            <w:pPr>
              <w:spacing w:after="160" w:line="259" w:lineRule="auto"/>
              <w:jc w:val="both"/>
              <w:rPr>
                <w:highlight w:val="yellow"/>
                <w:lang w:val="ro-MD" w:eastAsia="ro-MD"/>
              </w:rPr>
            </w:pPr>
            <w:r w:rsidRPr="00044C72">
              <w:rPr>
                <w:lang w:val="ro-MD" w:eastAsia="ro-MD"/>
              </w:rPr>
              <w:t>1.10.1 După scoaterea din uz, articolele menționate la pct. 1.10 se supun regimului de gestionare a stocurilor și a deșeurilor stabilit de prezentul Regulament.</w:t>
            </w:r>
          </w:p>
        </w:tc>
      </w:tr>
      <w:tr w:rsidR="00044C72" w:rsidRPr="00044C72" w14:paraId="3079A0F0" w14:textId="77777777" w:rsidTr="00067CBF">
        <w:trPr>
          <w:trHeight w:val="690"/>
        </w:trPr>
        <w:tc>
          <w:tcPr>
            <w:tcW w:w="3731" w:type="dxa"/>
          </w:tcPr>
          <w:p w14:paraId="31517AE1" w14:textId="77777777" w:rsidR="00044C72" w:rsidRPr="00044C72" w:rsidRDefault="00044C72" w:rsidP="00044C72">
            <w:pPr>
              <w:spacing w:before="60" w:after="60" w:line="276" w:lineRule="auto"/>
              <w:textAlignment w:val="baseline"/>
              <w:rPr>
                <w:lang w:val="ro-MD" w:eastAsia="ro-MD"/>
              </w:rPr>
            </w:pPr>
            <w:proofErr w:type="spellStart"/>
            <w:r w:rsidRPr="00044C72">
              <w:rPr>
                <w:lang w:val="ro-MD" w:eastAsia="ro-MD"/>
              </w:rPr>
              <w:lastRenderedPageBreak/>
              <w:t>Dicofol</w:t>
            </w:r>
            <w:proofErr w:type="spellEnd"/>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DE3E4DA"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115-32-2</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4ACF543D"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204-082-0</w:t>
            </w:r>
          </w:p>
        </w:tc>
        <w:tc>
          <w:tcPr>
            <w:tcW w:w="2936" w:type="dxa"/>
            <w:vAlign w:val="bottom"/>
          </w:tcPr>
          <w:p w14:paraId="0EDF8839" w14:textId="77777777" w:rsidR="00044C72" w:rsidRPr="00044C72" w:rsidRDefault="00044C72" w:rsidP="00044C72">
            <w:pPr>
              <w:spacing w:after="160" w:line="259" w:lineRule="auto"/>
              <w:rPr>
                <w:rFonts w:eastAsiaTheme="minorHAnsi"/>
                <w:lang w:val="en-US" w:eastAsia="en-US"/>
              </w:rPr>
            </w:pPr>
            <w:r w:rsidRPr="00044C72">
              <w:rPr>
                <w:rFonts w:eastAsiaTheme="minorHAnsi"/>
                <w:lang w:val="en-US" w:eastAsia="en-US"/>
              </w:rPr>
              <w:t>---</w:t>
            </w:r>
          </w:p>
        </w:tc>
      </w:tr>
      <w:tr w:rsidR="00044C72" w:rsidRPr="00AA2C89" w14:paraId="5DD5DAE6" w14:textId="77777777" w:rsidTr="00067CBF">
        <w:trPr>
          <w:trHeight w:val="690"/>
        </w:trPr>
        <w:tc>
          <w:tcPr>
            <w:tcW w:w="3731" w:type="dxa"/>
          </w:tcPr>
          <w:p w14:paraId="451FF3CD"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color w:val="333333"/>
                <w:lang w:val="ro-MD" w:eastAsia="ro-MD"/>
              </w:rPr>
              <w:t xml:space="preserve">Acid </w:t>
            </w:r>
            <w:proofErr w:type="spellStart"/>
            <w:r w:rsidRPr="00044C72">
              <w:rPr>
                <w:rFonts w:eastAsia="Arial Unicode MS"/>
                <w:color w:val="333333"/>
                <w:lang w:val="ro-MD" w:eastAsia="ro-MD"/>
              </w:rPr>
              <w:t>perfluorohexan</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sulfonic</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PFHxS</w:t>
            </w:r>
            <w:proofErr w:type="spellEnd"/>
            <w:r w:rsidRPr="00044C72">
              <w:rPr>
                <w:rFonts w:eastAsia="Arial Unicode MS"/>
                <w:color w:val="333333"/>
                <w:lang w:val="ro-MD" w:eastAsia="ro-MD"/>
              </w:rPr>
              <w:t>), sărurile acestuia și compușii înrudiți cu acesta</w:t>
            </w:r>
          </w:p>
          <w:p w14:paraId="75D8C66D"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color w:val="333333"/>
                <w:lang w:val="ro-MD" w:eastAsia="ro-MD"/>
              </w:rPr>
              <w:t xml:space="preserve">„Acid </w:t>
            </w:r>
            <w:proofErr w:type="spellStart"/>
            <w:r w:rsidRPr="00044C72">
              <w:rPr>
                <w:rFonts w:eastAsia="Arial Unicode MS"/>
                <w:color w:val="333333"/>
                <w:lang w:val="ro-MD" w:eastAsia="ro-MD"/>
              </w:rPr>
              <w:t>perfluorohexan</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sulfonic</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PFHxS</w:t>
            </w:r>
            <w:proofErr w:type="spellEnd"/>
            <w:r w:rsidRPr="00044C72">
              <w:rPr>
                <w:rFonts w:eastAsia="Arial Unicode MS"/>
                <w:color w:val="333333"/>
                <w:lang w:val="ro-MD" w:eastAsia="ro-MD"/>
              </w:rPr>
              <w:t>), sărurile acestuia și compușii înrudiți cu acesta” înseamnă:</w:t>
            </w:r>
          </w:p>
          <w:p w14:paraId="18414454"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 xml:space="preserve">(i)  acidul </w:t>
            </w:r>
            <w:proofErr w:type="spellStart"/>
            <w:r w:rsidRPr="00044C72">
              <w:rPr>
                <w:rFonts w:eastAsia="Arial Unicode MS"/>
                <w:color w:val="333333"/>
                <w:lang w:val="ro-MD" w:eastAsia="ro-MD"/>
              </w:rPr>
              <w:t>perfluorohexan</w:t>
            </w:r>
            <w:proofErr w:type="spellEnd"/>
            <w:r w:rsidRPr="00044C72">
              <w:rPr>
                <w:rFonts w:eastAsia="Arial Unicode MS"/>
                <w:color w:val="333333"/>
                <w:lang w:val="ro-MD" w:eastAsia="ro-MD"/>
              </w:rPr>
              <w:t xml:space="preserve"> </w:t>
            </w:r>
            <w:proofErr w:type="spellStart"/>
            <w:r w:rsidRPr="00044C72">
              <w:rPr>
                <w:rFonts w:eastAsia="Arial Unicode MS"/>
                <w:color w:val="333333"/>
                <w:lang w:val="ro-MD" w:eastAsia="ro-MD"/>
              </w:rPr>
              <w:t>sulfonic</w:t>
            </w:r>
            <w:proofErr w:type="spellEnd"/>
            <w:r w:rsidRPr="00044C72">
              <w:rPr>
                <w:rFonts w:eastAsia="Arial Unicode MS"/>
                <w:color w:val="333333"/>
                <w:lang w:val="ro-MD" w:eastAsia="ro-MD"/>
              </w:rPr>
              <w:t>, inclusiv toți izomerii săi ramificați;</w:t>
            </w:r>
          </w:p>
          <w:p w14:paraId="1AE70064"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(ii)  sărurile sale;</w:t>
            </w:r>
          </w:p>
          <w:p w14:paraId="2B06C6CF" w14:textId="77777777" w:rsidR="00044C72" w:rsidRPr="00044C72" w:rsidRDefault="00044C72" w:rsidP="00044C72">
            <w:pPr>
              <w:shd w:val="clear" w:color="auto" w:fill="FFFFFF"/>
              <w:spacing w:before="120" w:line="312" w:lineRule="atLeast"/>
              <w:jc w:val="both"/>
              <w:rPr>
                <w:rFonts w:eastAsia="Arial Unicode MS"/>
                <w:color w:val="333333"/>
                <w:lang w:val="ro-MD" w:eastAsia="ro-MD"/>
              </w:rPr>
            </w:pPr>
            <w:r w:rsidRPr="00044C72">
              <w:rPr>
                <w:rFonts w:eastAsia="Arial Unicode MS"/>
                <w:color w:val="333333"/>
                <w:lang w:val="ro-MD" w:eastAsia="ro-MD"/>
              </w:rPr>
              <w:t xml:space="preserve">(iii)  compușii înrudiți cu </w:t>
            </w:r>
            <w:proofErr w:type="spellStart"/>
            <w:r w:rsidRPr="00044C72">
              <w:rPr>
                <w:rFonts w:eastAsia="Arial Unicode MS"/>
                <w:color w:val="333333"/>
                <w:lang w:val="ro-MD" w:eastAsia="ro-MD"/>
              </w:rPr>
              <w:t>PFHxS</w:t>
            </w:r>
            <w:proofErr w:type="spellEnd"/>
            <w:r w:rsidRPr="00044C72">
              <w:rPr>
                <w:rFonts w:eastAsia="Arial Unicode MS"/>
                <w:color w:val="333333"/>
                <w:lang w:val="ro-MD" w:eastAsia="ro-MD"/>
              </w:rPr>
              <w:t>, care, în sensul convenției, sunt toate substanțele care conțin gruparea chimică C</w:t>
            </w:r>
            <w:r w:rsidRPr="00044C72">
              <w:rPr>
                <w:rFonts w:eastAsia="Arial Unicode MS"/>
                <w:color w:val="333333"/>
                <w:vertAlign w:val="subscript"/>
                <w:lang w:val="ro-MD" w:eastAsia="ro-MD"/>
              </w:rPr>
              <w:t>6</w:t>
            </w:r>
            <w:r w:rsidRPr="00044C72">
              <w:rPr>
                <w:rFonts w:eastAsia="Arial Unicode MS"/>
                <w:color w:val="333333"/>
                <w:lang w:val="ro-MD" w:eastAsia="ro-MD"/>
              </w:rPr>
              <w:t>F</w:t>
            </w:r>
            <w:r w:rsidRPr="00044C72">
              <w:rPr>
                <w:rFonts w:eastAsia="Arial Unicode MS"/>
                <w:color w:val="333333"/>
                <w:vertAlign w:val="subscript"/>
                <w:lang w:val="ro-MD" w:eastAsia="ro-MD"/>
              </w:rPr>
              <w:t>13</w:t>
            </w:r>
            <w:r w:rsidRPr="00044C72">
              <w:rPr>
                <w:rFonts w:eastAsia="Arial Unicode MS"/>
                <w:color w:val="333333"/>
                <w:lang w:val="ro-MD" w:eastAsia="ro-MD"/>
              </w:rPr>
              <w:t xml:space="preserve">S- drept unul din elementele lor structurale și care se degradează până la </w:t>
            </w:r>
            <w:proofErr w:type="spellStart"/>
            <w:r w:rsidRPr="00044C72">
              <w:rPr>
                <w:rFonts w:eastAsia="Arial Unicode MS"/>
                <w:color w:val="333333"/>
                <w:lang w:val="ro-MD" w:eastAsia="ro-MD"/>
              </w:rPr>
              <w:t>PFHxS</w:t>
            </w:r>
            <w:proofErr w:type="spellEnd"/>
            <w:r w:rsidRPr="00044C72">
              <w:rPr>
                <w:rFonts w:eastAsia="Arial Unicode MS"/>
                <w:color w:val="333333"/>
                <w:lang w:val="ro-MD" w:eastAsia="ro-MD"/>
              </w:rPr>
              <w:t>.</w:t>
            </w:r>
          </w:p>
          <w:p w14:paraId="3E05BBCE" w14:textId="77777777" w:rsidR="00044C72" w:rsidRPr="00044C72" w:rsidRDefault="00044C72" w:rsidP="00044C72">
            <w:pPr>
              <w:spacing w:before="60" w:after="60" w:line="276" w:lineRule="auto"/>
              <w:textAlignment w:val="baseline"/>
              <w:rPr>
                <w:lang w:val="ro-MD" w:eastAsia="ro-MD"/>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D02A80C"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355-46-4 și altele</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69F5C8DF" w14:textId="77777777" w:rsidR="00044C72" w:rsidRPr="00044C72" w:rsidRDefault="00044C72" w:rsidP="00044C72">
            <w:pPr>
              <w:spacing w:before="60" w:after="60" w:line="276" w:lineRule="auto"/>
              <w:textAlignment w:val="baseline"/>
              <w:rPr>
                <w:lang w:val="ro-MD" w:eastAsia="ro-MD"/>
              </w:rPr>
            </w:pPr>
            <w:r w:rsidRPr="00044C72">
              <w:rPr>
                <w:rFonts w:eastAsia="Arial Unicode MS"/>
                <w:color w:val="333333"/>
                <w:lang w:val="ro-MD" w:eastAsia="ro-MD"/>
              </w:rPr>
              <w:t>206-587-1 și altele</w:t>
            </w:r>
          </w:p>
        </w:tc>
        <w:tc>
          <w:tcPr>
            <w:tcW w:w="2936" w:type="dxa"/>
            <w:vAlign w:val="bottom"/>
          </w:tcPr>
          <w:p w14:paraId="1527FE3D" w14:textId="77777777" w:rsidR="00044C72" w:rsidRPr="00044C72" w:rsidRDefault="00044C72" w:rsidP="00044C72">
            <w:pPr>
              <w:spacing w:before="120" w:after="160" w:line="312" w:lineRule="atLeast"/>
              <w:jc w:val="both"/>
              <w:rPr>
                <w:lang w:val="ro-MD" w:eastAsia="ro-MD"/>
              </w:rPr>
            </w:pPr>
            <w:r w:rsidRPr="00044C72">
              <w:rPr>
                <w:rFonts w:eastAsiaTheme="minorHAnsi" w:cstheme="minorBidi"/>
                <w:lang w:val="ro-MD" w:eastAsia="en-US"/>
              </w:rPr>
              <w:t xml:space="preserve">1. Prin derogare de la art. 4, fără aduce atingere subpunctului 9.2 este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w:t>
            </w:r>
            <w:proofErr w:type="spellStart"/>
            <w:r w:rsidRPr="00044C72">
              <w:rPr>
                <w:lang w:val="ro-MD" w:eastAsia="ro-MD"/>
              </w:rPr>
              <w:t>PFHxS</w:t>
            </w:r>
            <w:proofErr w:type="spellEnd"/>
            <w:r w:rsidRPr="00044C72">
              <w:rPr>
                <w:lang w:val="ro-MD" w:eastAsia="ro-MD"/>
              </w:rPr>
              <w:t xml:space="preserve"> și toate sărurile sale atunci când acestea sunt prezente în substanțe, amestecuri sau articole în concentrații mai mici sau egale cu 0,025 mg/kg (0,0000025 % de masă).</w:t>
            </w:r>
          </w:p>
          <w:p w14:paraId="3A511ADD" w14:textId="77777777" w:rsidR="00044C72" w:rsidRPr="00044C72" w:rsidRDefault="00044C72" w:rsidP="00044C72">
            <w:pPr>
              <w:spacing w:before="120" w:after="160" w:line="312" w:lineRule="atLeast"/>
              <w:jc w:val="both"/>
              <w:rPr>
                <w:lang w:val="ro-MD" w:eastAsia="ro-MD"/>
              </w:rPr>
            </w:pPr>
            <w:r w:rsidRPr="00044C72">
              <w:rPr>
                <w:lang w:val="ro-MD" w:eastAsia="ro-MD"/>
              </w:rPr>
              <w:t>1.2.  </w:t>
            </w:r>
            <w:r w:rsidRPr="00044C72">
              <w:rPr>
                <w:rFonts w:eastAsiaTheme="minorHAnsi" w:cstheme="minorBidi"/>
                <w:lang w:val="ro-MD" w:eastAsia="en-US"/>
              </w:rPr>
              <w:t xml:space="preserve">Prin derogare de la art. 4, fără aduce atingere subpunctului 9.2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 </w:t>
            </w:r>
            <w:r w:rsidRPr="00044C72">
              <w:rPr>
                <w:lang w:val="ro-MD" w:eastAsia="ro-MD"/>
              </w:rPr>
              <w:t xml:space="preserve">sumei concentrațiilor tuturor compușilor înrudiți cu </w:t>
            </w:r>
            <w:proofErr w:type="spellStart"/>
            <w:r w:rsidRPr="00044C72">
              <w:rPr>
                <w:lang w:val="ro-MD" w:eastAsia="ro-MD"/>
              </w:rPr>
              <w:t>PFHxS</w:t>
            </w:r>
            <w:proofErr w:type="spellEnd"/>
            <w:r w:rsidRPr="00044C72">
              <w:rPr>
                <w:lang w:val="ro-MD" w:eastAsia="ro-MD"/>
              </w:rPr>
              <w:t xml:space="preserve"> mai mici sau egale cu 1 mg/kg (0,0001 procente de masă) în cazul în care aceștia sunt prezenți în substanțe, amestecuri sau articole.</w:t>
            </w:r>
          </w:p>
          <w:p w14:paraId="54806CAC" w14:textId="77777777" w:rsidR="00044C72" w:rsidRPr="00044C72" w:rsidRDefault="00044C72" w:rsidP="00044C72">
            <w:pPr>
              <w:spacing w:after="160" w:line="259" w:lineRule="auto"/>
              <w:rPr>
                <w:lang w:val="ro-MD" w:eastAsia="ro-MD"/>
              </w:rPr>
            </w:pPr>
            <w:r w:rsidRPr="00044C72">
              <w:rPr>
                <w:lang w:val="ro-MD" w:eastAsia="ro-MD"/>
              </w:rPr>
              <w:t>1.3.  </w:t>
            </w:r>
            <w:r w:rsidRPr="00044C72">
              <w:rPr>
                <w:rFonts w:eastAsiaTheme="minorHAnsi" w:cstheme="minorBidi"/>
                <w:lang w:val="ro-MD" w:eastAsia="en-US"/>
              </w:rPr>
              <w:t xml:space="preserve">Prin derogare de la art. 4, fără aduce atingere </w:t>
            </w:r>
            <w:r w:rsidRPr="00044C72">
              <w:rPr>
                <w:rFonts w:eastAsiaTheme="minorHAnsi" w:cstheme="minorBidi"/>
                <w:lang w:val="ro-MD" w:eastAsia="en-US"/>
              </w:rPr>
              <w:lastRenderedPageBreak/>
              <w:t xml:space="preserve">subpunctului 9.2 sunt permise producerea, plasarea pe </w:t>
            </w:r>
            <w:proofErr w:type="spellStart"/>
            <w:r w:rsidRPr="00044C72">
              <w:rPr>
                <w:rFonts w:eastAsiaTheme="minorHAnsi" w:cstheme="minorBidi"/>
                <w:lang w:val="ro-MD" w:eastAsia="en-US"/>
              </w:rPr>
              <w:t>piaţă</w:t>
            </w:r>
            <w:proofErr w:type="spellEnd"/>
            <w:r w:rsidRPr="00044C72">
              <w:rPr>
                <w:rFonts w:eastAsiaTheme="minorHAnsi" w:cstheme="minorBidi"/>
                <w:lang w:val="ro-MD" w:eastAsia="en-US"/>
              </w:rPr>
              <w:t xml:space="preserve"> </w:t>
            </w:r>
            <w:proofErr w:type="spellStart"/>
            <w:r w:rsidRPr="00044C72">
              <w:rPr>
                <w:rFonts w:eastAsiaTheme="minorHAnsi" w:cstheme="minorBidi"/>
                <w:lang w:val="ro-MD" w:eastAsia="en-US"/>
              </w:rPr>
              <w:t>şi</w:t>
            </w:r>
            <w:proofErr w:type="spellEnd"/>
            <w:r w:rsidRPr="00044C72">
              <w:rPr>
                <w:rFonts w:eastAsiaTheme="minorHAnsi" w:cstheme="minorBidi"/>
                <w:lang w:val="ro-MD" w:eastAsia="en-US"/>
              </w:rPr>
              <w:t xml:space="preserve"> utilizarea</w:t>
            </w:r>
            <w:r w:rsidRPr="00044C72">
              <w:rPr>
                <w:highlight w:val="yellow"/>
                <w:lang w:val="ro-MD" w:eastAsia="ro-MD"/>
              </w:rPr>
              <w:t xml:space="preserve"> </w:t>
            </w:r>
            <w:r w:rsidRPr="00044C72">
              <w:rPr>
                <w:lang w:val="ro-MD" w:eastAsia="ro-MD"/>
              </w:rPr>
              <w:t xml:space="preserve">concentrațiilor de </w:t>
            </w:r>
            <w:proofErr w:type="spellStart"/>
            <w:r w:rsidRPr="00044C72">
              <w:rPr>
                <w:lang w:val="ro-MD" w:eastAsia="ro-MD"/>
              </w:rPr>
              <w:t>PFHxS</w:t>
            </w:r>
            <w:proofErr w:type="spellEnd"/>
            <w:r w:rsidRPr="00044C72">
              <w:rPr>
                <w:lang w:val="ro-MD" w:eastAsia="ro-MD"/>
              </w:rPr>
              <w:t xml:space="preserve"> de săruri ale acestuia și de compuși înrudiți cu </w:t>
            </w:r>
            <w:proofErr w:type="spellStart"/>
            <w:r w:rsidRPr="00044C72">
              <w:rPr>
                <w:lang w:val="ro-MD" w:eastAsia="ro-MD"/>
              </w:rPr>
              <w:t>PFHxS</w:t>
            </w:r>
            <w:proofErr w:type="spellEnd"/>
            <w:r w:rsidRPr="00044C72">
              <w:rPr>
                <w:lang w:val="ro-MD" w:eastAsia="ro-MD"/>
              </w:rPr>
              <w:t xml:space="preserve"> mai mici sau egale cu 0,1 mg/kg (0,00001 procente de masă) în cazul în care sunt prezenți în amestecurile concentrate de spumă pentru stingerea incendiilor care urmează să fie utilizate sau care sunt utilizate la producerea altor amestecuri de spumă pentru stingerea incendiilor. </w:t>
            </w:r>
          </w:p>
        </w:tc>
      </w:tr>
      <w:tr w:rsidR="00044C72" w:rsidRPr="00AA2C89" w14:paraId="1DA61593" w14:textId="77777777" w:rsidTr="00067CBF">
        <w:tc>
          <w:tcPr>
            <w:tcW w:w="3731" w:type="dxa"/>
            <w:hideMark/>
          </w:tcPr>
          <w:p w14:paraId="703B9047" w14:textId="77777777" w:rsidR="00044C72" w:rsidRPr="00044C72" w:rsidRDefault="00044C72" w:rsidP="00044C72">
            <w:pPr>
              <w:spacing w:before="60" w:after="60" w:line="312" w:lineRule="atLeast"/>
              <w:jc w:val="both"/>
              <w:rPr>
                <w:rFonts w:eastAsia="Arial Unicode MS"/>
                <w:color w:val="333333"/>
                <w:lang w:val="ro-MD" w:eastAsia="ro-MD"/>
              </w:rPr>
            </w:pPr>
            <w:proofErr w:type="spellStart"/>
            <w:r w:rsidRPr="00044C72">
              <w:rPr>
                <w:rFonts w:eastAsia="Arial Unicode MS" w:hint="eastAsia"/>
                <w:color w:val="333333"/>
                <w:lang w:val="ro-MD" w:eastAsia="ro-MD"/>
              </w:rPr>
              <w:lastRenderedPageBreak/>
              <w:t>Metoxiclor</w:t>
            </w:r>
            <w:proofErr w:type="spellEnd"/>
          </w:p>
          <w:p w14:paraId="381AF51F"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w:t>
            </w:r>
            <w:proofErr w:type="spellStart"/>
            <w:r w:rsidRPr="00044C72">
              <w:rPr>
                <w:rFonts w:eastAsia="Arial Unicode MS" w:hint="eastAsia"/>
                <w:color w:val="333333"/>
                <w:lang w:val="ro-MD" w:eastAsia="ro-MD"/>
              </w:rPr>
              <w:t>Metoxiclor</w:t>
            </w:r>
            <w:proofErr w:type="spellEnd"/>
            <w:r w:rsidRPr="00044C72">
              <w:rPr>
                <w:rFonts w:eastAsia="Arial Unicode MS" w:hint="eastAsia"/>
                <w:color w:val="333333"/>
                <w:lang w:val="ro-MD" w:eastAsia="ro-MD"/>
              </w:rPr>
              <w:t>”</w:t>
            </w:r>
            <w:r w:rsidRPr="00044C72">
              <w:rPr>
                <w:rFonts w:eastAsia="Arial Unicode MS" w:hint="eastAsia"/>
                <w:color w:val="333333"/>
                <w:lang w:val="ro-MD" w:eastAsia="ro-MD"/>
              </w:rPr>
              <w:t xml:space="preserve"> se referă la orice izomer posibil al </w:t>
            </w:r>
            <w:proofErr w:type="spellStart"/>
            <w:r w:rsidRPr="00044C72">
              <w:rPr>
                <w:rFonts w:eastAsia="Arial Unicode MS" w:hint="eastAsia"/>
                <w:color w:val="333333"/>
                <w:lang w:val="ro-MD" w:eastAsia="ro-MD"/>
              </w:rPr>
              <w:t>dimetoxidifeniltricloroetanului</w:t>
            </w:r>
            <w:proofErr w:type="spellEnd"/>
            <w:r w:rsidRPr="00044C72">
              <w:rPr>
                <w:rFonts w:eastAsia="Arial Unicode MS" w:hint="eastAsia"/>
                <w:color w:val="333333"/>
                <w:lang w:val="ro-MD" w:eastAsia="ro-MD"/>
              </w:rPr>
              <w:t xml:space="preserve"> sau la orice combinație a acestora.</w:t>
            </w:r>
          </w:p>
        </w:tc>
        <w:tc>
          <w:tcPr>
            <w:tcW w:w="1142" w:type="dxa"/>
            <w:hideMark/>
          </w:tcPr>
          <w:p w14:paraId="7D3A6D84"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72-43-5</w:t>
            </w:r>
          </w:p>
          <w:p w14:paraId="45885731"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30667-99-3</w:t>
            </w:r>
          </w:p>
          <w:p w14:paraId="1A85BE8E"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76733-77-2</w:t>
            </w:r>
          </w:p>
          <w:p w14:paraId="17EC1991"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255065-25-9</w:t>
            </w:r>
          </w:p>
          <w:p w14:paraId="579D8A32"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255065-26-0</w:t>
            </w:r>
          </w:p>
          <w:p w14:paraId="51CB74AF"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59424-81-6</w:t>
            </w:r>
          </w:p>
          <w:p w14:paraId="05483339"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1348358-72-4</w:t>
            </w:r>
          </w:p>
          <w:p w14:paraId="3DE1B66C"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și alții</w:t>
            </w:r>
          </w:p>
        </w:tc>
        <w:tc>
          <w:tcPr>
            <w:tcW w:w="792" w:type="dxa"/>
            <w:hideMark/>
          </w:tcPr>
          <w:p w14:paraId="1720273A"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200-779-9</w:t>
            </w:r>
          </w:p>
        </w:tc>
        <w:tc>
          <w:tcPr>
            <w:tcW w:w="2936" w:type="dxa"/>
            <w:hideMark/>
          </w:tcPr>
          <w:p w14:paraId="478D9551"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color w:val="333333"/>
                <w:lang w:val="ro-MD" w:eastAsia="ro-MD"/>
              </w:rPr>
              <w:t xml:space="preserve">1.Prin derogare de la art.4 </w:t>
            </w:r>
            <w:proofErr w:type="spellStart"/>
            <w:r w:rsidRPr="00044C72">
              <w:rPr>
                <w:rFonts w:eastAsia="Arial Unicode MS"/>
                <w:color w:val="333333"/>
                <w:lang w:val="ro-MD" w:eastAsia="ro-MD"/>
              </w:rPr>
              <w:t>fară</w:t>
            </w:r>
            <w:proofErr w:type="spellEnd"/>
            <w:r w:rsidRPr="00044C72">
              <w:rPr>
                <w:rFonts w:eastAsia="Arial Unicode MS"/>
                <w:color w:val="333333"/>
                <w:lang w:val="ro-MD" w:eastAsia="ro-MD"/>
              </w:rPr>
              <w:t xml:space="preserve"> a aduce atingere subpunctului 9.2 </w:t>
            </w:r>
            <w:r w:rsidRPr="00044C72">
              <w:rPr>
                <w:rFonts w:eastAsia="Arial Unicode MS" w:hint="eastAsia"/>
                <w:color w:val="333333"/>
                <w:lang w:val="ro-MD" w:eastAsia="ro-MD"/>
              </w:rPr>
              <w:t xml:space="preserve"> se aplică concentrațiilor de </w:t>
            </w:r>
            <w:proofErr w:type="spellStart"/>
            <w:r w:rsidRPr="00044C72">
              <w:rPr>
                <w:rFonts w:eastAsia="Arial Unicode MS" w:hint="eastAsia"/>
                <w:color w:val="333333"/>
                <w:lang w:val="ro-MD" w:eastAsia="ro-MD"/>
              </w:rPr>
              <w:t>metoxiclor</w:t>
            </w:r>
            <w:proofErr w:type="spellEnd"/>
            <w:r w:rsidRPr="00044C72">
              <w:rPr>
                <w:rFonts w:eastAsia="Arial Unicode MS" w:hint="eastAsia"/>
                <w:color w:val="333333"/>
                <w:lang w:val="ro-MD" w:eastAsia="ro-MD"/>
              </w:rPr>
              <w:t xml:space="preserve"> egale sau mai mici de 0,01 mg/kg (0,000001 % în greutate), în cazul în care acestea sunt prezente în substanțe, amestecuri sau articole.</w:t>
            </w:r>
          </w:p>
        </w:tc>
      </w:tr>
      <w:tr w:rsidR="00044C72" w:rsidRPr="00AA2C89" w14:paraId="6D345CA2" w14:textId="77777777" w:rsidTr="00067CBF">
        <w:trPr>
          <w:trHeight w:val="690"/>
        </w:trPr>
        <w:tc>
          <w:tcPr>
            <w:tcW w:w="3731" w:type="dxa"/>
            <w:tcBorders>
              <w:top w:val="outset" w:sz="6" w:space="0" w:color="auto"/>
              <w:left w:val="outset" w:sz="6" w:space="0" w:color="auto"/>
              <w:bottom w:val="outset" w:sz="6" w:space="0" w:color="auto"/>
              <w:right w:val="outset" w:sz="6" w:space="0" w:color="auto"/>
            </w:tcBorders>
            <w:shd w:val="clear" w:color="auto" w:fill="FFFFFF"/>
          </w:tcPr>
          <w:p w14:paraId="07967761" w14:textId="77777777" w:rsidR="00044C72" w:rsidRPr="00044C72" w:rsidRDefault="00044C72" w:rsidP="00044C72">
            <w:pPr>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2-(2H </w:t>
            </w:r>
            <w:r w:rsidRPr="00044C72">
              <w:rPr>
                <w:rFonts w:eastAsia="Arial Unicode MS" w:hint="eastAsia"/>
                <w:lang w:val="ro-MD" w:eastAsia="ro-MD"/>
              </w:rPr>
              <w:t>-</w:t>
            </w:r>
            <w:r w:rsidRPr="00044C72">
              <w:rPr>
                <w:rFonts w:eastAsia="Arial Unicode MS" w:hint="eastAsia"/>
                <w:color w:val="333333"/>
                <w:lang w:val="ro-MD" w:eastAsia="ro-MD"/>
              </w:rPr>
              <w:t> benzotriazol-2-il)-4,6-di- </w:t>
            </w:r>
            <w:proofErr w:type="spellStart"/>
            <w:r w:rsidRPr="00044C72">
              <w:rPr>
                <w:rFonts w:eastAsia="Arial Unicode MS" w:hint="eastAsia"/>
                <w:lang w:val="ro-MD" w:eastAsia="ro-MD"/>
              </w:rPr>
              <w:t>tert</w:t>
            </w:r>
            <w:proofErr w:type="spellEnd"/>
            <w:r w:rsidRPr="00044C72">
              <w:rPr>
                <w:rFonts w:eastAsia="Arial Unicode MS" w:hint="eastAsia"/>
                <w:color w:val="333333"/>
                <w:lang w:val="ro-MD" w:eastAsia="ro-MD"/>
              </w:rPr>
              <w:t> -</w:t>
            </w:r>
            <w:proofErr w:type="spellStart"/>
            <w:r w:rsidRPr="00044C72">
              <w:rPr>
                <w:rFonts w:eastAsia="Arial Unicode MS" w:hint="eastAsia"/>
                <w:color w:val="333333"/>
                <w:lang w:val="ro-MD" w:eastAsia="ro-MD"/>
              </w:rPr>
              <w:t>pentilfenol</w:t>
            </w:r>
            <w:proofErr w:type="spellEnd"/>
          </w:p>
          <w:p w14:paraId="326E88F3"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hint="eastAsia"/>
                <w:color w:val="333333"/>
                <w:lang w:val="ro-MD" w:eastAsia="ro-MD"/>
              </w:rPr>
              <w:t>(UV-328)</w:t>
            </w: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5889B68" w14:textId="77777777" w:rsidR="00044C72" w:rsidRPr="00044C72" w:rsidRDefault="00044C72" w:rsidP="00044C72">
            <w:pPr>
              <w:spacing w:before="60" w:after="60" w:line="276" w:lineRule="auto"/>
              <w:textAlignment w:val="baseline"/>
              <w:rPr>
                <w:rFonts w:eastAsia="Arial Unicode MS"/>
                <w:color w:val="333333"/>
                <w:lang w:val="ro-MD" w:eastAsia="ro-MD"/>
              </w:rPr>
            </w:pPr>
            <w:r w:rsidRPr="00044C72">
              <w:rPr>
                <w:rFonts w:eastAsia="Arial Unicode MS" w:hint="eastAsia"/>
                <w:color w:val="333333"/>
                <w:lang w:val="ro-MD" w:eastAsia="ro-MD"/>
              </w:rPr>
              <w:t>25973-55-1</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74BEC968" w14:textId="77777777" w:rsidR="00044C72" w:rsidRPr="00044C72" w:rsidRDefault="00044C72" w:rsidP="00044C72">
            <w:pPr>
              <w:spacing w:before="60" w:after="60" w:line="276" w:lineRule="auto"/>
              <w:textAlignment w:val="baseline"/>
              <w:rPr>
                <w:rFonts w:eastAsia="Arial Unicode MS"/>
                <w:color w:val="333333"/>
                <w:lang w:val="ro-MD" w:eastAsia="ro-MD"/>
              </w:rPr>
            </w:pPr>
            <w:r w:rsidRPr="00044C72">
              <w:rPr>
                <w:rFonts w:eastAsia="Arial Unicode MS" w:hint="eastAsia"/>
                <w:color w:val="333333"/>
                <w:lang w:val="ro-MD" w:eastAsia="ro-MD"/>
              </w:rPr>
              <w:t>247-384-8</w:t>
            </w:r>
          </w:p>
        </w:tc>
        <w:tc>
          <w:tcPr>
            <w:tcW w:w="2936" w:type="dxa"/>
            <w:vAlign w:val="bottom"/>
          </w:tcPr>
          <w:p w14:paraId="564198CF"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 xml:space="preserve">1. Prin derogare de la art. 4 , </w:t>
            </w:r>
            <w:proofErr w:type="spellStart"/>
            <w:r w:rsidRPr="00044C72">
              <w:rPr>
                <w:rFonts w:eastAsiaTheme="minorHAnsi" w:cstheme="minorBidi"/>
                <w:lang w:val="ro-MD" w:eastAsia="en-US"/>
              </w:rPr>
              <w:t>fară</w:t>
            </w:r>
            <w:proofErr w:type="spellEnd"/>
            <w:r w:rsidRPr="00044C72">
              <w:rPr>
                <w:rFonts w:eastAsiaTheme="minorHAnsi" w:cstheme="minorBidi"/>
                <w:lang w:val="ro-MD" w:eastAsia="en-US"/>
              </w:rPr>
              <w:t xml:space="preserve"> a aduce atingere subpunctului 9.2 în cazuri în care sunt prezente în substanțe, amestecuri sau articole se aplică </w:t>
            </w:r>
            <w:r w:rsidRPr="00044C72">
              <w:rPr>
                <w:rFonts w:eastAsiaTheme="minorHAnsi" w:cstheme="minorBidi"/>
                <w:lang w:val="ro-MD" w:eastAsia="en-US"/>
              </w:rPr>
              <w:lastRenderedPageBreak/>
              <w:t>concentrațiilor de UV-328 egale sau mai mici cu:</w:t>
            </w:r>
          </w:p>
          <w:p w14:paraId="2D902B1F"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a)  100 mg/kg ((0,01 % în greutate) aplicabilă pentru perioada cuprinsă între  data intrării în vigoare a prezentei hotărâri și 3 august 2027;</w:t>
            </w:r>
          </w:p>
          <w:p w14:paraId="0ED309A6"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b) 10 mg/kg (0,001 % în greutate) de la 4 august 2027;</w:t>
            </w:r>
          </w:p>
          <w:p w14:paraId="5125E06C"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c) 1 mg/kg (0,0001 % în greutate) de la 4 august 2029;</w:t>
            </w:r>
          </w:p>
          <w:p w14:paraId="351F7523"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1.2. Prin derogare, plasarea pe piață a UV-328 prezent în articole și utilizarea acestor articole sunt permise în următoarele scopuri:</w:t>
            </w:r>
          </w:p>
          <w:p w14:paraId="12DD9AC1"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a) în vehicule terestre cu motor, până la 4 august 2030;</w:t>
            </w:r>
          </w:p>
          <w:p w14:paraId="5A86AC30"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b) în acoperirile industriale pentru vehicule terestre, mașini inginerești, vehicule de transport feroviar și în acoperirile pentru sarcini grele pentru structuri mari din oțel, până la 4 august 2030;</w:t>
            </w:r>
          </w:p>
          <w:p w14:paraId="7B88919D"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c) în separatoare mecanice din tuburile de colectare a sângelui, până la 4 august 2030;</w:t>
            </w:r>
          </w:p>
          <w:p w14:paraId="41472E9E"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 xml:space="preserve">d) în peliculă de </w:t>
            </w:r>
            <w:proofErr w:type="spellStart"/>
            <w:r w:rsidRPr="00044C72">
              <w:rPr>
                <w:rFonts w:eastAsiaTheme="minorHAnsi" w:cstheme="minorBidi"/>
                <w:lang w:val="ro-MD" w:eastAsia="en-US"/>
              </w:rPr>
              <w:t>triacetilceluloză</w:t>
            </w:r>
            <w:proofErr w:type="spellEnd"/>
            <w:r w:rsidRPr="00044C72">
              <w:rPr>
                <w:rFonts w:eastAsiaTheme="minorHAnsi" w:cstheme="minorBidi"/>
                <w:lang w:val="ro-MD" w:eastAsia="en-US"/>
              </w:rPr>
              <w:t xml:space="preserve"> în </w:t>
            </w:r>
            <w:r w:rsidRPr="00044C72">
              <w:rPr>
                <w:rFonts w:eastAsiaTheme="minorHAnsi" w:cstheme="minorBidi"/>
                <w:lang w:val="ro-MD" w:eastAsia="en-US"/>
              </w:rPr>
              <w:lastRenderedPageBreak/>
              <w:t>polarizatoare, până la 4 august 2030;</w:t>
            </w:r>
          </w:p>
          <w:p w14:paraId="62D44388"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e) pe hârtie fotografică, până la 4 august 2030;</w:t>
            </w:r>
          </w:p>
          <w:p w14:paraId="042F93F9"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f) în aeronave civile și militare, până la 4 august 2030;</w:t>
            </w:r>
          </w:p>
          <w:p w14:paraId="304C6996"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g) în piese de schimb pentru oricare dintre următoarele:</w:t>
            </w:r>
          </w:p>
          <w:p w14:paraId="7E7B66D2"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(i) vehicule terestre cu motor;</w:t>
            </w:r>
          </w:p>
          <w:p w14:paraId="5F24837E"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(ii) mașini industriale staționare pentru utilizare în agricultură, silvicultură și construcții;</w:t>
            </w:r>
          </w:p>
          <w:p w14:paraId="16D566B2"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(iii) afișaje cu cristale lichide în instrumente de analiză, măsurare, control, monitorizare, testare, producție și inspecție, altele decât cele pentru aplicații medicale;</w:t>
            </w:r>
          </w:p>
          <w:p w14:paraId="13D1800D"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1.2.1 În cazul în care UV-328 a fost utilizat inițial în producția lor, până la sfârșitul duratei lor de viață sau la 31 decembrie 2043, oricare dintre acestea survine mai întâi;</w:t>
            </w:r>
          </w:p>
          <w:p w14:paraId="672A2DD7"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a) în piese de schimb pentru oricare dintre următoarele:</w:t>
            </w:r>
          </w:p>
          <w:p w14:paraId="582D7702"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 xml:space="preserve">(i) afișaje cu cristale lichide în dispozitivelor medicale și dispozitivelor medicale pentru diagnostic in vitro, reglementate prin Legea </w:t>
            </w:r>
            <w:r w:rsidRPr="00044C72">
              <w:rPr>
                <w:rFonts w:eastAsiaTheme="minorHAnsi" w:cstheme="minorBidi"/>
                <w:lang w:val="ro-MD" w:eastAsia="en-US"/>
              </w:rPr>
              <w:lastRenderedPageBreak/>
              <w:t>102/2017 cu privire la dispozitivele medicale;</w:t>
            </w:r>
          </w:p>
          <w:p w14:paraId="633B62C3"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(ii)</w:t>
            </w:r>
            <w:r w:rsidRPr="00044C72">
              <w:rPr>
                <w:rFonts w:asciiTheme="minorHAnsi" w:eastAsiaTheme="minorHAnsi" w:hAnsiTheme="minorHAnsi" w:cstheme="minorBidi"/>
                <w:sz w:val="22"/>
                <w:szCs w:val="22"/>
                <w:lang w:val="ro-MD" w:eastAsia="en-US"/>
              </w:rPr>
              <w:t xml:space="preserve"> </w:t>
            </w:r>
            <w:r w:rsidRPr="00044C72">
              <w:rPr>
                <w:rFonts w:eastAsiaTheme="minorHAnsi" w:cstheme="minorBidi"/>
                <w:lang w:val="ro-MD" w:eastAsia="en-US"/>
              </w:rPr>
              <w:t>afișaje cu cristale lichide în instrumente de analiză, măsurare, control, testare, producție și inspecție;</w:t>
            </w:r>
          </w:p>
          <w:p w14:paraId="7848C746"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unde UV-328 a fost utilizat inițial în producția lor, până la sfârșitul duratei lor de viață;</w:t>
            </w:r>
          </w:p>
          <w:p w14:paraId="1B11D2FA"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 xml:space="preserve">(i) în piese de schimb pentru aeronave civile și militare în care UV-328 a fost utilizat inițial în producția acestora, până la 31 </w:t>
            </w:r>
          </w:p>
          <w:p w14:paraId="15D76EC1"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decembrie 2030.</w:t>
            </w:r>
          </w:p>
          <w:p w14:paraId="04C0A2DB" w14:textId="77777777" w:rsidR="00044C72" w:rsidRPr="00044C72" w:rsidRDefault="00044C72" w:rsidP="00044C72">
            <w:pPr>
              <w:spacing w:after="160" w:line="312" w:lineRule="atLeast"/>
              <w:jc w:val="both"/>
              <w:rPr>
                <w:rFonts w:eastAsiaTheme="minorHAnsi" w:cstheme="minorBidi"/>
                <w:lang w:val="ro-MD" w:eastAsia="en-US"/>
              </w:rPr>
            </w:pPr>
            <w:r w:rsidRPr="00044C72">
              <w:rPr>
                <w:rFonts w:eastAsiaTheme="minorHAnsi" w:cstheme="minorBidi"/>
                <w:lang w:val="ro-MD" w:eastAsia="en-US"/>
              </w:rPr>
              <w:t>1.3 Articolele care conțin UV-328, aflate deja în uz înainte de sau la data expirării derogărilor prevăzute la pct. 1.2 lit. a)–i), pot fi utilizate în continuare.</w:t>
            </w:r>
          </w:p>
        </w:tc>
      </w:tr>
      <w:tr w:rsidR="00044C72" w:rsidRPr="00AA2C89" w14:paraId="6D0ADBAE" w14:textId="77777777" w:rsidTr="00067CBF">
        <w:trPr>
          <w:trHeight w:val="690"/>
        </w:trPr>
        <w:tc>
          <w:tcPr>
            <w:tcW w:w="3731" w:type="dxa"/>
          </w:tcPr>
          <w:p w14:paraId="0CD2B215" w14:textId="77777777" w:rsidR="00044C72" w:rsidRPr="00044C72" w:rsidRDefault="00044C72" w:rsidP="00044C72">
            <w:pPr>
              <w:shd w:val="clear" w:color="auto" w:fill="FFFFFF"/>
              <w:spacing w:before="60" w:beforeAutospacing="1" w:after="60" w:afterAutospacing="1" w:line="312" w:lineRule="atLeast"/>
              <w:jc w:val="both"/>
              <w:rPr>
                <w:rFonts w:eastAsia="Arial Unicode MS"/>
                <w:color w:val="333333"/>
                <w:lang w:val="ro-MD" w:eastAsia="ro-MD"/>
              </w:rPr>
            </w:pPr>
            <w:proofErr w:type="spellStart"/>
            <w:r w:rsidRPr="00044C72">
              <w:rPr>
                <w:rFonts w:eastAsia="Arial Unicode MS"/>
                <w:color w:val="333333"/>
                <w:lang w:val="ro-MD" w:eastAsia="ro-MD"/>
              </w:rPr>
              <w:lastRenderedPageBreak/>
              <w:t>Dechlorane</w:t>
            </w:r>
            <w:proofErr w:type="spellEnd"/>
            <w:r w:rsidRPr="00044C72">
              <w:rPr>
                <w:rFonts w:eastAsia="Arial Unicode MS"/>
                <w:color w:val="333333"/>
                <w:lang w:val="ro-MD" w:eastAsia="ro-MD"/>
              </w:rPr>
              <w:t xml:space="preserve"> Plus</w:t>
            </w:r>
          </w:p>
          <w:p w14:paraId="0A069398" w14:textId="77777777" w:rsidR="00044C72" w:rsidRPr="00044C72" w:rsidRDefault="00044C72" w:rsidP="00044C72">
            <w:pPr>
              <w:shd w:val="clear" w:color="auto" w:fill="FFFFFF"/>
              <w:spacing w:before="60" w:after="60" w:line="312" w:lineRule="atLeast"/>
              <w:jc w:val="both"/>
              <w:rPr>
                <w:rFonts w:eastAsia="Arial Unicode MS"/>
                <w:color w:val="333333"/>
                <w:lang w:val="ro-MD" w:eastAsia="ro-MD"/>
              </w:rPr>
            </w:pPr>
            <w:r w:rsidRPr="00044C72">
              <w:rPr>
                <w:rFonts w:eastAsia="Arial Unicode MS"/>
                <w:color w:val="333333"/>
                <w:lang w:val="ro-MD" w:eastAsia="ro-MD"/>
              </w:rPr>
              <w:t>„</w:t>
            </w:r>
            <w:proofErr w:type="spellStart"/>
            <w:r w:rsidRPr="00044C72">
              <w:rPr>
                <w:rFonts w:eastAsia="Arial Unicode MS"/>
                <w:color w:val="333333"/>
                <w:lang w:val="ro-MD" w:eastAsia="ro-MD"/>
              </w:rPr>
              <w:t>Dechlorane</w:t>
            </w:r>
            <w:proofErr w:type="spellEnd"/>
            <w:r w:rsidRPr="00044C72">
              <w:rPr>
                <w:rFonts w:eastAsia="Arial Unicode MS"/>
                <w:color w:val="333333"/>
                <w:lang w:val="ro-MD" w:eastAsia="ro-MD"/>
              </w:rPr>
              <w:t xml:space="preserve"> Plus” include izomerul său </w:t>
            </w:r>
            <w:proofErr w:type="spellStart"/>
            <w:r w:rsidRPr="00044C72">
              <w:rPr>
                <w:rFonts w:eastAsia="Arial Unicode MS"/>
                <w:color w:val="333333"/>
                <w:lang w:val="ro-MD" w:eastAsia="ro-MD"/>
              </w:rPr>
              <w:t>syn</w:t>
            </w:r>
            <w:proofErr w:type="spellEnd"/>
            <w:r w:rsidRPr="00044C72">
              <w:rPr>
                <w:rFonts w:eastAsia="Arial Unicode MS"/>
                <w:color w:val="333333"/>
                <w:lang w:val="ro-MD" w:eastAsia="ro-MD"/>
              </w:rPr>
              <w:t xml:space="preserve"> și izomerul anti</w:t>
            </w: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3958D808" w14:textId="77777777" w:rsidR="00044C72" w:rsidRPr="00044C72" w:rsidRDefault="00044C72" w:rsidP="00044C72">
            <w:pPr>
              <w:spacing w:before="60" w:after="60" w:line="312" w:lineRule="atLeast"/>
              <w:jc w:val="both"/>
              <w:rPr>
                <w:rFonts w:ascii="Arial Unicode MS" w:eastAsia="Arial Unicode MS" w:hAnsi="Arial Unicode MS" w:cs="Arial Unicode MS"/>
                <w:color w:val="333333"/>
                <w:sz w:val="21"/>
                <w:szCs w:val="21"/>
                <w:lang w:val="ro-MD" w:eastAsia="ro-MD"/>
              </w:rPr>
            </w:pPr>
            <w:r w:rsidRPr="00044C72">
              <w:rPr>
                <w:rFonts w:ascii="Arial Unicode MS" w:eastAsia="Arial Unicode MS" w:hAnsi="Arial Unicode MS" w:cs="Arial Unicode MS" w:hint="eastAsia"/>
                <w:color w:val="333333"/>
                <w:sz w:val="21"/>
                <w:szCs w:val="21"/>
                <w:lang w:val="ro-MD" w:eastAsia="ro-MD"/>
              </w:rPr>
              <w:t>13560-89-9</w:t>
            </w:r>
          </w:p>
          <w:p w14:paraId="20646C05" w14:textId="77777777" w:rsidR="00044C72" w:rsidRPr="00044C72" w:rsidRDefault="00044C72" w:rsidP="00044C72">
            <w:pPr>
              <w:spacing w:before="60" w:after="60" w:line="312" w:lineRule="atLeast"/>
              <w:jc w:val="both"/>
              <w:rPr>
                <w:rFonts w:ascii="Arial Unicode MS" w:eastAsia="Arial Unicode MS" w:hAnsi="Arial Unicode MS" w:cs="Arial Unicode MS"/>
                <w:color w:val="333333"/>
                <w:sz w:val="21"/>
                <w:szCs w:val="21"/>
                <w:lang w:val="ro-MD" w:eastAsia="ro-MD"/>
              </w:rPr>
            </w:pPr>
            <w:r w:rsidRPr="00044C72">
              <w:rPr>
                <w:rFonts w:ascii="Arial Unicode MS" w:eastAsia="Arial Unicode MS" w:hAnsi="Arial Unicode MS" w:cs="Arial Unicode MS" w:hint="eastAsia"/>
                <w:color w:val="333333"/>
                <w:sz w:val="21"/>
                <w:szCs w:val="21"/>
                <w:lang w:val="ro-MD" w:eastAsia="ro-MD"/>
              </w:rPr>
              <w:t>135821-03-3</w:t>
            </w:r>
          </w:p>
          <w:p w14:paraId="4790CFBC" w14:textId="77777777" w:rsidR="00044C72" w:rsidRPr="00044C72" w:rsidRDefault="00044C72" w:rsidP="00044C72">
            <w:pPr>
              <w:spacing w:before="60" w:after="60" w:line="276" w:lineRule="auto"/>
              <w:textAlignment w:val="baseline"/>
              <w:rPr>
                <w:rFonts w:eastAsia="Arial Unicode MS"/>
                <w:color w:val="333333"/>
                <w:lang w:val="ro-MD" w:eastAsia="ro-MD"/>
              </w:rPr>
            </w:pPr>
            <w:r w:rsidRPr="00044C72">
              <w:rPr>
                <w:rFonts w:ascii="Arial Unicode MS" w:eastAsia="Arial Unicode MS" w:hAnsi="Arial Unicode MS" w:cs="Arial Unicode MS" w:hint="eastAsia"/>
                <w:color w:val="333333"/>
                <w:sz w:val="21"/>
                <w:szCs w:val="21"/>
                <w:lang w:val="ro-MD" w:eastAsia="ro-MD"/>
              </w:rPr>
              <w:t>135821-74-8</w:t>
            </w:r>
          </w:p>
        </w:tc>
        <w:tc>
          <w:tcPr>
            <w:tcW w:w="792" w:type="dxa"/>
            <w:tcBorders>
              <w:top w:val="outset" w:sz="6" w:space="0" w:color="auto"/>
              <w:left w:val="outset" w:sz="6" w:space="0" w:color="auto"/>
              <w:bottom w:val="outset" w:sz="6" w:space="0" w:color="auto"/>
              <w:right w:val="outset" w:sz="6" w:space="0" w:color="auto"/>
            </w:tcBorders>
            <w:shd w:val="clear" w:color="auto" w:fill="FFFFFF"/>
          </w:tcPr>
          <w:p w14:paraId="197E49EC" w14:textId="77777777" w:rsidR="00044C72" w:rsidRPr="00044C72" w:rsidRDefault="00044C72" w:rsidP="00044C72">
            <w:pPr>
              <w:spacing w:before="60" w:after="60" w:line="276" w:lineRule="auto"/>
              <w:textAlignment w:val="baseline"/>
              <w:rPr>
                <w:rFonts w:eastAsia="Arial Unicode MS"/>
                <w:color w:val="333333"/>
                <w:lang w:val="ro-MD" w:eastAsia="ro-MD"/>
              </w:rPr>
            </w:pPr>
            <w:r w:rsidRPr="00044C72">
              <w:rPr>
                <w:rFonts w:ascii="Arial Unicode MS" w:eastAsia="Arial Unicode MS" w:hAnsi="Arial Unicode MS" w:cs="Arial Unicode MS" w:hint="eastAsia"/>
                <w:color w:val="333333"/>
                <w:sz w:val="21"/>
                <w:szCs w:val="21"/>
                <w:lang w:val="ro-MD" w:eastAsia="ro-MD"/>
              </w:rPr>
              <w:t>236-948-9</w:t>
            </w:r>
          </w:p>
        </w:tc>
        <w:tc>
          <w:tcPr>
            <w:tcW w:w="2936" w:type="dxa"/>
            <w:vAlign w:val="bottom"/>
          </w:tcPr>
          <w:p w14:paraId="1CE6A86C"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1. Prin derogare de la art.4 , </w:t>
            </w:r>
            <w:proofErr w:type="spellStart"/>
            <w:r w:rsidRPr="00044C72">
              <w:rPr>
                <w:rFonts w:eastAsiaTheme="minorHAnsi" w:cstheme="minorBidi"/>
                <w:lang w:val="ro-MD" w:eastAsia="en-US"/>
              </w:rPr>
              <w:t>fară</w:t>
            </w:r>
            <w:proofErr w:type="spellEnd"/>
            <w:r w:rsidRPr="00044C72">
              <w:rPr>
                <w:rFonts w:eastAsiaTheme="minorHAnsi" w:cstheme="minorBidi"/>
                <w:lang w:val="ro-MD" w:eastAsia="en-US"/>
              </w:rPr>
              <w:t xml:space="preserve"> a aduce atingere subpunctului 9.2 se aplică concentrațiilor de </w:t>
            </w:r>
            <w:proofErr w:type="spellStart"/>
            <w:r w:rsidRPr="00044C72">
              <w:rPr>
                <w:rFonts w:eastAsiaTheme="minorHAnsi" w:cstheme="minorBidi"/>
                <w:lang w:val="ro-MD" w:eastAsia="en-US"/>
              </w:rPr>
              <w:t>Decahlorane</w:t>
            </w:r>
            <w:proofErr w:type="spellEnd"/>
            <w:r w:rsidRPr="00044C72">
              <w:rPr>
                <w:rFonts w:eastAsiaTheme="minorHAnsi" w:cstheme="minorBidi"/>
                <w:lang w:val="ro-MD" w:eastAsia="en-US"/>
              </w:rPr>
              <w:t xml:space="preserve"> Plus :   </w:t>
            </w:r>
          </w:p>
          <w:p w14:paraId="57D7E7DD"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a) egale  </w:t>
            </w:r>
            <w:proofErr w:type="spellStart"/>
            <w:r w:rsidRPr="00044C72">
              <w:rPr>
                <w:rFonts w:eastAsiaTheme="minorHAnsi" w:cstheme="minorBidi"/>
                <w:lang w:val="ro-MD" w:eastAsia="en-US"/>
              </w:rPr>
              <w:t>egale</w:t>
            </w:r>
            <w:proofErr w:type="spellEnd"/>
            <w:r w:rsidRPr="00044C72">
              <w:rPr>
                <w:rFonts w:eastAsiaTheme="minorHAnsi" w:cstheme="minorBidi"/>
                <w:lang w:val="ro-MD" w:eastAsia="en-US"/>
              </w:rPr>
              <w:t xml:space="preserve"> sau mai mici de 1 000 mg/kg (0,1 % în greutate) în cazul în care sunt prezente în substanțe, amestecuri sau articole până la 15 aprilie 2028;</w:t>
            </w:r>
          </w:p>
          <w:p w14:paraId="10E6DEB5"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(b) egale sau mai mici de 1 mg/kg (0,0001 % în </w:t>
            </w:r>
            <w:r w:rsidRPr="00044C72">
              <w:rPr>
                <w:rFonts w:eastAsiaTheme="minorHAnsi" w:cstheme="minorBidi"/>
                <w:lang w:val="ro-MD" w:eastAsia="en-US"/>
              </w:rPr>
              <w:lastRenderedPageBreak/>
              <w:t>greutate) în cazul în care sunt prezente în substanțe, amestecuri sau articole după 15 aprilie 2028.</w:t>
            </w:r>
          </w:p>
          <w:p w14:paraId="03FA7BEE"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1.2. Prin derogare, introducerea pe piață și utilizarea </w:t>
            </w:r>
            <w:proofErr w:type="spellStart"/>
            <w:r w:rsidRPr="00044C72">
              <w:rPr>
                <w:rFonts w:eastAsiaTheme="minorHAnsi" w:cstheme="minorBidi"/>
                <w:lang w:val="ro-MD" w:eastAsia="en-US"/>
              </w:rPr>
              <w:t>Dechlorane</w:t>
            </w:r>
            <w:proofErr w:type="spellEnd"/>
            <w:r w:rsidRPr="00044C72">
              <w:rPr>
                <w:rFonts w:eastAsiaTheme="minorHAnsi" w:cstheme="minorBidi"/>
                <w:lang w:val="ro-MD" w:eastAsia="en-US"/>
              </w:rPr>
              <w:t xml:space="preserve"> Plus sunt permise în următoarele scopuri:</w:t>
            </w:r>
          </w:p>
          <w:p w14:paraId="3B711973"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(a) aplicații aerospațiale, spațiale și de apărare, până la 26 februarie 2030;</w:t>
            </w:r>
          </w:p>
          <w:p w14:paraId="7CEA2F42"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(b) aplicații de imagistică medicală, până la 26 februarie 2030;</w:t>
            </w:r>
          </w:p>
          <w:p w14:paraId="3F23F90D"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(c) dispozitive și instalații de radioterapie, până la 26 februarie 2030;</w:t>
            </w:r>
          </w:p>
          <w:p w14:paraId="62164E26"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(d) piese de schimb pentru următoarele și repararea acestora:</w:t>
            </w:r>
          </w:p>
          <w:p w14:paraId="0CC0ED43"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(i) vehicule terestre cu motor;</w:t>
            </w:r>
          </w:p>
          <w:p w14:paraId="605AD491"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(ii) mașini industriale staționare pentru utilizare în agricultură, silvicultură și construcții;</w:t>
            </w:r>
          </w:p>
          <w:p w14:paraId="1799A57B"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(iii) echipamente electrice marine, de grădină, forestiere și de exterior, altele decât cele menționate la punctul (ii);</w:t>
            </w:r>
          </w:p>
          <w:p w14:paraId="7C6E1B40"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(iv) aplicații aerospațiale, spațiale și de apărare;</w:t>
            </w:r>
          </w:p>
          <w:p w14:paraId="27184F9A"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(v) instrumente pentru analiză, măsurare, control, </w:t>
            </w:r>
            <w:r w:rsidRPr="00044C72">
              <w:rPr>
                <w:rFonts w:eastAsiaTheme="minorHAnsi" w:cstheme="minorBidi"/>
                <w:lang w:val="ro-MD" w:eastAsia="en-US"/>
              </w:rPr>
              <w:lastRenderedPageBreak/>
              <w:t>monitorizare, testare, producție și inspecție:</w:t>
            </w:r>
          </w:p>
          <w:p w14:paraId="65F0A843"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(ii)   dispozitive medicale pentru diagnostic in vitro și accesorii pentru dispozitive medicale pentru diagnostic in vitro care intră sub incidența Legii 102/2017 cu privire la dispozitivele medicale, unde </w:t>
            </w:r>
            <w:proofErr w:type="spellStart"/>
            <w:r w:rsidRPr="00044C72">
              <w:rPr>
                <w:rFonts w:eastAsiaTheme="minorHAnsi" w:cstheme="minorBidi"/>
                <w:lang w:val="ro-MD" w:eastAsia="en-US"/>
              </w:rPr>
              <w:t>Dechlorane</w:t>
            </w:r>
            <w:proofErr w:type="spellEnd"/>
            <w:r w:rsidRPr="00044C72">
              <w:rPr>
                <w:rFonts w:eastAsiaTheme="minorHAnsi" w:cstheme="minorBidi"/>
                <w:lang w:val="ro-MD" w:eastAsia="en-US"/>
              </w:rPr>
              <w:t xml:space="preserve"> Plus a fost utilizat inițial în producția lor, până la sfârșitul duratei lor de viață.</w:t>
            </w:r>
          </w:p>
          <w:p w14:paraId="5C73F6AB" w14:textId="77777777"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1.4. Articolele care conțin </w:t>
            </w:r>
            <w:proofErr w:type="spellStart"/>
            <w:r w:rsidRPr="00044C72">
              <w:rPr>
                <w:rFonts w:eastAsiaTheme="minorHAnsi" w:cstheme="minorBidi"/>
                <w:lang w:val="ro-MD" w:eastAsia="en-US"/>
              </w:rPr>
              <w:t>Dechlorane</w:t>
            </w:r>
            <w:proofErr w:type="spellEnd"/>
            <w:r w:rsidRPr="00044C72">
              <w:rPr>
                <w:rFonts w:eastAsiaTheme="minorHAnsi" w:cstheme="minorBidi"/>
                <w:lang w:val="ro-MD" w:eastAsia="en-US"/>
              </w:rPr>
              <w:t xml:space="preserve"> Plus, deja utilizate pe piața națională, înainte sau la data expirării derogării relevante prevăzute la punctul 1.2, literele (a)-(d), pot fi utilizate în continuare.</w:t>
            </w:r>
          </w:p>
          <w:p w14:paraId="67CAE046" w14:textId="109580CE" w:rsidR="00044C72" w:rsidRPr="00044C72" w:rsidRDefault="00044C72" w:rsidP="00044C72">
            <w:pPr>
              <w:spacing w:before="120" w:after="160" w:line="312" w:lineRule="atLeast"/>
              <w:jc w:val="both"/>
              <w:rPr>
                <w:rFonts w:eastAsiaTheme="minorHAnsi" w:cstheme="minorBidi"/>
                <w:lang w:val="ro-MD" w:eastAsia="en-US"/>
              </w:rPr>
            </w:pPr>
            <w:r w:rsidRPr="00044C72">
              <w:rPr>
                <w:rFonts w:eastAsiaTheme="minorHAnsi" w:cstheme="minorBidi"/>
                <w:lang w:val="ro-MD" w:eastAsia="en-US"/>
              </w:rPr>
              <w:t xml:space="preserve">1.5. Plasarea pe piață și utilizarea pieselor de schimb care conțin </w:t>
            </w:r>
            <w:proofErr w:type="spellStart"/>
            <w:r w:rsidRPr="00044C72">
              <w:rPr>
                <w:rFonts w:eastAsiaTheme="minorHAnsi" w:cstheme="minorBidi"/>
                <w:lang w:val="ro-MD" w:eastAsia="en-US"/>
              </w:rPr>
              <w:t>Dechlorane</w:t>
            </w:r>
            <w:proofErr w:type="spellEnd"/>
            <w:r w:rsidRPr="00044C72">
              <w:rPr>
                <w:rFonts w:eastAsiaTheme="minorHAnsi" w:cstheme="minorBidi"/>
                <w:lang w:val="ro-MD" w:eastAsia="en-US"/>
              </w:rPr>
              <w:t xml:space="preserve"> Plus destinate aplicațiilor menționate la punctul  1.2 litera (d) subpunctul  (iv) și care sunt prezente pe piața națională sunt permise până la data de  31 decembrie 2043, sunt permise,</w:t>
            </w:r>
            <w:r w:rsidRPr="00044C72">
              <w:rPr>
                <w:rFonts w:asciiTheme="minorHAnsi" w:eastAsiaTheme="minorHAnsi" w:hAnsiTheme="minorHAnsi" w:cstheme="minorBidi"/>
                <w:sz w:val="22"/>
                <w:szCs w:val="22"/>
                <w:lang w:val="ro-MD" w:eastAsia="en-US"/>
              </w:rPr>
              <w:t xml:space="preserve"> </w:t>
            </w:r>
            <w:r w:rsidRPr="00044C72">
              <w:rPr>
                <w:rFonts w:eastAsiaTheme="minorHAnsi" w:cstheme="minorBidi"/>
                <w:lang w:val="ro-MD" w:eastAsia="en-US"/>
              </w:rPr>
              <w:t>cu condiția ca acestea să fi fost fabricate înainte de expirarea derogării corespunzătoare pentru producerea articolului original.</w:t>
            </w:r>
          </w:p>
        </w:tc>
      </w:tr>
    </w:tbl>
    <w:p w14:paraId="459BD387" w14:textId="77777777" w:rsidR="003950E6" w:rsidRPr="003950E6" w:rsidRDefault="003950E6" w:rsidP="00787089">
      <w:pPr>
        <w:jc w:val="center"/>
        <w:rPr>
          <w:rFonts w:eastAsia="Arial Unicode MS"/>
          <w:b/>
          <w:lang w:val="ro-MD" w:eastAsia="ro-RO"/>
        </w:rPr>
      </w:pPr>
      <w:r w:rsidRPr="003950E6">
        <w:rPr>
          <w:rFonts w:eastAsia="Arial Unicode MS"/>
          <w:b/>
          <w:iCs/>
          <w:lang w:val="ro-MD" w:eastAsia="ro-RO"/>
        </w:rPr>
        <w:lastRenderedPageBreak/>
        <w:t>Partea B – Substanțe enumerate doar în Protocolul</w:t>
      </w:r>
      <w:r w:rsidRPr="003950E6">
        <w:rPr>
          <w:rFonts w:eastAsia="Arial Unicode MS"/>
          <w:b/>
          <w:lang w:val="ro-MD" w:eastAsia="ro-RO"/>
        </w:rPr>
        <w:t xml:space="preserve"> la Convenția din 1979 </w:t>
      </w:r>
    </w:p>
    <w:p w14:paraId="060EB7C4" w14:textId="77777777" w:rsidR="003950E6" w:rsidRPr="003950E6" w:rsidRDefault="003950E6" w:rsidP="003950E6">
      <w:pPr>
        <w:jc w:val="center"/>
        <w:rPr>
          <w:rFonts w:eastAsia="Arial Unicode MS"/>
          <w:b/>
          <w:lang w:val="ro-MD" w:eastAsia="ro-RO"/>
        </w:rPr>
      </w:pPr>
      <w:r w:rsidRPr="003950E6">
        <w:rPr>
          <w:rFonts w:eastAsia="Arial Unicode MS"/>
          <w:b/>
          <w:lang w:val="ro-MD" w:eastAsia="ro-RO"/>
        </w:rPr>
        <w:t>privind poluarea atmosferică transfrontalieră pe distanțe lungi</w:t>
      </w:r>
    </w:p>
    <w:tbl>
      <w:tblPr>
        <w:tblStyle w:val="Tabelgril"/>
        <w:tblW w:w="9175" w:type="dxa"/>
        <w:tblLook w:val="04A0" w:firstRow="1" w:lastRow="0" w:firstColumn="1" w:lastColumn="0" w:noHBand="0" w:noVBand="1"/>
      </w:tblPr>
      <w:tblGrid>
        <w:gridCol w:w="2900"/>
        <w:gridCol w:w="1528"/>
        <w:gridCol w:w="1380"/>
        <w:gridCol w:w="3367"/>
      </w:tblGrid>
      <w:tr w:rsidR="00044C72" w:rsidRPr="00AA2C89" w14:paraId="6304C90C" w14:textId="77777777" w:rsidTr="00067CBF">
        <w:trPr>
          <w:trHeight w:val="1970"/>
        </w:trPr>
        <w:tc>
          <w:tcPr>
            <w:tcW w:w="2900" w:type="dxa"/>
          </w:tcPr>
          <w:p w14:paraId="4BB469E9" w14:textId="77777777" w:rsidR="00044C72" w:rsidRPr="00044C72" w:rsidRDefault="00044C72" w:rsidP="00044C72">
            <w:pPr>
              <w:spacing w:before="200" w:after="100" w:line="276" w:lineRule="auto"/>
              <w:jc w:val="center"/>
              <w:rPr>
                <w:rFonts w:eastAsia="Arial Unicode MS"/>
                <w:iCs/>
                <w:lang w:val="en-US" w:eastAsia="ro-RO"/>
              </w:rPr>
            </w:pPr>
            <w:proofErr w:type="spellStart"/>
            <w:r w:rsidRPr="00044C72">
              <w:rPr>
                <w:rFonts w:eastAsia="Arial Unicode MS"/>
                <w:iCs/>
                <w:lang w:val="en-US" w:eastAsia="ro-RO"/>
              </w:rPr>
              <w:lastRenderedPageBreak/>
              <w:t>Substanță</w:t>
            </w:r>
            <w:proofErr w:type="spellEnd"/>
          </w:p>
        </w:tc>
        <w:tc>
          <w:tcPr>
            <w:tcW w:w="1528" w:type="dxa"/>
          </w:tcPr>
          <w:p w14:paraId="634FFA7E" w14:textId="77777777" w:rsidR="00044C72" w:rsidRPr="00044C72" w:rsidRDefault="00044C72" w:rsidP="00044C72">
            <w:pPr>
              <w:spacing w:before="200" w:after="100" w:line="276" w:lineRule="auto"/>
              <w:jc w:val="center"/>
              <w:rPr>
                <w:rFonts w:eastAsia="Arial Unicode MS"/>
                <w:iCs/>
                <w:lang w:val="en-US" w:eastAsia="ro-RO"/>
              </w:rPr>
            </w:pPr>
            <w:r w:rsidRPr="00044C72">
              <w:rPr>
                <w:rFonts w:eastAsia="Arial Unicode MS"/>
                <w:iCs/>
                <w:lang w:val="en-US" w:eastAsia="ro-RO"/>
              </w:rPr>
              <w:t>Nr. CAS</w:t>
            </w:r>
          </w:p>
        </w:tc>
        <w:tc>
          <w:tcPr>
            <w:tcW w:w="1380" w:type="dxa"/>
          </w:tcPr>
          <w:p w14:paraId="0E498E5D" w14:textId="77777777" w:rsidR="00044C72" w:rsidRPr="00044C72" w:rsidRDefault="00044C72" w:rsidP="00044C72">
            <w:pPr>
              <w:spacing w:before="200" w:after="100" w:line="276" w:lineRule="auto"/>
              <w:jc w:val="center"/>
              <w:rPr>
                <w:rFonts w:eastAsia="Arial Unicode MS"/>
                <w:iCs/>
                <w:lang w:val="en-US" w:eastAsia="ro-RO"/>
              </w:rPr>
            </w:pPr>
            <w:r w:rsidRPr="00044C72">
              <w:rPr>
                <w:rFonts w:eastAsia="Arial Unicode MS"/>
                <w:iCs/>
                <w:lang w:val="en-US" w:eastAsia="ro-RO"/>
              </w:rPr>
              <w:t>Nr. CE</w:t>
            </w:r>
          </w:p>
        </w:tc>
        <w:tc>
          <w:tcPr>
            <w:tcW w:w="3367" w:type="dxa"/>
          </w:tcPr>
          <w:p w14:paraId="36E7506A" w14:textId="77777777" w:rsidR="00044C72" w:rsidRPr="00044C72" w:rsidRDefault="00044C72" w:rsidP="00044C72">
            <w:pPr>
              <w:spacing w:before="200" w:after="100" w:line="276" w:lineRule="auto"/>
              <w:ind w:right="1606"/>
              <w:jc w:val="center"/>
              <w:rPr>
                <w:rFonts w:eastAsia="Arial Unicode MS"/>
                <w:iCs/>
                <w:lang w:val="it-IT" w:eastAsia="ro-RO"/>
              </w:rPr>
            </w:pPr>
            <w:r w:rsidRPr="00044C72">
              <w:rPr>
                <w:rFonts w:eastAsia="Arial Unicode MS"/>
                <w:iCs/>
                <w:lang w:val="it-IT" w:eastAsia="ro-RO"/>
              </w:rPr>
              <w:t>Derogare specifică privind utilizarea intermediară sau alte specificații</w:t>
            </w:r>
          </w:p>
        </w:tc>
      </w:tr>
      <w:tr w:rsidR="00044C72" w:rsidRPr="00AA2C89" w14:paraId="1AC8FF85" w14:textId="77777777" w:rsidTr="00067CBF">
        <w:trPr>
          <w:trHeight w:val="332"/>
        </w:trPr>
        <w:tc>
          <w:tcPr>
            <w:tcW w:w="2900" w:type="dxa"/>
          </w:tcPr>
          <w:p w14:paraId="49A1C9B2" w14:textId="77777777" w:rsidR="00044C72" w:rsidRPr="00044C72" w:rsidRDefault="00044C72" w:rsidP="00044C72">
            <w:pPr>
              <w:spacing w:after="160" w:line="276" w:lineRule="auto"/>
              <w:rPr>
                <w:rFonts w:eastAsiaTheme="minorHAnsi"/>
                <w:lang w:val="it-IT" w:eastAsia="en-US"/>
              </w:rPr>
            </w:pPr>
          </w:p>
        </w:tc>
        <w:tc>
          <w:tcPr>
            <w:tcW w:w="1528" w:type="dxa"/>
          </w:tcPr>
          <w:p w14:paraId="5EC38090" w14:textId="77777777" w:rsidR="00044C72" w:rsidRPr="00044C72" w:rsidRDefault="00044C72" w:rsidP="00044C72">
            <w:pPr>
              <w:spacing w:after="160" w:line="276" w:lineRule="auto"/>
              <w:rPr>
                <w:rFonts w:eastAsiaTheme="minorHAnsi"/>
                <w:bCs/>
                <w:lang w:val="it-IT" w:eastAsia="en-US"/>
              </w:rPr>
            </w:pPr>
          </w:p>
        </w:tc>
        <w:tc>
          <w:tcPr>
            <w:tcW w:w="1380" w:type="dxa"/>
          </w:tcPr>
          <w:p w14:paraId="0D27F86C" w14:textId="77777777" w:rsidR="00044C72" w:rsidRPr="00044C72" w:rsidRDefault="00044C72" w:rsidP="00044C72">
            <w:pPr>
              <w:spacing w:after="160" w:line="276" w:lineRule="auto"/>
              <w:rPr>
                <w:rFonts w:eastAsiaTheme="minorHAnsi"/>
                <w:bCs/>
                <w:lang w:val="it-IT" w:eastAsia="en-US"/>
              </w:rPr>
            </w:pPr>
          </w:p>
        </w:tc>
        <w:tc>
          <w:tcPr>
            <w:tcW w:w="3367" w:type="dxa"/>
          </w:tcPr>
          <w:p w14:paraId="5171EE1F" w14:textId="77777777" w:rsidR="00044C72" w:rsidRPr="00044C72" w:rsidRDefault="00044C72" w:rsidP="00044C72">
            <w:pPr>
              <w:spacing w:before="200" w:after="100" w:line="276" w:lineRule="auto"/>
              <w:jc w:val="center"/>
              <w:rPr>
                <w:rFonts w:eastAsia="Arial Unicode MS"/>
                <w:b/>
                <w:iCs/>
                <w:lang w:val="it-IT" w:eastAsia="ro-RO"/>
              </w:rPr>
            </w:pPr>
          </w:p>
        </w:tc>
      </w:tr>
      <w:tr w:rsidR="00044C72" w:rsidRPr="00AA2C89" w14:paraId="3E9B29F1" w14:textId="77777777" w:rsidTr="00067CBF">
        <w:trPr>
          <w:trHeight w:val="152"/>
        </w:trPr>
        <w:tc>
          <w:tcPr>
            <w:tcW w:w="2900" w:type="dxa"/>
          </w:tcPr>
          <w:p w14:paraId="2BFF4624" w14:textId="77777777" w:rsidR="00044C72" w:rsidRPr="00044C72" w:rsidRDefault="00044C72" w:rsidP="00044C72">
            <w:pPr>
              <w:spacing w:after="160" w:line="276" w:lineRule="auto"/>
              <w:rPr>
                <w:rFonts w:eastAsiaTheme="minorHAnsi"/>
                <w:lang w:val="it-IT" w:eastAsia="en-US"/>
              </w:rPr>
            </w:pPr>
          </w:p>
        </w:tc>
        <w:tc>
          <w:tcPr>
            <w:tcW w:w="1528" w:type="dxa"/>
          </w:tcPr>
          <w:p w14:paraId="7B32AF16" w14:textId="77777777" w:rsidR="00044C72" w:rsidRPr="00044C72" w:rsidRDefault="00044C72" w:rsidP="00044C72">
            <w:pPr>
              <w:spacing w:after="160" w:line="276" w:lineRule="auto"/>
              <w:rPr>
                <w:rFonts w:eastAsiaTheme="minorHAnsi"/>
                <w:bCs/>
                <w:lang w:val="it-IT" w:eastAsia="en-US"/>
              </w:rPr>
            </w:pPr>
          </w:p>
        </w:tc>
        <w:tc>
          <w:tcPr>
            <w:tcW w:w="1380" w:type="dxa"/>
          </w:tcPr>
          <w:p w14:paraId="6273E14A" w14:textId="77777777" w:rsidR="00044C72" w:rsidRPr="00044C72" w:rsidRDefault="00044C72" w:rsidP="00044C72">
            <w:pPr>
              <w:spacing w:after="160" w:line="276" w:lineRule="auto"/>
              <w:rPr>
                <w:rFonts w:eastAsiaTheme="minorHAnsi"/>
                <w:bCs/>
                <w:lang w:val="it-IT" w:eastAsia="en-US"/>
              </w:rPr>
            </w:pPr>
          </w:p>
        </w:tc>
        <w:tc>
          <w:tcPr>
            <w:tcW w:w="3367" w:type="dxa"/>
          </w:tcPr>
          <w:p w14:paraId="1296CF4B" w14:textId="77777777" w:rsidR="00044C72" w:rsidRPr="00044C72" w:rsidRDefault="00044C72" w:rsidP="00044C72">
            <w:pPr>
              <w:spacing w:before="200" w:after="100" w:line="276" w:lineRule="auto"/>
              <w:jc w:val="center"/>
              <w:rPr>
                <w:rFonts w:eastAsia="Arial Unicode MS"/>
                <w:b/>
                <w:iCs/>
                <w:lang w:val="it-IT" w:eastAsia="ro-RO"/>
              </w:rPr>
            </w:pPr>
          </w:p>
        </w:tc>
      </w:tr>
    </w:tbl>
    <w:p w14:paraId="2461F429" w14:textId="3465C790" w:rsidR="00945C79" w:rsidRPr="00156A80" w:rsidRDefault="00CF67DA" w:rsidP="00CF67DA">
      <w:pPr>
        <w:spacing w:after="100" w:line="276" w:lineRule="auto"/>
        <w:jc w:val="both"/>
        <w:rPr>
          <w:color w:val="000000" w:themeColor="text1"/>
          <w:sz w:val="26"/>
          <w:szCs w:val="26"/>
          <w:shd w:val="clear" w:color="auto" w:fill="FFFFFF"/>
          <w:lang w:val="it-IT"/>
        </w:rPr>
      </w:pPr>
      <w:r w:rsidRPr="00156A80">
        <w:rPr>
          <w:color w:val="000000" w:themeColor="text1"/>
          <w:sz w:val="26"/>
          <w:szCs w:val="26"/>
          <w:shd w:val="clear" w:color="auto" w:fill="FFFFFF"/>
          <w:lang w:val="it-IT"/>
        </w:rPr>
        <w:t>“</w:t>
      </w:r>
    </w:p>
    <w:p w14:paraId="5F47812C" w14:textId="6EDED77B" w:rsidR="00E15A16" w:rsidRDefault="001D5BF6" w:rsidP="006B760E">
      <w:pPr>
        <w:pStyle w:val="Frspaiere"/>
        <w:jc w:val="both"/>
        <w:rPr>
          <w:rFonts w:ascii="Times New Roman" w:hAnsi="Times New Roman" w:cs="Times New Roman"/>
          <w:sz w:val="26"/>
          <w:szCs w:val="26"/>
          <w:lang w:val="ro-MD"/>
        </w:rPr>
      </w:pPr>
      <w:r w:rsidRPr="003D7538">
        <w:rPr>
          <w:rFonts w:ascii="Times New Roman" w:hAnsi="Times New Roman" w:cs="Times New Roman"/>
          <w:sz w:val="26"/>
          <w:szCs w:val="26"/>
          <w:lang w:val="ro-MD"/>
        </w:rPr>
        <w:t>1.</w:t>
      </w:r>
      <w:r w:rsidR="003D7538" w:rsidRPr="003D7538">
        <w:rPr>
          <w:rFonts w:ascii="Times New Roman" w:hAnsi="Times New Roman" w:cs="Times New Roman"/>
          <w:sz w:val="26"/>
          <w:szCs w:val="26"/>
          <w:lang w:val="ro-MD"/>
        </w:rPr>
        <w:t>1</w:t>
      </w:r>
      <w:r w:rsidRPr="003D7538">
        <w:rPr>
          <w:rFonts w:ascii="Times New Roman" w:hAnsi="Times New Roman" w:cs="Times New Roman"/>
          <w:sz w:val="26"/>
          <w:szCs w:val="26"/>
          <w:lang w:val="ro-MD"/>
        </w:rPr>
        <w:t>.</w:t>
      </w:r>
      <w:r w:rsidR="003D7538" w:rsidRPr="003D7538">
        <w:rPr>
          <w:rFonts w:ascii="Times New Roman" w:hAnsi="Times New Roman" w:cs="Times New Roman"/>
          <w:sz w:val="26"/>
          <w:szCs w:val="26"/>
          <w:lang w:val="ro-MD"/>
        </w:rPr>
        <w:t>5</w:t>
      </w:r>
      <w:r w:rsidR="00B22063" w:rsidRPr="003D7538">
        <w:rPr>
          <w:rFonts w:ascii="Times New Roman" w:hAnsi="Times New Roman" w:cs="Times New Roman"/>
          <w:sz w:val="26"/>
          <w:szCs w:val="26"/>
          <w:lang w:val="ro-MD"/>
        </w:rPr>
        <w:t xml:space="preserve"> </w:t>
      </w:r>
      <w:r w:rsidR="00B1207F" w:rsidRPr="003D7538">
        <w:rPr>
          <w:rFonts w:ascii="Times New Roman" w:hAnsi="Times New Roman" w:cs="Times New Roman"/>
          <w:sz w:val="26"/>
          <w:szCs w:val="26"/>
          <w:lang w:val="ro-MD"/>
        </w:rPr>
        <w:t xml:space="preserve">În Anexa nr. </w:t>
      </w:r>
      <w:r w:rsidR="000A0D1D" w:rsidRPr="003D7538">
        <w:rPr>
          <w:rFonts w:ascii="Times New Roman" w:hAnsi="Times New Roman" w:cs="Times New Roman"/>
          <w:sz w:val="26"/>
          <w:szCs w:val="26"/>
          <w:lang w:val="ro-MD"/>
        </w:rPr>
        <w:t>IV</w:t>
      </w:r>
      <w:r w:rsidR="00CF67DA" w:rsidRPr="003D7538">
        <w:rPr>
          <w:rFonts w:ascii="Times New Roman" w:hAnsi="Times New Roman" w:cs="Times New Roman"/>
          <w:sz w:val="26"/>
          <w:szCs w:val="26"/>
          <w:lang w:val="ro-MD"/>
        </w:rPr>
        <w:t xml:space="preserve"> </w:t>
      </w:r>
      <w:r w:rsidR="003D7538" w:rsidRPr="003D7538">
        <w:rPr>
          <w:rFonts w:ascii="Times New Roman" w:hAnsi="Times New Roman" w:cs="Times New Roman"/>
          <w:b/>
          <w:bCs/>
          <w:sz w:val="26"/>
          <w:szCs w:val="26"/>
          <w:lang w:val="ro-MD"/>
        </w:rPr>
        <w:t>LISTA substanțelor care fac obiectul dispozițiilor privind gestionarea deșeurilor stabilite la capitolul V</w:t>
      </w:r>
      <w:r w:rsidR="006B760E">
        <w:rPr>
          <w:rFonts w:ascii="Times New Roman" w:hAnsi="Times New Roman" w:cs="Times New Roman"/>
          <w:b/>
          <w:bCs/>
          <w:sz w:val="26"/>
          <w:szCs w:val="26"/>
          <w:lang w:val="ro-MD"/>
        </w:rPr>
        <w:t xml:space="preserve">, </w:t>
      </w:r>
      <w:r w:rsidR="00CF67DA" w:rsidRPr="003D7538">
        <w:rPr>
          <w:rFonts w:ascii="Times New Roman" w:hAnsi="Times New Roman" w:cs="Times New Roman"/>
          <w:sz w:val="26"/>
          <w:szCs w:val="26"/>
          <w:lang w:val="ro-MD"/>
        </w:rPr>
        <w:t xml:space="preserve">pozițiile referitoare la substanțele </w:t>
      </w:r>
      <w:proofErr w:type="spellStart"/>
      <w:r w:rsidR="00CF67DA" w:rsidRPr="003D7538">
        <w:rPr>
          <w:rFonts w:ascii="Times New Roman" w:hAnsi="Times New Roman" w:cs="Times New Roman"/>
          <w:sz w:val="26"/>
          <w:szCs w:val="26"/>
          <w:lang w:val="ro-MD"/>
        </w:rPr>
        <w:t>Tetrabromodifenileter</w:t>
      </w:r>
      <w:proofErr w:type="spellEnd"/>
      <w:r w:rsidR="00CF67DA" w:rsidRPr="003D7538">
        <w:rPr>
          <w:rFonts w:ascii="Times New Roman" w:hAnsi="Times New Roman" w:cs="Times New Roman"/>
          <w:sz w:val="26"/>
          <w:szCs w:val="26"/>
          <w:lang w:val="ro-MD"/>
        </w:rPr>
        <w:t xml:space="preserve">, </w:t>
      </w:r>
      <w:proofErr w:type="spellStart"/>
      <w:r w:rsidR="00CF67DA" w:rsidRPr="003D7538">
        <w:rPr>
          <w:rFonts w:ascii="Times New Roman" w:hAnsi="Times New Roman" w:cs="Times New Roman"/>
          <w:sz w:val="26"/>
          <w:szCs w:val="26"/>
          <w:lang w:val="ro-MD"/>
        </w:rPr>
        <w:t>Pentabromodifenileter</w:t>
      </w:r>
      <w:proofErr w:type="spellEnd"/>
      <w:r w:rsidR="00CF67DA" w:rsidRPr="003D7538">
        <w:rPr>
          <w:rFonts w:ascii="Times New Roman" w:hAnsi="Times New Roman" w:cs="Times New Roman"/>
          <w:sz w:val="26"/>
          <w:szCs w:val="26"/>
          <w:lang w:val="ro-MD"/>
        </w:rPr>
        <w:t xml:space="preserve">, </w:t>
      </w:r>
      <w:proofErr w:type="spellStart"/>
      <w:r w:rsidR="00CF67DA" w:rsidRPr="003D7538">
        <w:rPr>
          <w:rFonts w:ascii="Times New Roman" w:hAnsi="Times New Roman" w:cs="Times New Roman"/>
          <w:sz w:val="26"/>
          <w:szCs w:val="26"/>
          <w:lang w:val="ro-MD"/>
        </w:rPr>
        <w:t>Hexabromodifenileter</w:t>
      </w:r>
      <w:proofErr w:type="spellEnd"/>
      <w:r w:rsidR="00CF67DA" w:rsidRPr="003D7538">
        <w:rPr>
          <w:rFonts w:ascii="Times New Roman" w:hAnsi="Times New Roman" w:cs="Times New Roman"/>
          <w:sz w:val="26"/>
          <w:szCs w:val="26"/>
          <w:lang w:val="ro-MD"/>
        </w:rPr>
        <w:t>,</w:t>
      </w:r>
      <w:r w:rsidR="003D7538">
        <w:rPr>
          <w:rFonts w:ascii="Times New Roman" w:hAnsi="Times New Roman" w:cs="Times New Roman"/>
          <w:sz w:val="26"/>
          <w:szCs w:val="26"/>
          <w:lang w:val="ro-MD"/>
        </w:rPr>
        <w:t xml:space="preserve"> </w:t>
      </w:r>
      <w:proofErr w:type="spellStart"/>
      <w:r w:rsidR="00CF67DA" w:rsidRPr="003D7538">
        <w:rPr>
          <w:rFonts w:ascii="Times New Roman" w:hAnsi="Times New Roman" w:cs="Times New Roman"/>
          <w:sz w:val="26"/>
          <w:szCs w:val="26"/>
          <w:lang w:val="ro-MD"/>
        </w:rPr>
        <w:t>Heptabromodifenileter</w:t>
      </w:r>
      <w:proofErr w:type="spellEnd"/>
      <w:r w:rsidR="00CF67DA" w:rsidRPr="003D7538">
        <w:rPr>
          <w:rFonts w:ascii="Times New Roman" w:hAnsi="Times New Roman" w:cs="Times New Roman"/>
          <w:sz w:val="26"/>
          <w:szCs w:val="26"/>
          <w:lang w:val="ro-MD"/>
        </w:rPr>
        <w:t xml:space="preserve"> și Bis</w:t>
      </w:r>
      <w:r w:rsidR="003D7538">
        <w:rPr>
          <w:rFonts w:ascii="Times New Roman" w:hAnsi="Times New Roman" w:cs="Times New Roman"/>
          <w:sz w:val="26"/>
          <w:szCs w:val="26"/>
          <w:lang w:val="ro-MD"/>
        </w:rPr>
        <w:t xml:space="preserve"> </w:t>
      </w:r>
      <w:r w:rsidR="00CF67DA" w:rsidRPr="003D7538">
        <w:rPr>
          <w:rFonts w:ascii="Times New Roman" w:hAnsi="Times New Roman" w:cs="Times New Roman"/>
          <w:sz w:val="26"/>
          <w:szCs w:val="26"/>
          <w:lang w:val="ro-MD"/>
        </w:rPr>
        <w:t>(</w:t>
      </w:r>
      <w:proofErr w:type="spellStart"/>
      <w:r w:rsidR="00CF67DA" w:rsidRPr="003D7538">
        <w:rPr>
          <w:rFonts w:ascii="Times New Roman" w:hAnsi="Times New Roman" w:cs="Times New Roman"/>
          <w:sz w:val="26"/>
          <w:szCs w:val="26"/>
          <w:lang w:val="ro-MD"/>
        </w:rPr>
        <w:t>pentabromfenil</w:t>
      </w:r>
      <w:proofErr w:type="spellEnd"/>
      <w:r w:rsidR="00CF67DA" w:rsidRPr="003D7538">
        <w:rPr>
          <w:rFonts w:ascii="Times New Roman" w:hAnsi="Times New Roman" w:cs="Times New Roman"/>
          <w:sz w:val="26"/>
          <w:szCs w:val="26"/>
          <w:lang w:val="ro-MD"/>
        </w:rPr>
        <w:t>) eter vor avea următorul cuprins:</w:t>
      </w:r>
    </w:p>
    <w:p w14:paraId="7D61C4D2" w14:textId="1A12C1A0" w:rsidR="006B760E" w:rsidRPr="006B760E" w:rsidRDefault="006B760E" w:rsidP="006B760E">
      <w:pPr>
        <w:pStyle w:val="Frspaiere"/>
        <w:jc w:val="both"/>
        <w:rPr>
          <w:rFonts w:ascii="Times New Roman" w:hAnsi="Times New Roman" w:cs="Times New Roman"/>
          <w:sz w:val="26"/>
          <w:szCs w:val="26"/>
          <w:lang w:val="ro-MD"/>
        </w:rPr>
      </w:pPr>
      <w:r>
        <w:rPr>
          <w:rFonts w:ascii="Times New Roman" w:hAnsi="Times New Roman" w:cs="Times New Roman"/>
          <w:sz w:val="26"/>
          <w:szCs w:val="26"/>
          <w:lang w:val="ro-MD"/>
        </w:rPr>
        <w:t>,,</w:t>
      </w:r>
    </w:p>
    <w:tbl>
      <w:tblPr>
        <w:tblStyle w:val="Tabelgril"/>
        <w:tblW w:w="9337" w:type="dxa"/>
        <w:tblInd w:w="108" w:type="dxa"/>
        <w:tblLook w:val="04A0" w:firstRow="1" w:lastRow="0" w:firstColumn="1" w:lastColumn="0" w:noHBand="0" w:noVBand="1"/>
      </w:tblPr>
      <w:tblGrid>
        <w:gridCol w:w="2615"/>
        <w:gridCol w:w="2242"/>
        <w:gridCol w:w="2207"/>
        <w:gridCol w:w="2273"/>
      </w:tblGrid>
      <w:tr w:rsidR="00B1207F" w:rsidRPr="00AA2C89" w14:paraId="475341C1" w14:textId="77777777" w:rsidTr="00C563AE">
        <w:tc>
          <w:tcPr>
            <w:tcW w:w="2615" w:type="dxa"/>
          </w:tcPr>
          <w:p w14:paraId="695F5AE2" w14:textId="77777777" w:rsidR="00B1207F" w:rsidRPr="00B1207F" w:rsidRDefault="00B1207F" w:rsidP="00B1207F">
            <w:pPr>
              <w:spacing w:before="200" w:after="100" w:line="276" w:lineRule="auto"/>
              <w:rPr>
                <w:rFonts w:eastAsia="Arial Unicode MS"/>
                <w:b/>
                <w:iCs/>
                <w:sz w:val="22"/>
                <w:szCs w:val="22"/>
                <w:lang w:val="en-US" w:eastAsia="ro-RO"/>
              </w:rPr>
            </w:pPr>
            <w:proofErr w:type="spellStart"/>
            <w:r w:rsidRPr="00B1207F">
              <w:rPr>
                <w:rFonts w:eastAsia="Calibri"/>
                <w:sz w:val="22"/>
                <w:szCs w:val="22"/>
                <w:lang w:val="en-US" w:eastAsia="en-US"/>
              </w:rPr>
              <w:t>Tetrabromodifenileter</w:t>
            </w:r>
            <w:proofErr w:type="spellEnd"/>
            <w:r w:rsidRPr="00B1207F">
              <w:rPr>
                <w:rFonts w:eastAsia="Calibri"/>
                <w:sz w:val="22"/>
                <w:szCs w:val="22"/>
                <w:lang w:val="en-US" w:eastAsia="en-US"/>
              </w:rPr>
              <w:t xml:space="preserve"> C12H6Br4O</w:t>
            </w:r>
          </w:p>
        </w:tc>
        <w:tc>
          <w:tcPr>
            <w:tcW w:w="2242" w:type="dxa"/>
          </w:tcPr>
          <w:p w14:paraId="0A2E8226" w14:textId="77777777" w:rsidR="00B1207F" w:rsidRPr="00B1207F" w:rsidRDefault="00B1207F" w:rsidP="00B1207F">
            <w:pPr>
              <w:spacing w:before="200" w:after="100"/>
              <w:jc w:val="center"/>
              <w:rPr>
                <w:rFonts w:eastAsia="Arial Unicode MS"/>
                <w:bCs/>
                <w:iCs/>
                <w:sz w:val="22"/>
                <w:szCs w:val="22"/>
                <w:lang w:val="en-US" w:eastAsia="ro-RO"/>
              </w:rPr>
            </w:pPr>
            <w:r w:rsidRPr="00B1207F">
              <w:rPr>
                <w:rFonts w:eastAsia="Arial Unicode MS"/>
                <w:bCs/>
                <w:iCs/>
                <w:sz w:val="22"/>
                <w:szCs w:val="22"/>
                <w:lang w:val="en-US" w:eastAsia="ro-RO"/>
              </w:rPr>
              <w:t xml:space="preserve">40088-47-9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p w14:paraId="354395EA" w14:textId="77777777" w:rsidR="00B1207F" w:rsidRPr="00B1207F" w:rsidRDefault="00B1207F" w:rsidP="00B1207F">
            <w:pPr>
              <w:spacing w:before="200" w:after="100" w:line="276" w:lineRule="auto"/>
              <w:jc w:val="center"/>
              <w:rPr>
                <w:rFonts w:eastAsia="Arial Unicode MS"/>
                <w:bCs/>
                <w:iCs/>
                <w:sz w:val="22"/>
                <w:szCs w:val="22"/>
                <w:lang w:val="en-US" w:eastAsia="ro-RO"/>
              </w:rPr>
            </w:pPr>
          </w:p>
        </w:tc>
        <w:tc>
          <w:tcPr>
            <w:tcW w:w="2207" w:type="dxa"/>
          </w:tcPr>
          <w:p w14:paraId="7CDB0EFE" w14:textId="77777777" w:rsidR="00B1207F" w:rsidRPr="00B1207F" w:rsidRDefault="00B1207F" w:rsidP="00B1207F">
            <w:pPr>
              <w:spacing w:before="200" w:after="100"/>
              <w:jc w:val="center"/>
              <w:rPr>
                <w:rFonts w:eastAsia="Arial Unicode MS"/>
                <w:bCs/>
                <w:iCs/>
                <w:sz w:val="22"/>
                <w:szCs w:val="22"/>
                <w:lang w:val="en-US" w:eastAsia="ro-RO"/>
              </w:rPr>
            </w:pPr>
            <w:r w:rsidRPr="00B1207F">
              <w:rPr>
                <w:rFonts w:eastAsia="Arial Unicode MS"/>
                <w:bCs/>
                <w:iCs/>
                <w:sz w:val="22"/>
                <w:szCs w:val="22"/>
                <w:lang w:val="en-US" w:eastAsia="ro-RO"/>
              </w:rPr>
              <w:t xml:space="preserve">254-787-2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p w14:paraId="7ADB1012" w14:textId="77777777" w:rsidR="00B1207F" w:rsidRPr="00B1207F" w:rsidRDefault="00B1207F" w:rsidP="00B1207F">
            <w:pPr>
              <w:spacing w:before="200" w:after="100" w:line="276" w:lineRule="auto"/>
              <w:jc w:val="center"/>
              <w:rPr>
                <w:rFonts w:eastAsia="Arial Unicode MS"/>
                <w:bCs/>
                <w:iCs/>
                <w:sz w:val="22"/>
                <w:szCs w:val="22"/>
                <w:lang w:val="en-US" w:eastAsia="ro-RO"/>
              </w:rPr>
            </w:pPr>
          </w:p>
        </w:tc>
        <w:tc>
          <w:tcPr>
            <w:tcW w:w="2273" w:type="dxa"/>
            <w:vMerge w:val="restart"/>
          </w:tcPr>
          <w:p w14:paraId="41046EA9" w14:textId="77777777" w:rsidR="00B1207F" w:rsidRPr="00B1207F" w:rsidRDefault="00B1207F" w:rsidP="00B1207F">
            <w:pPr>
              <w:spacing w:after="100"/>
              <w:jc w:val="center"/>
              <w:rPr>
                <w:rFonts w:eastAsia="Arial Unicode MS"/>
                <w:bCs/>
                <w:iCs/>
                <w:sz w:val="22"/>
                <w:szCs w:val="22"/>
                <w:lang w:val="pt-BR" w:eastAsia="ro-RO"/>
              </w:rPr>
            </w:pPr>
          </w:p>
          <w:p w14:paraId="6216276E" w14:textId="77777777" w:rsidR="00B1207F" w:rsidRPr="00B1207F" w:rsidRDefault="00B1207F" w:rsidP="00C82B59">
            <w:pPr>
              <w:spacing w:after="100"/>
              <w:rPr>
                <w:rFonts w:eastAsia="Arial Unicode MS"/>
                <w:bCs/>
                <w:iCs/>
                <w:sz w:val="22"/>
                <w:szCs w:val="22"/>
                <w:lang w:val="pt-BR" w:eastAsia="ro-RO"/>
              </w:rPr>
            </w:pPr>
            <w:r w:rsidRPr="00B1207F">
              <w:rPr>
                <w:rFonts w:eastAsia="Arial Unicode MS"/>
                <w:bCs/>
                <w:iCs/>
                <w:sz w:val="22"/>
                <w:szCs w:val="22"/>
                <w:lang w:val="pt-BR" w:eastAsia="ro-RO"/>
              </w:rPr>
              <w:t xml:space="preserve">Suma concentrațiilor de </w:t>
            </w:r>
            <w:r w:rsidRPr="00B1207F">
              <w:rPr>
                <w:rFonts w:eastAsia="Arial Unicode MS" w:hint="eastAsia"/>
                <w:bCs/>
                <w:iCs/>
                <w:sz w:val="22"/>
                <w:szCs w:val="22"/>
                <w:lang w:val="pt-BR" w:eastAsia="ro-RO"/>
              </w:rPr>
              <w:t>tetra-, penta-, hexa-, hepta- și decaBDE</w:t>
            </w:r>
            <w:r w:rsidRPr="00B1207F">
              <w:rPr>
                <w:rFonts w:eastAsia="Arial Unicode MS"/>
                <w:bCs/>
                <w:iCs/>
                <w:sz w:val="22"/>
                <w:szCs w:val="22"/>
                <w:lang w:val="pt-BR" w:eastAsia="ro-RO"/>
              </w:rPr>
              <w:t>:</w:t>
            </w:r>
          </w:p>
          <w:p w14:paraId="06F37F3B" w14:textId="54975565" w:rsidR="00B1207F" w:rsidRPr="00B1207F" w:rsidRDefault="00B1207F" w:rsidP="00C82B59">
            <w:pPr>
              <w:spacing w:after="100"/>
              <w:rPr>
                <w:rFonts w:eastAsia="Arial Unicode MS"/>
                <w:bCs/>
                <w:iCs/>
                <w:sz w:val="22"/>
                <w:szCs w:val="22"/>
                <w:lang w:val="pt-BR" w:eastAsia="ro-RO"/>
              </w:rPr>
            </w:pPr>
            <w:r w:rsidRPr="00B1207F">
              <w:rPr>
                <w:rFonts w:eastAsia="Arial Unicode MS"/>
                <w:bCs/>
                <w:iCs/>
                <w:sz w:val="22"/>
                <w:szCs w:val="22"/>
                <w:lang w:val="pt-BR" w:eastAsia="ro-RO"/>
              </w:rPr>
              <w:t>500 mg/kg până la data</w:t>
            </w:r>
            <w:r w:rsidR="00C82B59">
              <w:rPr>
                <w:rFonts w:eastAsia="Arial Unicode MS"/>
                <w:bCs/>
                <w:iCs/>
                <w:sz w:val="22"/>
                <w:szCs w:val="22"/>
                <w:lang w:val="pt-BR" w:eastAsia="ro-RO"/>
              </w:rPr>
              <w:t xml:space="preserve"> </w:t>
            </w:r>
            <w:r w:rsidRPr="00B1207F">
              <w:rPr>
                <w:rFonts w:eastAsia="Arial Unicode MS"/>
                <w:bCs/>
                <w:iCs/>
                <w:sz w:val="22"/>
                <w:szCs w:val="22"/>
                <w:lang w:val="pt-BR" w:eastAsia="ro-RO"/>
              </w:rPr>
              <w:t>intrării în vigoare a prezentei Hotărâri;</w:t>
            </w:r>
          </w:p>
          <w:p w14:paraId="4664ACDC" w14:textId="77777777" w:rsidR="00B1207F" w:rsidRPr="00B1207F" w:rsidRDefault="00B1207F" w:rsidP="00C82B59">
            <w:pPr>
              <w:spacing w:after="100"/>
              <w:rPr>
                <w:rFonts w:eastAsia="Arial Unicode MS"/>
                <w:bCs/>
                <w:iCs/>
                <w:sz w:val="22"/>
                <w:szCs w:val="22"/>
                <w:lang w:val="it-IT" w:eastAsia="ro-RO"/>
              </w:rPr>
            </w:pPr>
            <w:r w:rsidRPr="00B1207F">
              <w:rPr>
                <w:rFonts w:eastAsia="Arial Unicode MS"/>
                <w:bCs/>
                <w:iCs/>
                <w:sz w:val="22"/>
                <w:szCs w:val="22"/>
                <w:lang w:val="it-IT" w:eastAsia="ro-RO"/>
              </w:rPr>
              <w:t>350 mg/kg -de la data intrării în vigoare a prezentei Hotărâri până la - 29 decembrie 2027;</w:t>
            </w:r>
          </w:p>
          <w:p w14:paraId="1F485721" w14:textId="4CB3F369" w:rsidR="00B1207F" w:rsidRPr="00B1207F" w:rsidRDefault="00B1207F" w:rsidP="00B1207F">
            <w:pPr>
              <w:spacing w:after="100"/>
              <w:rPr>
                <w:rFonts w:eastAsia="Arial Unicode MS"/>
                <w:bCs/>
                <w:iCs/>
                <w:sz w:val="22"/>
                <w:szCs w:val="22"/>
                <w:lang w:val="it-IT" w:eastAsia="ro-RO"/>
              </w:rPr>
            </w:pPr>
            <w:r w:rsidRPr="00B1207F">
              <w:rPr>
                <w:rFonts w:eastAsia="Arial Unicode MS"/>
                <w:bCs/>
                <w:iCs/>
                <w:sz w:val="22"/>
                <w:szCs w:val="22"/>
                <w:lang w:val="it-IT" w:eastAsia="ro-RO"/>
              </w:rPr>
              <w:t>200 mg/kg - de la 30 decembrie 2027</w:t>
            </w:r>
          </w:p>
          <w:p w14:paraId="35435359" w14:textId="77777777" w:rsidR="00B1207F" w:rsidRPr="00B1207F" w:rsidRDefault="00B1207F" w:rsidP="00B1207F">
            <w:pPr>
              <w:spacing w:after="100"/>
              <w:rPr>
                <w:rFonts w:eastAsia="Arial Unicode MS"/>
                <w:iCs/>
                <w:sz w:val="22"/>
                <w:szCs w:val="22"/>
                <w:lang w:val="it-IT" w:eastAsia="ro-RO"/>
              </w:rPr>
            </w:pPr>
            <w:r w:rsidRPr="00B1207F">
              <w:rPr>
                <w:rFonts w:eastAsia="Arial Unicode MS"/>
                <w:iCs/>
                <w:sz w:val="22"/>
                <w:szCs w:val="22"/>
                <w:lang w:val="it-IT" w:eastAsia="ro-RO"/>
              </w:rPr>
              <w:t>sau, dacă este mai mare, suma concentrațiilor acestor substanțe în cazul în care acestea sunt prezente în amestecuri sau articole conform limitelor stabilite în Anexa nr. 1.</w:t>
            </w:r>
          </w:p>
          <w:p w14:paraId="72E1464F" w14:textId="77777777" w:rsidR="00B1207F" w:rsidRPr="00B1207F" w:rsidRDefault="00B1207F" w:rsidP="00B1207F">
            <w:pPr>
              <w:spacing w:after="100"/>
              <w:jc w:val="center"/>
              <w:rPr>
                <w:rFonts w:eastAsia="Arial Unicode MS"/>
                <w:iCs/>
                <w:sz w:val="22"/>
                <w:szCs w:val="22"/>
                <w:lang w:val="it-IT" w:eastAsia="ro-RO"/>
              </w:rPr>
            </w:pPr>
          </w:p>
        </w:tc>
      </w:tr>
      <w:tr w:rsidR="00B1207F" w:rsidRPr="00B1207F" w14:paraId="41F22F3A" w14:textId="77777777" w:rsidTr="00C563AE">
        <w:tc>
          <w:tcPr>
            <w:tcW w:w="2615" w:type="dxa"/>
          </w:tcPr>
          <w:p w14:paraId="600E6918" w14:textId="77777777" w:rsidR="00B1207F" w:rsidRPr="00B1207F" w:rsidRDefault="00B1207F" w:rsidP="00B1207F">
            <w:pPr>
              <w:spacing w:before="200" w:after="100" w:line="276" w:lineRule="auto"/>
              <w:jc w:val="center"/>
              <w:rPr>
                <w:rFonts w:eastAsia="Arial Unicode MS"/>
                <w:b/>
                <w:iCs/>
                <w:sz w:val="22"/>
                <w:szCs w:val="22"/>
                <w:lang w:val="en-US" w:eastAsia="ro-RO"/>
              </w:rPr>
            </w:pPr>
            <w:proofErr w:type="spellStart"/>
            <w:r w:rsidRPr="00B1207F">
              <w:rPr>
                <w:rFonts w:eastAsia="Calibri"/>
                <w:sz w:val="22"/>
                <w:szCs w:val="22"/>
                <w:lang w:val="en-US" w:eastAsia="en-US"/>
              </w:rPr>
              <w:t>Pentabromodifenileter</w:t>
            </w:r>
            <w:proofErr w:type="spellEnd"/>
            <w:r w:rsidRPr="00B1207F">
              <w:rPr>
                <w:rFonts w:eastAsia="Calibri"/>
                <w:sz w:val="22"/>
                <w:szCs w:val="22"/>
                <w:lang w:val="en-US" w:eastAsia="en-US"/>
              </w:rPr>
              <w:t xml:space="preserve"> C12H5Br5O </w:t>
            </w:r>
          </w:p>
        </w:tc>
        <w:tc>
          <w:tcPr>
            <w:tcW w:w="2242" w:type="dxa"/>
          </w:tcPr>
          <w:p w14:paraId="23E2B1B6" w14:textId="77777777" w:rsidR="00B1207F" w:rsidRPr="00B1207F" w:rsidRDefault="00B1207F" w:rsidP="00B1207F">
            <w:pPr>
              <w:spacing w:before="200" w:after="100"/>
              <w:jc w:val="center"/>
              <w:rPr>
                <w:rFonts w:eastAsia="Arial Unicode MS"/>
                <w:bCs/>
                <w:iCs/>
                <w:sz w:val="22"/>
                <w:szCs w:val="22"/>
                <w:lang w:val="en-US" w:eastAsia="ro-RO"/>
              </w:rPr>
            </w:pPr>
            <w:r w:rsidRPr="00B1207F">
              <w:rPr>
                <w:rFonts w:eastAsia="Arial Unicode MS"/>
                <w:bCs/>
                <w:iCs/>
                <w:sz w:val="22"/>
                <w:szCs w:val="22"/>
                <w:lang w:val="en-US" w:eastAsia="ro-RO"/>
              </w:rPr>
              <w:t xml:space="preserve">32534-81-9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p w14:paraId="4AC84D7C" w14:textId="77777777" w:rsidR="00B1207F" w:rsidRPr="00B1207F" w:rsidRDefault="00B1207F" w:rsidP="00B1207F">
            <w:pPr>
              <w:spacing w:before="200" w:after="100" w:line="276" w:lineRule="auto"/>
              <w:jc w:val="center"/>
              <w:rPr>
                <w:rFonts w:eastAsia="Arial Unicode MS"/>
                <w:bCs/>
                <w:iCs/>
                <w:sz w:val="22"/>
                <w:szCs w:val="22"/>
                <w:lang w:val="en-US" w:eastAsia="ro-RO"/>
              </w:rPr>
            </w:pPr>
          </w:p>
        </w:tc>
        <w:tc>
          <w:tcPr>
            <w:tcW w:w="2207" w:type="dxa"/>
          </w:tcPr>
          <w:p w14:paraId="01517AFF" w14:textId="77777777" w:rsidR="00B1207F" w:rsidRPr="00B1207F" w:rsidRDefault="00B1207F" w:rsidP="00B1207F">
            <w:pPr>
              <w:spacing w:before="200" w:after="100" w:line="276" w:lineRule="auto"/>
              <w:jc w:val="center"/>
              <w:rPr>
                <w:rFonts w:eastAsia="Arial Unicode MS"/>
                <w:bCs/>
                <w:iCs/>
                <w:sz w:val="22"/>
                <w:szCs w:val="22"/>
                <w:lang w:val="en-US" w:eastAsia="ro-RO"/>
              </w:rPr>
            </w:pPr>
            <w:r w:rsidRPr="00B1207F">
              <w:rPr>
                <w:rFonts w:eastAsia="Arial Unicode MS"/>
                <w:bCs/>
                <w:iCs/>
                <w:sz w:val="22"/>
                <w:szCs w:val="22"/>
                <w:lang w:val="en-US" w:eastAsia="ro-RO"/>
              </w:rPr>
              <w:t xml:space="preserve">251-084-2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tc>
        <w:tc>
          <w:tcPr>
            <w:tcW w:w="2273" w:type="dxa"/>
            <w:vMerge/>
          </w:tcPr>
          <w:p w14:paraId="2DE84029" w14:textId="77777777" w:rsidR="00B1207F" w:rsidRPr="00B1207F" w:rsidRDefault="00B1207F" w:rsidP="00B1207F">
            <w:pPr>
              <w:spacing w:after="100"/>
              <w:jc w:val="center"/>
              <w:rPr>
                <w:rFonts w:eastAsia="Arial Unicode MS"/>
                <w:iCs/>
                <w:sz w:val="22"/>
                <w:szCs w:val="22"/>
                <w:lang w:val="it-IT" w:eastAsia="ro-RO"/>
              </w:rPr>
            </w:pPr>
          </w:p>
        </w:tc>
      </w:tr>
      <w:tr w:rsidR="00B1207F" w:rsidRPr="00B1207F" w14:paraId="7C6B0EE3" w14:textId="77777777" w:rsidTr="00C563AE">
        <w:tc>
          <w:tcPr>
            <w:tcW w:w="2615" w:type="dxa"/>
          </w:tcPr>
          <w:p w14:paraId="030A8A3F" w14:textId="77777777" w:rsidR="00B1207F" w:rsidRPr="00B1207F" w:rsidRDefault="00B1207F" w:rsidP="00B1207F">
            <w:pPr>
              <w:spacing w:before="200" w:after="100" w:line="276" w:lineRule="auto"/>
              <w:jc w:val="center"/>
              <w:rPr>
                <w:rFonts w:eastAsia="Arial Unicode MS"/>
                <w:b/>
                <w:iCs/>
                <w:sz w:val="22"/>
                <w:szCs w:val="22"/>
                <w:lang w:val="en-US" w:eastAsia="ro-RO"/>
              </w:rPr>
            </w:pPr>
            <w:proofErr w:type="spellStart"/>
            <w:r w:rsidRPr="00B1207F">
              <w:rPr>
                <w:rFonts w:eastAsia="Calibri"/>
                <w:sz w:val="22"/>
                <w:szCs w:val="22"/>
                <w:lang w:val="en-US" w:eastAsia="en-US"/>
              </w:rPr>
              <w:t>Hexabromodifenileter</w:t>
            </w:r>
            <w:proofErr w:type="spellEnd"/>
            <w:r w:rsidRPr="00B1207F">
              <w:rPr>
                <w:rFonts w:eastAsia="Calibri"/>
                <w:sz w:val="22"/>
                <w:szCs w:val="22"/>
                <w:lang w:val="en-US" w:eastAsia="en-US"/>
              </w:rPr>
              <w:t xml:space="preserve"> C12H4Br6O</w:t>
            </w:r>
          </w:p>
        </w:tc>
        <w:tc>
          <w:tcPr>
            <w:tcW w:w="2242" w:type="dxa"/>
          </w:tcPr>
          <w:p w14:paraId="4666374D" w14:textId="77777777" w:rsidR="00B1207F" w:rsidRPr="00B1207F" w:rsidRDefault="00B1207F" w:rsidP="00B1207F">
            <w:pPr>
              <w:spacing w:before="200" w:after="100"/>
              <w:jc w:val="center"/>
              <w:rPr>
                <w:rFonts w:eastAsia="Arial Unicode MS"/>
                <w:bCs/>
                <w:iCs/>
                <w:sz w:val="22"/>
                <w:szCs w:val="22"/>
                <w:lang w:val="en-US" w:eastAsia="ro-RO"/>
              </w:rPr>
            </w:pPr>
            <w:r w:rsidRPr="00B1207F">
              <w:rPr>
                <w:rFonts w:eastAsia="Arial Unicode MS"/>
                <w:bCs/>
                <w:iCs/>
                <w:sz w:val="22"/>
                <w:szCs w:val="22"/>
                <w:lang w:val="en-US" w:eastAsia="ro-RO"/>
              </w:rPr>
              <w:t xml:space="preserve">36483-60-0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p w14:paraId="5A646974" w14:textId="77777777" w:rsidR="00B1207F" w:rsidRPr="00B1207F" w:rsidRDefault="00B1207F" w:rsidP="00B1207F">
            <w:pPr>
              <w:spacing w:before="200" w:after="100" w:line="276" w:lineRule="auto"/>
              <w:jc w:val="center"/>
              <w:rPr>
                <w:rFonts w:eastAsia="Arial Unicode MS"/>
                <w:bCs/>
                <w:iCs/>
                <w:sz w:val="22"/>
                <w:szCs w:val="22"/>
                <w:lang w:val="en-US" w:eastAsia="ro-RO"/>
              </w:rPr>
            </w:pPr>
          </w:p>
        </w:tc>
        <w:tc>
          <w:tcPr>
            <w:tcW w:w="2207" w:type="dxa"/>
          </w:tcPr>
          <w:p w14:paraId="592E67DF" w14:textId="77777777" w:rsidR="00B1207F" w:rsidRPr="00B1207F" w:rsidRDefault="00B1207F" w:rsidP="00B1207F">
            <w:pPr>
              <w:spacing w:before="200" w:after="100" w:line="276" w:lineRule="auto"/>
              <w:jc w:val="center"/>
              <w:rPr>
                <w:rFonts w:eastAsia="Arial Unicode MS"/>
                <w:bCs/>
                <w:iCs/>
                <w:sz w:val="22"/>
                <w:szCs w:val="22"/>
                <w:lang w:val="en-US" w:eastAsia="ro-RO"/>
              </w:rPr>
            </w:pPr>
            <w:r w:rsidRPr="00B1207F">
              <w:rPr>
                <w:rFonts w:eastAsia="Arial Unicode MS"/>
                <w:bCs/>
                <w:iCs/>
                <w:sz w:val="22"/>
                <w:szCs w:val="22"/>
                <w:lang w:val="en-US" w:eastAsia="ro-RO"/>
              </w:rPr>
              <w:t xml:space="preserve">253-058-6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tc>
        <w:tc>
          <w:tcPr>
            <w:tcW w:w="2273" w:type="dxa"/>
            <w:vMerge/>
          </w:tcPr>
          <w:p w14:paraId="6453C2F5" w14:textId="77777777" w:rsidR="00B1207F" w:rsidRPr="00B1207F" w:rsidRDefault="00B1207F" w:rsidP="00B1207F">
            <w:pPr>
              <w:spacing w:after="100"/>
              <w:jc w:val="center"/>
              <w:rPr>
                <w:rFonts w:eastAsia="Arial Unicode MS"/>
                <w:bCs/>
                <w:iCs/>
                <w:sz w:val="22"/>
                <w:szCs w:val="22"/>
                <w:lang w:val="it-IT" w:eastAsia="ro-RO"/>
              </w:rPr>
            </w:pPr>
          </w:p>
        </w:tc>
      </w:tr>
      <w:tr w:rsidR="00B1207F" w:rsidRPr="00B1207F" w14:paraId="03AF1FAF" w14:textId="77777777" w:rsidTr="00C563AE">
        <w:tc>
          <w:tcPr>
            <w:tcW w:w="2615" w:type="dxa"/>
          </w:tcPr>
          <w:p w14:paraId="32270B28" w14:textId="77777777" w:rsidR="00B1207F" w:rsidRPr="00B1207F" w:rsidRDefault="00B1207F" w:rsidP="00B1207F">
            <w:pPr>
              <w:spacing w:before="200" w:after="100" w:line="276" w:lineRule="auto"/>
              <w:jc w:val="center"/>
              <w:rPr>
                <w:rFonts w:eastAsia="Arial Unicode MS"/>
                <w:b/>
                <w:iCs/>
                <w:sz w:val="22"/>
                <w:szCs w:val="22"/>
                <w:lang w:val="en-US" w:eastAsia="ro-RO"/>
              </w:rPr>
            </w:pPr>
            <w:proofErr w:type="spellStart"/>
            <w:r w:rsidRPr="00B1207F">
              <w:rPr>
                <w:rFonts w:eastAsia="Calibri"/>
                <w:sz w:val="22"/>
                <w:szCs w:val="22"/>
                <w:lang w:val="en-US" w:eastAsia="en-US"/>
              </w:rPr>
              <w:t>Heptabromodifenileter</w:t>
            </w:r>
            <w:proofErr w:type="spellEnd"/>
            <w:r w:rsidRPr="00B1207F">
              <w:rPr>
                <w:rFonts w:eastAsia="Calibri"/>
                <w:sz w:val="22"/>
                <w:szCs w:val="22"/>
                <w:lang w:val="en-US" w:eastAsia="en-US"/>
              </w:rPr>
              <w:t xml:space="preserve"> C12H3Br7O</w:t>
            </w:r>
          </w:p>
        </w:tc>
        <w:tc>
          <w:tcPr>
            <w:tcW w:w="2242" w:type="dxa"/>
          </w:tcPr>
          <w:p w14:paraId="1EE3DE91" w14:textId="77777777" w:rsidR="00B1207F" w:rsidRPr="00B1207F" w:rsidRDefault="00B1207F" w:rsidP="00B1207F">
            <w:pPr>
              <w:spacing w:before="200" w:after="100"/>
              <w:jc w:val="center"/>
              <w:rPr>
                <w:rFonts w:eastAsia="Arial Unicode MS"/>
                <w:bCs/>
                <w:iCs/>
                <w:sz w:val="22"/>
                <w:szCs w:val="22"/>
                <w:lang w:val="en-US" w:eastAsia="ro-RO"/>
              </w:rPr>
            </w:pPr>
            <w:r w:rsidRPr="00B1207F">
              <w:rPr>
                <w:rFonts w:eastAsia="Arial Unicode MS"/>
                <w:bCs/>
                <w:iCs/>
                <w:sz w:val="22"/>
                <w:szCs w:val="22"/>
                <w:lang w:val="en-US" w:eastAsia="ro-RO"/>
              </w:rPr>
              <w:t xml:space="preserve">68928-80-3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p w14:paraId="26DE1CC5" w14:textId="77777777" w:rsidR="00B1207F" w:rsidRPr="00B1207F" w:rsidRDefault="00B1207F" w:rsidP="00B1207F">
            <w:pPr>
              <w:spacing w:before="200" w:after="100" w:line="276" w:lineRule="auto"/>
              <w:jc w:val="center"/>
              <w:rPr>
                <w:rFonts w:eastAsia="Arial Unicode MS"/>
                <w:bCs/>
                <w:iCs/>
                <w:sz w:val="22"/>
                <w:szCs w:val="22"/>
                <w:lang w:val="en-US" w:eastAsia="ro-RO"/>
              </w:rPr>
            </w:pPr>
          </w:p>
        </w:tc>
        <w:tc>
          <w:tcPr>
            <w:tcW w:w="2207" w:type="dxa"/>
          </w:tcPr>
          <w:p w14:paraId="32027EF8" w14:textId="77777777" w:rsidR="00B1207F" w:rsidRPr="00B1207F" w:rsidRDefault="00B1207F" w:rsidP="00B1207F">
            <w:pPr>
              <w:spacing w:before="200" w:after="100" w:line="276" w:lineRule="auto"/>
              <w:jc w:val="center"/>
              <w:rPr>
                <w:rFonts w:eastAsia="Arial Unicode MS"/>
                <w:bCs/>
                <w:iCs/>
                <w:sz w:val="22"/>
                <w:szCs w:val="22"/>
                <w:lang w:val="en-US" w:eastAsia="ro-RO"/>
              </w:rPr>
            </w:pPr>
            <w:r w:rsidRPr="00B1207F">
              <w:rPr>
                <w:rFonts w:eastAsia="Arial Unicode MS"/>
                <w:bCs/>
                <w:iCs/>
                <w:sz w:val="22"/>
                <w:szCs w:val="22"/>
                <w:lang w:val="en-US" w:eastAsia="ro-RO"/>
              </w:rPr>
              <w:t xml:space="preserve">273-031-2 </w:t>
            </w:r>
            <w:proofErr w:type="spellStart"/>
            <w:r w:rsidRPr="00B1207F">
              <w:rPr>
                <w:rFonts w:eastAsia="Arial Unicode MS"/>
                <w:bCs/>
                <w:iCs/>
                <w:sz w:val="22"/>
                <w:szCs w:val="22"/>
                <w:lang w:val="en-US" w:eastAsia="ro-RO"/>
              </w:rPr>
              <w:t>și</w:t>
            </w:r>
            <w:proofErr w:type="spellEnd"/>
            <w:r w:rsidRPr="00B1207F">
              <w:rPr>
                <w:rFonts w:eastAsia="Arial Unicode MS"/>
                <w:bCs/>
                <w:iCs/>
                <w:sz w:val="22"/>
                <w:szCs w:val="22"/>
                <w:lang w:val="en-US" w:eastAsia="ro-RO"/>
              </w:rPr>
              <w:t xml:space="preserve"> </w:t>
            </w:r>
            <w:proofErr w:type="spellStart"/>
            <w:r w:rsidRPr="00B1207F">
              <w:rPr>
                <w:rFonts w:eastAsia="Arial Unicode MS"/>
                <w:bCs/>
                <w:iCs/>
                <w:sz w:val="22"/>
                <w:szCs w:val="22"/>
                <w:lang w:val="en-US" w:eastAsia="ro-RO"/>
              </w:rPr>
              <w:t>altele</w:t>
            </w:r>
            <w:proofErr w:type="spellEnd"/>
          </w:p>
        </w:tc>
        <w:tc>
          <w:tcPr>
            <w:tcW w:w="2273" w:type="dxa"/>
            <w:vMerge/>
          </w:tcPr>
          <w:p w14:paraId="24CDBBEC" w14:textId="77777777" w:rsidR="00B1207F" w:rsidRPr="00B1207F" w:rsidRDefault="00B1207F" w:rsidP="00B1207F">
            <w:pPr>
              <w:spacing w:after="100"/>
              <w:jc w:val="center"/>
              <w:rPr>
                <w:rFonts w:eastAsia="Arial Unicode MS"/>
                <w:bCs/>
                <w:iCs/>
                <w:sz w:val="22"/>
                <w:szCs w:val="22"/>
                <w:lang w:val="it-IT" w:eastAsia="ro-RO"/>
              </w:rPr>
            </w:pPr>
          </w:p>
        </w:tc>
      </w:tr>
      <w:tr w:rsidR="00B1207F" w:rsidRPr="00B1207F" w14:paraId="4D7B7E98" w14:textId="77777777" w:rsidTr="00C563AE">
        <w:tc>
          <w:tcPr>
            <w:tcW w:w="2615" w:type="dxa"/>
          </w:tcPr>
          <w:p w14:paraId="20F333F4" w14:textId="77777777" w:rsidR="00B1207F" w:rsidRDefault="00B1207F" w:rsidP="00B1207F">
            <w:pPr>
              <w:spacing w:before="200" w:after="100"/>
              <w:jc w:val="center"/>
              <w:rPr>
                <w:rFonts w:eastAsia="Calibri"/>
                <w:sz w:val="22"/>
                <w:szCs w:val="22"/>
                <w:lang w:val="pt-BR" w:eastAsia="en-US"/>
              </w:rPr>
            </w:pPr>
            <w:r w:rsidRPr="00B1207F">
              <w:rPr>
                <w:rFonts w:eastAsia="Calibri" w:hint="eastAsia"/>
                <w:sz w:val="22"/>
                <w:szCs w:val="22"/>
                <w:lang w:val="pt-BR" w:eastAsia="en-US"/>
              </w:rPr>
              <w:t>Bis(pentabromfenil) eter (decabromdifenil eter; decaBDE) C12Br10O</w:t>
            </w:r>
          </w:p>
          <w:p w14:paraId="46A5D8AE" w14:textId="77777777" w:rsidR="00067CBF" w:rsidRPr="00067CBF" w:rsidRDefault="00067CBF" w:rsidP="00067CBF">
            <w:pPr>
              <w:rPr>
                <w:rFonts w:eastAsia="Calibri"/>
                <w:sz w:val="22"/>
                <w:szCs w:val="22"/>
                <w:lang w:val="pt-BR" w:eastAsia="en-US"/>
              </w:rPr>
            </w:pPr>
          </w:p>
          <w:p w14:paraId="705F32F8" w14:textId="77777777" w:rsidR="00067CBF" w:rsidRPr="00067CBF" w:rsidRDefault="00067CBF" w:rsidP="00067CBF">
            <w:pPr>
              <w:rPr>
                <w:rFonts w:eastAsia="Calibri"/>
                <w:sz w:val="22"/>
                <w:szCs w:val="22"/>
                <w:lang w:val="pt-BR" w:eastAsia="en-US"/>
              </w:rPr>
            </w:pPr>
          </w:p>
        </w:tc>
        <w:tc>
          <w:tcPr>
            <w:tcW w:w="2242" w:type="dxa"/>
          </w:tcPr>
          <w:p w14:paraId="0F334F5B" w14:textId="77777777" w:rsidR="00B1207F" w:rsidRPr="00B1207F" w:rsidRDefault="00B1207F" w:rsidP="00B1207F">
            <w:pPr>
              <w:spacing w:before="200" w:after="100"/>
              <w:jc w:val="center"/>
              <w:rPr>
                <w:rFonts w:eastAsia="Calibri"/>
                <w:sz w:val="22"/>
                <w:szCs w:val="22"/>
                <w:lang w:val="en-US" w:eastAsia="en-US"/>
              </w:rPr>
            </w:pPr>
            <w:r w:rsidRPr="00B1207F">
              <w:rPr>
                <w:rFonts w:eastAsia="Calibri"/>
                <w:sz w:val="22"/>
                <w:szCs w:val="22"/>
                <w:lang w:val="en-US" w:eastAsia="en-US"/>
              </w:rPr>
              <w:t xml:space="preserve">1163-19-5 </w:t>
            </w:r>
            <w:proofErr w:type="spellStart"/>
            <w:r w:rsidRPr="00B1207F">
              <w:rPr>
                <w:rFonts w:eastAsia="Calibri"/>
                <w:sz w:val="22"/>
                <w:szCs w:val="22"/>
                <w:lang w:val="en-US" w:eastAsia="en-US"/>
              </w:rPr>
              <w:t>și</w:t>
            </w:r>
            <w:proofErr w:type="spellEnd"/>
            <w:r w:rsidRPr="00B1207F">
              <w:rPr>
                <w:rFonts w:eastAsia="Calibri"/>
                <w:sz w:val="22"/>
                <w:szCs w:val="22"/>
                <w:lang w:val="en-US" w:eastAsia="en-US"/>
              </w:rPr>
              <w:t xml:space="preserve"> </w:t>
            </w:r>
            <w:proofErr w:type="spellStart"/>
            <w:r w:rsidRPr="00B1207F">
              <w:rPr>
                <w:rFonts w:eastAsia="Calibri"/>
                <w:sz w:val="22"/>
                <w:szCs w:val="22"/>
                <w:lang w:val="en-US" w:eastAsia="en-US"/>
              </w:rPr>
              <w:t>altele</w:t>
            </w:r>
            <w:proofErr w:type="spellEnd"/>
          </w:p>
          <w:p w14:paraId="3E7801E4" w14:textId="77777777" w:rsidR="00B1207F" w:rsidRPr="00B1207F" w:rsidRDefault="00B1207F" w:rsidP="00B1207F">
            <w:pPr>
              <w:spacing w:before="200" w:after="100"/>
              <w:jc w:val="center"/>
              <w:rPr>
                <w:rFonts w:eastAsia="Arial Unicode MS"/>
                <w:bCs/>
                <w:iCs/>
                <w:sz w:val="22"/>
                <w:szCs w:val="22"/>
                <w:lang w:val="en-US" w:eastAsia="ro-RO"/>
              </w:rPr>
            </w:pPr>
          </w:p>
        </w:tc>
        <w:tc>
          <w:tcPr>
            <w:tcW w:w="2207" w:type="dxa"/>
          </w:tcPr>
          <w:p w14:paraId="1CED6BA3" w14:textId="77777777" w:rsidR="00B1207F" w:rsidRPr="00B1207F" w:rsidRDefault="00B1207F" w:rsidP="00B1207F">
            <w:pPr>
              <w:spacing w:before="200" w:after="100"/>
              <w:jc w:val="center"/>
              <w:rPr>
                <w:rFonts w:eastAsia="Arial Unicode MS"/>
                <w:bCs/>
                <w:iCs/>
                <w:sz w:val="22"/>
                <w:szCs w:val="22"/>
                <w:lang w:val="en-US" w:eastAsia="ro-RO"/>
              </w:rPr>
            </w:pPr>
            <w:r w:rsidRPr="00B1207F">
              <w:rPr>
                <w:rFonts w:eastAsia="Calibri"/>
                <w:sz w:val="22"/>
                <w:szCs w:val="22"/>
                <w:lang w:val="en-US" w:eastAsia="en-US"/>
              </w:rPr>
              <w:t xml:space="preserve">214-604-9 </w:t>
            </w:r>
            <w:proofErr w:type="spellStart"/>
            <w:r w:rsidRPr="00B1207F">
              <w:rPr>
                <w:rFonts w:eastAsia="Calibri"/>
                <w:sz w:val="22"/>
                <w:szCs w:val="22"/>
                <w:lang w:val="en-US" w:eastAsia="en-US"/>
              </w:rPr>
              <w:t>și</w:t>
            </w:r>
            <w:proofErr w:type="spellEnd"/>
            <w:r w:rsidRPr="00B1207F">
              <w:rPr>
                <w:rFonts w:eastAsia="Calibri"/>
                <w:sz w:val="22"/>
                <w:szCs w:val="22"/>
                <w:lang w:val="en-US" w:eastAsia="en-US"/>
              </w:rPr>
              <w:t xml:space="preserve"> </w:t>
            </w:r>
            <w:proofErr w:type="spellStart"/>
            <w:r w:rsidRPr="00B1207F">
              <w:rPr>
                <w:rFonts w:eastAsia="Calibri"/>
                <w:sz w:val="22"/>
                <w:szCs w:val="22"/>
                <w:lang w:val="en-US" w:eastAsia="en-US"/>
              </w:rPr>
              <w:t>altele</w:t>
            </w:r>
            <w:proofErr w:type="spellEnd"/>
          </w:p>
        </w:tc>
        <w:tc>
          <w:tcPr>
            <w:tcW w:w="2273" w:type="dxa"/>
            <w:vMerge/>
          </w:tcPr>
          <w:p w14:paraId="5B46FD97" w14:textId="77777777" w:rsidR="00B1207F" w:rsidRPr="00B1207F" w:rsidRDefault="00B1207F" w:rsidP="00B1207F">
            <w:pPr>
              <w:spacing w:after="100"/>
              <w:jc w:val="center"/>
              <w:rPr>
                <w:rFonts w:eastAsia="Arial Unicode MS"/>
                <w:bCs/>
                <w:iCs/>
                <w:sz w:val="22"/>
                <w:szCs w:val="22"/>
                <w:lang w:val="it-IT" w:eastAsia="ro-RO"/>
              </w:rPr>
            </w:pPr>
          </w:p>
        </w:tc>
      </w:tr>
    </w:tbl>
    <w:p w14:paraId="754B9316" w14:textId="1CC2073D" w:rsidR="001D5BF6" w:rsidRDefault="006B760E" w:rsidP="001D5BF6">
      <w:pPr>
        <w:spacing w:after="160" w:line="259" w:lineRule="auto"/>
        <w:rPr>
          <w:rFonts w:eastAsiaTheme="minorHAnsi"/>
          <w:sz w:val="22"/>
          <w:szCs w:val="22"/>
          <w:lang w:val="ro-RO" w:eastAsia="en-US"/>
        </w:rPr>
      </w:pPr>
      <w:r>
        <w:rPr>
          <w:rFonts w:eastAsiaTheme="minorHAnsi"/>
          <w:sz w:val="22"/>
          <w:szCs w:val="22"/>
          <w:lang w:val="ro-RO" w:eastAsia="en-US"/>
        </w:rPr>
        <w:t>„</w:t>
      </w:r>
    </w:p>
    <w:p w14:paraId="16CEBB2C" w14:textId="64ABB31A" w:rsidR="000A0D1D" w:rsidRPr="00067CBF" w:rsidRDefault="000A0D1D" w:rsidP="001D5BF6">
      <w:pPr>
        <w:spacing w:after="160" w:line="259" w:lineRule="auto"/>
        <w:rPr>
          <w:rFonts w:eastAsiaTheme="minorHAnsi"/>
          <w:sz w:val="26"/>
          <w:szCs w:val="26"/>
          <w:lang w:val="ro-RO" w:eastAsia="en-US"/>
        </w:rPr>
      </w:pPr>
      <w:r w:rsidRPr="006B760E">
        <w:rPr>
          <w:rFonts w:eastAsiaTheme="minorHAnsi"/>
          <w:sz w:val="26"/>
          <w:szCs w:val="26"/>
          <w:lang w:val="ro-RO" w:eastAsia="en-US"/>
        </w:rPr>
        <w:lastRenderedPageBreak/>
        <w:t xml:space="preserve"> </w:t>
      </w:r>
      <w:r w:rsidR="006B760E" w:rsidRPr="00067CBF">
        <w:rPr>
          <w:rFonts w:eastAsiaTheme="minorHAnsi"/>
          <w:sz w:val="26"/>
          <w:szCs w:val="26"/>
          <w:lang w:val="ro-RO" w:eastAsia="en-US"/>
        </w:rPr>
        <w:t>1.1.6 L</w:t>
      </w:r>
      <w:r w:rsidRPr="00067CBF">
        <w:rPr>
          <w:rFonts w:eastAsiaTheme="minorHAnsi"/>
          <w:sz w:val="26"/>
          <w:szCs w:val="26"/>
          <w:lang w:val="ro-RO" w:eastAsia="en-US"/>
        </w:rPr>
        <w:t>a</w:t>
      </w:r>
      <w:r w:rsidRPr="00067CBF">
        <w:rPr>
          <w:rFonts w:eastAsiaTheme="minorHAnsi"/>
          <w:sz w:val="26"/>
          <w:szCs w:val="26"/>
          <w:lang w:val="ro-MD" w:eastAsia="en-US"/>
        </w:rPr>
        <w:t xml:space="preserve"> </w:t>
      </w:r>
      <w:r w:rsidR="006B760E" w:rsidRPr="00067CBF">
        <w:rPr>
          <w:rFonts w:eastAsiaTheme="minorHAnsi"/>
          <w:sz w:val="26"/>
          <w:szCs w:val="26"/>
          <w:lang w:val="ro-RO" w:eastAsia="en-US"/>
        </w:rPr>
        <w:t>Anexa nr. IV,</w:t>
      </w:r>
      <w:r w:rsidR="006B760E" w:rsidRPr="00067CBF">
        <w:rPr>
          <w:rFonts w:eastAsiaTheme="minorHAnsi"/>
          <w:sz w:val="26"/>
          <w:szCs w:val="26"/>
          <w:lang w:val="ro-MD" w:eastAsia="en-US"/>
        </w:rPr>
        <w:t xml:space="preserve"> </w:t>
      </w:r>
      <w:r w:rsidR="002410F4" w:rsidRPr="00067CBF">
        <w:rPr>
          <w:rFonts w:eastAsiaTheme="minorHAnsi"/>
          <w:sz w:val="26"/>
          <w:szCs w:val="26"/>
          <w:lang w:val="ro-MD" w:eastAsia="en-US"/>
        </w:rPr>
        <w:t xml:space="preserve">coloana 1-a </w:t>
      </w:r>
      <w:r w:rsidR="006B760E" w:rsidRPr="00067CBF">
        <w:rPr>
          <w:rFonts w:eastAsiaTheme="minorHAnsi"/>
          <w:i/>
          <w:iCs/>
          <w:sz w:val="26"/>
          <w:szCs w:val="26"/>
          <w:lang w:val="ro-MD" w:eastAsia="en-US"/>
        </w:rPr>
        <w:t>Substanța</w:t>
      </w:r>
      <w:r w:rsidRPr="00067CBF">
        <w:rPr>
          <w:rFonts w:eastAsiaTheme="minorHAnsi"/>
          <w:sz w:val="26"/>
          <w:szCs w:val="26"/>
          <w:lang w:val="ro-MD" w:eastAsia="en-US"/>
        </w:rPr>
        <w:t>, textul</w:t>
      </w:r>
      <w:r w:rsidR="002410F4" w:rsidRPr="00067CBF">
        <w:rPr>
          <w:rFonts w:eastAsiaTheme="minorHAnsi"/>
          <w:sz w:val="26"/>
          <w:szCs w:val="26"/>
          <w:lang w:val="ro-MD" w:eastAsia="en-US"/>
        </w:rPr>
        <w:t xml:space="preserve"> </w:t>
      </w:r>
      <w:r w:rsidR="006B760E" w:rsidRPr="00067CBF">
        <w:rPr>
          <w:rFonts w:eastAsiaTheme="minorHAnsi"/>
          <w:sz w:val="26"/>
          <w:szCs w:val="26"/>
          <w:lang w:val="ro-MD" w:eastAsia="en-US"/>
        </w:rPr>
        <w:t xml:space="preserve">aferent ultimii poziții </w:t>
      </w:r>
      <w:r w:rsidRPr="00067CBF">
        <w:rPr>
          <w:rFonts w:eastAsiaTheme="minorHAnsi"/>
          <w:sz w:val="26"/>
          <w:szCs w:val="26"/>
          <w:lang w:val="ro-MD" w:eastAsia="en-US"/>
        </w:rPr>
        <w:t xml:space="preserve">„Acid </w:t>
      </w:r>
      <w:proofErr w:type="spellStart"/>
      <w:r w:rsidRPr="00067CBF">
        <w:rPr>
          <w:rFonts w:eastAsiaTheme="minorHAnsi"/>
          <w:sz w:val="26"/>
          <w:szCs w:val="26"/>
          <w:lang w:val="ro-MD" w:eastAsia="en-US"/>
        </w:rPr>
        <w:t>perfluorooctanoic</w:t>
      </w:r>
      <w:proofErr w:type="spellEnd"/>
      <w:r w:rsidRPr="00067CBF">
        <w:rPr>
          <w:rFonts w:eastAsiaTheme="minorHAnsi"/>
          <w:sz w:val="26"/>
          <w:szCs w:val="26"/>
          <w:lang w:val="ro-MD" w:eastAsia="en-US"/>
        </w:rPr>
        <w:t xml:space="preserve"> (PFOA)</w:t>
      </w:r>
      <w:r w:rsidR="002410F4" w:rsidRPr="00067CBF">
        <w:rPr>
          <w:rFonts w:eastAsia="Calibri"/>
          <w:sz w:val="26"/>
          <w:szCs w:val="26"/>
          <w:lang w:val="ro-RO" w:eastAsia="en-US"/>
        </w:rPr>
        <w:t xml:space="preserve"> </w:t>
      </w:r>
      <w:r w:rsidR="002410F4" w:rsidRPr="00067CBF">
        <w:rPr>
          <w:rFonts w:eastAsiaTheme="minorHAnsi"/>
          <w:sz w:val="26"/>
          <w:szCs w:val="26"/>
          <w:lang w:val="ro-RO" w:eastAsia="en-US"/>
        </w:rPr>
        <w:t>sărurile acestuia și compușii înrudiți cu acesta, astfel cum sunt enumerați  în anexa nr. 1</w:t>
      </w:r>
      <w:r w:rsidRPr="00067CBF">
        <w:rPr>
          <w:rFonts w:eastAsiaTheme="minorHAnsi"/>
          <w:sz w:val="26"/>
          <w:szCs w:val="26"/>
          <w:lang w:val="ro-MD" w:eastAsia="en-US"/>
        </w:rPr>
        <w:t>”</w:t>
      </w:r>
      <w:r w:rsidR="00C82B59" w:rsidRPr="00067CBF">
        <w:rPr>
          <w:rFonts w:eastAsiaTheme="minorHAnsi"/>
          <w:sz w:val="26"/>
          <w:szCs w:val="26"/>
          <w:lang w:val="ro-MD" w:eastAsia="en-US"/>
        </w:rPr>
        <w:t xml:space="preserve"> </w:t>
      </w:r>
      <w:r w:rsidRPr="00067CBF">
        <w:rPr>
          <w:rFonts w:eastAsiaTheme="minorHAnsi"/>
          <w:sz w:val="26"/>
          <w:szCs w:val="26"/>
          <w:lang w:val="ro-MD" w:eastAsia="en-US"/>
        </w:rPr>
        <w:t xml:space="preserve">se </w:t>
      </w:r>
      <w:r w:rsidR="00C82B59" w:rsidRPr="00067CBF">
        <w:rPr>
          <w:rFonts w:eastAsiaTheme="minorHAnsi"/>
          <w:sz w:val="26"/>
          <w:szCs w:val="26"/>
          <w:lang w:val="ro-MD" w:eastAsia="en-US"/>
        </w:rPr>
        <w:t xml:space="preserve">substituie </w:t>
      </w:r>
      <w:r w:rsidRPr="00067CBF">
        <w:rPr>
          <w:rFonts w:eastAsiaTheme="minorHAnsi"/>
          <w:sz w:val="26"/>
          <w:szCs w:val="26"/>
          <w:lang w:val="ro-MD" w:eastAsia="en-US"/>
        </w:rPr>
        <w:t>cu textul</w:t>
      </w:r>
      <w:r w:rsidR="002410F4" w:rsidRPr="00067CBF">
        <w:rPr>
          <w:rFonts w:eastAsiaTheme="minorHAnsi"/>
          <w:sz w:val="26"/>
          <w:szCs w:val="26"/>
          <w:lang w:val="ro-MD" w:eastAsia="en-US"/>
        </w:rPr>
        <w:t xml:space="preserve"> </w:t>
      </w:r>
      <w:r w:rsidRPr="00067CBF">
        <w:rPr>
          <w:rFonts w:eastAsiaTheme="minorHAnsi"/>
          <w:sz w:val="26"/>
          <w:szCs w:val="26"/>
          <w:lang w:val="ro-MD" w:eastAsia="en-US"/>
        </w:rPr>
        <w:t xml:space="preserve">„Acid </w:t>
      </w:r>
      <w:proofErr w:type="spellStart"/>
      <w:r w:rsidRPr="00067CBF">
        <w:rPr>
          <w:rFonts w:eastAsiaTheme="minorHAnsi"/>
          <w:sz w:val="26"/>
          <w:szCs w:val="26"/>
          <w:lang w:val="ro-MD" w:eastAsia="en-US"/>
        </w:rPr>
        <w:t>perfluorohexan</w:t>
      </w:r>
      <w:proofErr w:type="spellEnd"/>
      <w:r w:rsidRPr="00067CBF">
        <w:rPr>
          <w:rFonts w:eastAsiaTheme="minorHAnsi"/>
          <w:sz w:val="26"/>
          <w:szCs w:val="26"/>
          <w:lang w:val="ro-MD" w:eastAsia="en-US"/>
        </w:rPr>
        <w:t xml:space="preserve"> </w:t>
      </w:r>
      <w:proofErr w:type="spellStart"/>
      <w:r w:rsidRPr="00067CBF">
        <w:rPr>
          <w:rFonts w:eastAsiaTheme="minorHAnsi"/>
          <w:sz w:val="26"/>
          <w:szCs w:val="26"/>
          <w:lang w:val="ro-MD" w:eastAsia="en-US"/>
        </w:rPr>
        <w:t>sulfonic</w:t>
      </w:r>
      <w:proofErr w:type="spellEnd"/>
      <w:r w:rsidRPr="00067CBF">
        <w:rPr>
          <w:rFonts w:eastAsiaTheme="minorHAnsi"/>
          <w:sz w:val="26"/>
          <w:szCs w:val="26"/>
          <w:lang w:val="ro-MD" w:eastAsia="en-US"/>
        </w:rPr>
        <w:t xml:space="preserve"> (</w:t>
      </w:r>
      <w:proofErr w:type="spellStart"/>
      <w:r w:rsidRPr="00067CBF">
        <w:rPr>
          <w:rFonts w:eastAsiaTheme="minorHAnsi"/>
          <w:sz w:val="26"/>
          <w:szCs w:val="26"/>
          <w:lang w:val="ro-MD" w:eastAsia="en-US"/>
        </w:rPr>
        <w:t>PFHxS</w:t>
      </w:r>
      <w:proofErr w:type="spellEnd"/>
      <w:r w:rsidRPr="00067CBF">
        <w:rPr>
          <w:rFonts w:eastAsiaTheme="minorHAnsi"/>
          <w:sz w:val="26"/>
          <w:szCs w:val="26"/>
          <w:lang w:val="ro-MD" w:eastAsia="en-US"/>
        </w:rPr>
        <w:t xml:space="preserve">), sărurile sale și compuși înrudiți cu </w:t>
      </w:r>
      <w:proofErr w:type="spellStart"/>
      <w:r w:rsidRPr="00067CBF">
        <w:rPr>
          <w:rFonts w:eastAsiaTheme="minorHAnsi"/>
          <w:sz w:val="26"/>
          <w:szCs w:val="26"/>
          <w:lang w:val="ro-MD" w:eastAsia="en-US"/>
        </w:rPr>
        <w:t>PFHxS</w:t>
      </w:r>
      <w:proofErr w:type="spellEnd"/>
      <w:r w:rsidRPr="00067CBF">
        <w:rPr>
          <w:rFonts w:eastAsiaTheme="minorHAnsi"/>
          <w:sz w:val="26"/>
          <w:szCs w:val="26"/>
          <w:lang w:val="ro-MD" w:eastAsia="en-US"/>
        </w:rPr>
        <w:t>”.</w:t>
      </w:r>
    </w:p>
    <w:p w14:paraId="217F6286" w14:textId="78FE8E91" w:rsidR="00A65603" w:rsidRPr="00067CBF" w:rsidRDefault="002160B9" w:rsidP="004C3A09">
      <w:pPr>
        <w:spacing w:line="276" w:lineRule="auto"/>
        <w:jc w:val="both"/>
        <w:rPr>
          <w:rFonts w:eastAsiaTheme="minorHAnsi"/>
          <w:sz w:val="26"/>
          <w:szCs w:val="26"/>
          <w:lang w:val="ro-RO" w:eastAsia="en-US"/>
        </w:rPr>
      </w:pPr>
      <w:r w:rsidRPr="00067CBF">
        <w:rPr>
          <w:rFonts w:eastAsiaTheme="minorHAnsi"/>
          <w:sz w:val="26"/>
          <w:szCs w:val="26"/>
          <w:lang w:val="ro-RO" w:eastAsia="en-US"/>
        </w:rPr>
        <w:t>1.</w:t>
      </w:r>
      <w:r w:rsidR="006B760E" w:rsidRPr="00067CBF">
        <w:rPr>
          <w:rFonts w:eastAsiaTheme="minorHAnsi"/>
          <w:sz w:val="26"/>
          <w:szCs w:val="26"/>
          <w:lang w:val="ro-RO" w:eastAsia="en-US"/>
        </w:rPr>
        <w:t>1</w:t>
      </w:r>
      <w:r w:rsidRPr="00067CBF">
        <w:rPr>
          <w:rFonts w:eastAsiaTheme="minorHAnsi"/>
          <w:sz w:val="26"/>
          <w:szCs w:val="26"/>
          <w:lang w:val="ro-RO" w:eastAsia="en-US"/>
        </w:rPr>
        <w:t>.</w:t>
      </w:r>
      <w:r w:rsidR="00C82B59" w:rsidRPr="00067CBF">
        <w:rPr>
          <w:rFonts w:eastAsiaTheme="minorHAnsi"/>
          <w:sz w:val="26"/>
          <w:szCs w:val="26"/>
          <w:lang w:val="ro-RO" w:eastAsia="en-US"/>
        </w:rPr>
        <w:t>7</w:t>
      </w:r>
      <w:r w:rsidRPr="00067CBF">
        <w:rPr>
          <w:rFonts w:eastAsiaTheme="minorHAnsi"/>
          <w:sz w:val="26"/>
          <w:szCs w:val="26"/>
          <w:lang w:val="ro-RO" w:eastAsia="en-US"/>
        </w:rPr>
        <w:t xml:space="preserve"> </w:t>
      </w:r>
      <w:r w:rsidR="00C82B59" w:rsidRPr="00067CBF">
        <w:rPr>
          <w:rFonts w:eastAsiaTheme="minorHAnsi"/>
          <w:sz w:val="26"/>
          <w:szCs w:val="26"/>
          <w:lang w:val="ro-RO" w:eastAsia="en-US"/>
        </w:rPr>
        <w:t xml:space="preserve">La Anexa nr. IV, </w:t>
      </w:r>
      <w:r w:rsidR="004C3A09" w:rsidRPr="00067CBF">
        <w:rPr>
          <w:rFonts w:eastAsiaTheme="minorHAnsi"/>
          <w:sz w:val="26"/>
          <w:szCs w:val="26"/>
          <w:lang w:val="ro-RO" w:eastAsia="en-US"/>
        </w:rPr>
        <w:t>not</w:t>
      </w:r>
      <w:r w:rsidR="00C82B59" w:rsidRPr="00067CBF">
        <w:rPr>
          <w:rFonts w:eastAsiaTheme="minorHAnsi"/>
          <w:sz w:val="26"/>
          <w:szCs w:val="26"/>
          <w:lang w:val="ro-RO" w:eastAsia="en-US"/>
        </w:rPr>
        <w:t>a de subsol nr. 3</w:t>
      </w:r>
      <w:r w:rsidR="00F26041" w:rsidRPr="00067CBF">
        <w:rPr>
          <w:rFonts w:eastAsiaTheme="minorHAnsi"/>
          <w:sz w:val="26"/>
          <w:szCs w:val="26"/>
          <w:lang w:val="ro-RO" w:eastAsia="en-US"/>
        </w:rPr>
        <w:t>,</w:t>
      </w:r>
      <w:r w:rsidR="004C3A09" w:rsidRPr="00067CBF">
        <w:rPr>
          <w:rFonts w:eastAsiaTheme="minorHAnsi"/>
          <w:sz w:val="26"/>
          <w:szCs w:val="26"/>
          <w:lang w:val="ro-RO" w:eastAsia="en-US"/>
        </w:rPr>
        <w:t xml:space="preserve"> va avea următorul cuprins. „ (3) </w:t>
      </w:r>
      <w:r w:rsidR="00F26041" w:rsidRPr="00067CBF">
        <w:rPr>
          <w:rFonts w:eastAsiaTheme="minorHAnsi"/>
          <w:sz w:val="26"/>
          <w:szCs w:val="26"/>
          <w:lang w:val="ro-RO" w:eastAsia="en-US"/>
        </w:rPr>
        <w:t>Se aplică metoda de calcul stabilită în standardele moldovenești armonizate cu standardele europene SM SR EN 12766-1:2012 și SM SR EN 12766-2:2012.”</w:t>
      </w:r>
    </w:p>
    <w:p w14:paraId="0F5AE85C" w14:textId="4B4C2459" w:rsidR="00BD749F" w:rsidRPr="00067CBF" w:rsidRDefault="00B05FEA" w:rsidP="00282C1A">
      <w:pPr>
        <w:spacing w:line="276" w:lineRule="auto"/>
        <w:jc w:val="both"/>
        <w:rPr>
          <w:rFonts w:eastAsiaTheme="minorHAnsi"/>
          <w:sz w:val="26"/>
          <w:szCs w:val="26"/>
          <w:lang w:val="ro-RO" w:eastAsia="en-US"/>
        </w:rPr>
      </w:pPr>
      <w:r w:rsidRPr="00067CBF">
        <w:rPr>
          <w:rFonts w:eastAsiaTheme="minorHAnsi"/>
          <w:sz w:val="26"/>
          <w:szCs w:val="26"/>
          <w:lang w:val="ro-RO" w:eastAsia="en-US"/>
        </w:rPr>
        <w:t>1.</w:t>
      </w:r>
      <w:r w:rsidR="006B760E" w:rsidRPr="00067CBF">
        <w:rPr>
          <w:rFonts w:eastAsiaTheme="minorHAnsi"/>
          <w:sz w:val="26"/>
          <w:szCs w:val="26"/>
          <w:lang w:val="ro-RO" w:eastAsia="en-US"/>
        </w:rPr>
        <w:t>1</w:t>
      </w:r>
      <w:r w:rsidRPr="00067CBF">
        <w:rPr>
          <w:rFonts w:eastAsiaTheme="minorHAnsi"/>
          <w:sz w:val="26"/>
          <w:szCs w:val="26"/>
          <w:lang w:val="ro-RO" w:eastAsia="en-US"/>
        </w:rPr>
        <w:t>.</w:t>
      </w:r>
      <w:r w:rsidR="00C82B59" w:rsidRPr="00067CBF">
        <w:rPr>
          <w:rFonts w:eastAsiaTheme="minorHAnsi"/>
          <w:sz w:val="26"/>
          <w:szCs w:val="26"/>
          <w:lang w:val="ro-RO" w:eastAsia="en-US"/>
        </w:rPr>
        <w:t>8</w:t>
      </w:r>
      <w:r w:rsidRPr="00067CBF">
        <w:rPr>
          <w:rFonts w:eastAsiaTheme="minorHAnsi"/>
          <w:sz w:val="26"/>
          <w:szCs w:val="26"/>
          <w:lang w:val="ro-RO" w:eastAsia="en-US"/>
        </w:rPr>
        <w:t xml:space="preserve">. </w:t>
      </w:r>
      <w:r w:rsidR="00C82B59" w:rsidRPr="00067CBF">
        <w:rPr>
          <w:rFonts w:eastAsiaTheme="minorHAnsi"/>
          <w:sz w:val="26"/>
          <w:szCs w:val="26"/>
          <w:lang w:val="ro-RO" w:eastAsia="en-US"/>
        </w:rPr>
        <w:t>La</w:t>
      </w:r>
      <w:r w:rsidR="00C76842" w:rsidRPr="00067CBF">
        <w:rPr>
          <w:rFonts w:eastAsiaTheme="minorHAnsi"/>
          <w:sz w:val="26"/>
          <w:szCs w:val="26"/>
          <w:lang w:val="ro-RO" w:eastAsia="en-US"/>
        </w:rPr>
        <w:t xml:space="preserve"> </w:t>
      </w:r>
      <w:r w:rsidR="00DB4272" w:rsidRPr="00067CBF">
        <w:rPr>
          <w:rFonts w:eastAsiaTheme="minorHAnsi"/>
          <w:sz w:val="26"/>
          <w:szCs w:val="26"/>
          <w:lang w:val="ro-RO" w:eastAsia="en-US"/>
        </w:rPr>
        <w:t>Anex</w:t>
      </w:r>
      <w:r w:rsidR="00C82B59" w:rsidRPr="00067CBF">
        <w:rPr>
          <w:rFonts w:eastAsiaTheme="minorHAnsi"/>
          <w:sz w:val="26"/>
          <w:szCs w:val="26"/>
          <w:lang w:val="ro-RO" w:eastAsia="en-US"/>
        </w:rPr>
        <w:t>a</w:t>
      </w:r>
      <w:r w:rsidR="00DB4272" w:rsidRPr="00067CBF">
        <w:rPr>
          <w:rFonts w:eastAsiaTheme="minorHAnsi"/>
          <w:sz w:val="26"/>
          <w:szCs w:val="26"/>
          <w:lang w:val="ro-RO" w:eastAsia="en-US"/>
        </w:rPr>
        <w:t xml:space="preserve"> nr. V,</w:t>
      </w:r>
      <w:r w:rsidR="00C76842" w:rsidRPr="00067CBF">
        <w:rPr>
          <w:rFonts w:eastAsiaTheme="minorHAnsi"/>
          <w:sz w:val="26"/>
          <w:szCs w:val="26"/>
          <w:lang w:val="ro-RO" w:eastAsia="en-US"/>
        </w:rPr>
        <w:t xml:space="preserve"> Partea </w:t>
      </w:r>
      <w:r w:rsidR="00C82B59" w:rsidRPr="00067CBF">
        <w:rPr>
          <w:rFonts w:eastAsiaTheme="minorHAnsi"/>
          <w:sz w:val="26"/>
          <w:szCs w:val="26"/>
          <w:lang w:val="ro-RO" w:eastAsia="en-US"/>
        </w:rPr>
        <w:t xml:space="preserve">a </w:t>
      </w:r>
      <w:r w:rsidR="00C76842" w:rsidRPr="00067CBF">
        <w:rPr>
          <w:rFonts w:eastAsiaTheme="minorHAnsi"/>
          <w:sz w:val="26"/>
          <w:szCs w:val="26"/>
          <w:lang w:val="ro-RO" w:eastAsia="en-US"/>
        </w:rPr>
        <w:t>2-a</w:t>
      </w:r>
      <w:r w:rsidR="00DB4272" w:rsidRPr="00067CBF">
        <w:rPr>
          <w:rFonts w:eastAsiaTheme="minorHAnsi"/>
          <w:sz w:val="26"/>
          <w:szCs w:val="26"/>
          <w:lang w:val="ro-RO" w:eastAsia="en-US"/>
        </w:rPr>
        <w:t xml:space="preserve">, </w:t>
      </w:r>
      <w:r w:rsidR="00C76842" w:rsidRPr="00067CBF">
        <w:rPr>
          <w:rFonts w:eastAsiaTheme="minorHAnsi"/>
          <w:sz w:val="26"/>
          <w:szCs w:val="26"/>
          <w:lang w:val="ro-RO" w:eastAsia="en-US"/>
        </w:rPr>
        <w:t xml:space="preserve">notele de subsol se reformulează </w:t>
      </w:r>
      <w:r w:rsidR="00BD749F" w:rsidRPr="00067CBF">
        <w:rPr>
          <w:rFonts w:eastAsiaTheme="minorHAnsi"/>
          <w:sz w:val="26"/>
          <w:szCs w:val="26"/>
          <w:lang w:val="ro-RO" w:eastAsia="en-US"/>
        </w:rPr>
        <w:t xml:space="preserve">în vederea corelării acestora cu substanțele </w:t>
      </w:r>
      <w:r w:rsidR="00D250EF" w:rsidRPr="00067CBF">
        <w:rPr>
          <w:rFonts w:eastAsiaTheme="minorHAnsi"/>
          <w:sz w:val="26"/>
          <w:szCs w:val="26"/>
          <w:lang w:val="ro-RO" w:eastAsia="en-US"/>
        </w:rPr>
        <w:t>corespunzătoare</w:t>
      </w:r>
      <w:r w:rsidR="00BD749F" w:rsidRPr="00067CBF">
        <w:rPr>
          <w:rFonts w:eastAsiaTheme="minorHAnsi"/>
          <w:sz w:val="26"/>
          <w:szCs w:val="26"/>
          <w:lang w:val="ro-RO" w:eastAsia="en-US"/>
        </w:rPr>
        <w:t>, după cum urmează:</w:t>
      </w:r>
    </w:p>
    <w:p w14:paraId="10BCC777" w14:textId="356AA2AB" w:rsidR="00F26041" w:rsidRPr="00067CBF" w:rsidRDefault="002C458F" w:rsidP="00282C1A">
      <w:pPr>
        <w:spacing w:line="276" w:lineRule="auto"/>
        <w:jc w:val="both"/>
        <w:rPr>
          <w:rFonts w:eastAsiaTheme="minorHAnsi"/>
          <w:sz w:val="26"/>
          <w:szCs w:val="26"/>
          <w:lang w:val="ro-RO" w:eastAsia="en-US"/>
        </w:rPr>
      </w:pPr>
      <w:r w:rsidRPr="00067CBF">
        <w:rPr>
          <w:bCs/>
          <w:sz w:val="26"/>
          <w:szCs w:val="26"/>
          <w:lang w:val="ro-RO"/>
        </w:rPr>
        <w:t xml:space="preserve">   - </w:t>
      </w:r>
      <w:r w:rsidRPr="00067CBF">
        <w:rPr>
          <w:rFonts w:eastAsiaTheme="minorHAnsi"/>
          <w:sz w:val="26"/>
          <w:szCs w:val="26"/>
          <w:lang w:val="ro-RO" w:eastAsia="en-US"/>
        </w:rPr>
        <w:t>În coloana 2, poziția „Concentrații limită maxime ale substanțelor prevăzute în Anexa nr. 4”, după cuvintele „Anexa nr. 4” se introduce semnul notei de subsol „(1)”</w:t>
      </w:r>
    </w:p>
    <w:p w14:paraId="25A4FFD1" w14:textId="0D54C6DD" w:rsidR="00BD749F" w:rsidRPr="00067CBF" w:rsidRDefault="002C458F" w:rsidP="00282C1A">
      <w:pPr>
        <w:spacing w:line="276" w:lineRule="auto"/>
        <w:jc w:val="both"/>
        <w:rPr>
          <w:rFonts w:eastAsiaTheme="minorHAnsi"/>
          <w:sz w:val="26"/>
          <w:szCs w:val="26"/>
          <w:lang w:val="ro-RO" w:eastAsia="en-US"/>
        </w:rPr>
      </w:pPr>
      <w:r w:rsidRPr="00067CBF">
        <w:rPr>
          <w:bCs/>
          <w:sz w:val="26"/>
          <w:szCs w:val="26"/>
          <w:lang w:val="ro-RO"/>
        </w:rPr>
        <w:t xml:space="preserve">  </w:t>
      </w:r>
      <w:r w:rsidRPr="00067CBF">
        <w:rPr>
          <w:rFonts w:eastAsiaTheme="minorHAnsi"/>
          <w:sz w:val="26"/>
          <w:szCs w:val="26"/>
          <w:lang w:val="ro-RO" w:eastAsia="en-US"/>
        </w:rPr>
        <w:t>- În coloana 2, după denumirea substanței „</w:t>
      </w:r>
      <w:proofErr w:type="spellStart"/>
      <w:r w:rsidRPr="00067CBF">
        <w:rPr>
          <w:rFonts w:eastAsiaTheme="minorHAnsi"/>
          <w:sz w:val="26"/>
          <w:szCs w:val="26"/>
          <w:lang w:val="ro-RO" w:eastAsia="en-US"/>
        </w:rPr>
        <w:t>Hexabromociclododecan</w:t>
      </w:r>
      <w:proofErr w:type="spellEnd"/>
      <w:r w:rsidRPr="00067CBF">
        <w:rPr>
          <w:rFonts w:eastAsiaTheme="minorHAnsi"/>
          <w:sz w:val="26"/>
          <w:szCs w:val="26"/>
          <w:lang w:val="ro-RO" w:eastAsia="en-US"/>
        </w:rPr>
        <w:t>”, se introduce semnul notei de subsol „(2)”</w:t>
      </w:r>
      <w:r w:rsidR="006B760E" w:rsidRPr="00067CBF">
        <w:rPr>
          <w:rFonts w:eastAsiaTheme="minorHAnsi"/>
          <w:sz w:val="26"/>
          <w:szCs w:val="26"/>
          <w:lang w:val="ro-RO" w:eastAsia="en-US"/>
        </w:rPr>
        <w:t>.</w:t>
      </w:r>
    </w:p>
    <w:p w14:paraId="6512B941" w14:textId="0F3264F6" w:rsidR="00A77FB4" w:rsidRPr="00067CBF" w:rsidRDefault="00A77FB4" w:rsidP="00A77FB4">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 xml:space="preserve">    - În coloana 2, după denumirea substanței „</w:t>
      </w:r>
      <w:proofErr w:type="spellStart"/>
      <w:r w:rsidRPr="00067CBF">
        <w:rPr>
          <w:rFonts w:eastAsiaTheme="minorHAnsi"/>
          <w:sz w:val="26"/>
          <w:szCs w:val="26"/>
          <w:lang w:eastAsia="en-US"/>
        </w:rPr>
        <w:t>Bifenili</w:t>
      </w:r>
      <w:proofErr w:type="spellEnd"/>
      <w:r w:rsidRPr="00067CBF">
        <w:rPr>
          <w:rFonts w:eastAsiaTheme="minorHAnsi"/>
          <w:sz w:val="26"/>
          <w:szCs w:val="26"/>
          <w:lang w:eastAsia="en-US"/>
        </w:rPr>
        <w:t xml:space="preserve"> </w:t>
      </w:r>
      <w:proofErr w:type="spellStart"/>
      <w:r w:rsidRPr="00067CBF">
        <w:rPr>
          <w:rFonts w:eastAsiaTheme="minorHAnsi"/>
          <w:sz w:val="26"/>
          <w:szCs w:val="26"/>
          <w:lang w:eastAsia="en-US"/>
        </w:rPr>
        <w:t>policloruraţi</w:t>
      </w:r>
      <w:proofErr w:type="spellEnd"/>
      <w:r w:rsidRPr="00067CBF">
        <w:rPr>
          <w:rFonts w:eastAsiaTheme="minorHAnsi"/>
          <w:sz w:val="26"/>
          <w:szCs w:val="26"/>
          <w:lang w:eastAsia="en-US"/>
        </w:rPr>
        <w:t xml:space="preserve"> (BPC)”, se introduce semnul notei de subsol „(3)”.</w:t>
      </w:r>
    </w:p>
    <w:p w14:paraId="1A59D8AB" w14:textId="31D73CDF" w:rsidR="00A77FB4" w:rsidRPr="00067CBF" w:rsidRDefault="00A77FB4" w:rsidP="00A77FB4">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 xml:space="preserve">     - În coloana 2, după denumirea substanței „Naftaline </w:t>
      </w:r>
      <w:proofErr w:type="spellStart"/>
      <w:r w:rsidRPr="00067CBF">
        <w:rPr>
          <w:rFonts w:eastAsiaTheme="minorHAnsi"/>
          <w:sz w:val="26"/>
          <w:szCs w:val="26"/>
          <w:lang w:eastAsia="en-US"/>
        </w:rPr>
        <w:t>policlorurate</w:t>
      </w:r>
      <w:proofErr w:type="spellEnd"/>
      <w:r w:rsidRPr="00067CBF">
        <w:rPr>
          <w:rFonts w:eastAsiaTheme="minorHAnsi"/>
          <w:sz w:val="26"/>
          <w:szCs w:val="26"/>
          <w:lang w:eastAsia="en-US"/>
        </w:rPr>
        <w:t>”, se introduce semnul notei de subsol „(4)”.</w:t>
      </w:r>
    </w:p>
    <w:p w14:paraId="5752195A" w14:textId="5027437C" w:rsidR="00A77FB4" w:rsidRPr="00067CBF" w:rsidRDefault="00A77FB4" w:rsidP="00A77FB4">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1.</w:t>
      </w:r>
      <w:r w:rsidR="006B760E" w:rsidRPr="00067CBF">
        <w:rPr>
          <w:rFonts w:eastAsiaTheme="minorHAnsi"/>
          <w:sz w:val="26"/>
          <w:szCs w:val="26"/>
          <w:lang w:eastAsia="en-US"/>
        </w:rPr>
        <w:t>1</w:t>
      </w:r>
      <w:r w:rsidRPr="00067CBF">
        <w:rPr>
          <w:rFonts w:eastAsiaTheme="minorHAnsi"/>
          <w:sz w:val="26"/>
          <w:szCs w:val="26"/>
          <w:lang w:eastAsia="en-US"/>
        </w:rPr>
        <w:t>.</w:t>
      </w:r>
      <w:r w:rsidR="006B760E" w:rsidRPr="00067CBF">
        <w:rPr>
          <w:rFonts w:eastAsiaTheme="minorHAnsi"/>
          <w:sz w:val="26"/>
          <w:szCs w:val="26"/>
          <w:lang w:eastAsia="en-US"/>
        </w:rPr>
        <w:t>9.</w:t>
      </w:r>
      <w:r w:rsidRPr="00067CBF">
        <w:rPr>
          <w:rFonts w:eastAsiaTheme="minorHAnsi"/>
          <w:sz w:val="26"/>
          <w:szCs w:val="26"/>
          <w:lang w:eastAsia="en-US"/>
        </w:rPr>
        <w:t xml:space="preserve"> </w:t>
      </w:r>
      <w:r w:rsidR="002C458F" w:rsidRPr="00067CBF">
        <w:rPr>
          <w:rFonts w:eastAsiaTheme="minorHAnsi"/>
          <w:sz w:val="26"/>
          <w:szCs w:val="26"/>
          <w:lang w:eastAsia="en-US"/>
        </w:rPr>
        <w:t>Notele de subsol vor avea următorul cuprins:</w:t>
      </w:r>
    </w:p>
    <w:p w14:paraId="0B76A9F8" w14:textId="008345F9" w:rsidR="00A77FB4" w:rsidRPr="00067CBF" w:rsidRDefault="00A77FB4" w:rsidP="005C0C29">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w:t>
      </w:r>
      <w:r w:rsidR="002C458F" w:rsidRPr="00067CBF">
        <w:rPr>
          <w:rFonts w:eastAsiaTheme="minorHAnsi"/>
          <w:sz w:val="26"/>
          <w:szCs w:val="26"/>
          <w:lang w:eastAsia="en-US"/>
        </w:rPr>
        <w:t>(1)</w:t>
      </w:r>
      <w:r w:rsidRPr="00067CBF">
        <w:rPr>
          <w:rFonts w:eastAsiaTheme="minorHAnsi"/>
          <w:sz w:val="26"/>
          <w:szCs w:val="26"/>
          <w:lang w:eastAsia="en-US"/>
        </w:rPr>
        <w:t xml:space="preserve"> </w:t>
      </w:r>
      <w:r w:rsidRPr="00067CBF">
        <w:rPr>
          <w:rFonts w:eastAsiaTheme="minorHAnsi" w:hint="eastAsia"/>
          <w:sz w:val="26"/>
          <w:szCs w:val="26"/>
          <w:lang w:eastAsia="en-US"/>
        </w:rPr>
        <w:t>Aceste limite se aplică exclusiv unui depozit de de</w:t>
      </w:r>
      <w:r w:rsidRPr="00067CBF">
        <w:rPr>
          <w:rFonts w:eastAsiaTheme="minorHAnsi"/>
          <w:sz w:val="26"/>
          <w:szCs w:val="26"/>
          <w:lang w:eastAsia="en-US"/>
        </w:rPr>
        <w:t>ș</w:t>
      </w:r>
      <w:r w:rsidRPr="00067CBF">
        <w:rPr>
          <w:rFonts w:eastAsiaTheme="minorHAnsi" w:hint="eastAsia"/>
          <w:sz w:val="26"/>
          <w:szCs w:val="26"/>
          <w:lang w:eastAsia="en-US"/>
        </w:rPr>
        <w:t xml:space="preserve">euri periculoase </w:t>
      </w:r>
      <w:r w:rsidRPr="00067CBF">
        <w:rPr>
          <w:rFonts w:eastAsiaTheme="minorHAnsi"/>
          <w:sz w:val="26"/>
          <w:szCs w:val="26"/>
          <w:lang w:eastAsia="en-US"/>
        </w:rPr>
        <w:t>ș</w:t>
      </w:r>
      <w:r w:rsidRPr="00067CBF">
        <w:rPr>
          <w:rFonts w:eastAsiaTheme="minorHAnsi" w:hint="eastAsia"/>
          <w:sz w:val="26"/>
          <w:szCs w:val="26"/>
          <w:lang w:eastAsia="en-US"/>
        </w:rPr>
        <w:t>i nu se aplică instala</w:t>
      </w:r>
      <w:r w:rsidRPr="00067CBF">
        <w:rPr>
          <w:rFonts w:eastAsiaTheme="minorHAnsi"/>
          <w:sz w:val="26"/>
          <w:szCs w:val="26"/>
          <w:lang w:eastAsia="en-US"/>
        </w:rPr>
        <w:t>ț</w:t>
      </w:r>
      <w:r w:rsidRPr="00067CBF">
        <w:rPr>
          <w:rFonts w:eastAsiaTheme="minorHAnsi" w:hint="eastAsia"/>
          <w:sz w:val="26"/>
          <w:szCs w:val="26"/>
          <w:lang w:eastAsia="en-US"/>
        </w:rPr>
        <w:t>iilor de depozitare subterană permanentă a de</w:t>
      </w:r>
      <w:r w:rsidRPr="00067CBF">
        <w:rPr>
          <w:rFonts w:eastAsiaTheme="minorHAnsi"/>
          <w:sz w:val="26"/>
          <w:szCs w:val="26"/>
          <w:lang w:eastAsia="en-US"/>
        </w:rPr>
        <w:t>ș</w:t>
      </w:r>
      <w:r w:rsidRPr="00067CBF">
        <w:rPr>
          <w:rFonts w:eastAsiaTheme="minorHAnsi" w:hint="eastAsia"/>
          <w:sz w:val="26"/>
          <w:szCs w:val="26"/>
          <w:lang w:eastAsia="en-US"/>
        </w:rPr>
        <w:t xml:space="preserve">eurilor periculoase </w:t>
      </w:r>
      <w:r w:rsidRPr="00067CBF">
        <w:rPr>
          <w:rFonts w:eastAsiaTheme="minorHAnsi"/>
          <w:sz w:val="26"/>
          <w:szCs w:val="26"/>
          <w:lang w:eastAsia="en-US"/>
        </w:rPr>
        <w:t>ș</w:t>
      </w:r>
      <w:r w:rsidRPr="00067CBF">
        <w:rPr>
          <w:rFonts w:eastAsiaTheme="minorHAnsi" w:hint="eastAsia"/>
          <w:sz w:val="26"/>
          <w:szCs w:val="26"/>
          <w:lang w:eastAsia="en-US"/>
        </w:rPr>
        <w:t>i nici minelor de sare</w:t>
      </w:r>
      <w:r w:rsidR="002C458F" w:rsidRPr="00067CBF">
        <w:rPr>
          <w:rFonts w:eastAsiaTheme="minorHAnsi"/>
          <w:sz w:val="26"/>
          <w:szCs w:val="26"/>
          <w:lang w:eastAsia="en-US"/>
        </w:rPr>
        <w:t>;</w:t>
      </w:r>
      <w:r w:rsidRPr="00067CBF">
        <w:rPr>
          <w:rFonts w:eastAsiaTheme="minorHAnsi"/>
          <w:sz w:val="26"/>
          <w:szCs w:val="26"/>
          <w:lang w:eastAsia="en-US"/>
        </w:rPr>
        <w:t>”</w:t>
      </w:r>
    </w:p>
    <w:p w14:paraId="752E3AD7" w14:textId="69F385AB" w:rsidR="00A77FB4" w:rsidRPr="00067CBF" w:rsidRDefault="00A77FB4" w:rsidP="005C0C29">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w:t>
      </w:r>
      <w:r w:rsidR="002C458F" w:rsidRPr="00067CBF">
        <w:rPr>
          <w:rFonts w:eastAsiaTheme="minorHAnsi"/>
          <w:sz w:val="26"/>
          <w:szCs w:val="26"/>
          <w:lang w:eastAsia="en-US"/>
        </w:rPr>
        <w:t>(2)</w:t>
      </w:r>
      <w:r w:rsidRPr="00067CBF">
        <w:rPr>
          <w:rFonts w:eastAsiaTheme="minorHAnsi"/>
          <w:sz w:val="26"/>
          <w:szCs w:val="26"/>
          <w:lang w:eastAsia="en-US"/>
        </w:rPr>
        <w:t xml:space="preserve"> „</w:t>
      </w:r>
      <w:proofErr w:type="spellStart"/>
      <w:r w:rsidRPr="00067CBF">
        <w:rPr>
          <w:rFonts w:eastAsiaTheme="minorHAnsi"/>
          <w:sz w:val="26"/>
          <w:szCs w:val="26"/>
          <w:lang w:eastAsia="en-US"/>
        </w:rPr>
        <w:t>Hexabromociclododecan</w:t>
      </w:r>
      <w:proofErr w:type="spellEnd"/>
      <w:r w:rsidRPr="00067CBF">
        <w:rPr>
          <w:rFonts w:eastAsiaTheme="minorHAnsi"/>
          <w:sz w:val="26"/>
          <w:szCs w:val="26"/>
          <w:lang w:eastAsia="en-US"/>
        </w:rPr>
        <w:t xml:space="preserve">” înseamnă </w:t>
      </w:r>
      <w:proofErr w:type="spellStart"/>
      <w:r w:rsidRPr="00067CBF">
        <w:rPr>
          <w:rFonts w:eastAsiaTheme="minorHAnsi"/>
          <w:sz w:val="26"/>
          <w:szCs w:val="26"/>
          <w:lang w:eastAsia="en-US"/>
        </w:rPr>
        <w:t>hexabromociclododecan</w:t>
      </w:r>
      <w:proofErr w:type="spellEnd"/>
      <w:r w:rsidRPr="00067CBF">
        <w:rPr>
          <w:rFonts w:eastAsiaTheme="minorHAnsi"/>
          <w:sz w:val="26"/>
          <w:szCs w:val="26"/>
          <w:lang w:eastAsia="en-US"/>
        </w:rPr>
        <w:t xml:space="preserve">, 1,2,5,6,9,10-hexabromociclododecan și principalii săi </w:t>
      </w:r>
      <w:proofErr w:type="spellStart"/>
      <w:r w:rsidRPr="00067CBF">
        <w:rPr>
          <w:rFonts w:eastAsiaTheme="minorHAnsi"/>
          <w:sz w:val="26"/>
          <w:szCs w:val="26"/>
          <w:lang w:eastAsia="en-US"/>
        </w:rPr>
        <w:t>diastereoi</w:t>
      </w:r>
      <w:proofErr w:type="spellEnd"/>
      <w:r w:rsidRPr="00067CBF">
        <w:rPr>
          <w:rFonts w:eastAsiaTheme="minorHAnsi"/>
          <w:sz w:val="26"/>
          <w:szCs w:val="26"/>
          <w:lang w:eastAsia="en-US"/>
        </w:rPr>
        <w:t xml:space="preserve"> </w:t>
      </w:r>
      <w:proofErr w:type="spellStart"/>
      <w:r w:rsidRPr="00067CBF">
        <w:rPr>
          <w:rFonts w:eastAsiaTheme="minorHAnsi"/>
          <w:sz w:val="26"/>
          <w:szCs w:val="26"/>
          <w:lang w:eastAsia="en-US"/>
        </w:rPr>
        <w:t>zomeri</w:t>
      </w:r>
      <w:proofErr w:type="spellEnd"/>
      <w:r w:rsidRPr="00067CBF">
        <w:rPr>
          <w:rFonts w:eastAsiaTheme="minorHAnsi"/>
          <w:sz w:val="26"/>
          <w:szCs w:val="26"/>
          <w:lang w:eastAsia="en-US"/>
        </w:rPr>
        <w:t>: alfa-</w:t>
      </w:r>
      <w:proofErr w:type="spellStart"/>
      <w:r w:rsidRPr="00067CBF">
        <w:rPr>
          <w:rFonts w:eastAsiaTheme="minorHAnsi"/>
          <w:sz w:val="26"/>
          <w:szCs w:val="26"/>
          <w:lang w:eastAsia="en-US"/>
        </w:rPr>
        <w:t>hexabromociclododecan</w:t>
      </w:r>
      <w:proofErr w:type="spellEnd"/>
      <w:r w:rsidRPr="00067CBF">
        <w:rPr>
          <w:rFonts w:eastAsiaTheme="minorHAnsi"/>
          <w:sz w:val="26"/>
          <w:szCs w:val="26"/>
          <w:lang w:eastAsia="en-US"/>
        </w:rPr>
        <w:t>, beta-</w:t>
      </w:r>
      <w:proofErr w:type="spellStart"/>
      <w:r w:rsidRPr="00067CBF">
        <w:rPr>
          <w:rFonts w:eastAsiaTheme="minorHAnsi"/>
          <w:sz w:val="26"/>
          <w:szCs w:val="26"/>
          <w:lang w:eastAsia="en-US"/>
        </w:rPr>
        <w:t>hexabromociclododecan</w:t>
      </w:r>
      <w:proofErr w:type="spellEnd"/>
      <w:r w:rsidRPr="00067CBF">
        <w:rPr>
          <w:rFonts w:eastAsiaTheme="minorHAnsi"/>
          <w:sz w:val="26"/>
          <w:szCs w:val="26"/>
          <w:lang w:eastAsia="en-US"/>
        </w:rPr>
        <w:t xml:space="preserve"> și gama-</w:t>
      </w:r>
      <w:proofErr w:type="spellStart"/>
      <w:r w:rsidRPr="00067CBF">
        <w:rPr>
          <w:rFonts w:eastAsiaTheme="minorHAnsi"/>
          <w:sz w:val="26"/>
          <w:szCs w:val="26"/>
          <w:lang w:eastAsia="en-US"/>
        </w:rPr>
        <w:t>hexabromociclododecan</w:t>
      </w:r>
      <w:proofErr w:type="spellEnd"/>
      <w:r w:rsidR="002C458F" w:rsidRPr="00067CBF">
        <w:rPr>
          <w:rFonts w:eastAsiaTheme="minorHAnsi"/>
          <w:sz w:val="26"/>
          <w:szCs w:val="26"/>
          <w:lang w:eastAsia="en-US"/>
        </w:rPr>
        <w:t>;</w:t>
      </w:r>
      <w:r w:rsidR="00C82B59" w:rsidRPr="00067CBF">
        <w:rPr>
          <w:rFonts w:eastAsiaTheme="minorHAnsi"/>
          <w:sz w:val="26"/>
          <w:szCs w:val="26"/>
          <w:lang w:eastAsia="en-US"/>
        </w:rPr>
        <w:t>”</w:t>
      </w:r>
    </w:p>
    <w:p w14:paraId="0A8738EE" w14:textId="04B95329" w:rsidR="00A77FB4" w:rsidRPr="00067CBF" w:rsidRDefault="00A77FB4" w:rsidP="00067CBF">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 xml:space="preserve"> </w:t>
      </w:r>
      <w:r w:rsidR="00C82B59" w:rsidRPr="00067CBF">
        <w:rPr>
          <w:rFonts w:eastAsiaTheme="minorHAnsi"/>
          <w:sz w:val="26"/>
          <w:szCs w:val="26"/>
          <w:lang w:eastAsia="en-US"/>
        </w:rPr>
        <w:t>,,</w:t>
      </w:r>
      <w:r w:rsidR="002C458F" w:rsidRPr="00067CBF">
        <w:rPr>
          <w:rFonts w:eastAsiaTheme="minorHAnsi"/>
          <w:sz w:val="26"/>
          <w:szCs w:val="26"/>
          <w:lang w:eastAsia="en-US"/>
        </w:rPr>
        <w:t>(3)</w:t>
      </w:r>
      <w:r w:rsidRPr="00067CBF">
        <w:rPr>
          <w:rFonts w:eastAsiaTheme="minorHAnsi"/>
          <w:sz w:val="26"/>
          <w:szCs w:val="26"/>
          <w:lang w:eastAsia="en-US"/>
        </w:rPr>
        <w:t xml:space="preserve"> Se aplică metoda de calcul stabilită în standardele moldovenești armonizate cu standardele europene SM SR EN 12766-1:2012 și SM SR  EN 12766-2:2012.</w:t>
      </w:r>
      <w:r w:rsidR="00C82B59" w:rsidRPr="00067CBF">
        <w:rPr>
          <w:rFonts w:eastAsiaTheme="minorHAnsi"/>
          <w:sz w:val="26"/>
          <w:szCs w:val="26"/>
          <w:lang w:eastAsia="en-US"/>
        </w:rPr>
        <w:t>”</w:t>
      </w:r>
    </w:p>
    <w:p w14:paraId="6F51EBCE" w14:textId="7FAE618B" w:rsidR="00BD749F" w:rsidRPr="00067CBF" w:rsidRDefault="00A77FB4" w:rsidP="00067CBF">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eastAsia="en-US"/>
        </w:rPr>
        <w:t xml:space="preserve"> </w:t>
      </w:r>
      <w:r w:rsidR="00C82B59" w:rsidRPr="00067CBF">
        <w:rPr>
          <w:rFonts w:eastAsiaTheme="minorHAnsi"/>
          <w:sz w:val="26"/>
          <w:szCs w:val="26"/>
          <w:lang w:eastAsia="en-US"/>
        </w:rPr>
        <w:t>,,</w:t>
      </w:r>
      <w:r w:rsidR="002C458F" w:rsidRPr="00067CBF">
        <w:rPr>
          <w:rFonts w:eastAsiaTheme="minorHAnsi"/>
          <w:sz w:val="26"/>
          <w:szCs w:val="26"/>
          <w:lang w:eastAsia="en-US"/>
        </w:rPr>
        <w:t>(4)</w:t>
      </w:r>
      <w:r w:rsidRPr="00067CBF">
        <w:rPr>
          <w:rFonts w:eastAsiaTheme="minorHAnsi"/>
          <w:sz w:val="26"/>
          <w:szCs w:val="26"/>
          <w:lang w:eastAsia="en-US"/>
        </w:rPr>
        <w:t xml:space="preserve"> Toate deșeurile marcate cu un asterisc „*” sunt considerate deșeuri periculoase în conformitate cu Lista deșeurilor, aprobată prin Hotărârea Guvernului nr. 99/2018</w:t>
      </w:r>
      <w:r w:rsidR="00C82B59" w:rsidRPr="00067CBF">
        <w:rPr>
          <w:rFonts w:eastAsiaTheme="minorHAnsi"/>
          <w:sz w:val="26"/>
          <w:szCs w:val="26"/>
          <w:lang w:eastAsia="en-US"/>
        </w:rPr>
        <w:t>.”</w:t>
      </w:r>
    </w:p>
    <w:p w14:paraId="6C0B3EBD" w14:textId="35862002" w:rsidR="00067CBF" w:rsidRPr="00067CBF" w:rsidRDefault="004F34FE" w:rsidP="00067CBF">
      <w:pPr>
        <w:pStyle w:val="df3vjf"/>
        <w:spacing w:before="0" w:beforeAutospacing="0" w:after="0" w:afterAutospacing="0" w:line="360" w:lineRule="atLeast"/>
        <w:jc w:val="both"/>
        <w:rPr>
          <w:rFonts w:eastAsiaTheme="minorHAnsi"/>
          <w:sz w:val="26"/>
          <w:szCs w:val="26"/>
          <w:lang w:eastAsia="en-US"/>
        </w:rPr>
      </w:pPr>
      <w:r w:rsidRPr="00067CBF">
        <w:rPr>
          <w:rFonts w:eastAsiaTheme="minorHAnsi"/>
          <w:sz w:val="26"/>
          <w:szCs w:val="26"/>
          <w:lang w:val="ro-MD" w:eastAsia="en-US"/>
        </w:rPr>
        <w:t>2. Prezenta hotărâre intră în vigoare la expirarea a 6 luni de la data publicării în Monitorul Oficial al Republicii Moldova.</w:t>
      </w:r>
    </w:p>
    <w:p w14:paraId="70414A5E" w14:textId="77777777" w:rsidR="005C0C29" w:rsidRDefault="005C0C29" w:rsidP="00282C1A">
      <w:pPr>
        <w:spacing w:line="276" w:lineRule="auto"/>
        <w:jc w:val="both"/>
        <w:rPr>
          <w:b/>
          <w:sz w:val="28"/>
          <w:szCs w:val="28"/>
          <w:lang w:val="ro-RO"/>
        </w:rPr>
      </w:pPr>
    </w:p>
    <w:p w14:paraId="36A96ABA" w14:textId="09B7EE65" w:rsidR="004A3751" w:rsidRPr="006D4618" w:rsidRDefault="004A3751" w:rsidP="00282C1A">
      <w:pPr>
        <w:spacing w:line="276" w:lineRule="auto"/>
        <w:jc w:val="both"/>
        <w:rPr>
          <w:b/>
          <w:sz w:val="28"/>
          <w:szCs w:val="28"/>
          <w:lang w:val="ro-RO"/>
        </w:rPr>
      </w:pPr>
      <w:r w:rsidRPr="00DB4272">
        <w:rPr>
          <w:b/>
          <w:sz w:val="28"/>
          <w:szCs w:val="28"/>
          <w:lang w:val="ro-RO"/>
        </w:rPr>
        <w:t xml:space="preserve">Prim-ministru </w:t>
      </w:r>
      <w:r w:rsidRPr="00DB4272">
        <w:rPr>
          <w:b/>
          <w:sz w:val="28"/>
          <w:szCs w:val="28"/>
          <w:lang w:val="ro-RO"/>
        </w:rPr>
        <w:tab/>
      </w:r>
      <w:r w:rsidRPr="00DB4272">
        <w:rPr>
          <w:b/>
          <w:sz w:val="28"/>
          <w:szCs w:val="28"/>
          <w:lang w:val="ro-RO"/>
        </w:rPr>
        <w:tab/>
      </w:r>
      <w:r w:rsidRPr="00DB4272">
        <w:rPr>
          <w:b/>
          <w:sz w:val="28"/>
          <w:szCs w:val="28"/>
          <w:lang w:val="ro-RO"/>
        </w:rPr>
        <w:tab/>
      </w:r>
      <w:r w:rsidRPr="00DB4272">
        <w:rPr>
          <w:b/>
          <w:sz w:val="28"/>
          <w:szCs w:val="28"/>
          <w:lang w:val="ro-RO"/>
        </w:rPr>
        <w:tab/>
      </w:r>
      <w:r w:rsidRPr="00DB4272">
        <w:rPr>
          <w:b/>
          <w:sz w:val="28"/>
          <w:szCs w:val="28"/>
          <w:lang w:val="ro-RO"/>
        </w:rPr>
        <w:tab/>
      </w:r>
      <w:r w:rsidR="007C4999" w:rsidRPr="00DB4272">
        <w:rPr>
          <w:b/>
          <w:sz w:val="28"/>
          <w:szCs w:val="28"/>
          <w:lang w:val="ro-RO"/>
        </w:rPr>
        <w:t xml:space="preserve">            Alexandru MUNTEANU</w:t>
      </w:r>
      <w:r w:rsidRPr="00DB4272">
        <w:rPr>
          <w:b/>
          <w:sz w:val="28"/>
          <w:szCs w:val="28"/>
          <w:lang w:val="ro-RO"/>
        </w:rPr>
        <w:tab/>
      </w:r>
      <w:r w:rsidR="006403C0" w:rsidRPr="00DB4272">
        <w:rPr>
          <w:b/>
          <w:sz w:val="28"/>
          <w:szCs w:val="28"/>
          <w:lang w:val="ro-RO"/>
        </w:rPr>
        <w:t xml:space="preserve">                      </w:t>
      </w:r>
    </w:p>
    <w:p w14:paraId="1C7028E8" w14:textId="3FBE6138" w:rsidR="004A3751" w:rsidRPr="001347D1" w:rsidRDefault="001347D1" w:rsidP="00282C1A">
      <w:pPr>
        <w:spacing w:line="276" w:lineRule="auto"/>
        <w:jc w:val="both"/>
        <w:rPr>
          <w:bCs/>
          <w:i/>
          <w:iCs/>
          <w:sz w:val="28"/>
          <w:szCs w:val="28"/>
          <w:lang w:val="ro-RO"/>
        </w:rPr>
      </w:pPr>
      <w:r w:rsidRPr="001347D1">
        <w:rPr>
          <w:bCs/>
          <w:i/>
          <w:iCs/>
          <w:sz w:val="28"/>
          <w:szCs w:val="28"/>
          <w:lang w:val="ro-RO"/>
        </w:rPr>
        <w:t>Contrasemnează</w:t>
      </w:r>
      <w:r>
        <w:rPr>
          <w:bCs/>
          <w:i/>
          <w:iCs/>
          <w:sz w:val="28"/>
          <w:szCs w:val="28"/>
          <w:lang w:val="ro-RO"/>
        </w:rPr>
        <w:t>:</w:t>
      </w:r>
    </w:p>
    <w:p w14:paraId="3CABF438" w14:textId="37B089C6" w:rsidR="008A5E1A" w:rsidRPr="006D4618" w:rsidRDefault="004A3751" w:rsidP="00282C1A">
      <w:pPr>
        <w:spacing w:after="80" w:line="276" w:lineRule="auto"/>
        <w:jc w:val="both"/>
        <w:rPr>
          <w:sz w:val="28"/>
          <w:szCs w:val="28"/>
          <w:lang w:val="ro-RO"/>
        </w:rPr>
      </w:pPr>
      <w:r w:rsidRPr="006D4618">
        <w:rPr>
          <w:sz w:val="28"/>
          <w:szCs w:val="28"/>
          <w:lang w:val="ro-RO"/>
        </w:rPr>
        <w:t>Ministrul mediului</w:t>
      </w:r>
      <w:r w:rsidR="008A5E1A" w:rsidRPr="006D4618">
        <w:rPr>
          <w:sz w:val="28"/>
          <w:szCs w:val="28"/>
          <w:lang w:val="ro-RO"/>
        </w:rPr>
        <w:t xml:space="preserve">                                                                      </w:t>
      </w:r>
      <w:r w:rsidR="00B66FA9">
        <w:rPr>
          <w:sz w:val="28"/>
          <w:szCs w:val="28"/>
          <w:lang w:val="ro-RO"/>
        </w:rPr>
        <w:t>Gheorghi HAJDER</w:t>
      </w:r>
    </w:p>
    <w:sectPr w:rsidR="008A5E1A" w:rsidRPr="006D4618" w:rsidSect="00B2206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375A" w14:textId="77777777" w:rsidR="00FC2AF2" w:rsidRDefault="00FC2AF2" w:rsidP="00E15A16">
      <w:r>
        <w:separator/>
      </w:r>
    </w:p>
  </w:endnote>
  <w:endnote w:type="continuationSeparator" w:id="0">
    <w:p w14:paraId="122A99BB" w14:textId="77777777" w:rsidR="00FC2AF2" w:rsidRDefault="00FC2AF2" w:rsidP="00E1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E5AD" w14:textId="77777777" w:rsidR="00FC2AF2" w:rsidRDefault="00FC2AF2" w:rsidP="00E15A16">
      <w:r>
        <w:separator/>
      </w:r>
    </w:p>
  </w:footnote>
  <w:footnote w:type="continuationSeparator" w:id="0">
    <w:p w14:paraId="5BDFD4D0" w14:textId="77777777" w:rsidR="00FC2AF2" w:rsidRDefault="00FC2AF2" w:rsidP="00E15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704"/>
    <w:multiLevelType w:val="hybridMultilevel"/>
    <w:tmpl w:val="EBCA447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2C2474"/>
    <w:multiLevelType w:val="hybridMultilevel"/>
    <w:tmpl w:val="9050BB5C"/>
    <w:lvl w:ilvl="0" w:tplc="A1BA0C42">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A5666D"/>
    <w:multiLevelType w:val="hybridMultilevel"/>
    <w:tmpl w:val="CAA235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033BEB"/>
    <w:multiLevelType w:val="hybridMultilevel"/>
    <w:tmpl w:val="EE5E24F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FB51708"/>
    <w:multiLevelType w:val="hybridMultilevel"/>
    <w:tmpl w:val="D6004830"/>
    <w:lvl w:ilvl="0" w:tplc="FDB012F6">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83A13"/>
    <w:multiLevelType w:val="hybridMultilevel"/>
    <w:tmpl w:val="96B8AF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560385"/>
    <w:multiLevelType w:val="hybridMultilevel"/>
    <w:tmpl w:val="674422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4D962BB"/>
    <w:multiLevelType w:val="hybridMultilevel"/>
    <w:tmpl w:val="B2AE2DA2"/>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1EB4C0B"/>
    <w:multiLevelType w:val="hybridMultilevel"/>
    <w:tmpl w:val="792896DC"/>
    <w:lvl w:ilvl="0" w:tplc="0818000F">
      <w:start w:val="2"/>
      <w:numFmt w:val="decimal"/>
      <w:lvlText w:val="%1."/>
      <w:lvlJc w:val="left"/>
      <w:pPr>
        <w:ind w:left="720" w:hanging="360"/>
      </w:pPr>
      <w:rPr>
        <w:rFonts w:eastAsia="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2B0472E"/>
    <w:multiLevelType w:val="hybridMultilevel"/>
    <w:tmpl w:val="DD583D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E62CF3"/>
    <w:multiLevelType w:val="hybridMultilevel"/>
    <w:tmpl w:val="88049D22"/>
    <w:lvl w:ilvl="0" w:tplc="C39607DA">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11" w15:restartNumberingAfterBreak="0">
    <w:nsid w:val="38C3520D"/>
    <w:multiLevelType w:val="hybridMultilevel"/>
    <w:tmpl w:val="5844B9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E893FC3"/>
    <w:multiLevelType w:val="hybridMultilevel"/>
    <w:tmpl w:val="F370A30E"/>
    <w:lvl w:ilvl="0" w:tplc="D1064C32">
      <w:start w:val="1"/>
      <w:numFmt w:val="decimal"/>
      <w:lvlText w:val="(%1)"/>
      <w:lvlJc w:val="left"/>
      <w:pPr>
        <w:ind w:left="1069" w:hanging="360"/>
      </w:pPr>
      <w:rPr>
        <w:rFonts w:hint="default"/>
        <w:b w:val="0"/>
        <w:bCs w:val="0"/>
        <w:vertAlign w:val="superscrip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FEB5178"/>
    <w:multiLevelType w:val="hybridMultilevel"/>
    <w:tmpl w:val="A4BA1F0E"/>
    <w:lvl w:ilvl="0" w:tplc="08180011">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33E75CB"/>
    <w:multiLevelType w:val="multilevel"/>
    <w:tmpl w:val="8E7C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4225D4"/>
    <w:multiLevelType w:val="multilevel"/>
    <w:tmpl w:val="E598AE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07F58CA"/>
    <w:multiLevelType w:val="multilevel"/>
    <w:tmpl w:val="03A6793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1336B0"/>
    <w:multiLevelType w:val="hybridMultilevel"/>
    <w:tmpl w:val="1EBC9C86"/>
    <w:lvl w:ilvl="0" w:tplc="8B860D5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54174DE2"/>
    <w:multiLevelType w:val="hybridMultilevel"/>
    <w:tmpl w:val="CC1002E0"/>
    <w:lvl w:ilvl="0" w:tplc="962EF68E">
      <w:start w:val="1"/>
      <w:numFmt w:val="decimal"/>
      <w:lvlText w:val="%1."/>
      <w:lvlJc w:val="left"/>
      <w:pPr>
        <w:ind w:left="1211" w:hanging="360"/>
      </w:pPr>
      <w:rPr>
        <w:rFonts w:hint="default"/>
        <w:b/>
        <w:sz w:val="28"/>
        <w:szCs w:val="28"/>
      </w:rPr>
    </w:lvl>
    <w:lvl w:ilvl="1" w:tplc="04190019">
      <w:start w:val="1"/>
      <w:numFmt w:val="lowerLetter"/>
      <w:lvlText w:val="%2."/>
      <w:lvlJc w:val="left"/>
      <w:pPr>
        <w:ind w:left="319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F51F62"/>
    <w:multiLevelType w:val="hybridMultilevel"/>
    <w:tmpl w:val="D780C0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C975A67"/>
    <w:multiLevelType w:val="multilevel"/>
    <w:tmpl w:val="EB48E834"/>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5D53140A"/>
    <w:multiLevelType w:val="hybridMultilevel"/>
    <w:tmpl w:val="D3A88EC2"/>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E5B06AD"/>
    <w:multiLevelType w:val="hybridMultilevel"/>
    <w:tmpl w:val="19B238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658176A"/>
    <w:multiLevelType w:val="hybridMultilevel"/>
    <w:tmpl w:val="0324E4BE"/>
    <w:lvl w:ilvl="0" w:tplc="0934729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853B3"/>
    <w:multiLevelType w:val="hybridMultilevel"/>
    <w:tmpl w:val="ED5A252C"/>
    <w:lvl w:ilvl="0" w:tplc="229404E4">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5" w15:restartNumberingAfterBreak="0">
    <w:nsid w:val="6E370404"/>
    <w:multiLevelType w:val="multilevel"/>
    <w:tmpl w:val="7400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962E17"/>
    <w:multiLevelType w:val="hybridMultilevel"/>
    <w:tmpl w:val="AF5269EE"/>
    <w:lvl w:ilvl="0" w:tplc="BEA8D088">
      <w:start w:val="1"/>
      <w:numFmt w:val="lowerLetter"/>
      <w:lvlText w:val="%1)"/>
      <w:lvlJc w:val="left"/>
      <w:pPr>
        <w:ind w:left="720" w:hanging="360"/>
      </w:pPr>
      <w:rPr>
        <w:rFonts w:ascii="Arial" w:eastAsiaTheme="minorHAnsi" w:hAnsi="Arial" w:cs="Arial" w:hint="default"/>
        <w:color w:val="0A0A0A"/>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CC6B0D"/>
    <w:multiLevelType w:val="multilevel"/>
    <w:tmpl w:val="2E1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E19FC"/>
    <w:multiLevelType w:val="hybridMultilevel"/>
    <w:tmpl w:val="F33E59DA"/>
    <w:lvl w:ilvl="0" w:tplc="7C6CBAAC">
      <w:start w:val="1"/>
      <w:numFmt w:val="decimal"/>
      <w:lvlText w:val="%1)"/>
      <w:lvlJc w:val="left"/>
      <w:pPr>
        <w:ind w:left="1004" w:hanging="360"/>
      </w:pPr>
      <w:rPr>
        <w:rFonts w:ascii="Times New Roman" w:eastAsia="Arial Unicode MS" w:hAnsi="Times New Roman" w:cs="Times New Roman"/>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num w:numId="1" w16cid:durableId="870805250">
    <w:abstractNumId w:val="10"/>
  </w:num>
  <w:num w:numId="2" w16cid:durableId="1496218257">
    <w:abstractNumId w:val="18"/>
  </w:num>
  <w:num w:numId="3" w16cid:durableId="591934470">
    <w:abstractNumId w:val="3"/>
  </w:num>
  <w:num w:numId="4" w16cid:durableId="956983480">
    <w:abstractNumId w:val="7"/>
  </w:num>
  <w:num w:numId="5" w16cid:durableId="97918747">
    <w:abstractNumId w:val="24"/>
  </w:num>
  <w:num w:numId="6" w16cid:durableId="480541509">
    <w:abstractNumId w:val="2"/>
  </w:num>
  <w:num w:numId="7" w16cid:durableId="110705804">
    <w:abstractNumId w:val="20"/>
  </w:num>
  <w:num w:numId="8" w16cid:durableId="223420110">
    <w:abstractNumId w:val="23"/>
  </w:num>
  <w:num w:numId="9" w16cid:durableId="703482706">
    <w:abstractNumId w:val="4"/>
  </w:num>
  <w:num w:numId="10" w16cid:durableId="783959637">
    <w:abstractNumId w:val="0"/>
  </w:num>
  <w:num w:numId="11" w16cid:durableId="1545633244">
    <w:abstractNumId w:val="28"/>
  </w:num>
  <w:num w:numId="12" w16cid:durableId="594871322">
    <w:abstractNumId w:val="13"/>
  </w:num>
  <w:num w:numId="13" w16cid:durableId="105538517">
    <w:abstractNumId w:val="1"/>
  </w:num>
  <w:num w:numId="14" w16cid:durableId="128938443">
    <w:abstractNumId w:val="8"/>
  </w:num>
  <w:num w:numId="15" w16cid:durableId="26834250">
    <w:abstractNumId w:val="21"/>
  </w:num>
  <w:num w:numId="16" w16cid:durableId="1988244014">
    <w:abstractNumId w:val="17"/>
  </w:num>
  <w:num w:numId="17" w16cid:durableId="1751845708">
    <w:abstractNumId w:val="15"/>
  </w:num>
  <w:num w:numId="18" w16cid:durableId="549223896">
    <w:abstractNumId w:val="16"/>
  </w:num>
  <w:num w:numId="19" w16cid:durableId="595479134">
    <w:abstractNumId w:val="5"/>
  </w:num>
  <w:num w:numId="20" w16cid:durableId="1239825348">
    <w:abstractNumId w:val="22"/>
  </w:num>
  <w:num w:numId="21" w16cid:durableId="2015452034">
    <w:abstractNumId w:val="26"/>
  </w:num>
  <w:num w:numId="22" w16cid:durableId="1846899495">
    <w:abstractNumId w:val="27"/>
  </w:num>
  <w:num w:numId="23" w16cid:durableId="1518152832">
    <w:abstractNumId w:val="9"/>
  </w:num>
  <w:num w:numId="24" w16cid:durableId="2039314728">
    <w:abstractNumId w:val="6"/>
  </w:num>
  <w:num w:numId="25" w16cid:durableId="2095471963">
    <w:abstractNumId w:val="11"/>
  </w:num>
  <w:num w:numId="26" w16cid:durableId="831407144">
    <w:abstractNumId w:val="19"/>
  </w:num>
  <w:num w:numId="27" w16cid:durableId="315767672">
    <w:abstractNumId w:val="12"/>
  </w:num>
  <w:num w:numId="28" w16cid:durableId="886453471">
    <w:abstractNumId w:val="25"/>
  </w:num>
  <w:num w:numId="29" w16cid:durableId="1913193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51"/>
    <w:rsid w:val="000155CB"/>
    <w:rsid w:val="00021F7D"/>
    <w:rsid w:val="0002217D"/>
    <w:rsid w:val="00044C72"/>
    <w:rsid w:val="00067CBF"/>
    <w:rsid w:val="00083AF9"/>
    <w:rsid w:val="00095C23"/>
    <w:rsid w:val="00097DCA"/>
    <w:rsid w:val="000A0D1D"/>
    <w:rsid w:val="000B3E06"/>
    <w:rsid w:val="000C55F2"/>
    <w:rsid w:val="000C5A72"/>
    <w:rsid w:val="000D2E33"/>
    <w:rsid w:val="000D72FE"/>
    <w:rsid w:val="000F30EF"/>
    <w:rsid w:val="001148F7"/>
    <w:rsid w:val="001347D1"/>
    <w:rsid w:val="00150389"/>
    <w:rsid w:val="00156A80"/>
    <w:rsid w:val="00157086"/>
    <w:rsid w:val="00161CCF"/>
    <w:rsid w:val="00173C44"/>
    <w:rsid w:val="001826BF"/>
    <w:rsid w:val="001857C3"/>
    <w:rsid w:val="001876DF"/>
    <w:rsid w:val="001D5BF6"/>
    <w:rsid w:val="00200F44"/>
    <w:rsid w:val="002036CD"/>
    <w:rsid w:val="00210F7F"/>
    <w:rsid w:val="00213E11"/>
    <w:rsid w:val="002160B9"/>
    <w:rsid w:val="002410F4"/>
    <w:rsid w:val="00244594"/>
    <w:rsid w:val="00265C0C"/>
    <w:rsid w:val="00282C1A"/>
    <w:rsid w:val="0028783D"/>
    <w:rsid w:val="002C06C7"/>
    <w:rsid w:val="002C458F"/>
    <w:rsid w:val="003009F0"/>
    <w:rsid w:val="00305F82"/>
    <w:rsid w:val="00306E19"/>
    <w:rsid w:val="00324790"/>
    <w:rsid w:val="003263EA"/>
    <w:rsid w:val="003672B7"/>
    <w:rsid w:val="003950E6"/>
    <w:rsid w:val="00395CFC"/>
    <w:rsid w:val="003B089B"/>
    <w:rsid w:val="003D7538"/>
    <w:rsid w:val="003E57BF"/>
    <w:rsid w:val="00403980"/>
    <w:rsid w:val="00407A25"/>
    <w:rsid w:val="004110FC"/>
    <w:rsid w:val="0042488E"/>
    <w:rsid w:val="00431F77"/>
    <w:rsid w:val="004748EF"/>
    <w:rsid w:val="004917E5"/>
    <w:rsid w:val="00493C45"/>
    <w:rsid w:val="004A08E1"/>
    <w:rsid w:val="004A3751"/>
    <w:rsid w:val="004A7A45"/>
    <w:rsid w:val="004B06E7"/>
    <w:rsid w:val="004B5607"/>
    <w:rsid w:val="004C3A09"/>
    <w:rsid w:val="004D7AB9"/>
    <w:rsid w:val="004E5075"/>
    <w:rsid w:val="004F34FE"/>
    <w:rsid w:val="004F5E39"/>
    <w:rsid w:val="00513C2B"/>
    <w:rsid w:val="00517E20"/>
    <w:rsid w:val="00526106"/>
    <w:rsid w:val="00533A94"/>
    <w:rsid w:val="0054290D"/>
    <w:rsid w:val="00560EBF"/>
    <w:rsid w:val="00562281"/>
    <w:rsid w:val="005804A2"/>
    <w:rsid w:val="005A1B55"/>
    <w:rsid w:val="005C0C29"/>
    <w:rsid w:val="005C596E"/>
    <w:rsid w:val="005F386C"/>
    <w:rsid w:val="00617C23"/>
    <w:rsid w:val="006253C9"/>
    <w:rsid w:val="00633C59"/>
    <w:rsid w:val="006375F9"/>
    <w:rsid w:val="006403C0"/>
    <w:rsid w:val="00653F4D"/>
    <w:rsid w:val="00676C2F"/>
    <w:rsid w:val="006936C4"/>
    <w:rsid w:val="006A2310"/>
    <w:rsid w:val="006B308A"/>
    <w:rsid w:val="006B760E"/>
    <w:rsid w:val="006D4618"/>
    <w:rsid w:val="006F1095"/>
    <w:rsid w:val="006F3FCD"/>
    <w:rsid w:val="006F44FB"/>
    <w:rsid w:val="00743EEF"/>
    <w:rsid w:val="00752E41"/>
    <w:rsid w:val="007A6E83"/>
    <w:rsid w:val="007B6428"/>
    <w:rsid w:val="007C4999"/>
    <w:rsid w:val="007E2C31"/>
    <w:rsid w:val="007F6674"/>
    <w:rsid w:val="007F79C9"/>
    <w:rsid w:val="0080325C"/>
    <w:rsid w:val="00811B60"/>
    <w:rsid w:val="00812874"/>
    <w:rsid w:val="00833D4C"/>
    <w:rsid w:val="0083430D"/>
    <w:rsid w:val="008369FB"/>
    <w:rsid w:val="00843727"/>
    <w:rsid w:val="00847A3C"/>
    <w:rsid w:val="008A5E1A"/>
    <w:rsid w:val="008A6439"/>
    <w:rsid w:val="008B243F"/>
    <w:rsid w:val="008D4D9B"/>
    <w:rsid w:val="008E3F57"/>
    <w:rsid w:val="0091797A"/>
    <w:rsid w:val="00930621"/>
    <w:rsid w:val="00945C79"/>
    <w:rsid w:val="0096027E"/>
    <w:rsid w:val="00997CC2"/>
    <w:rsid w:val="009A4179"/>
    <w:rsid w:val="009B709E"/>
    <w:rsid w:val="009E4840"/>
    <w:rsid w:val="009F4AE4"/>
    <w:rsid w:val="009F5255"/>
    <w:rsid w:val="009F6E7A"/>
    <w:rsid w:val="00A1049F"/>
    <w:rsid w:val="00A37494"/>
    <w:rsid w:val="00A46535"/>
    <w:rsid w:val="00A56529"/>
    <w:rsid w:val="00A65603"/>
    <w:rsid w:val="00A77FB4"/>
    <w:rsid w:val="00A82BBB"/>
    <w:rsid w:val="00A8377D"/>
    <w:rsid w:val="00A92176"/>
    <w:rsid w:val="00AA2C89"/>
    <w:rsid w:val="00AC28B7"/>
    <w:rsid w:val="00AC4F97"/>
    <w:rsid w:val="00AD05D1"/>
    <w:rsid w:val="00AD3945"/>
    <w:rsid w:val="00AF1571"/>
    <w:rsid w:val="00B05FEA"/>
    <w:rsid w:val="00B1207F"/>
    <w:rsid w:val="00B14551"/>
    <w:rsid w:val="00B22063"/>
    <w:rsid w:val="00B2690A"/>
    <w:rsid w:val="00B32AB9"/>
    <w:rsid w:val="00B42FB2"/>
    <w:rsid w:val="00B649C1"/>
    <w:rsid w:val="00B66FA9"/>
    <w:rsid w:val="00B826C5"/>
    <w:rsid w:val="00BA5B2F"/>
    <w:rsid w:val="00BB010E"/>
    <w:rsid w:val="00BD749F"/>
    <w:rsid w:val="00C45239"/>
    <w:rsid w:val="00C45FAD"/>
    <w:rsid w:val="00C701F7"/>
    <w:rsid w:val="00C76842"/>
    <w:rsid w:val="00C82B59"/>
    <w:rsid w:val="00C83C5E"/>
    <w:rsid w:val="00C90A52"/>
    <w:rsid w:val="00C92702"/>
    <w:rsid w:val="00CB294B"/>
    <w:rsid w:val="00CB2E07"/>
    <w:rsid w:val="00CC46E0"/>
    <w:rsid w:val="00CD0FBE"/>
    <w:rsid w:val="00CE2533"/>
    <w:rsid w:val="00CE3C72"/>
    <w:rsid w:val="00CF1821"/>
    <w:rsid w:val="00CF67DA"/>
    <w:rsid w:val="00D250EF"/>
    <w:rsid w:val="00D32AA3"/>
    <w:rsid w:val="00D7764E"/>
    <w:rsid w:val="00DB4272"/>
    <w:rsid w:val="00DC5036"/>
    <w:rsid w:val="00DC6B93"/>
    <w:rsid w:val="00E0537D"/>
    <w:rsid w:val="00E15A16"/>
    <w:rsid w:val="00E36BB3"/>
    <w:rsid w:val="00E5573A"/>
    <w:rsid w:val="00E56D66"/>
    <w:rsid w:val="00E75C0E"/>
    <w:rsid w:val="00E92420"/>
    <w:rsid w:val="00E93CA5"/>
    <w:rsid w:val="00EA1EF7"/>
    <w:rsid w:val="00EB21E1"/>
    <w:rsid w:val="00ED052A"/>
    <w:rsid w:val="00F0483E"/>
    <w:rsid w:val="00F26041"/>
    <w:rsid w:val="00F301A0"/>
    <w:rsid w:val="00F50509"/>
    <w:rsid w:val="00F81096"/>
    <w:rsid w:val="00F84112"/>
    <w:rsid w:val="00FC2AF2"/>
    <w:rsid w:val="00FC375F"/>
    <w:rsid w:val="00FC52F9"/>
    <w:rsid w:val="00FD145B"/>
    <w:rsid w:val="00FE067B"/>
    <w:rsid w:val="00FE1913"/>
    <w:rsid w:val="00F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0706"/>
  <w15:docId w15:val="{0CA8F762-535A-4AEA-AA87-72839E86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51"/>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uiPriority w:val="9"/>
    <w:qFormat/>
    <w:rsid w:val="00945C7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Titlu2">
    <w:name w:val="heading 2"/>
    <w:basedOn w:val="Normal"/>
    <w:next w:val="Normal"/>
    <w:link w:val="Titlu2Caracter"/>
    <w:uiPriority w:val="9"/>
    <w:semiHidden/>
    <w:unhideWhenUsed/>
    <w:qFormat/>
    <w:rsid w:val="00945C7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Titlu3">
    <w:name w:val="heading 3"/>
    <w:basedOn w:val="Normal"/>
    <w:next w:val="Normal"/>
    <w:link w:val="Titlu3Caracter"/>
    <w:uiPriority w:val="9"/>
    <w:semiHidden/>
    <w:unhideWhenUsed/>
    <w:qFormat/>
    <w:rsid w:val="00945C79"/>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Titlu4">
    <w:name w:val="heading 4"/>
    <w:basedOn w:val="Normal"/>
    <w:next w:val="Normal"/>
    <w:link w:val="Titlu4Caracter"/>
    <w:uiPriority w:val="9"/>
    <w:unhideWhenUsed/>
    <w:qFormat/>
    <w:rsid w:val="00847A3C"/>
    <w:pPr>
      <w:keepNext/>
      <w:keepLines/>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45C79"/>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Titlu6">
    <w:name w:val="heading 6"/>
    <w:basedOn w:val="Normal"/>
    <w:next w:val="Normal"/>
    <w:link w:val="Titlu6Caracter"/>
    <w:uiPriority w:val="9"/>
    <w:semiHidden/>
    <w:unhideWhenUsed/>
    <w:qFormat/>
    <w:rsid w:val="00945C7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Titlu7">
    <w:name w:val="heading 7"/>
    <w:basedOn w:val="Normal"/>
    <w:next w:val="Normal"/>
    <w:link w:val="Titlu7Caracter"/>
    <w:uiPriority w:val="9"/>
    <w:semiHidden/>
    <w:unhideWhenUsed/>
    <w:qFormat/>
    <w:rsid w:val="00945C7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Titlu8">
    <w:name w:val="heading 8"/>
    <w:basedOn w:val="Normal"/>
    <w:next w:val="Normal"/>
    <w:link w:val="Titlu8Caracter"/>
    <w:uiPriority w:val="9"/>
    <w:semiHidden/>
    <w:unhideWhenUsed/>
    <w:qFormat/>
    <w:rsid w:val="00945C7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Titlu9">
    <w:name w:val="heading 9"/>
    <w:basedOn w:val="Normal"/>
    <w:next w:val="Normal"/>
    <w:link w:val="Titlu9Caracter"/>
    <w:uiPriority w:val="9"/>
    <w:semiHidden/>
    <w:unhideWhenUsed/>
    <w:qFormat/>
    <w:rsid w:val="00945C7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E75C0E"/>
    <w:rPr>
      <w:b/>
      <w:bCs/>
    </w:rPr>
  </w:style>
  <w:style w:type="character" w:customStyle="1" w:styleId="Titlu4Caracter">
    <w:name w:val="Titlu 4 Caracter"/>
    <w:basedOn w:val="Fontdeparagrafimplicit"/>
    <w:link w:val="Titlu4"/>
    <w:uiPriority w:val="9"/>
    <w:rsid w:val="00847A3C"/>
    <w:rPr>
      <w:rFonts w:asciiTheme="majorHAnsi" w:eastAsiaTheme="majorEastAsia" w:hAnsiTheme="majorHAnsi" w:cstheme="majorBidi"/>
      <w:i/>
      <w:iCs/>
      <w:color w:val="2E74B5" w:themeColor="accent1" w:themeShade="BF"/>
      <w:sz w:val="24"/>
      <w:szCs w:val="24"/>
      <w:lang w:val="ru-RU" w:eastAsia="ru-RU"/>
    </w:rPr>
  </w:style>
  <w:style w:type="paragraph" w:styleId="Listparagraf">
    <w:name w:val="List Paragraph"/>
    <w:basedOn w:val="Normal"/>
    <w:uiPriority w:val="34"/>
    <w:qFormat/>
    <w:rsid w:val="006A2310"/>
    <w:pPr>
      <w:ind w:left="720"/>
      <w:contextualSpacing/>
    </w:pPr>
  </w:style>
  <w:style w:type="character" w:customStyle="1" w:styleId="2">
    <w:name w:val="Основной текст (2)_"/>
    <w:link w:val="21"/>
    <w:uiPriority w:val="99"/>
    <w:rsid w:val="00F301A0"/>
    <w:rPr>
      <w:sz w:val="232"/>
      <w:szCs w:val="232"/>
      <w:shd w:val="clear" w:color="auto" w:fill="FFFFFF"/>
    </w:rPr>
  </w:style>
  <w:style w:type="paragraph" w:customStyle="1" w:styleId="21">
    <w:name w:val="Основной текст (2)1"/>
    <w:basedOn w:val="Normal"/>
    <w:link w:val="2"/>
    <w:uiPriority w:val="99"/>
    <w:rsid w:val="00F301A0"/>
    <w:pPr>
      <w:widowControl w:val="0"/>
      <w:shd w:val="clear" w:color="auto" w:fill="FFFFFF"/>
      <w:spacing w:line="3110" w:lineRule="exact"/>
      <w:jc w:val="both"/>
    </w:pPr>
    <w:rPr>
      <w:rFonts w:asciiTheme="minorHAnsi" w:eastAsiaTheme="minorHAnsi" w:hAnsiTheme="minorHAnsi" w:cstheme="minorBidi"/>
      <w:sz w:val="232"/>
      <w:szCs w:val="232"/>
      <w:lang w:val="en-US" w:eastAsia="en-US"/>
    </w:rPr>
  </w:style>
  <w:style w:type="character" w:styleId="Hyperlink">
    <w:name w:val="Hyperlink"/>
    <w:basedOn w:val="Fontdeparagrafimplicit"/>
    <w:uiPriority w:val="99"/>
    <w:unhideWhenUsed/>
    <w:rsid w:val="004E5075"/>
    <w:rPr>
      <w:color w:val="0563C1" w:themeColor="hyperlink"/>
      <w:u w:val="single"/>
    </w:rPr>
  </w:style>
  <w:style w:type="character" w:styleId="MeniuneNerezolvat">
    <w:name w:val="Unresolved Mention"/>
    <w:basedOn w:val="Fontdeparagrafimplicit"/>
    <w:uiPriority w:val="99"/>
    <w:semiHidden/>
    <w:unhideWhenUsed/>
    <w:rsid w:val="004E5075"/>
    <w:rPr>
      <w:color w:val="605E5C"/>
      <w:shd w:val="clear" w:color="auto" w:fill="E1DFDD"/>
    </w:rPr>
  </w:style>
  <w:style w:type="character" w:styleId="HyperlinkParcurs">
    <w:name w:val="FollowedHyperlink"/>
    <w:basedOn w:val="Fontdeparagrafimplicit"/>
    <w:uiPriority w:val="99"/>
    <w:semiHidden/>
    <w:unhideWhenUsed/>
    <w:rsid w:val="004E5075"/>
    <w:rPr>
      <w:color w:val="954F72" w:themeColor="followedHyperlink"/>
      <w:u w:val="single"/>
    </w:rPr>
  </w:style>
  <w:style w:type="character" w:customStyle="1" w:styleId="fontstyle01">
    <w:name w:val="fontstyle01"/>
    <w:basedOn w:val="Fontdeparagrafimplicit"/>
    <w:rsid w:val="00E36BB3"/>
    <w:rPr>
      <w:rFonts w:ascii="TimesNewRomanPSMT" w:hAnsi="TimesNewRomanPSMT" w:hint="default"/>
      <w:b w:val="0"/>
      <w:bCs w:val="0"/>
      <w:i w:val="0"/>
      <w:iCs w:val="0"/>
      <w:color w:val="000000"/>
      <w:sz w:val="28"/>
      <w:szCs w:val="28"/>
    </w:rPr>
  </w:style>
  <w:style w:type="character" w:customStyle="1" w:styleId="Titlu1Caracter">
    <w:name w:val="Titlu 1 Caracter"/>
    <w:basedOn w:val="Fontdeparagrafimplicit"/>
    <w:link w:val="Titlu1"/>
    <w:uiPriority w:val="9"/>
    <w:rsid w:val="00945C79"/>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semiHidden/>
    <w:rsid w:val="00945C7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itlu3Caracter">
    <w:name w:val="Titlu 3 Caracter"/>
    <w:basedOn w:val="Fontdeparagrafimplicit"/>
    <w:link w:val="Titlu3"/>
    <w:uiPriority w:val="9"/>
    <w:semiHidden/>
    <w:rsid w:val="00945C79"/>
    <w:rPr>
      <w:rFonts w:eastAsiaTheme="majorEastAsia" w:cstheme="majorBidi"/>
      <w:color w:val="2E74B5" w:themeColor="accent1" w:themeShade="BF"/>
      <w:kern w:val="2"/>
      <w:sz w:val="28"/>
      <w:szCs w:val="28"/>
      <w14:ligatures w14:val="standardContextual"/>
    </w:rPr>
  </w:style>
  <w:style w:type="character" w:customStyle="1" w:styleId="Titlu5Caracter">
    <w:name w:val="Titlu 5 Caracter"/>
    <w:basedOn w:val="Fontdeparagrafimplicit"/>
    <w:link w:val="Titlu5"/>
    <w:uiPriority w:val="9"/>
    <w:semiHidden/>
    <w:rsid w:val="00945C79"/>
    <w:rPr>
      <w:rFonts w:eastAsiaTheme="majorEastAsia" w:cstheme="majorBidi"/>
      <w:color w:val="2E74B5" w:themeColor="accent1" w:themeShade="BF"/>
      <w:kern w:val="2"/>
      <w14:ligatures w14:val="standardContextual"/>
    </w:rPr>
  </w:style>
  <w:style w:type="character" w:customStyle="1" w:styleId="Titlu6Caracter">
    <w:name w:val="Titlu 6 Caracter"/>
    <w:basedOn w:val="Fontdeparagrafimplicit"/>
    <w:link w:val="Titlu6"/>
    <w:uiPriority w:val="9"/>
    <w:semiHidden/>
    <w:rsid w:val="00945C79"/>
    <w:rPr>
      <w:rFonts w:eastAsiaTheme="majorEastAsia" w:cstheme="majorBidi"/>
      <w:i/>
      <w:iCs/>
      <w:color w:val="595959" w:themeColor="text1" w:themeTint="A6"/>
      <w:kern w:val="2"/>
      <w14:ligatures w14:val="standardContextual"/>
    </w:rPr>
  </w:style>
  <w:style w:type="character" w:customStyle="1" w:styleId="Titlu7Caracter">
    <w:name w:val="Titlu 7 Caracter"/>
    <w:basedOn w:val="Fontdeparagrafimplicit"/>
    <w:link w:val="Titlu7"/>
    <w:uiPriority w:val="9"/>
    <w:semiHidden/>
    <w:rsid w:val="00945C79"/>
    <w:rPr>
      <w:rFonts w:eastAsiaTheme="majorEastAsia" w:cstheme="majorBidi"/>
      <w:color w:val="595959" w:themeColor="text1" w:themeTint="A6"/>
      <w:kern w:val="2"/>
      <w14:ligatures w14:val="standardContextual"/>
    </w:rPr>
  </w:style>
  <w:style w:type="character" w:customStyle="1" w:styleId="Titlu8Caracter">
    <w:name w:val="Titlu 8 Caracter"/>
    <w:basedOn w:val="Fontdeparagrafimplicit"/>
    <w:link w:val="Titlu8"/>
    <w:uiPriority w:val="9"/>
    <w:semiHidden/>
    <w:rsid w:val="00945C79"/>
    <w:rPr>
      <w:rFonts w:eastAsiaTheme="majorEastAsia" w:cstheme="majorBidi"/>
      <w:i/>
      <w:iCs/>
      <w:color w:val="272727" w:themeColor="text1" w:themeTint="D8"/>
      <w:kern w:val="2"/>
      <w14:ligatures w14:val="standardContextual"/>
    </w:rPr>
  </w:style>
  <w:style w:type="character" w:customStyle="1" w:styleId="Titlu9Caracter">
    <w:name w:val="Titlu 9 Caracter"/>
    <w:basedOn w:val="Fontdeparagrafimplicit"/>
    <w:link w:val="Titlu9"/>
    <w:uiPriority w:val="9"/>
    <w:semiHidden/>
    <w:rsid w:val="00945C79"/>
    <w:rPr>
      <w:rFonts w:eastAsiaTheme="majorEastAsia" w:cstheme="majorBidi"/>
      <w:color w:val="272727" w:themeColor="text1" w:themeTint="D8"/>
      <w:kern w:val="2"/>
      <w14:ligatures w14:val="standardContextual"/>
    </w:rPr>
  </w:style>
  <w:style w:type="numbering" w:customStyle="1" w:styleId="FrListare1">
    <w:name w:val="Fără Listare1"/>
    <w:next w:val="FrListare"/>
    <w:uiPriority w:val="99"/>
    <w:semiHidden/>
    <w:unhideWhenUsed/>
    <w:rsid w:val="00945C79"/>
  </w:style>
  <w:style w:type="table" w:styleId="Tabelgril">
    <w:name w:val="Table Grid"/>
    <w:basedOn w:val="TabelNormal"/>
    <w:uiPriority w:val="59"/>
    <w:rsid w:val="0094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45C79"/>
    <w:rPr>
      <w:rFonts w:ascii="Segoe UI" w:eastAsiaTheme="minorHAnsi" w:hAnsi="Segoe UI" w:cs="Segoe UI"/>
      <w:sz w:val="18"/>
      <w:szCs w:val="18"/>
      <w:lang w:val="en-US" w:eastAsia="en-US"/>
    </w:rPr>
  </w:style>
  <w:style w:type="character" w:customStyle="1" w:styleId="TextnBalonCaracter">
    <w:name w:val="Text în Balon Caracter"/>
    <w:basedOn w:val="Fontdeparagrafimplicit"/>
    <w:link w:val="TextnBalon"/>
    <w:uiPriority w:val="99"/>
    <w:semiHidden/>
    <w:rsid w:val="00945C79"/>
    <w:rPr>
      <w:rFonts w:ascii="Segoe UI" w:hAnsi="Segoe UI" w:cs="Segoe UI"/>
      <w:sz w:val="18"/>
      <w:szCs w:val="18"/>
    </w:rPr>
  </w:style>
  <w:style w:type="paragraph" w:styleId="Citat">
    <w:name w:val="Quote"/>
    <w:basedOn w:val="Normal"/>
    <w:next w:val="Normal"/>
    <w:link w:val="CitatCaracter"/>
    <w:uiPriority w:val="29"/>
    <w:qFormat/>
    <w:rsid w:val="00945C79"/>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n-US" w:eastAsia="en-US"/>
    </w:rPr>
  </w:style>
  <w:style w:type="character" w:customStyle="1" w:styleId="CitatCaracter">
    <w:name w:val="Citat Caracter"/>
    <w:basedOn w:val="Fontdeparagrafimplicit"/>
    <w:link w:val="Citat"/>
    <w:uiPriority w:val="29"/>
    <w:rsid w:val="00945C79"/>
    <w:rPr>
      <w:i/>
      <w:iCs/>
      <w:color w:val="404040" w:themeColor="text1" w:themeTint="BF"/>
    </w:rPr>
  </w:style>
  <w:style w:type="paragraph" w:styleId="Antet">
    <w:name w:val="header"/>
    <w:basedOn w:val="Normal"/>
    <w:link w:val="AntetCaracter"/>
    <w:uiPriority w:val="99"/>
    <w:unhideWhenUsed/>
    <w:rsid w:val="00945C7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ntetCaracter">
    <w:name w:val="Antet Caracter"/>
    <w:basedOn w:val="Fontdeparagrafimplicit"/>
    <w:link w:val="Antet"/>
    <w:uiPriority w:val="99"/>
    <w:rsid w:val="00945C79"/>
  </w:style>
  <w:style w:type="paragraph" w:styleId="Subsol">
    <w:name w:val="footer"/>
    <w:basedOn w:val="Normal"/>
    <w:link w:val="SubsolCaracter"/>
    <w:uiPriority w:val="99"/>
    <w:unhideWhenUsed/>
    <w:rsid w:val="00945C7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SubsolCaracter">
    <w:name w:val="Subsol Caracter"/>
    <w:basedOn w:val="Fontdeparagrafimplicit"/>
    <w:link w:val="Subsol"/>
    <w:uiPriority w:val="99"/>
    <w:rsid w:val="00945C79"/>
  </w:style>
  <w:style w:type="paragraph" w:styleId="NormalWeb">
    <w:name w:val="Normal (Web)"/>
    <w:basedOn w:val="Normal"/>
    <w:uiPriority w:val="99"/>
    <w:unhideWhenUsed/>
    <w:rsid w:val="00945C79"/>
    <w:pPr>
      <w:spacing w:after="165"/>
    </w:pPr>
    <w:rPr>
      <w:lang w:val="en-US" w:eastAsia="en-US"/>
    </w:rPr>
  </w:style>
  <w:style w:type="character" w:styleId="Accentuat">
    <w:name w:val="Emphasis"/>
    <w:basedOn w:val="Fontdeparagrafimplicit"/>
    <w:uiPriority w:val="20"/>
    <w:qFormat/>
    <w:rsid w:val="00945C79"/>
    <w:rPr>
      <w:i/>
      <w:iCs/>
    </w:rPr>
  </w:style>
  <w:style w:type="character" w:customStyle="1" w:styleId="apple-style-span">
    <w:name w:val="apple-style-span"/>
    <w:rsid w:val="00945C79"/>
  </w:style>
  <w:style w:type="paragraph" w:customStyle="1" w:styleId="CM4">
    <w:name w:val="CM4"/>
    <w:basedOn w:val="Normal"/>
    <w:next w:val="Normal"/>
    <w:uiPriority w:val="99"/>
    <w:rsid w:val="00945C79"/>
    <w:pPr>
      <w:autoSpaceDE w:val="0"/>
      <w:autoSpaceDN w:val="0"/>
      <w:adjustRightInd w:val="0"/>
    </w:pPr>
    <w:rPr>
      <w:rFonts w:eastAsiaTheme="minorHAnsi"/>
      <w:lang w:val="ro-RO" w:eastAsia="en-US"/>
    </w:rPr>
  </w:style>
  <w:style w:type="paragraph" w:styleId="Frspaiere">
    <w:name w:val="No Spacing"/>
    <w:uiPriority w:val="1"/>
    <w:qFormat/>
    <w:rsid w:val="00945C79"/>
    <w:pPr>
      <w:spacing w:after="0" w:line="240" w:lineRule="auto"/>
    </w:pPr>
    <w:rPr>
      <w:lang w:val="ro-RO"/>
    </w:rPr>
  </w:style>
  <w:style w:type="paragraph" w:customStyle="1" w:styleId="title-article-norm">
    <w:name w:val="title-article-norm"/>
    <w:basedOn w:val="Normal"/>
    <w:rsid w:val="00945C79"/>
    <w:pPr>
      <w:spacing w:before="100" w:beforeAutospacing="1" w:after="100" w:afterAutospacing="1"/>
    </w:pPr>
    <w:rPr>
      <w:lang w:val="ro-MD" w:eastAsia="ro-MD"/>
    </w:rPr>
  </w:style>
  <w:style w:type="paragraph" w:customStyle="1" w:styleId="stitle-article-norm">
    <w:name w:val="stitle-article-norm"/>
    <w:basedOn w:val="Normal"/>
    <w:rsid w:val="00945C79"/>
    <w:pPr>
      <w:spacing w:before="100" w:beforeAutospacing="1" w:after="100" w:afterAutospacing="1"/>
    </w:pPr>
    <w:rPr>
      <w:lang w:val="ro-MD" w:eastAsia="ro-MD"/>
    </w:rPr>
  </w:style>
  <w:style w:type="paragraph" w:customStyle="1" w:styleId="norm">
    <w:name w:val="norm"/>
    <w:basedOn w:val="Normal"/>
    <w:rsid w:val="00945C79"/>
    <w:pPr>
      <w:spacing w:before="100" w:beforeAutospacing="1" w:after="100" w:afterAutospacing="1"/>
    </w:pPr>
    <w:rPr>
      <w:lang w:val="ro-MD" w:eastAsia="ro-MD"/>
    </w:rPr>
  </w:style>
  <w:style w:type="paragraph" w:customStyle="1" w:styleId="modref">
    <w:name w:val="modref"/>
    <w:basedOn w:val="Normal"/>
    <w:rsid w:val="00945C79"/>
    <w:pPr>
      <w:spacing w:before="100" w:beforeAutospacing="1" w:after="100" w:afterAutospacing="1"/>
    </w:pPr>
    <w:rPr>
      <w:lang w:val="ro-MD" w:eastAsia="ro-MD"/>
    </w:rPr>
  </w:style>
  <w:style w:type="paragraph" w:customStyle="1" w:styleId="ti-art">
    <w:name w:val="ti-art"/>
    <w:basedOn w:val="Normal"/>
    <w:rsid w:val="00945C79"/>
    <w:pPr>
      <w:spacing w:before="100" w:beforeAutospacing="1" w:after="100" w:afterAutospacing="1"/>
    </w:pPr>
    <w:rPr>
      <w:lang w:val="ro-MD" w:eastAsia="ro-MD"/>
    </w:rPr>
  </w:style>
  <w:style w:type="paragraph" w:customStyle="1" w:styleId="sti-art">
    <w:name w:val="sti-art"/>
    <w:basedOn w:val="Normal"/>
    <w:rsid w:val="00945C79"/>
    <w:pPr>
      <w:spacing w:before="100" w:beforeAutospacing="1" w:after="100" w:afterAutospacing="1"/>
    </w:pPr>
    <w:rPr>
      <w:lang w:val="ro-MD" w:eastAsia="ro-MD"/>
    </w:rPr>
  </w:style>
  <w:style w:type="paragraph" w:customStyle="1" w:styleId="Normal1">
    <w:name w:val="Normal1"/>
    <w:basedOn w:val="Normal"/>
    <w:rsid w:val="00945C79"/>
    <w:pPr>
      <w:spacing w:before="100" w:beforeAutospacing="1" w:after="100" w:afterAutospacing="1"/>
    </w:pPr>
    <w:rPr>
      <w:lang w:val="ro-MD" w:eastAsia="ro-MD"/>
    </w:rPr>
  </w:style>
  <w:style w:type="character" w:customStyle="1" w:styleId="italic">
    <w:name w:val="italic"/>
    <w:basedOn w:val="Fontdeparagrafimplicit"/>
    <w:rsid w:val="00945C79"/>
  </w:style>
  <w:style w:type="paragraph" w:customStyle="1" w:styleId="ti-grseq-1">
    <w:name w:val="ti-grseq-1"/>
    <w:basedOn w:val="Normal"/>
    <w:rsid w:val="00945C79"/>
    <w:pPr>
      <w:spacing w:before="100" w:beforeAutospacing="1" w:after="100" w:afterAutospacing="1"/>
    </w:pPr>
    <w:rPr>
      <w:lang w:val="ro-MD" w:eastAsia="ro-MD"/>
    </w:rPr>
  </w:style>
  <w:style w:type="character" w:customStyle="1" w:styleId="bold">
    <w:name w:val="bold"/>
    <w:basedOn w:val="Fontdeparagrafimplicit"/>
    <w:rsid w:val="00945C79"/>
  </w:style>
  <w:style w:type="paragraph" w:customStyle="1" w:styleId="tbl-txt">
    <w:name w:val="tbl-txt"/>
    <w:basedOn w:val="Normal"/>
    <w:rsid w:val="00945C79"/>
    <w:pPr>
      <w:spacing w:before="100" w:beforeAutospacing="1" w:after="100" w:afterAutospacing="1"/>
    </w:pPr>
    <w:rPr>
      <w:lang w:val="ro-MD" w:eastAsia="ro-MD"/>
    </w:rPr>
  </w:style>
  <w:style w:type="character" w:customStyle="1" w:styleId="super">
    <w:name w:val="super"/>
    <w:basedOn w:val="Fontdeparagrafimplicit"/>
    <w:rsid w:val="00945C79"/>
  </w:style>
  <w:style w:type="paragraph" w:customStyle="1" w:styleId="tbl-hdr">
    <w:name w:val="tbl-hdr"/>
    <w:basedOn w:val="Normal"/>
    <w:rsid w:val="00945C79"/>
    <w:pPr>
      <w:spacing w:before="100" w:beforeAutospacing="1" w:after="100" w:afterAutospacing="1"/>
    </w:pPr>
    <w:rPr>
      <w:lang w:val="ro-MD" w:eastAsia="ro-MD"/>
    </w:rPr>
  </w:style>
  <w:style w:type="character" w:customStyle="1" w:styleId="sub">
    <w:name w:val="sub"/>
    <w:basedOn w:val="Fontdeparagrafimplicit"/>
    <w:rsid w:val="00945C79"/>
  </w:style>
  <w:style w:type="character" w:customStyle="1" w:styleId="apple-converted-space">
    <w:name w:val="apple-converted-space"/>
    <w:basedOn w:val="Fontdeparagrafimplicit"/>
    <w:rsid w:val="00945C79"/>
  </w:style>
  <w:style w:type="paragraph" w:styleId="Titlu">
    <w:name w:val="Title"/>
    <w:basedOn w:val="Normal"/>
    <w:next w:val="Normal"/>
    <w:link w:val="TitluCaracter"/>
    <w:uiPriority w:val="10"/>
    <w:qFormat/>
    <w:rsid w:val="00945C7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uCaracter">
    <w:name w:val="Titlu Caracter"/>
    <w:basedOn w:val="Fontdeparagrafimplicit"/>
    <w:link w:val="Titlu"/>
    <w:uiPriority w:val="10"/>
    <w:rsid w:val="00945C79"/>
    <w:rPr>
      <w:rFonts w:asciiTheme="majorHAnsi" w:eastAsiaTheme="majorEastAsia" w:hAnsiTheme="majorHAnsi" w:cstheme="majorBidi"/>
      <w:spacing w:val="-10"/>
      <w:kern w:val="28"/>
      <w:sz w:val="56"/>
      <w:szCs w:val="56"/>
      <w14:ligatures w14:val="standardContextual"/>
    </w:rPr>
  </w:style>
  <w:style w:type="paragraph" w:styleId="Subtitlu">
    <w:name w:val="Subtitle"/>
    <w:basedOn w:val="Normal"/>
    <w:next w:val="Normal"/>
    <w:link w:val="SubtitluCaracter"/>
    <w:uiPriority w:val="11"/>
    <w:qFormat/>
    <w:rsid w:val="00945C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uCaracter">
    <w:name w:val="Subtitlu Caracter"/>
    <w:basedOn w:val="Fontdeparagrafimplicit"/>
    <w:link w:val="Subtitlu"/>
    <w:uiPriority w:val="11"/>
    <w:rsid w:val="00945C79"/>
    <w:rPr>
      <w:rFonts w:eastAsiaTheme="majorEastAsia" w:cstheme="majorBidi"/>
      <w:color w:val="595959" w:themeColor="text1" w:themeTint="A6"/>
      <w:spacing w:val="15"/>
      <w:kern w:val="2"/>
      <w:sz w:val="28"/>
      <w:szCs w:val="28"/>
      <w14:ligatures w14:val="standardContextual"/>
    </w:rPr>
  </w:style>
  <w:style w:type="character" w:styleId="Accentuareintens">
    <w:name w:val="Intense Emphasis"/>
    <w:basedOn w:val="Fontdeparagrafimplicit"/>
    <w:uiPriority w:val="21"/>
    <w:qFormat/>
    <w:rsid w:val="00945C79"/>
    <w:rPr>
      <w:i/>
      <w:iCs/>
      <w:color w:val="2E74B5" w:themeColor="accent1" w:themeShade="BF"/>
    </w:rPr>
  </w:style>
  <w:style w:type="paragraph" w:styleId="Citatintens">
    <w:name w:val="Intense Quote"/>
    <w:basedOn w:val="Normal"/>
    <w:next w:val="Normal"/>
    <w:link w:val="CitatintensCaracter"/>
    <w:uiPriority w:val="30"/>
    <w:qFormat/>
    <w:rsid w:val="00945C7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CitatintensCaracter">
    <w:name w:val="Citat intens Caracter"/>
    <w:basedOn w:val="Fontdeparagrafimplicit"/>
    <w:link w:val="Citatintens"/>
    <w:uiPriority w:val="30"/>
    <w:rsid w:val="00945C79"/>
    <w:rPr>
      <w:i/>
      <w:iCs/>
      <w:color w:val="2E74B5" w:themeColor="accent1" w:themeShade="BF"/>
      <w:kern w:val="2"/>
      <w14:ligatures w14:val="standardContextual"/>
    </w:rPr>
  </w:style>
  <w:style w:type="character" w:styleId="Referireintens">
    <w:name w:val="Intense Reference"/>
    <w:basedOn w:val="Fontdeparagrafimplicit"/>
    <w:uiPriority w:val="32"/>
    <w:qFormat/>
    <w:rsid w:val="00945C79"/>
    <w:rPr>
      <w:b/>
      <w:bCs/>
      <w:smallCaps/>
      <w:color w:val="2E74B5" w:themeColor="accent1" w:themeShade="BF"/>
      <w:spacing w:val="5"/>
    </w:rPr>
  </w:style>
  <w:style w:type="character" w:customStyle="1" w:styleId="subscript">
    <w:name w:val="subscript"/>
    <w:basedOn w:val="Fontdeparagrafimplicit"/>
    <w:rsid w:val="00945C79"/>
  </w:style>
  <w:style w:type="paragraph" w:customStyle="1" w:styleId="tbl-norm">
    <w:name w:val="tbl-norm"/>
    <w:basedOn w:val="Normal"/>
    <w:rsid w:val="00945C79"/>
    <w:pPr>
      <w:spacing w:before="100" w:beforeAutospacing="1" w:after="100" w:afterAutospacing="1"/>
    </w:pPr>
    <w:rPr>
      <w:lang w:val="ro-MD" w:eastAsia="ro-MD"/>
    </w:rPr>
  </w:style>
  <w:style w:type="paragraph" w:customStyle="1" w:styleId="CM3">
    <w:name w:val="CM3"/>
    <w:basedOn w:val="Normal"/>
    <w:next w:val="Normal"/>
    <w:uiPriority w:val="99"/>
    <w:rsid w:val="00945C79"/>
    <w:pPr>
      <w:autoSpaceDE w:val="0"/>
      <w:autoSpaceDN w:val="0"/>
      <w:adjustRightInd w:val="0"/>
    </w:pPr>
    <w:rPr>
      <w:rFonts w:eastAsiaTheme="minorHAnsi"/>
      <w:lang w:val="ro-MD" w:eastAsia="en-US"/>
    </w:rPr>
  </w:style>
  <w:style w:type="character" w:customStyle="1" w:styleId="boldface">
    <w:name w:val="boldface"/>
    <w:basedOn w:val="Fontdeparagrafimplicit"/>
    <w:rsid w:val="00945C79"/>
  </w:style>
  <w:style w:type="character" w:customStyle="1" w:styleId="italics">
    <w:name w:val="italics"/>
    <w:basedOn w:val="Fontdeparagrafimplicit"/>
    <w:rsid w:val="00945C79"/>
  </w:style>
  <w:style w:type="numbering" w:customStyle="1" w:styleId="FrListare2">
    <w:name w:val="Fără Listare2"/>
    <w:next w:val="FrListare"/>
    <w:uiPriority w:val="99"/>
    <w:semiHidden/>
    <w:unhideWhenUsed/>
    <w:rsid w:val="00044C72"/>
  </w:style>
  <w:style w:type="paragraph" w:customStyle="1" w:styleId="df3vjf">
    <w:name w:val="df3vjf"/>
    <w:basedOn w:val="Normal"/>
    <w:rsid w:val="002C458F"/>
    <w:pPr>
      <w:spacing w:before="100" w:beforeAutospacing="1" w:after="100" w:afterAutospacing="1"/>
    </w:pPr>
    <w:rPr>
      <w:lang w:val="ro-RO" w:eastAsia="ro-RO"/>
    </w:rPr>
  </w:style>
  <w:style w:type="character" w:customStyle="1" w:styleId="t286pc">
    <w:name w:val="t286pc"/>
    <w:basedOn w:val="Fontdeparagrafimplicit"/>
    <w:rsid w:val="002C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207">
      <w:bodyDiv w:val="1"/>
      <w:marLeft w:val="0"/>
      <w:marRight w:val="0"/>
      <w:marTop w:val="0"/>
      <w:marBottom w:val="0"/>
      <w:divBdr>
        <w:top w:val="none" w:sz="0" w:space="0" w:color="auto"/>
        <w:left w:val="none" w:sz="0" w:space="0" w:color="auto"/>
        <w:bottom w:val="none" w:sz="0" w:space="0" w:color="auto"/>
        <w:right w:val="none" w:sz="0" w:space="0" w:color="auto"/>
      </w:divBdr>
    </w:div>
    <w:div w:id="710233225">
      <w:bodyDiv w:val="1"/>
      <w:marLeft w:val="0"/>
      <w:marRight w:val="0"/>
      <w:marTop w:val="0"/>
      <w:marBottom w:val="0"/>
      <w:divBdr>
        <w:top w:val="none" w:sz="0" w:space="0" w:color="auto"/>
        <w:left w:val="none" w:sz="0" w:space="0" w:color="auto"/>
        <w:bottom w:val="none" w:sz="0" w:space="0" w:color="auto"/>
        <w:right w:val="none" w:sz="0" w:space="0" w:color="auto"/>
      </w:divBdr>
    </w:div>
    <w:div w:id="856306041">
      <w:bodyDiv w:val="1"/>
      <w:marLeft w:val="0"/>
      <w:marRight w:val="0"/>
      <w:marTop w:val="0"/>
      <w:marBottom w:val="0"/>
      <w:divBdr>
        <w:top w:val="none" w:sz="0" w:space="0" w:color="auto"/>
        <w:left w:val="none" w:sz="0" w:space="0" w:color="auto"/>
        <w:bottom w:val="none" w:sz="0" w:space="0" w:color="auto"/>
        <w:right w:val="none" w:sz="0" w:space="0" w:color="auto"/>
      </w:divBdr>
    </w:div>
    <w:div w:id="1883907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45</Pages>
  <Words>7296</Words>
  <Characters>43081</Characters>
  <Application>Microsoft Office Word</Application>
  <DocSecurity>0</DocSecurity>
  <Lines>2123</Lines>
  <Paragraphs>426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Serviciul politici de gestionare a substanțelor chimice</cp:lastModifiedBy>
  <cp:revision>14</cp:revision>
  <cp:lastPrinted>2023-11-15T14:44:00Z</cp:lastPrinted>
  <dcterms:created xsi:type="dcterms:W3CDTF">2026-03-04T11:51:00Z</dcterms:created>
  <dcterms:modified xsi:type="dcterms:W3CDTF">2026-03-11T09:35:00Z</dcterms:modified>
</cp:coreProperties>
</file>