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4DF1A" w14:textId="77777777" w:rsidR="003444EA" w:rsidRPr="0067539D" w:rsidRDefault="003444EA" w:rsidP="003444EA">
      <w:pPr>
        <w:shd w:val="clear" w:color="auto" w:fill="FFFFFF"/>
        <w:contextualSpacing/>
        <w:jc w:val="right"/>
        <w:rPr>
          <w:bCs/>
          <w:sz w:val="24"/>
          <w:lang w:val="ro-MD"/>
        </w:rPr>
      </w:pPr>
      <w:bookmarkStart w:id="0" w:name="_GoBack"/>
      <w:r w:rsidRPr="0067539D">
        <w:rPr>
          <w:bCs/>
          <w:sz w:val="24"/>
          <w:lang w:val="ro-MD"/>
        </w:rPr>
        <w:t>Anexa nr. 14</w:t>
      </w:r>
    </w:p>
    <w:p w14:paraId="00FFAF8E" w14:textId="77777777" w:rsidR="003444EA" w:rsidRPr="0067539D" w:rsidRDefault="003444EA" w:rsidP="003444EA">
      <w:pPr>
        <w:contextualSpacing/>
        <w:jc w:val="right"/>
        <w:rPr>
          <w:bCs/>
          <w:sz w:val="24"/>
          <w:lang w:val="ro-MD"/>
        </w:rPr>
      </w:pPr>
      <w:r w:rsidRPr="0067539D">
        <w:rPr>
          <w:rFonts w:eastAsia="MS Mincho"/>
          <w:sz w:val="24"/>
          <w:lang w:val="ro-MD" w:eastAsia="ja-JP"/>
        </w:rPr>
        <w:t xml:space="preserve">la </w:t>
      </w:r>
      <w:r w:rsidRPr="0067539D">
        <w:rPr>
          <w:bCs/>
          <w:sz w:val="24"/>
          <w:lang w:val="ro-MD"/>
        </w:rPr>
        <w:t xml:space="preserve">Regulamentul privind aplicarea măsurilor </w:t>
      </w:r>
    </w:p>
    <w:p w14:paraId="6BFE9C85" w14:textId="77777777" w:rsidR="003444EA" w:rsidRPr="0067539D" w:rsidRDefault="003444EA" w:rsidP="003444EA">
      <w:pPr>
        <w:contextualSpacing/>
        <w:jc w:val="right"/>
        <w:rPr>
          <w:bCs/>
          <w:sz w:val="24"/>
          <w:lang w:val="ro-MD"/>
        </w:rPr>
      </w:pPr>
      <w:r w:rsidRPr="0067539D">
        <w:rPr>
          <w:bCs/>
          <w:sz w:val="24"/>
          <w:lang w:val="ro-MD"/>
        </w:rPr>
        <w:t>de protecție împotriva organismelor dăunătoare plantelor</w:t>
      </w:r>
    </w:p>
    <w:p w14:paraId="21C79487" w14:textId="77777777" w:rsidR="003444EA" w:rsidRPr="0067539D" w:rsidRDefault="003444EA" w:rsidP="003444EA">
      <w:pPr>
        <w:shd w:val="clear" w:color="auto" w:fill="FFFFFF"/>
        <w:contextualSpacing/>
        <w:jc w:val="center"/>
        <w:rPr>
          <w:b/>
          <w:sz w:val="24"/>
          <w:szCs w:val="24"/>
          <w:lang w:val="ro-MD"/>
        </w:rPr>
      </w:pPr>
    </w:p>
    <w:p w14:paraId="0099C7F4" w14:textId="77777777" w:rsidR="003444EA" w:rsidRPr="0067539D" w:rsidRDefault="003444EA" w:rsidP="003444EA">
      <w:pPr>
        <w:shd w:val="clear" w:color="auto" w:fill="FFFFFF"/>
        <w:ind w:firstLine="0"/>
        <w:contextualSpacing/>
        <w:jc w:val="center"/>
        <w:rPr>
          <w:b/>
          <w:sz w:val="24"/>
          <w:szCs w:val="24"/>
          <w:lang w:val="ro-MD"/>
        </w:rPr>
      </w:pPr>
      <w:r w:rsidRPr="0067539D">
        <w:rPr>
          <w:b/>
          <w:sz w:val="24"/>
          <w:szCs w:val="24"/>
          <w:lang w:val="ro-MD"/>
        </w:rPr>
        <w:t xml:space="preserve">LISTA </w:t>
      </w:r>
    </w:p>
    <w:p w14:paraId="26988501" w14:textId="77777777" w:rsidR="003444EA" w:rsidRPr="0067539D" w:rsidRDefault="003444EA" w:rsidP="003444EA">
      <w:pPr>
        <w:shd w:val="clear" w:color="auto" w:fill="FFFFFF"/>
        <w:ind w:firstLine="0"/>
        <w:contextualSpacing/>
        <w:jc w:val="center"/>
        <w:rPr>
          <w:b/>
          <w:sz w:val="24"/>
          <w:szCs w:val="24"/>
          <w:lang w:val="ro-MD"/>
        </w:rPr>
      </w:pPr>
      <w:r w:rsidRPr="0067539D">
        <w:rPr>
          <w:b/>
          <w:sz w:val="24"/>
          <w:szCs w:val="24"/>
          <w:lang w:val="ro-MD"/>
        </w:rPr>
        <w:t>organismelor dăunătoare prioritare</w:t>
      </w:r>
    </w:p>
    <w:p w14:paraId="7C2B35E1" w14:textId="77777777" w:rsidR="000B56B5" w:rsidRPr="0067539D" w:rsidRDefault="000B56B5" w:rsidP="003444EA">
      <w:pPr>
        <w:shd w:val="clear" w:color="auto" w:fill="FFFFFF"/>
        <w:ind w:firstLine="0"/>
        <w:contextualSpacing/>
        <w:jc w:val="center"/>
        <w:rPr>
          <w:b/>
          <w:sz w:val="24"/>
          <w:szCs w:val="24"/>
          <w:lang w:val="ro-MD"/>
        </w:rPr>
      </w:pPr>
    </w:p>
    <w:p w14:paraId="44333508" w14:textId="52121473" w:rsidR="003444EA" w:rsidRPr="0067539D" w:rsidRDefault="000B56B5" w:rsidP="000B56B5">
      <w:pPr>
        <w:shd w:val="clear" w:color="auto" w:fill="FFFFFF"/>
        <w:contextualSpacing/>
        <w:rPr>
          <w:b/>
          <w:sz w:val="24"/>
          <w:szCs w:val="24"/>
          <w:lang w:val="ro-MD"/>
        </w:rPr>
      </w:pPr>
      <w:r w:rsidRPr="0067539D">
        <w:rPr>
          <w:sz w:val="24"/>
          <w:szCs w:val="24"/>
          <w:shd w:val="clear" w:color="auto" w:fill="FFFFFF"/>
          <w:lang w:val="ro-MD"/>
        </w:rPr>
        <w:t>Prezenta Anexă transpune Regulamentul delegat (UE) 2019/1702 al Comisiei din 1 august 2019 de completare a Regulamentului (UE) 2016/2031 al Parlamentului European și al Consiliului prin stabilirea listei organismelor dăunătoare prioritare, publicat în Jurnalul Oficial al Uniunii Europene L 260 din 11 octombrie 2019</w:t>
      </w:r>
      <w:r w:rsidR="008B6C05" w:rsidRPr="0067539D">
        <w:rPr>
          <w:sz w:val="24"/>
          <w:szCs w:val="24"/>
          <w:shd w:val="clear" w:color="auto" w:fill="FFFFFF"/>
          <w:lang w:val="ro-MD"/>
        </w:rPr>
        <w:t>, CELEX: 32019R1702</w:t>
      </w:r>
      <w:r w:rsidRPr="0067539D">
        <w:rPr>
          <w:sz w:val="24"/>
          <w:szCs w:val="24"/>
          <w:shd w:val="clear" w:color="auto" w:fill="FFFFFF"/>
          <w:lang w:val="ro-MD"/>
        </w:rPr>
        <w:t>.</w:t>
      </w:r>
    </w:p>
    <w:p w14:paraId="7B8645B0" w14:textId="77777777" w:rsidR="003444EA" w:rsidRPr="0067539D" w:rsidRDefault="003444EA" w:rsidP="003444EA">
      <w:pPr>
        <w:shd w:val="clear" w:color="auto" w:fill="FFFFFF"/>
        <w:contextualSpacing/>
        <w:rPr>
          <w:sz w:val="24"/>
          <w:szCs w:val="24"/>
          <w:lang w:val="ro-MD"/>
        </w:rPr>
      </w:pPr>
      <w:r w:rsidRPr="0067539D">
        <w:rPr>
          <w:sz w:val="24"/>
          <w:szCs w:val="24"/>
          <w:lang w:val="ro-MD"/>
        </w:rPr>
        <w:t>Lista organismelor dăunătoare prioritare este stabilită în conformitate cu art. 6 alin. (2) din Legea nr. 422/2023 privind măsurile de protecție împotriva organismelor dăunătoare plantelor, după cum urmează:</w:t>
      </w:r>
    </w:p>
    <w:p w14:paraId="692C67EC" w14:textId="77777777" w:rsidR="003444EA" w:rsidRPr="0067539D" w:rsidRDefault="003444EA" w:rsidP="003444EA">
      <w:pPr>
        <w:shd w:val="clear" w:color="auto" w:fill="FFFFFF"/>
        <w:contextualSpacing/>
        <w:rPr>
          <w:sz w:val="24"/>
          <w:szCs w:val="24"/>
          <w:lang w:val="ro-MD"/>
        </w:rPr>
      </w:pPr>
    </w:p>
    <w:p w14:paraId="679BB3A8" w14:textId="77777777" w:rsidR="003444EA" w:rsidRPr="0067539D" w:rsidRDefault="003444EA" w:rsidP="003444EA">
      <w:pPr>
        <w:shd w:val="clear" w:color="auto" w:fill="FFFFFF"/>
        <w:contextualSpacing/>
        <w:rPr>
          <w:i/>
          <w:iCs/>
          <w:sz w:val="24"/>
          <w:szCs w:val="24"/>
          <w:lang w:val="ro-MD"/>
        </w:rPr>
      </w:pPr>
      <w:proofErr w:type="spellStart"/>
      <w:r w:rsidRPr="0067539D">
        <w:rPr>
          <w:i/>
          <w:iCs/>
          <w:sz w:val="24"/>
          <w:szCs w:val="24"/>
          <w:lang w:val="ro-MD"/>
        </w:rPr>
        <w:t>Agrilus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67539D">
        <w:rPr>
          <w:i/>
          <w:iCs/>
          <w:sz w:val="24"/>
          <w:szCs w:val="24"/>
          <w:lang w:val="ro-MD"/>
        </w:rPr>
        <w:t>anxius</w:t>
      </w:r>
      <w:proofErr w:type="spellEnd"/>
      <w:r w:rsidRPr="0067539D">
        <w:rPr>
          <w:sz w:val="24"/>
          <w:szCs w:val="24"/>
          <w:lang w:val="ro-MD"/>
        </w:rPr>
        <w:t xml:space="preserve"> </w:t>
      </w:r>
      <w:proofErr w:type="spellStart"/>
      <w:r w:rsidRPr="0067539D">
        <w:rPr>
          <w:sz w:val="24"/>
          <w:szCs w:val="24"/>
          <w:lang w:val="ro-MD"/>
        </w:rPr>
        <w:t>Gory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</w:t>
      </w:r>
    </w:p>
    <w:p w14:paraId="5B481596" w14:textId="77777777" w:rsidR="003444EA" w:rsidRPr="0067539D" w:rsidRDefault="003444EA" w:rsidP="003444EA">
      <w:pPr>
        <w:shd w:val="clear" w:color="auto" w:fill="FFFFFF"/>
        <w:contextualSpacing/>
        <w:rPr>
          <w:sz w:val="24"/>
          <w:szCs w:val="24"/>
          <w:lang w:val="ro-MD"/>
        </w:rPr>
      </w:pPr>
      <w:proofErr w:type="spellStart"/>
      <w:r w:rsidRPr="0067539D">
        <w:rPr>
          <w:i/>
          <w:iCs/>
          <w:sz w:val="24"/>
          <w:szCs w:val="24"/>
          <w:lang w:val="ro-MD"/>
        </w:rPr>
        <w:t>Agrilus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67539D">
        <w:rPr>
          <w:i/>
          <w:iCs/>
          <w:sz w:val="24"/>
          <w:szCs w:val="24"/>
          <w:lang w:val="ro-MD"/>
        </w:rPr>
        <w:t>planipennis</w:t>
      </w:r>
      <w:proofErr w:type="spellEnd"/>
      <w:r w:rsidRPr="0067539D">
        <w:rPr>
          <w:sz w:val="24"/>
          <w:szCs w:val="24"/>
          <w:lang w:val="ro-MD"/>
        </w:rPr>
        <w:t xml:space="preserve"> </w:t>
      </w:r>
      <w:proofErr w:type="spellStart"/>
      <w:r w:rsidRPr="0067539D">
        <w:rPr>
          <w:sz w:val="24"/>
          <w:szCs w:val="24"/>
          <w:lang w:val="ro-MD"/>
        </w:rPr>
        <w:t>Fairmaire</w:t>
      </w:r>
      <w:proofErr w:type="spellEnd"/>
    </w:p>
    <w:p w14:paraId="7771085C" w14:textId="77777777" w:rsidR="003444EA" w:rsidRPr="0067539D" w:rsidRDefault="003444EA" w:rsidP="003444EA">
      <w:pPr>
        <w:shd w:val="clear" w:color="auto" w:fill="FFFFFF"/>
        <w:rPr>
          <w:sz w:val="24"/>
          <w:szCs w:val="24"/>
          <w:lang w:val="ro-MD"/>
        </w:rPr>
      </w:pPr>
      <w:proofErr w:type="spellStart"/>
      <w:r w:rsidRPr="0067539D">
        <w:rPr>
          <w:i/>
          <w:iCs/>
          <w:sz w:val="24"/>
          <w:szCs w:val="24"/>
          <w:lang w:val="ro-MD"/>
        </w:rPr>
        <w:t>Anastrepha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ludens</w:t>
      </w:r>
      <w:r w:rsidRPr="0067539D">
        <w:rPr>
          <w:sz w:val="24"/>
          <w:szCs w:val="24"/>
          <w:lang w:val="ro-MD"/>
        </w:rPr>
        <w:t xml:space="preserve"> (</w:t>
      </w:r>
      <w:proofErr w:type="spellStart"/>
      <w:r w:rsidRPr="0067539D">
        <w:rPr>
          <w:sz w:val="24"/>
          <w:szCs w:val="24"/>
          <w:lang w:val="ro-MD"/>
        </w:rPr>
        <w:t>Loew</w:t>
      </w:r>
      <w:proofErr w:type="spellEnd"/>
      <w:r w:rsidRPr="0067539D">
        <w:rPr>
          <w:sz w:val="24"/>
          <w:szCs w:val="24"/>
          <w:lang w:val="ro-MD"/>
        </w:rPr>
        <w:t xml:space="preserve">) </w:t>
      </w:r>
    </w:p>
    <w:p w14:paraId="465AAEB4" w14:textId="77777777" w:rsidR="003444EA" w:rsidRPr="0067539D" w:rsidRDefault="003444EA" w:rsidP="003444EA">
      <w:pPr>
        <w:shd w:val="clear" w:color="auto" w:fill="FFFFFF"/>
        <w:rPr>
          <w:vanish/>
          <w:sz w:val="24"/>
          <w:szCs w:val="24"/>
          <w:lang w:val="ro-MD"/>
        </w:rPr>
      </w:pPr>
    </w:p>
    <w:p w14:paraId="1FECFDD8" w14:textId="77777777" w:rsidR="003444EA" w:rsidRPr="0067539D" w:rsidRDefault="003444EA" w:rsidP="003444EA">
      <w:pPr>
        <w:shd w:val="clear" w:color="auto" w:fill="FFFFFF"/>
        <w:rPr>
          <w:sz w:val="24"/>
          <w:szCs w:val="24"/>
          <w:lang w:val="ro-MD"/>
        </w:rPr>
      </w:pPr>
      <w:proofErr w:type="spellStart"/>
      <w:r w:rsidRPr="0067539D">
        <w:rPr>
          <w:i/>
          <w:iCs/>
          <w:sz w:val="24"/>
          <w:szCs w:val="24"/>
          <w:lang w:val="ro-MD"/>
        </w:rPr>
        <w:t>Anoplophora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67539D">
        <w:rPr>
          <w:i/>
          <w:iCs/>
          <w:sz w:val="24"/>
          <w:szCs w:val="24"/>
          <w:lang w:val="ro-MD"/>
        </w:rPr>
        <w:t>chinensis</w:t>
      </w:r>
      <w:proofErr w:type="spellEnd"/>
      <w:r w:rsidRPr="0067539D">
        <w:rPr>
          <w:sz w:val="24"/>
          <w:szCs w:val="24"/>
          <w:lang w:val="ro-MD"/>
        </w:rPr>
        <w:t xml:space="preserve"> (Thomson)</w:t>
      </w:r>
    </w:p>
    <w:p w14:paraId="61D301C3" w14:textId="77777777" w:rsidR="003444EA" w:rsidRPr="0067539D" w:rsidRDefault="003444EA" w:rsidP="003444EA">
      <w:pPr>
        <w:shd w:val="clear" w:color="auto" w:fill="FFFFFF"/>
        <w:rPr>
          <w:sz w:val="24"/>
          <w:szCs w:val="24"/>
          <w:lang w:val="ro-MD"/>
        </w:rPr>
      </w:pPr>
      <w:proofErr w:type="spellStart"/>
      <w:r w:rsidRPr="0067539D">
        <w:rPr>
          <w:i/>
          <w:iCs/>
          <w:sz w:val="24"/>
          <w:szCs w:val="24"/>
          <w:lang w:val="ro-MD"/>
        </w:rPr>
        <w:t>Anoplophora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67539D">
        <w:rPr>
          <w:i/>
          <w:iCs/>
          <w:sz w:val="24"/>
          <w:szCs w:val="24"/>
          <w:lang w:val="ro-MD"/>
        </w:rPr>
        <w:t>glabripennis</w:t>
      </w:r>
      <w:proofErr w:type="spellEnd"/>
      <w:r w:rsidRPr="0067539D">
        <w:rPr>
          <w:sz w:val="24"/>
          <w:szCs w:val="24"/>
          <w:lang w:val="ro-MD"/>
        </w:rPr>
        <w:t xml:space="preserve"> (</w:t>
      </w:r>
      <w:proofErr w:type="spellStart"/>
      <w:r w:rsidRPr="0067539D">
        <w:rPr>
          <w:sz w:val="24"/>
          <w:szCs w:val="24"/>
          <w:lang w:val="ro-MD"/>
        </w:rPr>
        <w:t>Motschulsky</w:t>
      </w:r>
      <w:proofErr w:type="spellEnd"/>
      <w:r w:rsidRPr="0067539D">
        <w:rPr>
          <w:sz w:val="24"/>
          <w:szCs w:val="24"/>
          <w:lang w:val="ro-MD"/>
        </w:rPr>
        <w:t>)</w:t>
      </w:r>
    </w:p>
    <w:p w14:paraId="76F77BD0" w14:textId="77777777" w:rsidR="003444EA" w:rsidRPr="0067539D" w:rsidRDefault="003444EA" w:rsidP="003444EA">
      <w:pPr>
        <w:shd w:val="clear" w:color="auto" w:fill="FFFFFF"/>
        <w:rPr>
          <w:sz w:val="24"/>
          <w:szCs w:val="24"/>
          <w:lang w:val="ro-MD"/>
        </w:rPr>
      </w:pPr>
      <w:proofErr w:type="spellStart"/>
      <w:r w:rsidRPr="0067539D">
        <w:rPr>
          <w:i/>
          <w:iCs/>
          <w:sz w:val="24"/>
          <w:szCs w:val="24"/>
          <w:lang w:val="ro-MD"/>
        </w:rPr>
        <w:t>Anthonomus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eugenii</w:t>
      </w:r>
      <w:r w:rsidRPr="0067539D">
        <w:rPr>
          <w:sz w:val="24"/>
          <w:szCs w:val="24"/>
          <w:lang w:val="ro-MD"/>
        </w:rPr>
        <w:t xml:space="preserve"> Cano</w:t>
      </w:r>
    </w:p>
    <w:p w14:paraId="0F55E2EF" w14:textId="77777777" w:rsidR="003444EA" w:rsidRPr="0067539D" w:rsidRDefault="003444EA" w:rsidP="003444EA">
      <w:pPr>
        <w:shd w:val="clear" w:color="auto" w:fill="FFFFFF"/>
        <w:rPr>
          <w:sz w:val="24"/>
          <w:szCs w:val="24"/>
          <w:lang w:val="ro-MD"/>
        </w:rPr>
      </w:pPr>
      <w:proofErr w:type="spellStart"/>
      <w:r w:rsidRPr="0067539D">
        <w:rPr>
          <w:i/>
          <w:iCs/>
          <w:sz w:val="24"/>
          <w:szCs w:val="24"/>
          <w:lang w:val="ro-MD"/>
        </w:rPr>
        <w:t>Aromia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67539D">
        <w:rPr>
          <w:i/>
          <w:iCs/>
          <w:sz w:val="24"/>
          <w:szCs w:val="24"/>
          <w:lang w:val="ro-MD"/>
        </w:rPr>
        <w:t>bungii</w:t>
      </w:r>
      <w:proofErr w:type="spellEnd"/>
      <w:r w:rsidRPr="0067539D">
        <w:rPr>
          <w:sz w:val="24"/>
          <w:szCs w:val="24"/>
          <w:lang w:val="ro-MD"/>
        </w:rPr>
        <w:t xml:space="preserve"> (</w:t>
      </w:r>
      <w:proofErr w:type="spellStart"/>
      <w:r w:rsidRPr="0067539D">
        <w:rPr>
          <w:sz w:val="24"/>
          <w:szCs w:val="24"/>
          <w:lang w:val="ro-MD"/>
        </w:rPr>
        <w:t>Faldermann</w:t>
      </w:r>
      <w:proofErr w:type="spellEnd"/>
      <w:r w:rsidRPr="0067539D">
        <w:rPr>
          <w:sz w:val="24"/>
          <w:szCs w:val="24"/>
          <w:lang w:val="ro-MD"/>
        </w:rPr>
        <w:t xml:space="preserve">) </w:t>
      </w:r>
    </w:p>
    <w:p w14:paraId="6CEFB4C7" w14:textId="77777777" w:rsidR="003444EA" w:rsidRPr="0067539D" w:rsidRDefault="003444EA" w:rsidP="003444EA">
      <w:pPr>
        <w:shd w:val="clear" w:color="auto" w:fill="FFFFFF"/>
        <w:rPr>
          <w:vanish/>
          <w:sz w:val="24"/>
          <w:szCs w:val="24"/>
          <w:lang w:val="ro-MD"/>
        </w:rPr>
      </w:pPr>
    </w:p>
    <w:p w14:paraId="42F71AD9" w14:textId="77777777" w:rsidR="003444EA" w:rsidRPr="0067539D" w:rsidRDefault="003444EA" w:rsidP="003444EA">
      <w:pPr>
        <w:shd w:val="clear" w:color="auto" w:fill="FFFFFF"/>
        <w:rPr>
          <w:sz w:val="24"/>
          <w:szCs w:val="24"/>
          <w:lang w:val="ro-MD"/>
        </w:rPr>
      </w:pPr>
      <w:proofErr w:type="spellStart"/>
      <w:r w:rsidRPr="0067539D">
        <w:rPr>
          <w:i/>
          <w:iCs/>
          <w:sz w:val="24"/>
          <w:szCs w:val="24"/>
          <w:lang w:val="ro-MD"/>
        </w:rPr>
        <w:t>Bactericera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67539D">
        <w:rPr>
          <w:i/>
          <w:iCs/>
          <w:sz w:val="24"/>
          <w:szCs w:val="24"/>
          <w:lang w:val="ro-MD"/>
        </w:rPr>
        <w:t>cockerelli</w:t>
      </w:r>
      <w:proofErr w:type="spellEnd"/>
      <w:r w:rsidRPr="0067539D">
        <w:rPr>
          <w:sz w:val="24"/>
          <w:szCs w:val="24"/>
          <w:lang w:val="ro-MD"/>
        </w:rPr>
        <w:t xml:space="preserve"> (</w:t>
      </w:r>
      <w:proofErr w:type="spellStart"/>
      <w:r w:rsidRPr="0067539D">
        <w:rPr>
          <w:sz w:val="24"/>
          <w:szCs w:val="24"/>
          <w:lang w:val="ro-MD"/>
        </w:rPr>
        <w:t>Sulc</w:t>
      </w:r>
      <w:proofErr w:type="spellEnd"/>
      <w:r w:rsidRPr="0067539D">
        <w:rPr>
          <w:sz w:val="24"/>
          <w:szCs w:val="24"/>
          <w:lang w:val="ro-MD"/>
        </w:rPr>
        <w:t xml:space="preserve">.) </w:t>
      </w:r>
    </w:p>
    <w:p w14:paraId="1CCDC7AF" w14:textId="77777777" w:rsidR="003444EA" w:rsidRPr="0067539D" w:rsidRDefault="003444EA" w:rsidP="003444EA">
      <w:pPr>
        <w:shd w:val="clear" w:color="auto" w:fill="FFFFFF"/>
        <w:rPr>
          <w:vanish/>
          <w:sz w:val="24"/>
          <w:szCs w:val="24"/>
          <w:lang w:val="ro-MD"/>
        </w:rPr>
      </w:pPr>
    </w:p>
    <w:p w14:paraId="1D7237AE" w14:textId="77777777" w:rsidR="003444EA" w:rsidRPr="0067539D" w:rsidRDefault="003444EA" w:rsidP="003444EA">
      <w:pPr>
        <w:shd w:val="clear" w:color="auto" w:fill="FFFFFF"/>
        <w:rPr>
          <w:sz w:val="24"/>
          <w:szCs w:val="24"/>
          <w:lang w:val="ro-MD"/>
        </w:rPr>
      </w:pPr>
      <w:proofErr w:type="spellStart"/>
      <w:r w:rsidRPr="0067539D">
        <w:rPr>
          <w:i/>
          <w:iCs/>
          <w:sz w:val="24"/>
          <w:szCs w:val="24"/>
          <w:lang w:val="ro-MD"/>
        </w:rPr>
        <w:t>Bactrocera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67539D">
        <w:rPr>
          <w:i/>
          <w:iCs/>
          <w:sz w:val="24"/>
          <w:szCs w:val="24"/>
          <w:lang w:val="ro-MD"/>
        </w:rPr>
        <w:t>dorsalis</w:t>
      </w:r>
      <w:proofErr w:type="spellEnd"/>
      <w:r w:rsidRPr="0067539D">
        <w:rPr>
          <w:sz w:val="24"/>
          <w:szCs w:val="24"/>
          <w:lang w:val="ro-MD"/>
        </w:rPr>
        <w:t xml:space="preserve"> (</w:t>
      </w:r>
      <w:proofErr w:type="spellStart"/>
      <w:r w:rsidRPr="0067539D">
        <w:rPr>
          <w:sz w:val="24"/>
          <w:szCs w:val="24"/>
          <w:lang w:val="ro-MD"/>
        </w:rPr>
        <w:t>Hendel</w:t>
      </w:r>
      <w:proofErr w:type="spellEnd"/>
      <w:r w:rsidRPr="0067539D">
        <w:rPr>
          <w:sz w:val="24"/>
          <w:szCs w:val="24"/>
          <w:lang w:val="ro-MD"/>
        </w:rPr>
        <w:t xml:space="preserve">) </w:t>
      </w:r>
    </w:p>
    <w:p w14:paraId="41CEBD0B" w14:textId="77777777" w:rsidR="003444EA" w:rsidRPr="0067539D" w:rsidRDefault="003444EA" w:rsidP="003444EA">
      <w:pPr>
        <w:shd w:val="clear" w:color="auto" w:fill="FFFFFF"/>
        <w:rPr>
          <w:vanish/>
          <w:sz w:val="24"/>
          <w:szCs w:val="24"/>
          <w:lang w:val="ro-MD"/>
        </w:rPr>
      </w:pPr>
    </w:p>
    <w:p w14:paraId="333716A1" w14:textId="77777777" w:rsidR="003444EA" w:rsidRPr="0067539D" w:rsidRDefault="003444EA" w:rsidP="003444EA">
      <w:pPr>
        <w:shd w:val="clear" w:color="auto" w:fill="FFFFFF"/>
        <w:rPr>
          <w:sz w:val="24"/>
          <w:szCs w:val="24"/>
          <w:lang w:val="ro-MD"/>
        </w:rPr>
      </w:pPr>
      <w:proofErr w:type="spellStart"/>
      <w:r w:rsidRPr="0067539D">
        <w:rPr>
          <w:i/>
          <w:iCs/>
          <w:sz w:val="24"/>
          <w:szCs w:val="24"/>
          <w:lang w:val="ro-MD"/>
        </w:rPr>
        <w:t>Bactrocera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67539D">
        <w:rPr>
          <w:i/>
          <w:iCs/>
          <w:sz w:val="24"/>
          <w:szCs w:val="24"/>
          <w:lang w:val="ro-MD"/>
        </w:rPr>
        <w:t>zonata</w:t>
      </w:r>
      <w:proofErr w:type="spellEnd"/>
      <w:r w:rsidRPr="0067539D">
        <w:rPr>
          <w:sz w:val="24"/>
          <w:szCs w:val="24"/>
          <w:lang w:val="ro-MD"/>
        </w:rPr>
        <w:t xml:space="preserve"> (</w:t>
      </w:r>
      <w:proofErr w:type="spellStart"/>
      <w:r w:rsidRPr="0067539D">
        <w:rPr>
          <w:sz w:val="24"/>
          <w:szCs w:val="24"/>
          <w:lang w:val="ro-MD"/>
        </w:rPr>
        <w:t>Saunders</w:t>
      </w:r>
      <w:proofErr w:type="spellEnd"/>
      <w:r w:rsidRPr="0067539D">
        <w:rPr>
          <w:sz w:val="24"/>
          <w:szCs w:val="24"/>
          <w:lang w:val="ro-MD"/>
        </w:rPr>
        <w:t>)</w:t>
      </w:r>
    </w:p>
    <w:p w14:paraId="636BEAD7" w14:textId="77777777" w:rsidR="003444EA" w:rsidRPr="0067539D" w:rsidRDefault="003444EA" w:rsidP="003444EA">
      <w:pPr>
        <w:shd w:val="clear" w:color="auto" w:fill="FFFFFF"/>
        <w:rPr>
          <w:sz w:val="24"/>
          <w:szCs w:val="24"/>
          <w:lang w:val="ro-MD"/>
        </w:rPr>
      </w:pPr>
      <w:proofErr w:type="spellStart"/>
      <w:r w:rsidRPr="0067539D">
        <w:rPr>
          <w:i/>
          <w:iCs/>
          <w:sz w:val="24"/>
          <w:szCs w:val="24"/>
          <w:lang w:val="ro-MD"/>
        </w:rPr>
        <w:t>Bursaphelenchus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67539D">
        <w:rPr>
          <w:i/>
          <w:iCs/>
          <w:sz w:val="24"/>
          <w:szCs w:val="24"/>
          <w:lang w:val="ro-MD"/>
        </w:rPr>
        <w:t>xylophilus</w:t>
      </w:r>
      <w:proofErr w:type="spellEnd"/>
      <w:r w:rsidRPr="0067539D">
        <w:rPr>
          <w:sz w:val="24"/>
          <w:szCs w:val="24"/>
          <w:lang w:val="ro-MD"/>
        </w:rPr>
        <w:t xml:space="preserve"> (Steiner și </w:t>
      </w:r>
      <w:proofErr w:type="spellStart"/>
      <w:r w:rsidRPr="0067539D">
        <w:rPr>
          <w:sz w:val="24"/>
          <w:szCs w:val="24"/>
          <w:lang w:val="ro-MD"/>
        </w:rPr>
        <w:t>Bührer</w:t>
      </w:r>
      <w:proofErr w:type="spellEnd"/>
      <w:r w:rsidRPr="0067539D">
        <w:rPr>
          <w:sz w:val="24"/>
          <w:szCs w:val="24"/>
          <w:lang w:val="ro-MD"/>
        </w:rPr>
        <w:t xml:space="preserve">) </w:t>
      </w:r>
      <w:proofErr w:type="spellStart"/>
      <w:r w:rsidRPr="0067539D">
        <w:rPr>
          <w:sz w:val="24"/>
          <w:szCs w:val="24"/>
          <w:lang w:val="ro-MD"/>
        </w:rPr>
        <w:t>Nickle</w:t>
      </w:r>
      <w:proofErr w:type="spellEnd"/>
      <w:r w:rsidRPr="0067539D">
        <w:rPr>
          <w:sz w:val="24"/>
          <w:szCs w:val="24"/>
          <w:lang w:val="ro-MD"/>
        </w:rPr>
        <w:t xml:space="preserve"> </w:t>
      </w:r>
      <w:r w:rsidRPr="0067539D">
        <w:rPr>
          <w:i/>
          <w:iCs/>
          <w:sz w:val="24"/>
          <w:szCs w:val="24"/>
          <w:lang w:val="ro-MD"/>
        </w:rPr>
        <w:t>et al.</w:t>
      </w:r>
    </w:p>
    <w:p w14:paraId="3E1D1777" w14:textId="77777777" w:rsidR="003444EA" w:rsidRPr="0067539D" w:rsidRDefault="003444EA" w:rsidP="003444EA">
      <w:pPr>
        <w:shd w:val="clear" w:color="auto" w:fill="FFFFFF"/>
        <w:rPr>
          <w:sz w:val="24"/>
          <w:szCs w:val="24"/>
          <w:lang w:val="ro-MD"/>
        </w:rPr>
      </w:pPr>
      <w:proofErr w:type="spellStart"/>
      <w:r w:rsidRPr="0067539D">
        <w:rPr>
          <w:i/>
          <w:iCs/>
          <w:sz w:val="24"/>
          <w:szCs w:val="24"/>
          <w:lang w:val="ro-MD"/>
        </w:rPr>
        <w:t>Candidatus</w:t>
      </w:r>
      <w:proofErr w:type="spellEnd"/>
      <w:r w:rsidRPr="0067539D">
        <w:rPr>
          <w:sz w:val="24"/>
          <w:szCs w:val="24"/>
          <w:lang w:val="ro-MD"/>
        </w:rPr>
        <w:t xml:space="preserve"> </w:t>
      </w:r>
      <w:proofErr w:type="spellStart"/>
      <w:r w:rsidRPr="0067539D">
        <w:rPr>
          <w:i/>
          <w:iCs/>
          <w:sz w:val="24"/>
          <w:szCs w:val="24"/>
          <w:lang w:val="ro-MD"/>
        </w:rPr>
        <w:t>Liberibacter</w:t>
      </w:r>
      <w:proofErr w:type="spellEnd"/>
      <w:r w:rsidRPr="0067539D">
        <w:rPr>
          <w:sz w:val="24"/>
          <w:szCs w:val="24"/>
          <w:lang w:val="ro-MD"/>
        </w:rPr>
        <w:t xml:space="preserve"> </w:t>
      </w:r>
      <w:proofErr w:type="spellStart"/>
      <w:r w:rsidRPr="0067539D">
        <w:rPr>
          <w:sz w:val="24"/>
          <w:szCs w:val="24"/>
          <w:lang w:val="ro-MD"/>
        </w:rPr>
        <w:t>spp</w:t>
      </w:r>
      <w:proofErr w:type="spellEnd"/>
      <w:r w:rsidRPr="0067539D">
        <w:rPr>
          <w:sz w:val="24"/>
          <w:szCs w:val="24"/>
          <w:lang w:val="ro-MD"/>
        </w:rPr>
        <w:t xml:space="preserve">., agentul care cauzează boala </w:t>
      </w:r>
      <w:proofErr w:type="spellStart"/>
      <w:r w:rsidRPr="0067539D">
        <w:rPr>
          <w:sz w:val="24"/>
          <w:szCs w:val="24"/>
          <w:lang w:val="ro-MD"/>
        </w:rPr>
        <w:t>Huanglongbing</w:t>
      </w:r>
      <w:proofErr w:type="spellEnd"/>
      <w:r w:rsidRPr="0067539D">
        <w:rPr>
          <w:sz w:val="24"/>
          <w:szCs w:val="24"/>
          <w:lang w:val="ro-MD"/>
        </w:rPr>
        <w:t xml:space="preserve"> la citrice (</w:t>
      </w:r>
      <w:proofErr w:type="spellStart"/>
      <w:r w:rsidRPr="0067539D">
        <w:rPr>
          <w:i/>
          <w:iCs/>
          <w:sz w:val="24"/>
          <w:szCs w:val="24"/>
          <w:lang w:val="ro-MD"/>
        </w:rPr>
        <w:t>citrus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67539D">
        <w:rPr>
          <w:i/>
          <w:iCs/>
          <w:sz w:val="24"/>
          <w:szCs w:val="24"/>
          <w:lang w:val="ro-MD"/>
        </w:rPr>
        <w:t>greening</w:t>
      </w:r>
      <w:proofErr w:type="spellEnd"/>
      <w:r w:rsidRPr="0067539D">
        <w:rPr>
          <w:sz w:val="24"/>
          <w:szCs w:val="24"/>
          <w:lang w:val="ro-MD"/>
        </w:rPr>
        <w:t>)</w:t>
      </w:r>
    </w:p>
    <w:p w14:paraId="7D1A1681" w14:textId="77777777" w:rsidR="003444EA" w:rsidRPr="0067539D" w:rsidRDefault="003444EA" w:rsidP="003444EA">
      <w:pPr>
        <w:shd w:val="clear" w:color="auto" w:fill="FFFFFF"/>
        <w:rPr>
          <w:sz w:val="24"/>
          <w:szCs w:val="24"/>
          <w:lang w:val="ro-MD"/>
        </w:rPr>
      </w:pPr>
      <w:proofErr w:type="spellStart"/>
      <w:r w:rsidRPr="0067539D">
        <w:rPr>
          <w:i/>
          <w:iCs/>
          <w:sz w:val="24"/>
          <w:szCs w:val="24"/>
          <w:lang w:val="ro-MD"/>
        </w:rPr>
        <w:t>Conotrachelus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67539D">
        <w:rPr>
          <w:i/>
          <w:iCs/>
          <w:sz w:val="24"/>
          <w:szCs w:val="24"/>
          <w:lang w:val="ro-MD"/>
        </w:rPr>
        <w:t>nenuphar</w:t>
      </w:r>
      <w:proofErr w:type="spellEnd"/>
      <w:r w:rsidRPr="0067539D">
        <w:rPr>
          <w:sz w:val="24"/>
          <w:szCs w:val="24"/>
          <w:lang w:val="ro-MD"/>
        </w:rPr>
        <w:t xml:space="preserve"> (Herbst)</w:t>
      </w:r>
    </w:p>
    <w:p w14:paraId="6CDE50BE" w14:textId="77777777" w:rsidR="003444EA" w:rsidRPr="0067539D" w:rsidRDefault="003444EA" w:rsidP="003444EA">
      <w:pPr>
        <w:shd w:val="clear" w:color="auto" w:fill="FFFFFF"/>
        <w:rPr>
          <w:sz w:val="24"/>
          <w:szCs w:val="24"/>
          <w:lang w:val="ro-MD"/>
        </w:rPr>
      </w:pPr>
      <w:proofErr w:type="spellStart"/>
      <w:r w:rsidRPr="0067539D">
        <w:rPr>
          <w:i/>
          <w:iCs/>
          <w:sz w:val="24"/>
          <w:szCs w:val="24"/>
          <w:lang w:val="ro-MD"/>
        </w:rPr>
        <w:t>Dendrolimus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67539D">
        <w:rPr>
          <w:i/>
          <w:iCs/>
          <w:sz w:val="24"/>
          <w:szCs w:val="24"/>
          <w:lang w:val="ro-MD"/>
        </w:rPr>
        <w:t>sibiricus</w:t>
      </w:r>
      <w:proofErr w:type="spellEnd"/>
      <w:r w:rsidRPr="0067539D">
        <w:rPr>
          <w:sz w:val="24"/>
          <w:szCs w:val="24"/>
          <w:lang w:val="ro-MD"/>
        </w:rPr>
        <w:t xml:space="preserve"> </w:t>
      </w:r>
      <w:proofErr w:type="spellStart"/>
      <w:r w:rsidRPr="0067539D">
        <w:rPr>
          <w:sz w:val="24"/>
          <w:szCs w:val="24"/>
          <w:lang w:val="ro-MD"/>
        </w:rPr>
        <w:t>Tschetverikov</w:t>
      </w:r>
      <w:proofErr w:type="spellEnd"/>
    </w:p>
    <w:p w14:paraId="27CC68DC" w14:textId="77777777" w:rsidR="003444EA" w:rsidRPr="0067539D" w:rsidRDefault="003444EA" w:rsidP="003444EA">
      <w:pPr>
        <w:shd w:val="clear" w:color="auto" w:fill="FFFFFF"/>
        <w:rPr>
          <w:sz w:val="24"/>
          <w:szCs w:val="24"/>
          <w:lang w:val="ro-MD"/>
        </w:rPr>
      </w:pPr>
      <w:proofErr w:type="spellStart"/>
      <w:r w:rsidRPr="0067539D">
        <w:rPr>
          <w:i/>
          <w:iCs/>
          <w:sz w:val="24"/>
          <w:szCs w:val="24"/>
          <w:lang w:val="ro-MD"/>
        </w:rPr>
        <w:t>Phyllosticta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67539D">
        <w:rPr>
          <w:i/>
          <w:iCs/>
          <w:sz w:val="24"/>
          <w:szCs w:val="24"/>
          <w:lang w:val="ro-MD"/>
        </w:rPr>
        <w:t>citricarpa</w:t>
      </w:r>
      <w:proofErr w:type="spellEnd"/>
      <w:r w:rsidRPr="0067539D">
        <w:rPr>
          <w:sz w:val="24"/>
          <w:szCs w:val="24"/>
          <w:lang w:val="ro-MD"/>
        </w:rPr>
        <w:t xml:space="preserve"> (</w:t>
      </w:r>
      <w:proofErr w:type="spellStart"/>
      <w:r w:rsidRPr="0067539D">
        <w:rPr>
          <w:sz w:val="24"/>
          <w:szCs w:val="24"/>
          <w:lang w:val="ro-MD"/>
        </w:rPr>
        <w:t>McAlpine</w:t>
      </w:r>
      <w:proofErr w:type="spellEnd"/>
      <w:r w:rsidRPr="0067539D">
        <w:rPr>
          <w:sz w:val="24"/>
          <w:szCs w:val="24"/>
          <w:lang w:val="ro-MD"/>
        </w:rPr>
        <w:t xml:space="preserve">) Van </w:t>
      </w:r>
      <w:proofErr w:type="spellStart"/>
      <w:r w:rsidRPr="0067539D">
        <w:rPr>
          <w:sz w:val="24"/>
          <w:szCs w:val="24"/>
          <w:lang w:val="ro-MD"/>
        </w:rPr>
        <w:t>der</w:t>
      </w:r>
      <w:proofErr w:type="spellEnd"/>
      <w:r w:rsidRPr="0067539D">
        <w:rPr>
          <w:sz w:val="24"/>
          <w:szCs w:val="24"/>
          <w:lang w:val="ro-MD"/>
        </w:rPr>
        <w:t xml:space="preserve"> </w:t>
      </w:r>
      <w:proofErr w:type="spellStart"/>
      <w:r w:rsidRPr="0067539D">
        <w:rPr>
          <w:sz w:val="24"/>
          <w:szCs w:val="24"/>
          <w:lang w:val="ro-MD"/>
        </w:rPr>
        <w:t>Aa</w:t>
      </w:r>
      <w:proofErr w:type="spellEnd"/>
    </w:p>
    <w:p w14:paraId="67DF7FAF" w14:textId="77777777" w:rsidR="003444EA" w:rsidRPr="0067539D" w:rsidRDefault="003444EA" w:rsidP="003444EA">
      <w:pPr>
        <w:shd w:val="clear" w:color="auto" w:fill="FFFFFF"/>
        <w:rPr>
          <w:sz w:val="24"/>
          <w:szCs w:val="24"/>
          <w:lang w:val="ro-MD"/>
        </w:rPr>
      </w:pPr>
      <w:proofErr w:type="spellStart"/>
      <w:r w:rsidRPr="0067539D">
        <w:rPr>
          <w:i/>
          <w:iCs/>
          <w:sz w:val="24"/>
          <w:szCs w:val="24"/>
          <w:lang w:val="ro-MD"/>
        </w:rPr>
        <w:t>Popillia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67539D">
        <w:rPr>
          <w:i/>
          <w:iCs/>
          <w:sz w:val="24"/>
          <w:szCs w:val="24"/>
          <w:lang w:val="ro-MD"/>
        </w:rPr>
        <w:t>japonica</w:t>
      </w:r>
      <w:proofErr w:type="spellEnd"/>
      <w:r w:rsidRPr="0067539D">
        <w:rPr>
          <w:sz w:val="24"/>
          <w:szCs w:val="24"/>
          <w:lang w:val="ro-MD"/>
        </w:rPr>
        <w:t xml:space="preserve"> Newman</w:t>
      </w:r>
    </w:p>
    <w:p w14:paraId="04324C85" w14:textId="77777777" w:rsidR="003444EA" w:rsidRPr="0067539D" w:rsidRDefault="003444EA" w:rsidP="003444EA">
      <w:pPr>
        <w:shd w:val="clear" w:color="auto" w:fill="FFFFFF"/>
        <w:rPr>
          <w:i/>
          <w:iCs/>
          <w:sz w:val="24"/>
          <w:szCs w:val="24"/>
          <w:lang w:val="ro-MD"/>
        </w:rPr>
      </w:pPr>
      <w:proofErr w:type="spellStart"/>
      <w:r w:rsidRPr="0067539D">
        <w:rPr>
          <w:i/>
          <w:iCs/>
          <w:sz w:val="24"/>
          <w:szCs w:val="24"/>
          <w:lang w:val="ro-MD"/>
        </w:rPr>
        <w:t>Rhagoletis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67539D">
        <w:rPr>
          <w:i/>
          <w:iCs/>
          <w:sz w:val="24"/>
          <w:szCs w:val="24"/>
          <w:lang w:val="ro-MD"/>
        </w:rPr>
        <w:t>pomonella</w:t>
      </w:r>
      <w:proofErr w:type="spellEnd"/>
      <w:r w:rsidRPr="0067539D">
        <w:rPr>
          <w:sz w:val="24"/>
          <w:szCs w:val="24"/>
          <w:lang w:val="ro-MD"/>
        </w:rPr>
        <w:t xml:space="preserve"> </w:t>
      </w:r>
      <w:proofErr w:type="spellStart"/>
      <w:r w:rsidRPr="0067539D">
        <w:rPr>
          <w:sz w:val="24"/>
          <w:szCs w:val="24"/>
          <w:lang w:val="ro-MD"/>
        </w:rPr>
        <w:t>Walsh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</w:t>
      </w:r>
    </w:p>
    <w:p w14:paraId="18AE4C08" w14:textId="77777777" w:rsidR="003444EA" w:rsidRPr="0067539D" w:rsidRDefault="003444EA" w:rsidP="003444EA">
      <w:pPr>
        <w:shd w:val="clear" w:color="auto" w:fill="FFFFFF"/>
        <w:rPr>
          <w:sz w:val="24"/>
          <w:szCs w:val="24"/>
          <w:lang w:val="ro-MD"/>
        </w:rPr>
      </w:pPr>
      <w:proofErr w:type="spellStart"/>
      <w:r w:rsidRPr="0067539D">
        <w:rPr>
          <w:i/>
          <w:iCs/>
          <w:sz w:val="24"/>
          <w:szCs w:val="24"/>
          <w:lang w:val="ro-MD"/>
        </w:rPr>
        <w:t>Spodoptera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67539D">
        <w:rPr>
          <w:i/>
          <w:iCs/>
          <w:sz w:val="24"/>
          <w:szCs w:val="24"/>
          <w:lang w:val="ro-MD"/>
        </w:rPr>
        <w:t>frugiperda</w:t>
      </w:r>
      <w:proofErr w:type="spellEnd"/>
      <w:r w:rsidRPr="0067539D">
        <w:rPr>
          <w:sz w:val="24"/>
          <w:szCs w:val="24"/>
          <w:lang w:val="ro-MD"/>
        </w:rPr>
        <w:t xml:space="preserve"> (Smith)</w:t>
      </w:r>
    </w:p>
    <w:p w14:paraId="71A78DD8" w14:textId="77777777" w:rsidR="003444EA" w:rsidRPr="0067539D" w:rsidRDefault="003444EA" w:rsidP="003444EA">
      <w:pPr>
        <w:shd w:val="clear" w:color="auto" w:fill="FFFFFF"/>
        <w:rPr>
          <w:sz w:val="24"/>
          <w:szCs w:val="24"/>
          <w:lang w:val="ro-MD"/>
        </w:rPr>
      </w:pPr>
      <w:proofErr w:type="spellStart"/>
      <w:r w:rsidRPr="0067539D">
        <w:rPr>
          <w:i/>
          <w:iCs/>
          <w:sz w:val="24"/>
          <w:szCs w:val="24"/>
          <w:lang w:val="ro-MD"/>
        </w:rPr>
        <w:t>Thaumatotibia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67539D">
        <w:rPr>
          <w:i/>
          <w:iCs/>
          <w:sz w:val="24"/>
          <w:szCs w:val="24"/>
          <w:lang w:val="ro-MD"/>
        </w:rPr>
        <w:t>leucotreta</w:t>
      </w:r>
      <w:proofErr w:type="spellEnd"/>
      <w:r w:rsidRPr="0067539D">
        <w:rPr>
          <w:sz w:val="24"/>
          <w:szCs w:val="24"/>
          <w:lang w:val="ro-MD"/>
        </w:rPr>
        <w:t xml:space="preserve"> (</w:t>
      </w:r>
      <w:proofErr w:type="spellStart"/>
      <w:r w:rsidRPr="0067539D">
        <w:rPr>
          <w:sz w:val="24"/>
          <w:szCs w:val="24"/>
          <w:lang w:val="ro-MD"/>
        </w:rPr>
        <w:t>Meyrick</w:t>
      </w:r>
      <w:proofErr w:type="spellEnd"/>
      <w:r w:rsidRPr="0067539D">
        <w:rPr>
          <w:sz w:val="24"/>
          <w:szCs w:val="24"/>
          <w:lang w:val="ro-MD"/>
        </w:rPr>
        <w:t>)</w:t>
      </w:r>
    </w:p>
    <w:p w14:paraId="43F9877D" w14:textId="77777777" w:rsidR="003444EA" w:rsidRPr="0067539D" w:rsidRDefault="003444EA" w:rsidP="003444EA">
      <w:pPr>
        <w:shd w:val="clear" w:color="auto" w:fill="FFFFFF"/>
        <w:rPr>
          <w:sz w:val="24"/>
          <w:szCs w:val="24"/>
          <w:lang w:val="ro-MD"/>
        </w:rPr>
      </w:pPr>
      <w:proofErr w:type="spellStart"/>
      <w:r w:rsidRPr="0067539D">
        <w:rPr>
          <w:i/>
          <w:iCs/>
          <w:sz w:val="24"/>
          <w:szCs w:val="24"/>
          <w:lang w:val="ro-MD"/>
        </w:rPr>
        <w:t>Xylella</w:t>
      </w:r>
      <w:proofErr w:type="spellEnd"/>
      <w:r w:rsidRPr="0067539D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67539D">
        <w:rPr>
          <w:i/>
          <w:iCs/>
          <w:sz w:val="24"/>
          <w:szCs w:val="24"/>
          <w:lang w:val="ro-MD"/>
        </w:rPr>
        <w:t>fastidiosa</w:t>
      </w:r>
      <w:proofErr w:type="spellEnd"/>
      <w:r w:rsidRPr="0067539D">
        <w:rPr>
          <w:sz w:val="24"/>
          <w:szCs w:val="24"/>
          <w:lang w:val="ro-MD"/>
        </w:rPr>
        <w:t xml:space="preserve"> (Wells </w:t>
      </w:r>
      <w:r w:rsidRPr="0067539D">
        <w:rPr>
          <w:i/>
          <w:iCs/>
          <w:sz w:val="24"/>
          <w:szCs w:val="24"/>
          <w:lang w:val="ro-MD"/>
        </w:rPr>
        <w:t>et al.</w:t>
      </w:r>
      <w:r w:rsidRPr="0067539D">
        <w:rPr>
          <w:sz w:val="24"/>
          <w:szCs w:val="24"/>
          <w:lang w:val="ro-MD"/>
        </w:rPr>
        <w:t>)</w:t>
      </w:r>
    </w:p>
    <w:bookmarkEnd w:id="0"/>
    <w:p w14:paraId="7BFCB1CA" w14:textId="77777777" w:rsidR="00B32DE8" w:rsidRPr="0067539D" w:rsidRDefault="00B32DE8">
      <w:pPr>
        <w:rPr>
          <w:lang w:val="ro-MD"/>
        </w:rPr>
      </w:pPr>
    </w:p>
    <w:sectPr w:rsidR="00B32DE8" w:rsidRPr="0067539D" w:rsidSect="003444EA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EA"/>
    <w:rsid w:val="000B56B5"/>
    <w:rsid w:val="001D2B23"/>
    <w:rsid w:val="003444EA"/>
    <w:rsid w:val="0058181B"/>
    <w:rsid w:val="005C0197"/>
    <w:rsid w:val="0067539D"/>
    <w:rsid w:val="006D1F82"/>
    <w:rsid w:val="007F009C"/>
    <w:rsid w:val="008B6C05"/>
    <w:rsid w:val="00B32DE8"/>
    <w:rsid w:val="00DC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4EE8"/>
  <w15:chartTrackingRefBased/>
  <w15:docId w15:val="{B3340AF8-0952-4DDA-81EE-711ED947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4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3444EA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444EA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444EA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444EA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  <w:lang w:val="ru-RU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444EA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szCs w:val="22"/>
      <w:lang w:val="ru-RU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444EA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ru-RU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444EA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ru-RU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444EA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ru-RU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444EA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444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444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444E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444EA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444EA"/>
    <w:rPr>
      <w:rFonts w:eastAsiaTheme="majorEastAsia" w:cstheme="majorBidi"/>
      <w:color w:val="365F91" w:themeColor="accent1" w:themeShade="BF"/>
      <w:sz w:val="24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444E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444EA"/>
    <w:rPr>
      <w:rFonts w:eastAsiaTheme="majorEastAsia" w:cstheme="majorBidi"/>
      <w:color w:val="595959" w:themeColor="text1" w:themeTint="A6"/>
      <w:sz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444E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444EA"/>
    <w:rPr>
      <w:rFonts w:eastAsiaTheme="majorEastAsia" w:cstheme="majorBidi"/>
      <w:color w:val="272727" w:themeColor="text1" w:themeTint="D8"/>
      <w:sz w:val="24"/>
    </w:rPr>
  </w:style>
  <w:style w:type="paragraph" w:styleId="Titlu">
    <w:name w:val="Title"/>
    <w:basedOn w:val="Normal"/>
    <w:next w:val="Normal"/>
    <w:link w:val="TitluCaracter"/>
    <w:uiPriority w:val="10"/>
    <w:qFormat/>
    <w:rsid w:val="003444EA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TitluCaracter">
    <w:name w:val="Titlu Caracter"/>
    <w:basedOn w:val="Fontdeparagrafimplicit"/>
    <w:link w:val="Titlu"/>
    <w:uiPriority w:val="10"/>
    <w:rsid w:val="00344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444EA"/>
    <w:pPr>
      <w:numPr>
        <w:ilvl w:val="1"/>
      </w:numPr>
      <w:spacing w:after="160" w:line="276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44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444EA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</w:rPr>
  </w:style>
  <w:style w:type="character" w:customStyle="1" w:styleId="CitatCaracter">
    <w:name w:val="Citat Caracter"/>
    <w:basedOn w:val="Fontdeparagrafimplicit"/>
    <w:link w:val="Citat"/>
    <w:uiPriority w:val="29"/>
    <w:rsid w:val="003444EA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f">
    <w:name w:val="List Paragraph"/>
    <w:basedOn w:val="Normal"/>
    <w:uiPriority w:val="34"/>
    <w:qFormat/>
    <w:rsid w:val="003444EA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styleId="Accentuareintens">
    <w:name w:val="Intense Emphasis"/>
    <w:basedOn w:val="Fontdeparagrafimplicit"/>
    <w:uiPriority w:val="21"/>
    <w:qFormat/>
    <w:rsid w:val="003444EA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444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sz w:val="24"/>
      <w:szCs w:val="22"/>
      <w:lang w:val="ru-RU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444EA"/>
    <w:rPr>
      <w:rFonts w:ascii="Times New Roman" w:hAnsi="Times New Roman"/>
      <w:i/>
      <w:iCs/>
      <w:color w:val="365F91" w:themeColor="accent1" w:themeShade="BF"/>
      <w:sz w:val="24"/>
    </w:rPr>
  </w:style>
  <w:style w:type="character" w:styleId="Referireintens">
    <w:name w:val="Intense Reference"/>
    <w:basedOn w:val="Fontdeparagrafimplicit"/>
    <w:uiPriority w:val="32"/>
    <w:qFormat/>
    <w:rsid w:val="003444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Sarban Cristina</cp:lastModifiedBy>
  <cp:revision>5</cp:revision>
  <dcterms:created xsi:type="dcterms:W3CDTF">2024-12-03T06:14:00Z</dcterms:created>
  <dcterms:modified xsi:type="dcterms:W3CDTF">2026-02-17T14:52:00Z</dcterms:modified>
</cp:coreProperties>
</file>