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FA6E9" w14:textId="77777777" w:rsidR="006B753E" w:rsidRPr="009E45D5" w:rsidRDefault="006B753E" w:rsidP="006B753E">
      <w:pPr>
        <w:shd w:val="clear" w:color="auto" w:fill="FFFFFF"/>
        <w:contextualSpacing/>
        <w:jc w:val="right"/>
        <w:rPr>
          <w:bCs/>
          <w:sz w:val="24"/>
          <w:szCs w:val="24"/>
          <w:lang w:val="ro-MD"/>
        </w:rPr>
      </w:pPr>
      <w:bookmarkStart w:id="0" w:name="_GoBack"/>
      <w:bookmarkEnd w:id="0"/>
      <w:r w:rsidRPr="009E45D5">
        <w:rPr>
          <w:bCs/>
          <w:sz w:val="24"/>
          <w:szCs w:val="24"/>
          <w:lang w:val="ro-MD"/>
        </w:rPr>
        <w:t>Anexa nr. 1</w:t>
      </w:r>
    </w:p>
    <w:p w14:paraId="5E832D4E" w14:textId="77777777" w:rsidR="006B753E" w:rsidRPr="009E45D5" w:rsidRDefault="006B753E" w:rsidP="006B753E">
      <w:pPr>
        <w:contextualSpacing/>
        <w:jc w:val="right"/>
        <w:rPr>
          <w:bCs/>
          <w:sz w:val="24"/>
          <w:szCs w:val="24"/>
          <w:lang w:val="ro-MD"/>
        </w:rPr>
      </w:pPr>
      <w:r w:rsidRPr="009E45D5">
        <w:rPr>
          <w:rFonts w:eastAsia="MS Mincho"/>
          <w:sz w:val="24"/>
          <w:szCs w:val="24"/>
          <w:lang w:val="ro-MD" w:eastAsia="ja-JP"/>
        </w:rPr>
        <w:t xml:space="preserve">la </w:t>
      </w:r>
      <w:r w:rsidRPr="009E45D5">
        <w:rPr>
          <w:bCs/>
          <w:sz w:val="24"/>
          <w:szCs w:val="24"/>
          <w:lang w:val="ro-MD"/>
        </w:rPr>
        <w:t xml:space="preserve">Regulamentul privind aplicarea măsurilor </w:t>
      </w:r>
    </w:p>
    <w:p w14:paraId="696E026B" w14:textId="77777777" w:rsidR="006B753E" w:rsidRPr="009E45D5" w:rsidRDefault="006B753E" w:rsidP="006B753E">
      <w:pPr>
        <w:contextualSpacing/>
        <w:jc w:val="right"/>
        <w:rPr>
          <w:bCs/>
          <w:sz w:val="24"/>
          <w:szCs w:val="24"/>
          <w:lang w:val="ro-MD"/>
        </w:rPr>
      </w:pPr>
      <w:r w:rsidRPr="009E45D5">
        <w:rPr>
          <w:bCs/>
          <w:sz w:val="24"/>
          <w:szCs w:val="24"/>
          <w:lang w:val="ro-MD"/>
        </w:rPr>
        <w:t>de protecție împotriva organismelor dăunătoare plantelor</w:t>
      </w:r>
    </w:p>
    <w:p w14:paraId="3C5FB117" w14:textId="77777777" w:rsidR="006B753E" w:rsidRPr="009E45D5" w:rsidRDefault="006B753E" w:rsidP="006B753E">
      <w:pPr>
        <w:shd w:val="clear" w:color="auto" w:fill="FFFFFF"/>
        <w:ind w:left="6804"/>
        <w:contextualSpacing/>
        <w:jc w:val="right"/>
        <w:rPr>
          <w:bCs/>
          <w:sz w:val="24"/>
          <w:szCs w:val="24"/>
          <w:lang w:val="ro-MD"/>
        </w:rPr>
      </w:pPr>
    </w:p>
    <w:p w14:paraId="3E19A09D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sz w:val="24"/>
          <w:szCs w:val="24"/>
          <w:lang w:val="ro-MD"/>
        </w:rPr>
      </w:pPr>
      <w:r w:rsidRPr="009E45D5">
        <w:rPr>
          <w:b/>
          <w:bCs/>
          <w:sz w:val="24"/>
          <w:szCs w:val="24"/>
          <w:lang w:val="ro-MD"/>
        </w:rPr>
        <w:t xml:space="preserve">LISTA </w:t>
      </w:r>
    </w:p>
    <w:p w14:paraId="78337808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iCs/>
          <w:sz w:val="24"/>
          <w:szCs w:val="24"/>
          <w:lang w:val="ro-MD"/>
        </w:rPr>
      </w:pPr>
      <w:r w:rsidRPr="009E45D5">
        <w:rPr>
          <w:b/>
          <w:bCs/>
          <w:sz w:val="24"/>
          <w:szCs w:val="24"/>
          <w:lang w:val="ro-MD"/>
        </w:rPr>
        <w:t>termenilor</w:t>
      </w:r>
      <w:r w:rsidRPr="009E45D5">
        <w:rPr>
          <w:b/>
          <w:bCs/>
          <w:iCs/>
          <w:sz w:val="24"/>
          <w:szCs w:val="24"/>
          <w:lang w:val="ro-MD"/>
        </w:rPr>
        <w:t xml:space="preserve"> utilizați în anexele prezentului Regulament </w:t>
      </w:r>
    </w:p>
    <w:p w14:paraId="6990B24E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sz w:val="24"/>
          <w:szCs w:val="24"/>
          <w:lang w:val="ro-MD"/>
        </w:rPr>
      </w:pPr>
      <w:r w:rsidRPr="009E45D5">
        <w:rPr>
          <w:b/>
          <w:bCs/>
          <w:iCs/>
          <w:sz w:val="24"/>
          <w:szCs w:val="24"/>
          <w:lang w:val="ro-MD"/>
        </w:rPr>
        <w:t>și a actelor normative în sensul cărora sunt definiți</w:t>
      </w:r>
    </w:p>
    <w:p w14:paraId="6F154DA6" w14:textId="77777777" w:rsidR="006B753E" w:rsidRPr="009E45D5" w:rsidRDefault="006B753E" w:rsidP="006B753E">
      <w:pPr>
        <w:shd w:val="clear" w:color="auto" w:fill="FFFFFF"/>
        <w:contextualSpacing/>
        <w:jc w:val="center"/>
        <w:rPr>
          <w:b/>
          <w:bCs/>
          <w:sz w:val="24"/>
          <w:szCs w:val="24"/>
          <w:lang w:val="ro-MD"/>
        </w:rPr>
      </w:pPr>
    </w:p>
    <w:p w14:paraId="1F50C80D" w14:textId="77777777" w:rsidR="006B753E" w:rsidRPr="009E45D5" w:rsidRDefault="006B753E" w:rsidP="006B753E">
      <w:pPr>
        <w:shd w:val="clear" w:color="auto" w:fill="FFFFFF"/>
        <w:rPr>
          <w:sz w:val="24"/>
          <w:szCs w:val="24"/>
          <w:lang w:val="ro-MD"/>
        </w:rPr>
      </w:pPr>
      <w:r w:rsidRPr="009E45D5">
        <w:rPr>
          <w:sz w:val="24"/>
          <w:szCs w:val="24"/>
          <w:lang w:val="ro-MD"/>
        </w:rPr>
        <w:t xml:space="preserve">În sensul prezentului Regulament, termenii utilizați în anexe (enumerați în secțiunea 1) au același înțeles cu cel definit în actele normative prevăzute în secțiunea a 2-a. </w:t>
      </w:r>
    </w:p>
    <w:p w14:paraId="7917602E" w14:textId="77777777" w:rsidR="006B753E" w:rsidRPr="009E45D5" w:rsidRDefault="006B753E" w:rsidP="006B753E">
      <w:pPr>
        <w:shd w:val="clear" w:color="auto" w:fill="FFFFFF"/>
        <w:spacing w:before="120"/>
        <w:ind w:firstLine="567"/>
        <w:rPr>
          <w:sz w:val="24"/>
          <w:szCs w:val="24"/>
          <w:lang w:val="ro-MD"/>
        </w:rPr>
      </w:pPr>
    </w:p>
    <w:p w14:paraId="10D1AD2A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iCs/>
          <w:sz w:val="24"/>
          <w:szCs w:val="24"/>
          <w:lang w:val="ro-MD"/>
        </w:rPr>
      </w:pPr>
      <w:r w:rsidRPr="009E45D5">
        <w:rPr>
          <w:b/>
          <w:bCs/>
          <w:iCs/>
          <w:sz w:val="24"/>
          <w:szCs w:val="24"/>
          <w:lang w:val="ro-MD"/>
        </w:rPr>
        <w:t>Secțiunea 1</w:t>
      </w:r>
    </w:p>
    <w:p w14:paraId="56ECDFD3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sz w:val="24"/>
          <w:szCs w:val="24"/>
          <w:lang w:val="ro-MD"/>
        </w:rPr>
      </w:pPr>
      <w:r w:rsidRPr="009E45D5">
        <w:rPr>
          <w:b/>
          <w:bCs/>
          <w:sz w:val="24"/>
          <w:szCs w:val="24"/>
          <w:lang w:val="ro-MD"/>
        </w:rPr>
        <w:t>Lista termenilor</w:t>
      </w:r>
    </w:p>
    <w:p w14:paraId="58538B00" w14:textId="77777777" w:rsidR="006B753E" w:rsidRPr="009E45D5" w:rsidRDefault="006B753E" w:rsidP="006B753E">
      <w:pPr>
        <w:shd w:val="clear" w:color="auto" w:fill="FFFFFF"/>
        <w:ind w:firstLine="0"/>
        <w:contextualSpacing/>
        <w:jc w:val="center"/>
        <w:rPr>
          <w:b/>
          <w:bCs/>
          <w:sz w:val="24"/>
          <w:szCs w:val="24"/>
          <w:lang w:val="ro-MD"/>
        </w:rPr>
      </w:pPr>
    </w:p>
    <w:p w14:paraId="180867AD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b/>
          <w:bCs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Semințe </w:t>
      </w:r>
      <w:proofErr w:type="spellStart"/>
      <w:r w:rsidRPr="009E45D5">
        <w:rPr>
          <w:rFonts w:cs="Times New Roman"/>
          <w:szCs w:val="24"/>
          <w:lang w:val="ro-MD"/>
        </w:rPr>
        <w:t>prebază</w:t>
      </w:r>
      <w:proofErr w:type="spellEnd"/>
    </w:p>
    <w:p w14:paraId="157E282C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b/>
          <w:bCs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bază</w:t>
      </w:r>
    </w:p>
    <w:p w14:paraId="23D7EF09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certificate</w:t>
      </w:r>
    </w:p>
    <w:p w14:paraId="2DF9F7F3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standard</w:t>
      </w:r>
    </w:p>
    <w:p w14:paraId="69A9EA49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Viță-de-vie</w:t>
      </w:r>
    </w:p>
    <w:p w14:paraId="368DD786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de înmulțire inițial</w:t>
      </w:r>
    </w:p>
    <w:p w14:paraId="7A9203D2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de înmulțire bază</w:t>
      </w:r>
    </w:p>
    <w:p w14:paraId="4EA98ED1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Material </w:t>
      </w:r>
      <w:proofErr w:type="spellStart"/>
      <w:r w:rsidRPr="009E45D5">
        <w:rPr>
          <w:rFonts w:cs="Times New Roman"/>
          <w:szCs w:val="24"/>
          <w:lang w:val="ro-MD"/>
        </w:rPr>
        <w:t>prebază</w:t>
      </w:r>
      <w:proofErr w:type="spellEnd"/>
    </w:p>
    <w:p w14:paraId="59D8C7C2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bază</w:t>
      </w:r>
    </w:p>
    <w:p w14:paraId="6C744387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certificat</w:t>
      </w:r>
    </w:p>
    <w:p w14:paraId="434F7B05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Material-standard</w:t>
      </w:r>
    </w:p>
    <w:p w14:paraId="5B2F34B9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de înmulțire a plantelor ornamentale</w:t>
      </w:r>
    </w:p>
    <w:p w14:paraId="3D06891B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b/>
          <w:bCs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Material forestier de reproducere</w:t>
      </w:r>
    </w:p>
    <w:p w14:paraId="3EC699DD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Material de înmulțire și plantare legumicol </w:t>
      </w:r>
    </w:p>
    <w:p w14:paraId="5E0A6FB3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Material de înmulțire și plantare fructifer destinat producției de fructe </w:t>
      </w:r>
    </w:p>
    <w:p w14:paraId="3A31F791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Plantă-mamă </w:t>
      </w:r>
      <w:proofErr w:type="spellStart"/>
      <w:r w:rsidRPr="009E45D5">
        <w:rPr>
          <w:rFonts w:cs="Times New Roman"/>
          <w:szCs w:val="24"/>
          <w:lang w:val="ro-MD"/>
        </w:rPr>
        <w:t>prebază</w:t>
      </w:r>
      <w:proofErr w:type="spellEnd"/>
      <w:r w:rsidRPr="009E45D5">
        <w:rPr>
          <w:rFonts w:cs="Times New Roman"/>
          <w:szCs w:val="24"/>
          <w:lang w:val="ro-MD"/>
        </w:rPr>
        <w:t xml:space="preserve"> candidat</w:t>
      </w:r>
    </w:p>
    <w:p w14:paraId="29F34DA5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Plantă-mamă </w:t>
      </w:r>
      <w:proofErr w:type="spellStart"/>
      <w:r w:rsidRPr="009E45D5">
        <w:rPr>
          <w:rFonts w:cs="Times New Roman"/>
          <w:szCs w:val="24"/>
          <w:lang w:val="ro-MD"/>
        </w:rPr>
        <w:t>prebază</w:t>
      </w:r>
      <w:proofErr w:type="spellEnd"/>
    </w:p>
    <w:p w14:paraId="75F66FDB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Plantă-mamă bază </w:t>
      </w:r>
    </w:p>
    <w:p w14:paraId="2565141C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Plantă-mamă certificată</w:t>
      </w:r>
    </w:p>
    <w:p w14:paraId="31C14D3D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 xml:space="preserve">Material </w:t>
      </w:r>
      <w:proofErr w:type="spellStart"/>
      <w:r w:rsidRPr="009E45D5">
        <w:rPr>
          <w:rFonts w:cs="Times New Roman"/>
          <w:i/>
          <w:iCs/>
          <w:szCs w:val="24"/>
          <w:lang w:val="ro-MD"/>
        </w:rPr>
        <w:t>Conformitas</w:t>
      </w:r>
      <w:proofErr w:type="spellEnd"/>
      <w:r w:rsidRPr="009E45D5">
        <w:rPr>
          <w:rFonts w:cs="Times New Roman"/>
          <w:i/>
          <w:iCs/>
          <w:szCs w:val="24"/>
          <w:lang w:val="ro-MD"/>
        </w:rPr>
        <w:t xml:space="preserve"> </w:t>
      </w:r>
      <w:proofErr w:type="spellStart"/>
      <w:r w:rsidRPr="009E45D5">
        <w:rPr>
          <w:rFonts w:cs="Times New Roman"/>
          <w:i/>
          <w:iCs/>
          <w:szCs w:val="24"/>
          <w:lang w:val="ro-MD"/>
        </w:rPr>
        <w:t>Agraria</w:t>
      </w:r>
      <w:proofErr w:type="spellEnd"/>
      <w:r w:rsidRPr="009E45D5">
        <w:rPr>
          <w:rFonts w:cs="Times New Roman"/>
          <w:i/>
          <w:iCs/>
          <w:szCs w:val="24"/>
          <w:lang w:val="ro-MD"/>
        </w:rPr>
        <w:t xml:space="preserve"> </w:t>
      </w:r>
      <w:proofErr w:type="spellStart"/>
      <w:r w:rsidRPr="009E45D5">
        <w:rPr>
          <w:rFonts w:cs="Times New Roman"/>
          <w:i/>
          <w:iCs/>
          <w:szCs w:val="24"/>
          <w:lang w:val="ro-MD"/>
        </w:rPr>
        <w:t>Communicatis</w:t>
      </w:r>
      <w:proofErr w:type="spellEnd"/>
      <w:r w:rsidRPr="009E45D5">
        <w:rPr>
          <w:rFonts w:cs="Times New Roman"/>
          <w:szCs w:val="24"/>
          <w:lang w:val="ro-MD"/>
        </w:rPr>
        <w:t xml:space="preserve"> (CAC)</w:t>
      </w:r>
    </w:p>
    <w:p w14:paraId="5FBCF98C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de plante furajere</w:t>
      </w:r>
    </w:p>
    <w:p w14:paraId="71E78C27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de cereale</w:t>
      </w:r>
    </w:p>
    <w:p w14:paraId="5AF8B591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de legume</w:t>
      </w:r>
    </w:p>
    <w:p w14:paraId="125A7031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Cartofi de sămânță</w:t>
      </w:r>
    </w:p>
    <w:p w14:paraId="328ECC96" w14:textId="77777777" w:rsidR="006B753E" w:rsidRPr="009E45D5" w:rsidRDefault="006B753E" w:rsidP="006B753E">
      <w:pPr>
        <w:pStyle w:val="Listparagraf"/>
        <w:shd w:val="clear" w:color="auto" w:fill="FFFFFF"/>
        <w:ind w:left="0"/>
        <w:rPr>
          <w:rFonts w:cs="Times New Roman"/>
          <w:szCs w:val="24"/>
          <w:lang w:val="ro-MD"/>
        </w:rPr>
      </w:pPr>
      <w:r w:rsidRPr="009E45D5">
        <w:rPr>
          <w:rFonts w:cs="Times New Roman"/>
          <w:szCs w:val="24"/>
          <w:lang w:val="ro-MD"/>
        </w:rPr>
        <w:t>Semințe de plante oleaginoase și pentru fibre</w:t>
      </w:r>
    </w:p>
    <w:p w14:paraId="06AB8F5E" w14:textId="16F39F88" w:rsidR="006B753E" w:rsidRPr="009E45D5" w:rsidRDefault="006B753E" w:rsidP="006B753E">
      <w:pPr>
        <w:ind w:firstLine="0"/>
        <w:jc w:val="center"/>
        <w:rPr>
          <w:b/>
          <w:sz w:val="24"/>
          <w:szCs w:val="24"/>
          <w:lang w:val="ro-MD"/>
        </w:rPr>
      </w:pPr>
      <w:r w:rsidRPr="009E45D5">
        <w:rPr>
          <w:b/>
          <w:sz w:val="24"/>
          <w:szCs w:val="24"/>
          <w:lang w:val="ro-MD"/>
        </w:rPr>
        <w:t>Secțiunea a 2-a</w:t>
      </w:r>
    </w:p>
    <w:p w14:paraId="7EA7BAD3" w14:textId="77777777" w:rsidR="006B753E" w:rsidRPr="009E45D5" w:rsidRDefault="006B753E" w:rsidP="006B753E">
      <w:pPr>
        <w:shd w:val="clear" w:color="auto" w:fill="FFFFFF"/>
        <w:ind w:firstLine="0"/>
        <w:jc w:val="center"/>
        <w:rPr>
          <w:b/>
          <w:bCs/>
          <w:iCs/>
          <w:sz w:val="24"/>
          <w:szCs w:val="24"/>
          <w:lang w:val="ro-MD"/>
        </w:rPr>
      </w:pPr>
      <w:r w:rsidRPr="009E45D5">
        <w:rPr>
          <w:b/>
          <w:bCs/>
          <w:iCs/>
          <w:sz w:val="24"/>
          <w:szCs w:val="24"/>
          <w:lang w:val="ro-MD"/>
        </w:rPr>
        <w:t>Lista anexelor și a actelor normative</w:t>
      </w:r>
    </w:p>
    <w:p w14:paraId="03B71AE8" w14:textId="77777777" w:rsidR="006B753E" w:rsidRPr="009E45D5" w:rsidRDefault="006B753E" w:rsidP="006B753E">
      <w:pPr>
        <w:shd w:val="clear" w:color="auto" w:fill="FFFFFF"/>
        <w:ind w:firstLine="0"/>
        <w:jc w:val="center"/>
        <w:rPr>
          <w:iCs/>
          <w:sz w:val="24"/>
          <w:szCs w:val="24"/>
          <w:lang w:val="ro-MD"/>
        </w:rPr>
      </w:pP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2"/>
        <w:gridCol w:w="4280"/>
      </w:tblGrid>
      <w:tr w:rsidR="009E45D5" w:rsidRPr="009E45D5" w14:paraId="25A25040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FD946" w14:textId="77777777" w:rsidR="006B753E" w:rsidRPr="009E45D5" w:rsidRDefault="006B753E" w:rsidP="00D05F4A">
            <w:pPr>
              <w:ind w:left="57" w:right="57"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9E45D5">
              <w:rPr>
                <w:b/>
                <w:bCs/>
                <w:sz w:val="24"/>
                <w:szCs w:val="24"/>
                <w:lang w:val="ro-MD"/>
              </w:rPr>
              <w:t>Anexe la prezenta hotărâre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F259B" w14:textId="77777777" w:rsidR="006B753E" w:rsidRPr="009E45D5" w:rsidRDefault="006B753E" w:rsidP="00D05F4A">
            <w:pPr>
              <w:ind w:left="57" w:right="57"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9E45D5">
              <w:rPr>
                <w:b/>
                <w:bCs/>
                <w:sz w:val="24"/>
                <w:szCs w:val="24"/>
                <w:lang w:val="ro-MD"/>
              </w:rPr>
              <w:t>Actul normativ național</w:t>
            </w:r>
          </w:p>
        </w:tc>
      </w:tr>
      <w:tr w:rsidR="009E45D5" w:rsidRPr="009E45D5" w14:paraId="0A689D51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D6FC7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1</w:t>
            </w:r>
          </w:p>
          <w:p w14:paraId="55E61EE7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semințele de plante furajere)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C5630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3DC35A36" w14:textId="7D360BB1" w:rsidR="006B753E" w:rsidRPr="009E45D5" w:rsidRDefault="006B753E" w:rsidP="00D05F4A">
            <w:pPr>
              <w:shd w:val="clear" w:color="auto" w:fill="FFFFFF"/>
              <w:ind w:left="57" w:right="57" w:firstLine="0"/>
              <w:contextualSpacing/>
              <w:outlineLvl w:val="3"/>
              <w:rPr>
                <w:sz w:val="24"/>
                <w:szCs w:val="24"/>
                <w:lang w:val="ro-MD"/>
              </w:rPr>
            </w:pPr>
            <w:r w:rsidRPr="009E45D5">
              <w:rPr>
                <w:bCs/>
                <w:sz w:val="24"/>
                <w:szCs w:val="24"/>
                <w:lang w:val="ro-MD"/>
              </w:rPr>
              <w:t xml:space="preserve">Hotărârea Guvernului nr. </w:t>
            </w:r>
            <w:r w:rsidR="00865453" w:rsidRPr="009E45D5">
              <w:rPr>
                <w:iCs/>
                <w:sz w:val="24"/>
                <w:szCs w:val="24"/>
                <w:lang w:val="ro-MD"/>
              </w:rPr>
              <w:t xml:space="preserve">686/2024 </w:t>
            </w:r>
            <w:r w:rsidR="00865453" w:rsidRPr="009E45D5">
              <w:rPr>
                <w:sz w:val="24"/>
                <w:szCs w:val="24"/>
                <w:lang w:val="ro-MD"/>
              </w:rPr>
              <w:t xml:space="preserve">pentru aprobarea Cerințelor privind producerea, prelucrarea și comercializarea semințelor </w:t>
            </w:r>
            <w:r w:rsidR="00865453" w:rsidRPr="009E45D5">
              <w:rPr>
                <w:sz w:val="24"/>
                <w:szCs w:val="24"/>
                <w:lang w:val="ro-MD"/>
              </w:rPr>
              <w:lastRenderedPageBreak/>
              <w:t>de plante furajere, sfeclă furajeră și sfeclă de zahăr</w:t>
            </w:r>
          </w:p>
        </w:tc>
      </w:tr>
      <w:tr w:rsidR="009E45D5" w:rsidRPr="009E45D5" w14:paraId="7609C611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7DBC7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lastRenderedPageBreak/>
              <w:t>Anexa nr. 3. Secțiunea a 2-a</w:t>
            </w:r>
          </w:p>
          <w:p w14:paraId="2D6759B4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semințele de cereale)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92441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3B20D7F6" w14:textId="4DCD32D8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Hotărârea Guvernului nr. </w:t>
            </w:r>
            <w:r w:rsidR="00865453"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149/2025 </w:t>
            </w:r>
            <w:r w:rsidR="00865453"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pentru aprobarea Regulamentului privind producerea și comercializarea semințelor de cereale</w:t>
            </w:r>
          </w:p>
        </w:tc>
      </w:tr>
      <w:tr w:rsidR="009E45D5" w:rsidRPr="009E45D5" w14:paraId="4D688F45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061E0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3-a</w:t>
            </w:r>
          </w:p>
          <w:p w14:paraId="59B7B733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materialul de înmulțire a viței-de-vie)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BFDDC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1946D510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Hotărârea Guvernului nr. 432/2024 cu privire la aprobarea Regulamentului privind producerea, controlul calității, certificarea </w:t>
            </w:r>
            <w:proofErr w:type="spellStart"/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şi</w:t>
            </w:r>
            <w:proofErr w:type="spellEnd"/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 comercializarea materialului de înmulțire vegetativă a viței-de-vie</w:t>
            </w:r>
          </w:p>
        </w:tc>
      </w:tr>
      <w:tr w:rsidR="009E45D5" w:rsidRPr="009E45D5" w14:paraId="5908B151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D1658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4-a</w:t>
            </w:r>
          </w:p>
          <w:p w14:paraId="0B5F045D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materialul de înmulțire a plantelor ornamentale)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727D2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79FF7A6D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Hotărârea Guvernului nr. 598/2012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i w:val="0"/>
                <w:iCs w:val="0"/>
                <w:color w:val="auto"/>
                <w:szCs w:val="24"/>
                <w:lang w:val="ro-MD"/>
              </w:rPr>
              <w:t>cu privire la aprobarea Cerințelor privind calitatea și plasarea pe piață a materialului de înmulțire pentru plantele ornamentale</w:t>
            </w:r>
          </w:p>
        </w:tc>
      </w:tr>
      <w:tr w:rsidR="009E45D5" w:rsidRPr="009E45D5" w14:paraId="346C4055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744DF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5-a</w:t>
            </w:r>
          </w:p>
          <w:p w14:paraId="0969EDB1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materialul forestier de reproducere, cu excepția semințelor)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04823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Style w:val="Robust"/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Legea nr. 44/2022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i w:val="0"/>
                <w:iCs w:val="0"/>
                <w:color w:val="auto"/>
                <w:szCs w:val="24"/>
                <w:lang w:val="ro-MD"/>
              </w:rPr>
              <w:t>cu privire la producerea, comercializarea și utilizarea materialului forestier de reproducere</w:t>
            </w:r>
          </w:p>
        </w:tc>
      </w:tr>
      <w:tr w:rsidR="009E45D5" w:rsidRPr="009E45D5" w14:paraId="7A4D37BE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CB9A6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6-a</w:t>
            </w:r>
          </w:p>
          <w:p w14:paraId="0F9AD4B3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semințele de legume)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E7DC4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0F8B9E86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Hotărârea Guvernului nr. 713/</w:t>
            </w:r>
            <w:r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2013</w:t>
            </w:r>
            <w:r w:rsidRPr="009E45D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  <w:t xml:space="preserve">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Cs w:val="24"/>
                <w:lang w:val="ro-MD"/>
              </w:rPr>
              <w:t>pentru aprobarea Cerințelor privind producerea și comercializarea semințelor de legume, răsadurilor și a materialului săditor legumicol</w:t>
            </w:r>
          </w:p>
        </w:tc>
      </w:tr>
      <w:tr w:rsidR="009E45D5" w:rsidRPr="009E45D5" w14:paraId="73E58E5B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075A5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7-a</w:t>
            </w:r>
          </w:p>
          <w:p w14:paraId="328E4470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cartofii de sămânță)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43C28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4CE4783D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Hotărârea Guvernului nr. 189/2010 cu privire la aprobarea Cerințelor minime de comercializare pentru cartofii de sămânță</w:t>
            </w:r>
          </w:p>
        </w:tc>
      </w:tr>
      <w:tr w:rsidR="009E45D5" w:rsidRPr="009E45D5" w14:paraId="5E512A8C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31CDD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8-a</w:t>
            </w:r>
          </w:p>
          <w:p w14:paraId="4EC72207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(ORNC în ceea ce privește semințele de plante oleaginoase și pentru fibre)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134EB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3A07F510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Hotărârea Guvernului nr. 915/</w:t>
            </w:r>
            <w:r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2011</w:t>
            </w:r>
            <w:r w:rsidRPr="009E45D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  <w:t xml:space="preserve">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Cs w:val="24"/>
                <w:lang w:val="ro-MD"/>
              </w:rPr>
              <w:t>pentru aprobarea Cerințelor privind calitatea și comercializarea semințelor de plante oleaginoase și pentru fibre</w:t>
            </w:r>
          </w:p>
        </w:tc>
      </w:tr>
      <w:tr w:rsidR="009E45D5" w:rsidRPr="009E45D5" w14:paraId="21472E25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A1E7D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9-a</w:t>
            </w:r>
          </w:p>
          <w:p w14:paraId="4CD09540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ORNC în ceea ce privește materialul de înmulțire și plantare legumicol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A8B31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3EBAD9ED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Hotărârea Guvernului nr. 713/</w:t>
            </w:r>
            <w:r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2013</w:t>
            </w:r>
            <w:r w:rsidRPr="009E45D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  <w:t xml:space="preserve">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Cs w:val="24"/>
                <w:lang w:val="ro-MD"/>
              </w:rPr>
              <w:t>pentru aprobarea Cerințelor privind producerea și comercializarea semințelor de legume, răsadurilor și a materialului săditor legumicol</w:t>
            </w:r>
          </w:p>
        </w:tc>
      </w:tr>
      <w:tr w:rsidR="009E45D5" w:rsidRPr="009E45D5" w14:paraId="6B3DA32D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1FB23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>Anexa nr. 3. Secțiunea a 10-a</w:t>
            </w:r>
          </w:p>
          <w:p w14:paraId="26CC4250" w14:textId="77777777" w:rsidR="006B753E" w:rsidRPr="009E45D5" w:rsidRDefault="006B753E" w:rsidP="00D05F4A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lastRenderedPageBreak/>
              <w:t>(ORNC în ceea ce privește materialul de înmulțire și plantare fructifer destinat producției de fructe)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8AD51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lastRenderedPageBreak/>
              <w:t>Legea nr. 68/2013 despre semințe;</w:t>
            </w:r>
          </w:p>
          <w:p w14:paraId="1EBD9D06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lastRenderedPageBreak/>
              <w:t>Hotărârea Guvernului nr. 94/</w:t>
            </w:r>
            <w:r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2024</w:t>
            </w:r>
            <w:r w:rsidRPr="009E45D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  <w:t xml:space="preserve">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Cs w:val="24"/>
                <w:lang w:val="ro-MD"/>
              </w:rPr>
              <w:t>cu privire la producerea și comercializarea materialului de înmulțire și plantare fructifer destinat producției de fructe</w:t>
            </w:r>
          </w:p>
        </w:tc>
      </w:tr>
      <w:tr w:rsidR="009E45D5" w:rsidRPr="009E45D5" w14:paraId="7FC3FF53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9F7CC" w14:textId="35F48957" w:rsidR="006B753E" w:rsidRPr="009E45D5" w:rsidRDefault="009E45D5" w:rsidP="009E45D5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lastRenderedPageBreak/>
              <w:t xml:space="preserve">Anexa nr. 11, </w:t>
            </w:r>
            <w:r w:rsidR="006B753E" w:rsidRPr="009E45D5">
              <w:rPr>
                <w:sz w:val="24"/>
                <w:szCs w:val="24"/>
                <w:lang w:val="ro-MD"/>
              </w:rPr>
              <w:t xml:space="preserve">subpunctul </w:t>
            </w:r>
            <w:r w:rsidRPr="009E45D5">
              <w:rPr>
                <w:sz w:val="24"/>
                <w:szCs w:val="24"/>
                <w:lang w:val="ro-MD"/>
              </w:rPr>
              <w:t>3.</w:t>
            </w:r>
            <w:r w:rsidR="006B753E" w:rsidRPr="009E45D5">
              <w:rPr>
                <w:sz w:val="24"/>
                <w:szCs w:val="24"/>
                <w:lang w:val="ro-MD"/>
              </w:rPr>
              <w:t>6</w:t>
            </w:r>
            <w:r w:rsidRPr="009E45D5">
              <w:rPr>
                <w:sz w:val="24"/>
                <w:szCs w:val="24"/>
                <w:lang w:val="ro-MD"/>
              </w:rPr>
              <w:t>.</w:t>
            </w:r>
            <w:r w:rsidR="006B753E" w:rsidRPr="009E45D5">
              <w:rPr>
                <w:sz w:val="24"/>
                <w:szCs w:val="24"/>
                <w:lang w:val="ro-MD"/>
              </w:rPr>
              <w:t xml:space="preserve"> „Semințe de cereale”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43017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1D05BA2D" w14:textId="08F4F0A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Hotărârea Guvernului nr. </w:t>
            </w:r>
            <w:r w:rsidR="00865453"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149/2025 </w:t>
            </w:r>
            <w:r w:rsidR="00865453"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pentru aprobarea Regulamentului privind producerea și comercializarea semințelor de cereale</w:t>
            </w:r>
          </w:p>
        </w:tc>
      </w:tr>
      <w:tr w:rsidR="009E45D5" w:rsidRPr="009E45D5" w14:paraId="479FACC0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70F16" w14:textId="770F4A86" w:rsidR="006B753E" w:rsidRPr="009E45D5" w:rsidRDefault="006B753E" w:rsidP="009E45D5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 xml:space="preserve">Anexa nr. 11, subpunctul </w:t>
            </w:r>
            <w:r w:rsidR="009E45D5" w:rsidRPr="009E45D5">
              <w:rPr>
                <w:sz w:val="24"/>
                <w:szCs w:val="24"/>
                <w:lang w:val="ro-MD"/>
              </w:rPr>
              <w:t>3.</w:t>
            </w:r>
            <w:r w:rsidRPr="009E45D5">
              <w:rPr>
                <w:sz w:val="24"/>
                <w:szCs w:val="24"/>
                <w:lang w:val="ro-MD"/>
              </w:rPr>
              <w:t>7</w:t>
            </w:r>
            <w:r w:rsidR="009E45D5" w:rsidRPr="009E45D5">
              <w:rPr>
                <w:sz w:val="24"/>
                <w:szCs w:val="24"/>
                <w:lang w:val="ro-MD"/>
              </w:rPr>
              <w:t>.</w:t>
            </w:r>
            <w:r w:rsidRPr="009E45D5">
              <w:rPr>
                <w:sz w:val="24"/>
                <w:szCs w:val="24"/>
                <w:lang w:val="ro-MD"/>
              </w:rPr>
              <w:t xml:space="preserve"> „Semințe de legume”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A8340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3D0A1A4C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>Hotărârea Guvernului nr. 713/</w:t>
            </w:r>
            <w:r w:rsidRPr="009E45D5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Cs w:val="24"/>
                <w:lang w:val="ro-MD"/>
              </w:rPr>
              <w:t>2013</w:t>
            </w:r>
            <w:r w:rsidRPr="009E45D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  <w:t xml:space="preserve">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Cs w:val="24"/>
                <w:lang w:val="ro-MD"/>
              </w:rPr>
              <w:t>pentru aprobarea Cerințelor privind producerea și comercializarea semințelor de legume, răsadurilor și a materialului săditor legumicol</w:t>
            </w:r>
          </w:p>
        </w:tc>
      </w:tr>
      <w:tr w:rsidR="006B753E" w:rsidRPr="009E45D5" w14:paraId="5A8B874D" w14:textId="77777777" w:rsidTr="006B753E">
        <w:trPr>
          <w:trHeight w:val="23"/>
          <w:jc w:val="center"/>
        </w:trPr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3251B" w14:textId="7EAA8FF0" w:rsidR="006B753E" w:rsidRPr="009E45D5" w:rsidRDefault="006B753E" w:rsidP="009E45D5">
            <w:pPr>
              <w:ind w:left="57" w:right="57" w:firstLine="0"/>
              <w:contextualSpacing/>
              <w:rPr>
                <w:sz w:val="24"/>
                <w:szCs w:val="24"/>
                <w:lang w:val="ro-MD"/>
              </w:rPr>
            </w:pPr>
            <w:r w:rsidRPr="009E45D5">
              <w:rPr>
                <w:sz w:val="24"/>
                <w:szCs w:val="24"/>
                <w:lang w:val="ro-MD"/>
              </w:rPr>
              <w:t xml:space="preserve">Anexa nr. 11, subpunctul </w:t>
            </w:r>
            <w:r w:rsidR="009E45D5" w:rsidRPr="009E45D5">
              <w:rPr>
                <w:sz w:val="24"/>
                <w:szCs w:val="24"/>
                <w:lang w:val="ro-MD"/>
              </w:rPr>
              <w:t>3.</w:t>
            </w:r>
            <w:r w:rsidRPr="009E45D5">
              <w:rPr>
                <w:sz w:val="24"/>
                <w:szCs w:val="24"/>
                <w:lang w:val="ro-MD"/>
              </w:rPr>
              <w:t>10</w:t>
            </w:r>
            <w:r w:rsidR="009E45D5" w:rsidRPr="009E45D5">
              <w:rPr>
                <w:sz w:val="24"/>
                <w:szCs w:val="24"/>
                <w:lang w:val="ro-MD"/>
              </w:rPr>
              <w:t>.</w:t>
            </w:r>
            <w:r w:rsidRPr="009E45D5">
              <w:rPr>
                <w:sz w:val="24"/>
                <w:szCs w:val="24"/>
                <w:lang w:val="ro-MD"/>
              </w:rPr>
              <w:t xml:space="preserve"> „Semințe de plante oleaginoase și pentru fibre”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3511B" w14:textId="77777777" w:rsidR="006B753E" w:rsidRPr="009E45D5" w:rsidRDefault="006B753E" w:rsidP="00D05F4A">
            <w:pPr>
              <w:ind w:left="57" w:right="57" w:firstLine="0"/>
              <w:rPr>
                <w:rStyle w:val="Robust"/>
                <w:b w:val="0"/>
                <w:bCs w:val="0"/>
                <w:sz w:val="24"/>
                <w:szCs w:val="24"/>
                <w:lang w:val="ro-MD"/>
              </w:rPr>
            </w:pPr>
            <w:r w:rsidRPr="009E45D5">
              <w:rPr>
                <w:rStyle w:val="Robust"/>
                <w:sz w:val="24"/>
                <w:szCs w:val="24"/>
                <w:lang w:val="ro-MD"/>
              </w:rPr>
              <w:t>Legea nr. 68/2013 despre semințe;</w:t>
            </w:r>
          </w:p>
          <w:p w14:paraId="066B398D" w14:textId="77777777" w:rsidR="006B753E" w:rsidRPr="009E45D5" w:rsidRDefault="006B753E" w:rsidP="00D05F4A">
            <w:pPr>
              <w:pStyle w:val="Titlu4"/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ro-MD"/>
              </w:rPr>
            </w:pPr>
            <w:r w:rsidRPr="009E45D5">
              <w:rPr>
                <w:rFonts w:ascii="Times New Roman" w:hAnsi="Times New Roman" w:cs="Times New Roman"/>
                <w:i w:val="0"/>
                <w:iCs w:val="0"/>
                <w:color w:val="auto"/>
                <w:szCs w:val="24"/>
                <w:lang w:val="ro-MD"/>
              </w:rPr>
              <w:t xml:space="preserve">Hotărârea Guvernului nr. 915/2011 </w:t>
            </w:r>
            <w:r w:rsidRPr="009E45D5">
              <w:rPr>
                <w:rStyle w:val="Robust"/>
                <w:rFonts w:ascii="Times New Roman" w:hAnsi="Times New Roman" w:cs="Times New Roman"/>
                <w:b w:val="0"/>
                <w:i w:val="0"/>
                <w:iCs w:val="0"/>
                <w:color w:val="auto"/>
                <w:szCs w:val="24"/>
                <w:lang w:val="ro-MD"/>
              </w:rPr>
              <w:t>pentru aprobarea Cerințelor privind calitatea și comercializarea semințelor de plante oleaginoase și pentru fibre</w:t>
            </w:r>
          </w:p>
        </w:tc>
      </w:tr>
    </w:tbl>
    <w:p w14:paraId="35D26DD7" w14:textId="77777777" w:rsidR="00B32DE8" w:rsidRPr="009E45D5" w:rsidRDefault="00B32DE8">
      <w:pPr>
        <w:rPr>
          <w:sz w:val="24"/>
          <w:szCs w:val="24"/>
          <w:lang w:val="ro-MD"/>
        </w:rPr>
      </w:pPr>
    </w:p>
    <w:sectPr w:rsidR="00B32DE8" w:rsidRPr="009E45D5" w:rsidSect="00780FF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3E"/>
    <w:rsid w:val="0058181B"/>
    <w:rsid w:val="005C0197"/>
    <w:rsid w:val="006B753E"/>
    <w:rsid w:val="006D1F82"/>
    <w:rsid w:val="00780FF1"/>
    <w:rsid w:val="00865453"/>
    <w:rsid w:val="009E45D5"/>
    <w:rsid w:val="00B32DE8"/>
    <w:rsid w:val="00CE4CE6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57E2"/>
  <w15:chartTrackingRefBased/>
  <w15:docId w15:val="{3A548B12-175E-4955-BE96-2F2E2D0A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B753E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753E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753E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6B753E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753E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753E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753E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753E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753E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75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75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75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6B753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753E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753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753E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753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753E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6B753E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6B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753E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753E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6B753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6B753E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ccentuareintens">
    <w:name w:val="Intense Emphasis"/>
    <w:basedOn w:val="Fontdeparagrafimplicit"/>
    <w:uiPriority w:val="21"/>
    <w:qFormat/>
    <w:rsid w:val="006B753E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7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753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6B753E"/>
    <w:rPr>
      <w:b/>
      <w:bCs/>
      <w:smallCaps/>
      <w:color w:val="365F91" w:themeColor="accent1" w:themeShade="BF"/>
      <w:spacing w:val="5"/>
    </w:rPr>
  </w:style>
  <w:style w:type="character" w:styleId="Robust">
    <w:name w:val="Strong"/>
    <w:uiPriority w:val="22"/>
    <w:qFormat/>
    <w:rsid w:val="006B7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Sarban Cristina</cp:lastModifiedBy>
  <cp:revision>4</cp:revision>
  <dcterms:created xsi:type="dcterms:W3CDTF">2024-12-02T14:19:00Z</dcterms:created>
  <dcterms:modified xsi:type="dcterms:W3CDTF">2026-02-17T15:09:00Z</dcterms:modified>
</cp:coreProperties>
</file>