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1D" w:rsidRPr="005A0F49" w:rsidRDefault="00A46A3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5A0F49">
        <w:rPr>
          <w:b/>
          <w:sz w:val="24"/>
          <w:szCs w:val="24"/>
          <w:lang w:val="ro-MD"/>
        </w:rPr>
        <w:t>NOTA DE FUNDAMENTARE</w:t>
      </w:r>
    </w:p>
    <w:p w:rsidR="008D7361" w:rsidRPr="005A0F49" w:rsidRDefault="008D7361" w:rsidP="008D7361">
      <w:pPr>
        <w:spacing w:line="276" w:lineRule="auto"/>
        <w:jc w:val="center"/>
        <w:rPr>
          <w:b/>
          <w:sz w:val="24"/>
          <w:szCs w:val="24"/>
          <w:lang w:val="ro-MD"/>
        </w:rPr>
      </w:pPr>
      <w:r w:rsidRPr="005A0F49">
        <w:rPr>
          <w:b/>
          <w:sz w:val="24"/>
          <w:szCs w:val="24"/>
          <w:lang w:val="ro-MD"/>
        </w:rPr>
        <w:t xml:space="preserve">la proiectul Hotărârii Guvernului pentru modificarea Hotărârii Guvernului nr. 876/2015 </w:t>
      </w:r>
      <w:r w:rsidR="000470F2" w:rsidRPr="005A0F49">
        <w:rPr>
          <w:b/>
          <w:sz w:val="24"/>
          <w:szCs w:val="24"/>
          <w:lang w:val="ro-MD"/>
        </w:rPr>
        <w:t>privind</w:t>
      </w:r>
      <w:r w:rsidRPr="005A0F49">
        <w:rPr>
          <w:b/>
          <w:sz w:val="24"/>
          <w:szCs w:val="24"/>
          <w:lang w:val="ro-MD"/>
        </w:rPr>
        <w:t xml:space="preserve"> la asigurarea elevilor cu manuale și a adulților cu materiale didactice</w:t>
      </w:r>
    </w:p>
    <w:p w:rsidR="00BB271D" w:rsidRPr="005A0F49" w:rsidRDefault="00A46A3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5A0F49">
        <w:rPr>
          <w:i/>
          <w:sz w:val="24"/>
          <w:szCs w:val="24"/>
          <w:vertAlign w:val="superscript"/>
          <w:lang w:val="ro-MD"/>
        </w:rPr>
        <w:t xml:space="preserve">                           </w:t>
      </w:r>
    </w:p>
    <w:tbl>
      <w:tblPr>
        <w:tblStyle w:val="TableGrid"/>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1. Denumirea sau numele autorului și, după caz, a/al participanților la elaborarea proiectului actului normativ</w:t>
            </w:r>
          </w:p>
        </w:tc>
      </w:tr>
      <w:tr w:rsidR="00BB271D" w:rsidRPr="005A0F49" w:rsidTr="000470F2">
        <w:tc>
          <w:tcPr>
            <w:tcW w:w="10065" w:type="dxa"/>
            <w:tcMar>
              <w:top w:w="0" w:type="dxa"/>
              <w:left w:w="108" w:type="dxa"/>
              <w:bottom w:w="0" w:type="dxa"/>
              <w:right w:w="108" w:type="dxa"/>
            </w:tcMar>
          </w:tcPr>
          <w:p w:rsidR="00BB271D" w:rsidRPr="005A0F49" w:rsidRDefault="00A46A3E" w:rsidP="000470F2">
            <w:pPr>
              <w:ind w:firstLine="308"/>
              <w:rPr>
                <w:rFonts w:ascii="Times New Roman" w:hAnsi="Times New Roman"/>
                <w:sz w:val="24"/>
                <w:szCs w:val="24"/>
                <w:lang w:val="ro-MD"/>
              </w:rPr>
            </w:pPr>
            <w:r w:rsidRPr="005A0F49">
              <w:rPr>
                <w:rFonts w:ascii="Times New Roman" w:hAnsi="Times New Roman"/>
                <w:sz w:val="24"/>
                <w:szCs w:val="24"/>
                <w:lang w:val="ro-MD"/>
              </w:rPr>
              <w:t xml:space="preserve"> </w:t>
            </w:r>
            <w:r w:rsidR="008D7361" w:rsidRPr="005A0F49">
              <w:rPr>
                <w:rFonts w:ascii="Times New Roman" w:hAnsi="Times New Roman"/>
                <w:sz w:val="24"/>
                <w:szCs w:val="24"/>
                <w:lang w:val="ro-MD"/>
              </w:rPr>
              <w:t xml:space="preserve">Proiectul </w:t>
            </w:r>
            <w:r w:rsidR="008D7361" w:rsidRPr="005A0F49">
              <w:rPr>
                <w:rFonts w:ascii="Times New Roman" w:hAnsi="Times New Roman"/>
                <w:sz w:val="24"/>
                <w:szCs w:val="24"/>
                <w:lang w:val="ro-MD"/>
              </w:rPr>
              <w:t xml:space="preserve">Hotărârii Guvernului pentru </w:t>
            </w:r>
            <w:r w:rsidR="008D7361" w:rsidRPr="005A0F49">
              <w:rPr>
                <w:rFonts w:ascii="Times New Roman" w:hAnsi="Times New Roman"/>
                <w:sz w:val="24"/>
                <w:szCs w:val="24"/>
                <w:lang w:val="ro-MD"/>
              </w:rPr>
              <w:t xml:space="preserve">modificarea Hotărârii Guvernului nr. 876/2015 </w:t>
            </w:r>
            <w:r w:rsidR="000470F2" w:rsidRPr="005A0F49">
              <w:rPr>
                <w:rFonts w:ascii="Times New Roman" w:hAnsi="Times New Roman"/>
                <w:sz w:val="24"/>
                <w:szCs w:val="24"/>
                <w:lang w:val="ro-MD"/>
              </w:rPr>
              <w:t>privind</w:t>
            </w:r>
            <w:r w:rsidR="008D7361" w:rsidRPr="005A0F49">
              <w:rPr>
                <w:rFonts w:ascii="Times New Roman" w:hAnsi="Times New Roman"/>
                <w:sz w:val="24"/>
                <w:szCs w:val="24"/>
                <w:lang w:val="ro-MD"/>
              </w:rPr>
              <w:t xml:space="preserve"> asigurarea elevilor cu manuale și a adulților cu materiale didactice</w:t>
            </w:r>
            <w:r w:rsidR="008D7361" w:rsidRPr="005A0F49">
              <w:rPr>
                <w:rFonts w:ascii="Times New Roman" w:hAnsi="Times New Roman"/>
                <w:b/>
                <w:sz w:val="24"/>
                <w:szCs w:val="24"/>
                <w:lang w:val="ro-MD"/>
              </w:rPr>
              <w:t xml:space="preserve"> </w:t>
            </w:r>
            <w:r w:rsidR="008D7361" w:rsidRPr="005A0F49">
              <w:rPr>
                <w:rFonts w:ascii="Times New Roman" w:hAnsi="Times New Roman"/>
                <w:sz w:val="24"/>
                <w:szCs w:val="24"/>
                <w:lang w:val="ro-MD"/>
              </w:rPr>
              <w:t xml:space="preserve"> este elaborat de către Ministerul Educației și Cercetării.</w:t>
            </w:r>
          </w:p>
        </w:tc>
      </w:tr>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2. Condițiile ce au impus elaborarea proiectului actului normativ</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2.1. Temeiul legal sau, după caz, sursa proiectului actului normativ</w:t>
            </w:r>
          </w:p>
        </w:tc>
      </w:tr>
      <w:tr w:rsidR="008D7361" w:rsidRPr="005A0F49" w:rsidTr="000470F2">
        <w:tc>
          <w:tcPr>
            <w:tcW w:w="10065" w:type="dxa"/>
            <w:shd w:val="clear" w:color="auto" w:fill="auto"/>
            <w:tcMar>
              <w:top w:w="0" w:type="dxa"/>
              <w:left w:w="108" w:type="dxa"/>
              <w:bottom w:w="0" w:type="dxa"/>
              <w:right w:w="108" w:type="dxa"/>
            </w:tcMar>
          </w:tcPr>
          <w:p w:rsidR="008D7361" w:rsidRPr="005A0F49" w:rsidRDefault="008D7361" w:rsidP="000470F2">
            <w:pPr>
              <w:ind w:firstLine="308"/>
              <w:rPr>
                <w:rFonts w:ascii="Times New Roman" w:hAnsi="Times New Roman"/>
                <w:sz w:val="24"/>
                <w:szCs w:val="24"/>
                <w:lang w:val="ro-MD"/>
              </w:rPr>
            </w:pPr>
            <w:r w:rsidRPr="005A0F49">
              <w:rPr>
                <w:rFonts w:ascii="Times New Roman" w:hAnsi="Times New Roman"/>
                <w:sz w:val="24"/>
                <w:szCs w:val="24"/>
                <w:lang w:val="ro-MD"/>
              </w:rPr>
              <w:t xml:space="preserve">Proiectul </w:t>
            </w:r>
            <w:r w:rsidR="000470F2" w:rsidRPr="005A0F49">
              <w:rPr>
                <w:rFonts w:ascii="Times New Roman" w:hAnsi="Times New Roman"/>
                <w:sz w:val="24"/>
                <w:szCs w:val="24"/>
                <w:lang w:val="ro-MD"/>
              </w:rPr>
              <w:t>Hotărârii Guvernului pentru</w:t>
            </w:r>
            <w:r w:rsidRPr="005A0F49">
              <w:rPr>
                <w:rFonts w:ascii="Times New Roman" w:hAnsi="Times New Roman"/>
                <w:sz w:val="24"/>
                <w:szCs w:val="24"/>
                <w:lang w:val="ro-MD"/>
              </w:rPr>
              <w:t xml:space="preserve"> modificarea Hotărârii Guvernului nr. 876/2015 </w:t>
            </w:r>
            <w:r w:rsidR="000470F2" w:rsidRPr="005A0F49">
              <w:rPr>
                <w:rFonts w:ascii="Times New Roman" w:hAnsi="Times New Roman"/>
                <w:sz w:val="24"/>
                <w:szCs w:val="24"/>
                <w:lang w:val="ro-MD"/>
              </w:rPr>
              <w:t>privind</w:t>
            </w:r>
            <w:r w:rsidRPr="005A0F49">
              <w:rPr>
                <w:rFonts w:ascii="Times New Roman" w:hAnsi="Times New Roman"/>
                <w:sz w:val="24"/>
                <w:szCs w:val="24"/>
                <w:lang w:val="ro-MD"/>
              </w:rPr>
              <w:t xml:space="preserve"> asigurarea elevilor cu manuale și a adulților cu materiale didactice</w:t>
            </w:r>
            <w:r w:rsidRPr="005A0F49">
              <w:rPr>
                <w:rFonts w:ascii="Times New Roman" w:eastAsia="Times New Roman" w:hAnsi="Times New Roman"/>
                <w:sz w:val="24"/>
                <w:szCs w:val="24"/>
                <w:lang w:val="ro-MD"/>
              </w:rPr>
              <w:t xml:space="preserve"> a fost elaborat î</w:t>
            </w:r>
            <w:r w:rsidRPr="005A0F49">
              <w:rPr>
                <w:rFonts w:ascii="Times New Roman" w:eastAsia="Times New Roman" w:hAnsi="Times New Roman"/>
                <w:sz w:val="24"/>
                <w:szCs w:val="24"/>
                <w:lang w:val="ro-MD"/>
              </w:rPr>
              <w:t>n temeiul art. 123 din Codul educației al Republicii Moldova nr. 152/2014 (Monitorul Oficial al Republicii Moldova, 2014, nr. 319-324, art. 634), cu modificările ulterioare,</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2.2. Descrierea situației actuale și a problemelor care impun intervenția, inclusiv a cadrului normativ aplicabil și a deficiențelor/lacunelor normative</w:t>
            </w:r>
          </w:p>
        </w:tc>
      </w:tr>
      <w:tr w:rsidR="00BB271D" w:rsidRPr="005A0F49" w:rsidTr="000470F2">
        <w:tc>
          <w:tcPr>
            <w:tcW w:w="10065" w:type="dxa"/>
            <w:shd w:val="clear" w:color="auto" w:fill="auto"/>
            <w:tcMar>
              <w:top w:w="0" w:type="dxa"/>
              <w:left w:w="108" w:type="dxa"/>
              <w:bottom w:w="0" w:type="dxa"/>
              <w:right w:w="108" w:type="dxa"/>
            </w:tcMar>
          </w:tcPr>
          <w:p w:rsidR="008D7361" w:rsidRPr="005A0F49" w:rsidRDefault="008D7361" w:rsidP="008D7361">
            <w:pPr>
              <w:tabs>
                <w:tab w:val="left" w:pos="884"/>
                <w:tab w:val="left" w:pos="1196"/>
              </w:tabs>
              <w:spacing w:before="120"/>
              <w:ind w:left="28" w:right="33" w:firstLine="284"/>
              <w:rPr>
                <w:rFonts w:ascii="Times New Roman" w:hAnsi="Times New Roman"/>
                <w:sz w:val="24"/>
                <w:szCs w:val="24"/>
                <w:lang w:val="ro-MD"/>
              </w:rPr>
            </w:pPr>
            <w:r w:rsidRPr="005A0F49">
              <w:rPr>
                <w:rFonts w:ascii="Times New Roman" w:hAnsi="Times New Roman"/>
                <w:sz w:val="24"/>
                <w:szCs w:val="24"/>
                <w:lang w:val="ro-MD"/>
              </w:rPr>
              <w:t xml:space="preserve">Promovarea prezentului proiect este determinată de necesitatea modificării Hotărârii Guvernului nr. 876/2015 </w:t>
            </w:r>
            <w:r w:rsidR="000470F2" w:rsidRPr="005A0F49">
              <w:rPr>
                <w:rFonts w:ascii="Times New Roman" w:hAnsi="Times New Roman"/>
                <w:sz w:val="24"/>
                <w:szCs w:val="24"/>
                <w:lang w:val="ro-MD"/>
              </w:rPr>
              <w:t>privind</w:t>
            </w:r>
            <w:r w:rsidRPr="005A0F49">
              <w:rPr>
                <w:rFonts w:ascii="Times New Roman" w:hAnsi="Times New Roman"/>
                <w:sz w:val="24"/>
                <w:szCs w:val="24"/>
                <w:lang w:val="ro-MD"/>
              </w:rPr>
              <w:t xml:space="preserve"> asigurarea elevilor cu manuale și a adulților cu materiale didactice în contextul actualizării cadrului normativ pentru a răspunde evoluțiilor din sistemul educațional, eficientizării proceselor de planificare, achiziție, distribuire și gestionare a manualelor școlare, precum și al clarificării atribuțiilor instituționale și a mecanismelor financiare aferente, în scopul asigurării transparenței, sustenabilității și aplicării unitare a prevederilor legale.</w:t>
            </w:r>
          </w:p>
          <w:p w:rsidR="008D7361" w:rsidRPr="005A0F49" w:rsidRDefault="008D7361" w:rsidP="008D7361">
            <w:pPr>
              <w:shd w:val="clear" w:color="auto" w:fill="FFFFFF"/>
              <w:spacing w:before="120"/>
              <w:ind w:left="28" w:firstLine="284"/>
              <w:rPr>
                <w:rFonts w:ascii="Times New Roman" w:hAnsi="Times New Roman"/>
                <w:sz w:val="24"/>
                <w:szCs w:val="24"/>
                <w:lang w:val="ro-MD"/>
              </w:rPr>
            </w:pPr>
            <w:r w:rsidRPr="005A0F49">
              <w:rPr>
                <w:rFonts w:ascii="Times New Roman" w:hAnsi="Times New Roman"/>
                <w:sz w:val="24"/>
                <w:szCs w:val="24"/>
                <w:lang w:val="ro-MD"/>
              </w:rPr>
              <w:t xml:space="preserve">Aplicarea în timp a Hotărârii Guvernului nr. 876/2015 a evidențiat o serie de ambiguități normative, în special în ceea ce privește utilizarea unor noțiuni insuficient definite din punct de vedere juridic, reglementarea incompletă a etapelor procesului de elaborare și achiziție a manualelor, precum și lipsa unor prevederi clare referitoare la evaluarea/expertizarea manuscriselor și la finanțarea corespunzătoare a acestor activități. Totodată, s-a constatat necesitatea eliminării unor dispoziții care și-au epuizat aplicabilitatea sau care dublează reglementări detaliate în acte normative subsecvente. </w:t>
            </w:r>
          </w:p>
          <w:p w:rsidR="008D7361" w:rsidRPr="005A0F49" w:rsidRDefault="008D7361" w:rsidP="008D7361">
            <w:pPr>
              <w:shd w:val="clear" w:color="auto" w:fill="FFFFFF"/>
              <w:spacing w:before="120"/>
              <w:ind w:left="28" w:firstLine="284"/>
              <w:rPr>
                <w:rFonts w:ascii="Times New Roman" w:hAnsi="Times New Roman"/>
                <w:sz w:val="24"/>
                <w:szCs w:val="24"/>
                <w:lang w:val="ro-MD"/>
              </w:rPr>
            </w:pPr>
            <w:r w:rsidRPr="005A0F49">
              <w:rPr>
                <w:rFonts w:ascii="Times New Roman" w:hAnsi="Times New Roman"/>
                <w:sz w:val="24"/>
                <w:szCs w:val="24"/>
                <w:lang w:val="ro-MD"/>
              </w:rPr>
              <w:t>Proiectul de act normativ urmărește, în principal, asigurarea unui cadru juridic coerent, clar și previzibil, care să permită aplicarea unitară a prevederilor privind distribuirea manualelor gratuite, utilizarea eficientă a Fondului Special pentru Manuale și gestionarea întregului ciclu de viață al manualelor școlare. Prin înlocuirea criteriilor generale cu criterii obiective și verificabile, proiectul contribuie la creșterea transparenței și echității în identificarea beneficiarilor, precum și la reducerea riscurilor de interpretare neuniformă la nivelul autorităților și instituțiilor de învățământ.</w:t>
            </w:r>
          </w:p>
          <w:p w:rsidR="008D7361" w:rsidRPr="005A0F49" w:rsidRDefault="008D7361" w:rsidP="008D7361">
            <w:pPr>
              <w:shd w:val="clear" w:color="auto" w:fill="FFFFFF"/>
              <w:spacing w:before="120"/>
              <w:ind w:left="28" w:firstLine="284"/>
              <w:rPr>
                <w:rFonts w:ascii="Times New Roman" w:hAnsi="Times New Roman"/>
                <w:sz w:val="24"/>
                <w:szCs w:val="24"/>
                <w:lang w:val="ro-MD"/>
              </w:rPr>
            </w:pPr>
            <w:r w:rsidRPr="005A0F49">
              <w:rPr>
                <w:rFonts w:ascii="Times New Roman" w:hAnsi="Times New Roman"/>
                <w:sz w:val="24"/>
                <w:szCs w:val="24"/>
                <w:lang w:val="ro-MD"/>
              </w:rPr>
              <w:t>Finalitățile urmărite constau în eficientizarea procesului de elaborare, evaluare, reeditare și achiziție a manualelor școlare, profesionalizarea activității de evaluare/expertizare a manuscriselor, asigurarea predictibilității bugetare și utilizarea responsabilă a resurselor publice, precum și în garantarea continuității procesului educațional prin mecanisme flexibile de gestionare a stocurilor de manuale. În ansamblu, proiectul contribuie la modernizarea cadrului normativ, la debirocratizarea procedurilor și la creșterea calității și sustenabilității sistemului de asigurare cu manuale școlare.</w:t>
            </w:r>
          </w:p>
          <w:p w:rsidR="00BB271D" w:rsidRPr="005A0F49" w:rsidRDefault="008D7361" w:rsidP="008D7361">
            <w:pPr>
              <w:ind w:left="28" w:firstLine="284"/>
              <w:rPr>
                <w:rFonts w:ascii="Times New Roman" w:hAnsi="Times New Roman"/>
                <w:sz w:val="24"/>
                <w:szCs w:val="24"/>
                <w:lang w:val="ro-MD"/>
              </w:rPr>
            </w:pPr>
            <w:r w:rsidRPr="005A0F49">
              <w:rPr>
                <w:rFonts w:ascii="Times New Roman" w:hAnsi="Times New Roman"/>
                <w:sz w:val="24"/>
                <w:szCs w:val="24"/>
                <w:lang w:val="ro-MD"/>
              </w:rPr>
              <w:t>Neadoptarea proiectului va menține cadrul normativ actual, caracterizat prin neclarități procedurale, cu impact negativ asupra eficienței, transparenței și sustenabilității procesului de asigurare cu manuale școlare.</w:t>
            </w:r>
          </w:p>
        </w:tc>
      </w:tr>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3. Obiectivele urmărite și soluțiile propuse</w:t>
            </w:r>
          </w:p>
        </w:tc>
      </w:tr>
      <w:tr w:rsidR="00BB271D" w:rsidRPr="005A0F49" w:rsidTr="000470F2">
        <w:tc>
          <w:tcPr>
            <w:tcW w:w="10065" w:type="dxa"/>
            <w:shd w:val="clear" w:color="auto" w:fill="F2F2F2" w:themeFill="background1" w:themeFillShade="F2"/>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3.1. Principalele prevederi ale proiectului și evidențierea elementelor noi</w:t>
            </w:r>
          </w:p>
        </w:tc>
      </w:tr>
      <w:tr w:rsidR="008D7361" w:rsidRPr="005A0F49" w:rsidTr="000470F2">
        <w:tc>
          <w:tcPr>
            <w:tcW w:w="10065" w:type="dxa"/>
            <w:shd w:val="clear" w:color="auto" w:fill="auto"/>
            <w:tcMar>
              <w:top w:w="0" w:type="dxa"/>
              <w:left w:w="108" w:type="dxa"/>
              <w:bottom w:w="0" w:type="dxa"/>
              <w:right w:w="108" w:type="dxa"/>
            </w:tcMar>
          </w:tcPr>
          <w:p w:rsidR="008D7361" w:rsidRPr="005A0F49" w:rsidRDefault="008D7361" w:rsidP="008D7361">
            <w:pPr>
              <w:pStyle w:val="NormalWeb"/>
              <w:spacing w:before="120"/>
              <w:rPr>
                <w:rFonts w:ascii="Times New Roman" w:hAnsi="Times New Roman"/>
                <w:lang w:val="ro-MD"/>
              </w:rPr>
            </w:pPr>
            <w:r w:rsidRPr="005A0F49">
              <w:rPr>
                <w:rFonts w:ascii="Times New Roman" w:hAnsi="Times New Roman"/>
                <w:lang w:val="ro-MD"/>
              </w:rPr>
              <w:t>Proiectul de act normativ prevede actualizarea și completarea Hotărârii Guvernului nr. 876/2015, prin introducerea unor reglementări orientate spre modernizarea mecanismului de asigurare cu manuale și materiale didactice, precum și extinderea acestuia asupra domeniului educației adulților.</w:t>
            </w:r>
          </w:p>
          <w:p w:rsidR="008D7361" w:rsidRPr="005A0F49" w:rsidRDefault="008D7361" w:rsidP="008D7361">
            <w:pPr>
              <w:pStyle w:val="NormalWeb"/>
              <w:spacing w:before="120"/>
              <w:rPr>
                <w:rFonts w:ascii="Times New Roman" w:hAnsi="Times New Roman"/>
                <w:lang w:val="ro-MD"/>
              </w:rPr>
            </w:pPr>
            <w:r w:rsidRPr="005A0F49">
              <w:rPr>
                <w:rFonts w:ascii="Times New Roman" w:hAnsi="Times New Roman"/>
                <w:lang w:val="ro-MD"/>
              </w:rPr>
              <w:lastRenderedPageBreak/>
              <w:t>Principalele prevederi și elemente de noutate ale proiectului sunt următoarele:</w:t>
            </w:r>
          </w:p>
          <w:p w:rsidR="008D7361" w:rsidRPr="005A0F49" w:rsidRDefault="008D7361" w:rsidP="008D7361">
            <w:pPr>
              <w:pStyle w:val="NormalWeb"/>
              <w:numPr>
                <w:ilvl w:val="0"/>
                <w:numId w:val="44"/>
              </w:numPr>
              <w:spacing w:before="120"/>
              <w:ind w:left="714" w:hanging="357"/>
              <w:rPr>
                <w:rFonts w:ascii="Times New Roman" w:hAnsi="Times New Roman"/>
                <w:b/>
                <w:lang w:val="ro-MD"/>
              </w:rPr>
            </w:pPr>
            <w:r w:rsidRPr="005A0F49">
              <w:rPr>
                <w:rFonts w:ascii="Times New Roman" w:hAnsi="Times New Roman"/>
                <w:b/>
                <w:lang w:val="ro-MD"/>
              </w:rPr>
              <w:t xml:space="preserve">Actualizează categoriile de elevi care beneficiază gratuit de manuale </w:t>
            </w:r>
          </w:p>
          <w:p w:rsidR="008D7361" w:rsidRPr="005A0F49" w:rsidRDefault="008D7361" w:rsidP="008D7361">
            <w:pPr>
              <w:pStyle w:val="NormalWeb"/>
              <w:spacing w:before="120"/>
              <w:rPr>
                <w:rStyle w:val="Strong"/>
                <w:rFonts w:ascii="Times New Roman" w:hAnsi="Times New Roman"/>
                <w:b w:val="0"/>
                <w:bCs w:val="0"/>
                <w:lang w:val="ro-MD"/>
              </w:rPr>
            </w:pPr>
            <w:r w:rsidRPr="005A0F49">
              <w:rPr>
                <w:rFonts w:ascii="Times New Roman" w:hAnsi="Times New Roman"/>
                <w:lang w:val="ro-MD"/>
              </w:rPr>
              <w:t>Prevederea are drept scop alinierea la terminologia și legislația în domeniul asistenței sociale, asigurând astfel un mecanism clar și transparent de identificare a beneficiarilor manualelor gratuite; În consecință categoriile de elevi beneficiari vor fi identificați prin intermediul sistemelor informaționale, iar procesul de asigurare cu manuale școlare gratuite va fi simplificat.</w:t>
            </w:r>
          </w:p>
          <w:p w:rsidR="008D7361" w:rsidRPr="005A0F49" w:rsidRDefault="008D7361" w:rsidP="008D7361">
            <w:pPr>
              <w:pStyle w:val="NormalWeb"/>
              <w:numPr>
                <w:ilvl w:val="0"/>
                <w:numId w:val="44"/>
              </w:numPr>
              <w:spacing w:before="120"/>
              <w:ind w:left="714" w:hanging="357"/>
              <w:rPr>
                <w:rStyle w:val="Strong"/>
                <w:rFonts w:ascii="Times New Roman" w:hAnsi="Times New Roman"/>
                <w:b w:val="0"/>
                <w:bCs w:val="0"/>
                <w:lang w:val="ro-MD"/>
              </w:rPr>
            </w:pPr>
            <w:r w:rsidRPr="005A0F49">
              <w:rPr>
                <w:rFonts w:ascii="Times New Roman" w:hAnsi="Times New Roman"/>
                <w:b/>
                <w:lang w:val="ro-MD"/>
              </w:rPr>
              <w:t xml:space="preserve">Abrogarea punctului 7 din Hotărâre </w:t>
            </w:r>
          </w:p>
          <w:p w:rsidR="008D7361" w:rsidRPr="005A0F49" w:rsidRDefault="008D7361" w:rsidP="008D7361">
            <w:pPr>
              <w:pStyle w:val="NormalWeb"/>
              <w:spacing w:before="120"/>
              <w:rPr>
                <w:rFonts w:ascii="Times New Roman" w:hAnsi="Times New Roman"/>
                <w:lang w:val="ro-MD"/>
              </w:rPr>
            </w:pPr>
            <w:r w:rsidRPr="005A0F49">
              <w:rPr>
                <w:rFonts w:ascii="Times New Roman" w:hAnsi="Times New Roman"/>
                <w:lang w:val="ro-MD"/>
              </w:rPr>
              <w:t>Excluderea prevederilor redundante, care dublează prevederi, în scopul creșterii coerenței și clarității cadrului normativ;</w:t>
            </w:r>
          </w:p>
          <w:p w:rsidR="008D7361" w:rsidRPr="005A0F49" w:rsidRDefault="008D7361" w:rsidP="008D7361">
            <w:pPr>
              <w:pStyle w:val="NormalWeb"/>
              <w:numPr>
                <w:ilvl w:val="0"/>
                <w:numId w:val="45"/>
              </w:numPr>
              <w:spacing w:before="120"/>
              <w:rPr>
                <w:rFonts w:ascii="Times New Roman" w:hAnsi="Times New Roman"/>
                <w:lang w:val="ro-MD"/>
              </w:rPr>
            </w:pPr>
            <w:r w:rsidRPr="005A0F49">
              <w:rPr>
                <w:rFonts w:ascii="Times New Roman" w:hAnsi="Times New Roman"/>
                <w:b/>
                <w:lang w:val="ro-MD"/>
              </w:rPr>
              <w:t xml:space="preserve">Extinderea obiectului Regulamentului MEC </w:t>
            </w:r>
            <w:r w:rsidRPr="005A0F49">
              <w:rPr>
                <w:rFonts w:ascii="Times New Roman" w:hAnsi="Times New Roman"/>
                <w:lang w:val="ro-MD"/>
              </w:rPr>
              <w:t>(pct. 8 - de la „evaluare și selectare” la „elaborare, evaluare, selectare, editare și achiziție”)</w:t>
            </w:r>
          </w:p>
          <w:p w:rsidR="008D7361" w:rsidRPr="005A0F49" w:rsidRDefault="008D7361" w:rsidP="008D7361">
            <w:pPr>
              <w:pStyle w:val="NormalWeb"/>
              <w:spacing w:before="120"/>
              <w:rPr>
                <w:rFonts w:ascii="Times New Roman" w:hAnsi="Times New Roman"/>
                <w:lang w:val="ro-MD"/>
              </w:rPr>
            </w:pPr>
            <w:r w:rsidRPr="005A0F49">
              <w:rPr>
                <w:rFonts w:ascii="Times New Roman" w:hAnsi="Times New Roman"/>
                <w:lang w:val="ro-MD"/>
              </w:rPr>
              <w:t xml:space="preserve">Textul actual reflectă doar parțial </w:t>
            </w:r>
            <w:r w:rsidRPr="00D607D1">
              <w:rPr>
                <w:rStyle w:val="Strong"/>
                <w:rFonts w:ascii="Times New Roman" w:hAnsi="Times New Roman"/>
                <w:b w:val="0"/>
                <w:lang w:val="ro-MD"/>
              </w:rPr>
              <w:t>lanțul complet de viață al manualului școlar</w:t>
            </w:r>
            <w:r w:rsidRPr="00D607D1">
              <w:rPr>
                <w:rFonts w:ascii="Times New Roman" w:hAnsi="Times New Roman"/>
                <w:b/>
                <w:lang w:val="ro-MD"/>
              </w:rPr>
              <w:t>.</w:t>
            </w:r>
            <w:r w:rsidRPr="005A0F49">
              <w:rPr>
                <w:rFonts w:ascii="Times New Roman" w:hAnsi="Times New Roman"/>
                <w:lang w:val="ro-MD"/>
              </w:rPr>
              <w:t xml:space="preserve">  În practică, MEC gestionează întregul proces: de la elaborare până la achiziție.  Modificarea va asigura </w:t>
            </w:r>
            <w:r w:rsidRPr="00D607D1">
              <w:rPr>
                <w:rStyle w:val="Strong"/>
                <w:rFonts w:ascii="Times New Roman" w:hAnsi="Times New Roman"/>
                <w:b w:val="0"/>
                <w:lang w:val="ro-MD"/>
              </w:rPr>
              <w:t>coerență juridică</w:t>
            </w:r>
            <w:r w:rsidRPr="005A0F49">
              <w:rPr>
                <w:rFonts w:ascii="Times New Roman" w:hAnsi="Times New Roman"/>
                <w:lang w:val="ro-MD"/>
              </w:rPr>
              <w:t xml:space="preserve"> între hotărârea de Guvern și actele normative subsecvente, și va evita lacunele normative privind etapele neacoperite explicit.</w:t>
            </w:r>
          </w:p>
          <w:p w:rsidR="008D7361" w:rsidRPr="005A0F49" w:rsidRDefault="008D7361" w:rsidP="008D7361">
            <w:pPr>
              <w:pStyle w:val="Heading2"/>
              <w:keepLines/>
              <w:numPr>
                <w:ilvl w:val="0"/>
                <w:numId w:val="44"/>
              </w:numPr>
              <w:spacing w:before="120" w:line="259" w:lineRule="auto"/>
              <w:jc w:val="both"/>
              <w:outlineLvl w:val="1"/>
              <w:rPr>
                <w:rFonts w:ascii="Times New Roman" w:eastAsia="Times New Roman" w:hAnsi="Times New Roman"/>
                <w:b w:val="0"/>
                <w:sz w:val="24"/>
                <w:szCs w:val="24"/>
                <w:lang w:val="ro-MD" w:eastAsia="ru-RU"/>
              </w:rPr>
            </w:pPr>
            <w:r w:rsidRPr="005A0F49">
              <w:rPr>
                <w:rFonts w:ascii="Times New Roman" w:eastAsia="Times New Roman" w:hAnsi="Times New Roman"/>
                <w:sz w:val="24"/>
                <w:szCs w:val="24"/>
                <w:lang w:val="ro-MD" w:eastAsia="ru-RU"/>
              </w:rPr>
              <w:t xml:space="preserve">Introducerea noțiunii de „expertizare” alături de „evaluare” </w:t>
            </w:r>
            <w:r w:rsidRPr="005A0F49">
              <w:rPr>
                <w:rFonts w:ascii="Times New Roman" w:eastAsia="Times New Roman" w:hAnsi="Times New Roman"/>
                <w:bCs/>
                <w:sz w:val="24"/>
                <w:szCs w:val="24"/>
                <w:lang w:val="ro-MD" w:eastAsia="ru-RU"/>
              </w:rPr>
              <w:t>(pct. 9)</w:t>
            </w:r>
          </w:p>
          <w:p w:rsidR="008D7361" w:rsidRPr="005A0F49" w:rsidRDefault="008D7361" w:rsidP="008D7361">
            <w:pPr>
              <w:pStyle w:val="NormalWeb"/>
              <w:spacing w:before="120"/>
              <w:rPr>
                <w:rFonts w:ascii="Times New Roman" w:hAnsi="Times New Roman"/>
                <w:lang w:val="ro-MD"/>
              </w:rPr>
            </w:pPr>
            <w:r w:rsidRPr="005A0F49">
              <w:rPr>
                <w:rFonts w:ascii="Times New Roman" w:hAnsi="Times New Roman"/>
                <w:lang w:val="ro-MD"/>
              </w:rPr>
              <w:t xml:space="preserve">Procesul actual presupune nu doar o evaluare pedagogică, ci și: analiză științifică, verificare curriculară, examinare metodologică și lingvistică.  Termenul „expertizare” reflectă </w:t>
            </w:r>
            <w:r w:rsidRPr="005A0F49">
              <w:rPr>
                <w:rStyle w:val="Strong"/>
                <w:rFonts w:ascii="Times New Roman" w:hAnsi="Times New Roman"/>
                <w:b w:val="0"/>
                <w:lang w:val="ro-MD"/>
              </w:rPr>
              <w:t>complexitatea reală</w:t>
            </w:r>
            <w:r w:rsidRPr="005A0F49">
              <w:rPr>
                <w:rFonts w:ascii="Times New Roman" w:hAnsi="Times New Roman"/>
                <w:lang w:val="ro-MD"/>
              </w:rPr>
              <w:t xml:space="preserve"> a procesului și aliniază actul normativ la practica instituțională.  Clarificarea terminologică va recunoaște statutul profesional al evaluatorilor și va permite expertizarea conținuturilor incluse în manualelor școlare de către experți în domeniu și îmbunătățirea calității manualelor școlare. </w:t>
            </w:r>
          </w:p>
          <w:p w:rsidR="008D7361" w:rsidRPr="005A0F49" w:rsidRDefault="008D7361" w:rsidP="008D7361">
            <w:pPr>
              <w:pStyle w:val="Heading2"/>
              <w:keepLines/>
              <w:numPr>
                <w:ilvl w:val="0"/>
                <w:numId w:val="44"/>
              </w:numPr>
              <w:spacing w:before="120" w:line="259" w:lineRule="auto"/>
              <w:jc w:val="both"/>
              <w:outlineLvl w:val="1"/>
              <w:rPr>
                <w:rFonts w:ascii="Times New Roman" w:eastAsia="Times New Roman" w:hAnsi="Times New Roman"/>
                <w:sz w:val="24"/>
                <w:szCs w:val="24"/>
                <w:lang w:val="ro-MD" w:eastAsia="ru-RU"/>
              </w:rPr>
            </w:pPr>
            <w:r w:rsidRPr="005A0F49">
              <w:rPr>
                <w:rFonts w:ascii="Times New Roman" w:eastAsia="Times New Roman" w:hAnsi="Times New Roman"/>
                <w:sz w:val="24"/>
                <w:szCs w:val="24"/>
                <w:lang w:val="ro-MD" w:eastAsia="ru-RU"/>
              </w:rPr>
              <w:t xml:space="preserve">Plafonarea cheltuielilor de evaluare </w:t>
            </w:r>
            <w:r w:rsidRPr="005A0F49">
              <w:rPr>
                <w:rFonts w:ascii="Times New Roman" w:eastAsia="Times New Roman" w:hAnsi="Times New Roman"/>
                <w:bCs/>
                <w:sz w:val="24"/>
                <w:szCs w:val="24"/>
                <w:lang w:val="ro-MD" w:eastAsia="ru-RU"/>
              </w:rPr>
              <w:t>(pct. 9¹)</w:t>
            </w:r>
          </w:p>
          <w:p w:rsidR="008D7361" w:rsidRPr="005A0F49" w:rsidRDefault="008D7361" w:rsidP="008D7361">
            <w:pPr>
              <w:pStyle w:val="Heading2"/>
              <w:spacing w:before="120"/>
              <w:ind w:left="360"/>
              <w:jc w:val="both"/>
              <w:outlineLvl w:val="1"/>
              <w:rPr>
                <w:rFonts w:ascii="Times New Roman" w:eastAsia="Times New Roman" w:hAnsi="Times New Roman"/>
                <w:b w:val="0"/>
                <w:sz w:val="24"/>
                <w:szCs w:val="24"/>
                <w:lang w:val="ro-MD" w:eastAsia="ru-RU"/>
              </w:rPr>
            </w:pPr>
            <w:r w:rsidRPr="005A0F49">
              <w:rPr>
                <w:rFonts w:ascii="Times New Roman" w:eastAsia="Times New Roman" w:hAnsi="Times New Roman"/>
                <w:b w:val="0"/>
                <w:sz w:val="24"/>
                <w:szCs w:val="24"/>
                <w:lang w:val="ro-MD" w:eastAsia="ru-RU"/>
              </w:rPr>
              <w:t>Introducerea prevederii clare privind aprobarea prin ordin a ministrului a remunerației evaluatorilor și experților implicați în evaluarea și expertizarea manualelor și proiectelor de manuale școlare, și stabilirea plafonării maxime a sumelor sumei totale stabilite pentru remunerarea evaluatorilor/experților.</w:t>
            </w:r>
          </w:p>
          <w:p w:rsidR="008D7361" w:rsidRPr="005A0F49" w:rsidRDefault="008D7361" w:rsidP="008D7361">
            <w:pPr>
              <w:pStyle w:val="Heading2"/>
              <w:keepLines/>
              <w:numPr>
                <w:ilvl w:val="0"/>
                <w:numId w:val="44"/>
              </w:numPr>
              <w:spacing w:before="120" w:line="259" w:lineRule="auto"/>
              <w:jc w:val="both"/>
              <w:outlineLvl w:val="1"/>
              <w:rPr>
                <w:rFonts w:ascii="Times New Roman" w:eastAsia="Times New Roman" w:hAnsi="Times New Roman"/>
                <w:b w:val="0"/>
                <w:sz w:val="24"/>
                <w:szCs w:val="24"/>
                <w:lang w:val="ro-MD" w:eastAsia="ru-RU"/>
              </w:rPr>
            </w:pPr>
            <w:r w:rsidRPr="005A0F49">
              <w:rPr>
                <w:rFonts w:ascii="Times New Roman" w:eastAsia="Times New Roman" w:hAnsi="Times New Roman"/>
                <w:sz w:val="24"/>
                <w:szCs w:val="24"/>
                <w:lang w:val="ro-MD" w:eastAsia="ru-RU"/>
              </w:rPr>
              <w:t xml:space="preserve">Clarificarea duratei de utilizare a manualelor și a achizițiilor suplimentare </w:t>
            </w:r>
            <w:r w:rsidRPr="005A0F49">
              <w:rPr>
                <w:rFonts w:ascii="Times New Roman" w:eastAsia="Times New Roman" w:hAnsi="Times New Roman"/>
                <w:bCs/>
                <w:sz w:val="24"/>
                <w:szCs w:val="24"/>
                <w:lang w:val="ro-MD" w:eastAsia="ru-RU"/>
              </w:rPr>
              <w:t>(Anexa nr. 1, pct. 4, clasele I-IX; Anexa nr. 3, pct. 8, clasele X-XII)</w:t>
            </w:r>
          </w:p>
          <w:p w:rsidR="008D7361" w:rsidRPr="005A0F49" w:rsidRDefault="008D7361" w:rsidP="008D7361">
            <w:pPr>
              <w:pStyle w:val="NormalWeb"/>
              <w:spacing w:before="120"/>
              <w:rPr>
                <w:rFonts w:ascii="Times New Roman" w:hAnsi="Times New Roman"/>
                <w:lang w:val="ro-MD"/>
              </w:rPr>
            </w:pPr>
            <w:r w:rsidRPr="005A0F49">
              <w:rPr>
                <w:rFonts w:ascii="Times New Roman" w:hAnsi="Times New Roman"/>
                <w:lang w:val="ro-MD"/>
              </w:rPr>
              <w:t>Instituirea posibilității ca Ministerul Educației și Cercetării să achiziționeze, pe durata de utilizare a manualelor pentru elevii claselor I–IX, și respectiv, Fondului special pentru manuale de a achiziționa, pe durata de utilizare a manualelor pentru elevii claselor X–XII, un număr suplimentar de exemplare, în limita a maximum 5% din comanda aferentă fiecărui titlu. Această prevedere răspunde necesității asigurării continuității și echității accesului elevilor la manuale școlare, în contextul apariției unor situații obiective precum deteriorarea sau pierderea manualelor, care nu pot fi anticipate integral la momentul formării tirajului inițial. Limitarea cantitativă in</w:t>
            </w:r>
            <w:bookmarkStart w:id="0" w:name="_GoBack"/>
            <w:bookmarkEnd w:id="0"/>
            <w:r w:rsidRPr="005A0F49">
              <w:rPr>
                <w:rFonts w:ascii="Times New Roman" w:hAnsi="Times New Roman"/>
                <w:lang w:val="ro-MD"/>
              </w:rPr>
              <w:t>stituită asigură un echilibru între flexibilitatea gestionării stocurilor și utilizarea responsabilă a resurselor financiare publice.</w:t>
            </w:r>
          </w:p>
          <w:p w:rsidR="008D7361" w:rsidRPr="005A0F49" w:rsidRDefault="008D7361" w:rsidP="008D7361">
            <w:pPr>
              <w:pStyle w:val="NormalWeb"/>
              <w:spacing w:before="120"/>
              <w:rPr>
                <w:rFonts w:ascii="Times New Roman" w:hAnsi="Times New Roman"/>
                <w:lang w:val="ro-MD"/>
              </w:rPr>
            </w:pPr>
            <w:r w:rsidRPr="005A0F49">
              <w:rPr>
                <w:rFonts w:ascii="Times New Roman" w:hAnsi="Times New Roman"/>
                <w:lang w:val="ro-MD"/>
              </w:rPr>
              <w:t xml:space="preserve">Introducerea limitei de 5% pentru achiziții suplimentare va permite reacția rapidă la pierderi, deteriorări sau fluctuații de efectiv, va previne achizițiile nejustificate și va  susține </w:t>
            </w:r>
            <w:r w:rsidRPr="00D607D1">
              <w:rPr>
                <w:rStyle w:val="Strong"/>
                <w:rFonts w:ascii="Times New Roman" w:hAnsi="Times New Roman"/>
                <w:b w:val="0"/>
                <w:lang w:val="ro-MD"/>
              </w:rPr>
              <w:t>continuitatea procesului educațional</w:t>
            </w:r>
            <w:r w:rsidRPr="005A0F49">
              <w:rPr>
                <w:rFonts w:ascii="Times New Roman" w:hAnsi="Times New Roman"/>
                <w:b/>
                <w:lang w:val="ro-MD"/>
              </w:rPr>
              <w:t xml:space="preserve"> </w:t>
            </w:r>
            <w:r w:rsidRPr="005A0F49">
              <w:rPr>
                <w:rFonts w:ascii="Times New Roman" w:hAnsi="Times New Roman"/>
                <w:bCs/>
                <w:lang w:val="ro-MD"/>
              </w:rPr>
              <w:t>f</w:t>
            </w:r>
            <w:r w:rsidRPr="005A0F49">
              <w:rPr>
                <w:rFonts w:ascii="Times New Roman" w:hAnsi="Times New Roman"/>
                <w:lang w:val="ro-MD"/>
              </w:rPr>
              <w:t>ără sincope.</w:t>
            </w:r>
          </w:p>
          <w:p w:rsidR="008D7361" w:rsidRPr="005A0F49" w:rsidRDefault="008D7361" w:rsidP="008D7361">
            <w:pPr>
              <w:pStyle w:val="Heading2"/>
              <w:keepLines/>
              <w:numPr>
                <w:ilvl w:val="0"/>
                <w:numId w:val="44"/>
              </w:numPr>
              <w:spacing w:before="120" w:line="259" w:lineRule="auto"/>
              <w:jc w:val="both"/>
              <w:outlineLvl w:val="1"/>
              <w:rPr>
                <w:rFonts w:ascii="Times New Roman" w:eastAsia="Times New Roman" w:hAnsi="Times New Roman"/>
                <w:sz w:val="24"/>
                <w:szCs w:val="24"/>
                <w:lang w:val="ro-MD" w:eastAsia="ru-RU"/>
              </w:rPr>
            </w:pPr>
            <w:r w:rsidRPr="005A0F49">
              <w:rPr>
                <w:rFonts w:ascii="Times New Roman" w:eastAsia="Times New Roman" w:hAnsi="Times New Roman"/>
                <w:sz w:val="24"/>
                <w:szCs w:val="24"/>
                <w:lang w:val="ro-MD" w:eastAsia="ru-RU"/>
              </w:rPr>
              <w:t xml:space="preserve">Clarificarea prețul de utilizare a manualelor incluse în schema de închiriere pentru clasele de liceu </w:t>
            </w:r>
            <w:r w:rsidRPr="005A0F49">
              <w:rPr>
                <w:rFonts w:ascii="Times New Roman" w:eastAsia="Times New Roman" w:hAnsi="Times New Roman"/>
                <w:bCs/>
                <w:sz w:val="24"/>
                <w:szCs w:val="24"/>
                <w:lang w:val="ro-MD" w:eastAsia="ru-RU"/>
              </w:rPr>
              <w:t>(Anexa nr. 3, pct. 15 lit. a))</w:t>
            </w:r>
          </w:p>
          <w:p w:rsidR="008D7361" w:rsidRPr="005A0F49" w:rsidRDefault="008D7361" w:rsidP="008D7361">
            <w:pPr>
              <w:pStyle w:val="Heading2"/>
              <w:spacing w:before="120"/>
              <w:jc w:val="both"/>
              <w:outlineLvl w:val="1"/>
              <w:rPr>
                <w:rFonts w:ascii="Times New Roman" w:eastAsia="Times New Roman" w:hAnsi="Times New Roman"/>
                <w:b w:val="0"/>
                <w:sz w:val="24"/>
                <w:szCs w:val="24"/>
                <w:lang w:val="ro-MD" w:eastAsia="ru-RU"/>
              </w:rPr>
            </w:pPr>
            <w:r w:rsidRPr="005A0F49">
              <w:rPr>
                <w:rFonts w:ascii="Times New Roman" w:eastAsia="Times New Roman" w:hAnsi="Times New Roman"/>
                <w:b w:val="0"/>
                <w:sz w:val="24"/>
                <w:szCs w:val="24"/>
                <w:lang w:val="ro-MD" w:eastAsia="ru-RU"/>
              </w:rPr>
              <w:t xml:space="preserve">Fondul Special pentru Manuale finanțează întregul ciclu de realizare a manualelor pentru cl. X-XII, iar evaluarea/expertizarea este o etapă esențială.  Includerea explicită a acestor cheltuieli va elimina </w:t>
            </w:r>
            <w:r w:rsidRPr="005A0F49">
              <w:rPr>
                <w:rFonts w:ascii="Times New Roman" w:eastAsia="Times New Roman" w:hAnsi="Times New Roman"/>
                <w:b w:val="0"/>
                <w:sz w:val="24"/>
                <w:szCs w:val="24"/>
                <w:lang w:val="ro-MD" w:eastAsia="ru-RU"/>
              </w:rPr>
              <w:lastRenderedPageBreak/>
              <w:t xml:space="preserve">ambiguități în execuția bugetară, va asigura </w:t>
            </w:r>
            <w:r w:rsidRPr="005A0F49">
              <w:rPr>
                <w:rFonts w:ascii="Times New Roman" w:eastAsia="Times New Roman" w:hAnsi="Times New Roman"/>
                <w:b w:val="0"/>
                <w:bCs/>
                <w:sz w:val="24"/>
                <w:szCs w:val="24"/>
                <w:lang w:val="ro-MD" w:eastAsia="ru-RU"/>
              </w:rPr>
              <w:t>acoperire legală</w:t>
            </w:r>
            <w:r w:rsidRPr="005A0F49">
              <w:rPr>
                <w:rFonts w:ascii="Times New Roman" w:eastAsia="Times New Roman" w:hAnsi="Times New Roman"/>
                <w:b w:val="0"/>
                <w:sz w:val="24"/>
                <w:szCs w:val="24"/>
                <w:lang w:val="ro-MD" w:eastAsia="ru-RU"/>
              </w:rPr>
              <w:t xml:space="preserve"> pentru plățile aferente și va crește transparența utilizării fondului.</w:t>
            </w:r>
          </w:p>
          <w:p w:rsidR="008D7361" w:rsidRPr="005A0F49" w:rsidRDefault="008D7361" w:rsidP="008D7361">
            <w:pPr>
              <w:rPr>
                <w:rFonts w:ascii="Times New Roman" w:hAnsi="Times New Roman"/>
                <w:sz w:val="24"/>
                <w:szCs w:val="24"/>
                <w:lang w:val="ro-MD"/>
              </w:rPr>
            </w:pPr>
            <w:r w:rsidRPr="005A0F49">
              <w:rPr>
                <w:rFonts w:ascii="Times New Roman" w:hAnsi="Times New Roman"/>
                <w:sz w:val="24"/>
                <w:szCs w:val="24"/>
                <w:lang w:val="ro-MD"/>
              </w:rPr>
              <w:t>În ansamblu, modificările propuse contribuie la modernizarea și eficientizarea cadrului normativ, la creșterea transparenței și previzibilității proceselor administrative și la alinierea reglementărilor la practica reală de implementare din sistemul educațional</w:t>
            </w:r>
          </w:p>
        </w:tc>
      </w:tr>
      <w:tr w:rsidR="00BB271D" w:rsidRPr="005A0F49" w:rsidTr="000470F2">
        <w:tc>
          <w:tcPr>
            <w:tcW w:w="10065" w:type="dxa"/>
            <w:shd w:val="clear" w:color="auto" w:fill="F2F2F2" w:themeFill="background1" w:themeFillShade="F2"/>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lastRenderedPageBreak/>
              <w:t>3.2. Opțiunile alternative analizate și motivele pentru care acestea nu au fost luate în considerare</w:t>
            </w:r>
          </w:p>
        </w:tc>
      </w:tr>
      <w:tr w:rsidR="00BB271D" w:rsidRPr="005A0F49" w:rsidTr="000470F2">
        <w:tc>
          <w:tcPr>
            <w:tcW w:w="10065" w:type="dxa"/>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 xml:space="preserve"> </w:t>
            </w:r>
            <w:r w:rsidR="008D7361" w:rsidRPr="005A0F49">
              <w:rPr>
                <w:rFonts w:ascii="Times New Roman" w:hAnsi="Times New Roman"/>
                <w:sz w:val="24"/>
                <w:szCs w:val="24"/>
                <w:lang w:val="ro-MD"/>
              </w:rPr>
              <w:t>Nu sunt. Toate propunerile de ajustare reies din experiența acumulată.</w:t>
            </w:r>
          </w:p>
        </w:tc>
      </w:tr>
      <w:tr w:rsidR="00BB271D" w:rsidRPr="005A0F49" w:rsidTr="000470F2">
        <w:trPr>
          <w:trHeight w:val="381"/>
        </w:trPr>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 xml:space="preserve">4. Analiza impactului de reglementare </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 xml:space="preserve">4.1. </w:t>
            </w:r>
            <w:r w:rsidR="00D03C31" w:rsidRPr="005A0F49">
              <w:rPr>
                <w:rFonts w:ascii="Times New Roman" w:hAnsi="Times New Roman"/>
                <w:sz w:val="24"/>
                <w:szCs w:val="24"/>
                <w:lang w:val="ro-MD"/>
              </w:rPr>
              <w:t>Impactul asupra sectorului public</w:t>
            </w:r>
          </w:p>
        </w:tc>
      </w:tr>
      <w:tr w:rsidR="00D00EDA" w:rsidRPr="005A0F49" w:rsidTr="00D00EDA">
        <w:tc>
          <w:tcPr>
            <w:tcW w:w="10065" w:type="dxa"/>
            <w:shd w:val="clear" w:color="auto" w:fill="auto"/>
            <w:tcMar>
              <w:top w:w="0" w:type="dxa"/>
              <w:left w:w="108" w:type="dxa"/>
              <w:bottom w:w="0" w:type="dxa"/>
              <w:right w:w="108" w:type="dxa"/>
            </w:tcMar>
          </w:tcPr>
          <w:p w:rsidR="00D00EDA" w:rsidRPr="005A0F49" w:rsidRDefault="00D03C31">
            <w:pPr>
              <w:rPr>
                <w:rFonts w:ascii="Times New Roman" w:hAnsi="Times New Roman"/>
                <w:sz w:val="24"/>
                <w:szCs w:val="24"/>
                <w:lang w:val="ro-MD"/>
              </w:rPr>
            </w:pPr>
            <w:r w:rsidRPr="005A0F49">
              <w:rPr>
                <w:rFonts w:ascii="Times New Roman" w:hAnsi="Times New Roman"/>
                <w:sz w:val="24"/>
                <w:szCs w:val="24"/>
                <w:lang w:val="ro-MD"/>
              </w:rPr>
              <w:t>Proiectul va avea un impact pozitiv asupra sectorului public, prin eficientizarea procesului de elaborare, evaluare, achiziție și gestionare a manualelor școlare, precum și prin consolidarea responsabilităților instituționale ale Ministerului Educației și Cercetării, organelor locale de specialitate în domeniul învățământului și instituțiilor de învățământ. Modificările propuse vor contribui la o planificare mai exactă a necesarului de manuale, utilizarea eficientă a resurselor financiare publice și îmbunătățirea managementului stocurilor de manuale, fără crearea unor noi autorități publice.</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4.2. Impactul financiar și argumentarea costurilor estimative</w:t>
            </w:r>
          </w:p>
        </w:tc>
      </w:tr>
      <w:tr w:rsidR="00CC4E97" w:rsidRPr="005A0F49" w:rsidTr="000470F2">
        <w:tc>
          <w:tcPr>
            <w:tcW w:w="10065" w:type="dxa"/>
            <w:shd w:val="clear" w:color="auto" w:fill="auto"/>
            <w:tcMar>
              <w:top w:w="0" w:type="dxa"/>
              <w:left w:w="108" w:type="dxa"/>
              <w:bottom w:w="0" w:type="dxa"/>
              <w:right w:w="108" w:type="dxa"/>
            </w:tcMar>
          </w:tcPr>
          <w:p w:rsidR="00CC4E97" w:rsidRPr="005A0F49" w:rsidRDefault="00CC4E97" w:rsidP="000470F2">
            <w:pPr>
              <w:rPr>
                <w:rFonts w:ascii="Times New Roman" w:hAnsi="Times New Roman"/>
                <w:sz w:val="24"/>
                <w:szCs w:val="24"/>
                <w:lang w:val="ro-MD"/>
              </w:rPr>
            </w:pPr>
            <w:r w:rsidRPr="005A0F49">
              <w:rPr>
                <w:rFonts w:ascii="Times New Roman" w:hAnsi="Times New Roman"/>
                <w:color w:val="000000"/>
                <w:sz w:val="24"/>
                <w:szCs w:val="24"/>
                <w:lang w:val="ro-MD"/>
              </w:rPr>
              <w:t xml:space="preserve">Pentru punerea în aplicare a Hotărârii Guvernului </w:t>
            </w:r>
            <w:r w:rsidR="000470F2" w:rsidRPr="005A0F49">
              <w:rPr>
                <w:rFonts w:ascii="Times New Roman" w:hAnsi="Times New Roman"/>
                <w:color w:val="000000"/>
                <w:sz w:val="24"/>
                <w:szCs w:val="24"/>
                <w:lang w:val="ro-MD"/>
              </w:rPr>
              <w:t>pentru</w:t>
            </w:r>
            <w:r w:rsidRPr="005A0F49">
              <w:rPr>
                <w:rFonts w:ascii="Times New Roman" w:hAnsi="Times New Roman"/>
                <w:color w:val="000000"/>
                <w:sz w:val="24"/>
                <w:szCs w:val="24"/>
                <w:lang w:val="ro-MD"/>
              </w:rPr>
              <w:t xml:space="preserve"> </w:t>
            </w:r>
            <w:r w:rsidR="000470F2" w:rsidRPr="005A0F49">
              <w:rPr>
                <w:rFonts w:ascii="Times New Roman" w:hAnsi="Times New Roman"/>
                <w:sz w:val="24"/>
                <w:szCs w:val="24"/>
                <w:lang w:val="ro-MD"/>
              </w:rPr>
              <w:t>modificare</w:t>
            </w:r>
            <w:r w:rsidRPr="005A0F49">
              <w:rPr>
                <w:rFonts w:ascii="Times New Roman" w:hAnsi="Times New Roman"/>
                <w:sz w:val="24"/>
                <w:szCs w:val="24"/>
                <w:lang w:val="ro-MD"/>
              </w:rPr>
              <w:t xml:space="preserve">a Hotărârii Guvernului nr. 876/2015 </w:t>
            </w:r>
            <w:r w:rsidR="000470F2" w:rsidRPr="005A0F49">
              <w:rPr>
                <w:rFonts w:ascii="Times New Roman" w:hAnsi="Times New Roman"/>
                <w:sz w:val="24"/>
                <w:szCs w:val="24"/>
                <w:lang w:val="ro-MD"/>
              </w:rPr>
              <w:t>privind</w:t>
            </w:r>
            <w:r w:rsidRPr="005A0F49">
              <w:rPr>
                <w:rFonts w:ascii="Times New Roman" w:hAnsi="Times New Roman"/>
                <w:sz w:val="24"/>
                <w:szCs w:val="24"/>
                <w:lang w:val="ro-MD"/>
              </w:rPr>
              <w:t xml:space="preserve"> asigurarea elevilor cu manuale și a adulților cu materiale didactice</w:t>
            </w:r>
            <w:r w:rsidRPr="005A0F49">
              <w:rPr>
                <w:rFonts w:ascii="Times New Roman" w:hAnsi="Times New Roman"/>
                <w:color w:val="000000"/>
                <w:sz w:val="24"/>
                <w:szCs w:val="24"/>
                <w:lang w:val="ro-MD"/>
              </w:rPr>
              <w:t xml:space="preserve"> nu va necesita alocare de resurse suplimentare de la bugetul de stat. Cheltuielile vor fi realizate din contul resurselor disponibile preconizate pentru procurarea de manuale școlare.</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4.3. Impactul asupra sectorului privat</w:t>
            </w:r>
          </w:p>
        </w:tc>
      </w:tr>
      <w:tr w:rsidR="00542AC1" w:rsidRPr="005A0F49" w:rsidTr="00542AC1">
        <w:tc>
          <w:tcPr>
            <w:tcW w:w="10065" w:type="dxa"/>
            <w:shd w:val="clear" w:color="auto" w:fill="auto"/>
            <w:tcMar>
              <w:top w:w="0" w:type="dxa"/>
              <w:left w:w="108" w:type="dxa"/>
              <w:bottom w:w="0" w:type="dxa"/>
              <w:right w:w="108" w:type="dxa"/>
            </w:tcMar>
          </w:tcPr>
          <w:p w:rsidR="00542AC1" w:rsidRPr="005A0F49" w:rsidRDefault="00D03C31">
            <w:pPr>
              <w:rPr>
                <w:rFonts w:ascii="Times New Roman" w:hAnsi="Times New Roman"/>
                <w:sz w:val="24"/>
                <w:szCs w:val="24"/>
                <w:lang w:val="ro-MD"/>
              </w:rPr>
            </w:pPr>
            <w:r w:rsidRPr="005A0F49">
              <w:rPr>
                <w:rFonts w:ascii="Times New Roman" w:hAnsi="Times New Roman"/>
                <w:sz w:val="24"/>
                <w:szCs w:val="24"/>
                <w:lang w:val="ro-MD"/>
              </w:rPr>
              <w:t>Proiectul va avea un impact pozitiv asupra sectorului privat, prin asigurarea unui cadru normativ mai clar și previzibil privind elaborarea, evaluarea, editarea și achiziția manualelor școlare, ceea ce va contribui la creșterea transparenței și eficienței proceselor de concurs și contractare. Modificările propuse nu instituie bariere suplimentare pentru operatorii economici, ci creează condiții mai clare de participare pentru edituri și alți furnizori de servicii implicați în procesul de elaborare și editare a manualelor.</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4.4. Impactul social</w:t>
            </w:r>
          </w:p>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4.4.1. Impactul asupra datelor cu caracter personal</w:t>
            </w:r>
          </w:p>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4.4.2. Impactul asupra echității și egalității de gen</w:t>
            </w:r>
          </w:p>
        </w:tc>
      </w:tr>
      <w:tr w:rsidR="00542AC1" w:rsidRPr="005A0F49" w:rsidTr="00542AC1">
        <w:tc>
          <w:tcPr>
            <w:tcW w:w="10065" w:type="dxa"/>
            <w:shd w:val="clear" w:color="auto" w:fill="auto"/>
            <w:tcMar>
              <w:top w:w="0" w:type="dxa"/>
              <w:left w:w="108" w:type="dxa"/>
              <w:bottom w:w="0" w:type="dxa"/>
              <w:right w:w="108" w:type="dxa"/>
            </w:tcMar>
          </w:tcPr>
          <w:p w:rsidR="00542AC1" w:rsidRPr="005A0F49" w:rsidRDefault="00D03C31">
            <w:pPr>
              <w:rPr>
                <w:rFonts w:ascii="Times New Roman" w:hAnsi="Times New Roman"/>
                <w:sz w:val="24"/>
                <w:szCs w:val="24"/>
                <w:lang w:val="ro-MD"/>
              </w:rPr>
            </w:pPr>
            <w:r w:rsidRPr="005A0F49">
              <w:rPr>
                <w:rFonts w:ascii="Times New Roman" w:hAnsi="Times New Roman"/>
                <w:sz w:val="24"/>
                <w:szCs w:val="24"/>
                <w:lang w:val="ro-MD"/>
              </w:rPr>
              <w:t>Proiectul va avea un impact social pozitiv, contribuind la asigurarea echitabilă a elevilor cu manuale școlare și la îmbunătățirea accesului la resurse educaționale de calitate. Reglementările propuse vor permite gestionarea mai eficientă a stocurilor de manuale, completarea operativă a necesarului și asigurarea gratuită cu manuale pentru categoriile de copii prevăzute de legislație, sprijinind astfel incluziunea educațională și reducerea inegalităților de acces la educație.</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4.5. Impactul asupra mediului</w:t>
            </w:r>
          </w:p>
        </w:tc>
      </w:tr>
      <w:tr w:rsidR="00542AC1" w:rsidRPr="005A0F49" w:rsidTr="00542AC1">
        <w:tc>
          <w:tcPr>
            <w:tcW w:w="10065" w:type="dxa"/>
            <w:shd w:val="clear" w:color="auto" w:fill="auto"/>
            <w:tcMar>
              <w:top w:w="0" w:type="dxa"/>
              <w:left w:w="108" w:type="dxa"/>
              <w:bottom w:w="0" w:type="dxa"/>
              <w:right w:w="108" w:type="dxa"/>
            </w:tcMar>
          </w:tcPr>
          <w:p w:rsidR="00542AC1" w:rsidRPr="005A0F49" w:rsidRDefault="00D03C31" w:rsidP="00542AC1">
            <w:pPr>
              <w:rPr>
                <w:rFonts w:ascii="Times New Roman" w:hAnsi="Times New Roman"/>
                <w:sz w:val="24"/>
                <w:szCs w:val="24"/>
                <w:lang w:val="ro-MD"/>
              </w:rPr>
            </w:pPr>
            <w:r w:rsidRPr="005A0F49">
              <w:rPr>
                <w:rFonts w:ascii="Times New Roman" w:hAnsi="Times New Roman"/>
                <w:sz w:val="24"/>
                <w:szCs w:val="24"/>
                <w:lang w:val="ro-MD"/>
              </w:rPr>
              <w:t>Proiectul nu generează impact negativ asupra mediului. Prevederile propuse vizează optimizarea proceselor administrative de elaborare, evaluare și gestionare a manualelor școlare, iar planificarea mai eficientă a comenzilor și a stocurilor de manuale poate contribui indirect la reducerea risipei de resurse și la utilizarea mai eficientă a materialelor tipărite.</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4.6. Alte impacturi și informații relevante</w:t>
            </w:r>
          </w:p>
        </w:tc>
      </w:tr>
      <w:tr w:rsidR="00BB271D" w:rsidRPr="005A0F49" w:rsidTr="000470F2">
        <w:tc>
          <w:tcPr>
            <w:tcW w:w="10065" w:type="dxa"/>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 xml:space="preserve"> </w:t>
            </w:r>
            <w:r w:rsidR="00542AC1" w:rsidRPr="005A0F49">
              <w:rPr>
                <w:rFonts w:ascii="Times New Roman" w:hAnsi="Times New Roman"/>
                <w:sz w:val="24"/>
                <w:szCs w:val="24"/>
                <w:lang w:val="ro-MD"/>
              </w:rPr>
              <w:t>Nu sunt.</w:t>
            </w:r>
          </w:p>
        </w:tc>
      </w:tr>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 xml:space="preserve">5. Compatibilitatea proiectului actului normativ cu legislația UE </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5.1. Măsuri normative necesare pentru transpunerea actelor juridice ale UE în legislația națională</w:t>
            </w:r>
          </w:p>
        </w:tc>
      </w:tr>
      <w:tr w:rsidR="00BB271D" w:rsidRPr="005A0F49" w:rsidTr="000470F2">
        <w:tc>
          <w:tcPr>
            <w:tcW w:w="10065" w:type="dxa"/>
            <w:shd w:val="clear" w:color="EDEDED" w:fill="EDEDED"/>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5.2. Măsuri normative care urmăresc crearea cadrului juridic intern necesar pentru implementarea legislației UE</w:t>
            </w:r>
          </w:p>
        </w:tc>
      </w:tr>
      <w:tr w:rsidR="00BB271D" w:rsidRPr="005A0F49" w:rsidTr="000470F2">
        <w:tc>
          <w:tcPr>
            <w:tcW w:w="10065" w:type="dxa"/>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 xml:space="preserve"> </w:t>
            </w:r>
            <w:r w:rsidR="00CC4E97" w:rsidRPr="005A0F49">
              <w:rPr>
                <w:rFonts w:ascii="Times New Roman" w:eastAsia="Times New Roman" w:hAnsi="Times New Roman"/>
                <w:noProof/>
                <w:sz w:val="24"/>
                <w:szCs w:val="24"/>
                <w:lang w:val="ro-MD" w:eastAsia="ru-RU"/>
              </w:rPr>
              <w:t>Proiectul nu intră în categoria actelor normative care necesită expertiza de compatibilitate cu legislația Uniunii Europene.</w:t>
            </w:r>
          </w:p>
        </w:tc>
      </w:tr>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6. Avizarea și consultarea publică a proiectului actului normativ</w:t>
            </w:r>
          </w:p>
        </w:tc>
      </w:tr>
      <w:tr w:rsidR="00BB271D" w:rsidRPr="005A0F49" w:rsidTr="000470F2">
        <w:tc>
          <w:tcPr>
            <w:tcW w:w="10065" w:type="dxa"/>
            <w:tcMar>
              <w:top w:w="0" w:type="dxa"/>
              <w:left w:w="108" w:type="dxa"/>
              <w:bottom w:w="0" w:type="dxa"/>
              <w:right w:w="108" w:type="dxa"/>
            </w:tcMar>
          </w:tcPr>
          <w:p w:rsidR="00CC4E97" w:rsidRPr="005A0F49" w:rsidRDefault="00A46A3E" w:rsidP="00CC4E97">
            <w:pPr>
              <w:pStyle w:val="Heading1"/>
              <w:spacing w:before="0" w:after="0"/>
              <w:ind w:right="41" w:firstLine="318"/>
              <w:textAlignment w:val="baseline"/>
              <w:outlineLvl w:val="0"/>
              <w:rPr>
                <w:rFonts w:ascii="Times New Roman" w:hAnsi="Times New Roman"/>
                <w:b w:val="0"/>
                <w:bCs/>
                <w:sz w:val="24"/>
                <w:szCs w:val="24"/>
                <w:lang w:val="ro-MD"/>
              </w:rPr>
            </w:pPr>
            <w:r w:rsidRPr="005A0F49">
              <w:rPr>
                <w:rFonts w:ascii="Times New Roman" w:hAnsi="Times New Roman"/>
                <w:sz w:val="24"/>
                <w:szCs w:val="24"/>
                <w:lang w:val="ro-MD"/>
              </w:rPr>
              <w:lastRenderedPageBreak/>
              <w:t xml:space="preserve"> </w:t>
            </w:r>
            <w:r w:rsidR="00CC4E97" w:rsidRPr="005A0F49">
              <w:rPr>
                <w:rFonts w:ascii="Times New Roman" w:hAnsi="Times New Roman"/>
                <w:b w:val="0"/>
                <w:sz w:val="24"/>
                <w:szCs w:val="24"/>
                <w:lang w:val="ro-MD"/>
              </w:rPr>
              <w:t>În scopul respectării prevederilor Legii nr.239/2008 privind transparența în procesul decizional, pe pagina web oficială a Ministerului Educației și Cercetării</w:t>
            </w:r>
            <w:hyperlink r:id="rId11" w:history="1"/>
            <w:r w:rsidR="00CC4E97" w:rsidRPr="005A0F49">
              <w:rPr>
                <w:rFonts w:ascii="Times New Roman" w:hAnsi="Times New Roman"/>
                <w:b w:val="0"/>
                <w:sz w:val="24"/>
                <w:szCs w:val="24"/>
                <w:lang w:val="ro-MD"/>
              </w:rPr>
              <w:t xml:space="preserve">, compartimentul Transparența decizională, a fost plasat anunțul despre inițierea elaborării proiectului Hotărârii Guvernului cu privire la modificarea Hotărârii Guvernului nr. 876/2015 cu privire la asigurarea elevilor cu manuale și a adulților cu materiale didactice </w:t>
            </w:r>
            <w:hyperlink r:id="rId12" w:history="1">
              <w:r w:rsidR="00CC4E97" w:rsidRPr="005A0F49">
                <w:rPr>
                  <w:rStyle w:val="Hyperlink"/>
                  <w:rFonts w:ascii="Times New Roman" w:hAnsi="Times New Roman"/>
                  <w:b w:val="0"/>
                  <w:sz w:val="24"/>
                  <w:szCs w:val="24"/>
                  <w:lang w:val="ro-MD"/>
                </w:rPr>
                <w:t>https://particip.gov.md/ro/document/stages/anunt-privind-initierea-procesului-de-elaborare-a-proiectului-hotararii-guvernului-cu-privire-la-modificarea-hotararii-guvernului-nr-8762015-privind-asigurarea-elevilor-cu-manuale-si-a-adultilor-cu-materiale-didactice/15924</w:t>
              </w:r>
            </w:hyperlink>
            <w:r w:rsidR="00CC4E97" w:rsidRPr="005A0F49">
              <w:rPr>
                <w:rFonts w:ascii="Times New Roman" w:hAnsi="Times New Roman"/>
                <w:b w:val="0"/>
                <w:sz w:val="24"/>
                <w:szCs w:val="24"/>
                <w:lang w:val="ro-MD"/>
              </w:rPr>
              <w:t xml:space="preserve"> </w:t>
            </w:r>
          </w:p>
          <w:p w:rsidR="00BB271D" w:rsidRPr="005A0F49" w:rsidRDefault="00CC4E97" w:rsidP="00CC1AD0">
            <w:pPr>
              <w:rPr>
                <w:rFonts w:ascii="Times New Roman" w:hAnsi="Times New Roman"/>
                <w:sz w:val="24"/>
                <w:szCs w:val="24"/>
                <w:lang w:val="ro-MD"/>
              </w:rPr>
            </w:pPr>
            <w:r w:rsidRPr="005A0F49">
              <w:rPr>
                <w:rFonts w:ascii="Times New Roman" w:hAnsi="Times New Roman"/>
                <w:sz w:val="24"/>
                <w:szCs w:val="24"/>
                <w:lang w:val="ro-MD"/>
              </w:rPr>
              <w:t xml:space="preserve">Proiectul Hotărârii Guvernului </w:t>
            </w:r>
            <w:r w:rsidR="00CC1AD0">
              <w:rPr>
                <w:rFonts w:ascii="Times New Roman" w:hAnsi="Times New Roman"/>
                <w:sz w:val="24"/>
                <w:szCs w:val="24"/>
                <w:lang w:val="ro-MD"/>
              </w:rPr>
              <w:t>pentru</w:t>
            </w:r>
            <w:r w:rsidRPr="005A0F49">
              <w:rPr>
                <w:rFonts w:ascii="Times New Roman" w:hAnsi="Times New Roman"/>
                <w:sz w:val="24"/>
                <w:szCs w:val="24"/>
                <w:lang w:val="ro-MD"/>
              </w:rPr>
              <w:t xml:space="preserve"> modificarea Hotărârii Guvernului nr. 876/2015 </w:t>
            </w:r>
            <w:r w:rsidR="00CC1AD0">
              <w:rPr>
                <w:rFonts w:ascii="Times New Roman" w:hAnsi="Times New Roman"/>
                <w:sz w:val="24"/>
                <w:szCs w:val="24"/>
                <w:lang w:val="ro-MD"/>
              </w:rPr>
              <w:t>privind</w:t>
            </w:r>
            <w:r w:rsidRPr="005A0F49">
              <w:rPr>
                <w:rFonts w:ascii="Times New Roman" w:hAnsi="Times New Roman"/>
                <w:sz w:val="24"/>
                <w:szCs w:val="24"/>
                <w:lang w:val="ro-MD"/>
              </w:rPr>
              <w:t xml:space="preserve"> asigurarea elevilor cu manuale și a adulților cu materiale didactice va fi plasat pe pagina web oficială a Ministerului Educației și Cercetării</w:t>
            </w:r>
            <w:hyperlink r:id="rId13" w:history="1"/>
            <w:r w:rsidRPr="005A0F49">
              <w:rPr>
                <w:rFonts w:ascii="Times New Roman" w:hAnsi="Times New Roman"/>
                <w:sz w:val="24"/>
                <w:szCs w:val="24"/>
                <w:lang w:val="ro-MD"/>
              </w:rPr>
              <w:t>, compartimentul Transparența</w:t>
            </w:r>
            <w:r w:rsidR="00CC1AD0">
              <w:rPr>
                <w:rFonts w:ascii="Times New Roman" w:hAnsi="Times New Roman"/>
                <w:sz w:val="24"/>
                <w:szCs w:val="24"/>
                <w:lang w:val="ro-MD"/>
              </w:rPr>
              <w:t xml:space="preserve"> decizională, precum ș</w:t>
            </w:r>
            <w:r w:rsidRPr="005A0F49">
              <w:rPr>
                <w:rFonts w:ascii="Times New Roman" w:hAnsi="Times New Roman"/>
                <w:sz w:val="24"/>
                <w:szCs w:val="24"/>
                <w:lang w:val="ro-MD"/>
              </w:rPr>
              <w:t>i transmis spre avizare Ministerului Finanțelor.</w:t>
            </w:r>
          </w:p>
        </w:tc>
      </w:tr>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7. Concluziile expertizelor</w:t>
            </w:r>
          </w:p>
        </w:tc>
      </w:tr>
      <w:tr w:rsidR="00BB271D" w:rsidRPr="005A0F49" w:rsidTr="000470F2">
        <w:tc>
          <w:tcPr>
            <w:tcW w:w="10065" w:type="dxa"/>
            <w:shd w:val="clear" w:color="FFFFFF" w:fill="FFFFF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 xml:space="preserve"> </w:t>
            </w:r>
            <w:r w:rsidR="00CC4E97" w:rsidRPr="005A0F49">
              <w:rPr>
                <w:rFonts w:ascii="Times New Roman" w:eastAsia="Times New Roman" w:hAnsi="Times New Roman"/>
                <w:noProof/>
                <w:sz w:val="24"/>
                <w:szCs w:val="24"/>
                <w:lang w:val="ro-MD" w:eastAsia="ru-RU"/>
              </w:rPr>
              <w:t>P</w:t>
            </w:r>
            <w:proofErr w:type="spellStart"/>
            <w:r w:rsidR="00CC4E97" w:rsidRPr="005A0F49">
              <w:rPr>
                <w:rFonts w:ascii="Times New Roman" w:hAnsi="Times New Roman"/>
                <w:sz w:val="24"/>
                <w:szCs w:val="24"/>
                <w:lang w:val="ro-MD"/>
              </w:rPr>
              <w:t>roiectul</w:t>
            </w:r>
            <w:proofErr w:type="spellEnd"/>
            <w:r w:rsidR="00CC4E97" w:rsidRPr="005A0F49">
              <w:rPr>
                <w:rFonts w:ascii="Times New Roman" w:hAnsi="Times New Roman"/>
                <w:sz w:val="24"/>
                <w:szCs w:val="24"/>
                <w:lang w:val="ro-MD"/>
              </w:rPr>
              <w:t xml:space="preserve"> va fi  transmis pentru expertiza anticorupție la Centrul Național Anticorupție</w:t>
            </w:r>
            <w:r w:rsidR="00CC4E97" w:rsidRPr="005A0F49">
              <w:rPr>
                <w:rFonts w:ascii="Times New Roman" w:hAnsi="Times New Roman"/>
                <w:sz w:val="24"/>
                <w:szCs w:val="24"/>
                <w:lang w:val="ro-MD"/>
              </w:rPr>
              <w:t xml:space="preserve"> și expertiza juridică la Ministerul Justiției</w:t>
            </w:r>
            <w:r w:rsidR="00CC4E97" w:rsidRPr="005A0F49">
              <w:rPr>
                <w:rFonts w:ascii="Times New Roman" w:hAnsi="Times New Roman"/>
                <w:sz w:val="24"/>
                <w:szCs w:val="24"/>
                <w:lang w:val="ro-MD"/>
              </w:rPr>
              <w:t xml:space="preserve">.  </w:t>
            </w:r>
          </w:p>
        </w:tc>
      </w:tr>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8. Modul de încorporare a actului în cadrul normativ existent</w:t>
            </w:r>
          </w:p>
        </w:tc>
      </w:tr>
      <w:tr w:rsidR="00BB271D" w:rsidRPr="005A0F49" w:rsidTr="000470F2">
        <w:tc>
          <w:tcPr>
            <w:tcW w:w="10065" w:type="dxa"/>
            <w:tcMar>
              <w:top w:w="0" w:type="dxa"/>
              <w:left w:w="108" w:type="dxa"/>
              <w:bottom w:w="0" w:type="dxa"/>
              <w:right w:w="108" w:type="dxa"/>
            </w:tcMar>
          </w:tcPr>
          <w:p w:rsidR="00BB271D" w:rsidRPr="005A0F49" w:rsidRDefault="00A46A3E">
            <w:pPr>
              <w:rPr>
                <w:rFonts w:ascii="Times New Roman" w:hAnsi="Times New Roman"/>
                <w:sz w:val="24"/>
                <w:szCs w:val="24"/>
                <w:lang w:val="ro-MD"/>
              </w:rPr>
            </w:pPr>
            <w:r w:rsidRPr="005A0F49">
              <w:rPr>
                <w:rFonts w:ascii="Times New Roman" w:hAnsi="Times New Roman"/>
                <w:sz w:val="24"/>
                <w:szCs w:val="24"/>
                <w:lang w:val="ro-MD"/>
              </w:rPr>
              <w:t xml:space="preserve"> </w:t>
            </w:r>
            <w:r w:rsidR="00CC4E97" w:rsidRPr="005A0F49">
              <w:rPr>
                <w:rFonts w:ascii="Times New Roman" w:eastAsia="Times New Roman" w:hAnsi="Times New Roman"/>
                <w:noProof/>
                <w:sz w:val="24"/>
                <w:szCs w:val="24"/>
                <w:lang w:val="ro-MD" w:eastAsia="ru-RU"/>
              </w:rPr>
              <w:t>Proiectul se încorporează în sistemul actelor normative și</w:t>
            </w:r>
            <w:r w:rsidR="00CC4E97" w:rsidRPr="005A0F49">
              <w:rPr>
                <w:rFonts w:ascii="Times New Roman" w:hAnsi="Times New Roman"/>
                <w:sz w:val="24"/>
                <w:szCs w:val="24"/>
                <w:lang w:val="ro-MD"/>
              </w:rPr>
              <w:t xml:space="preserve"> nu necesită modificarea cadrului normativ sau elaborarea unor acte normative noi.</w:t>
            </w:r>
          </w:p>
        </w:tc>
      </w:tr>
      <w:tr w:rsidR="00BB271D" w:rsidRPr="005A0F49" w:rsidTr="000470F2">
        <w:tc>
          <w:tcPr>
            <w:tcW w:w="10065" w:type="dxa"/>
            <w:shd w:val="clear" w:color="BFBFBF" w:fill="BFBFBF"/>
            <w:tcMar>
              <w:top w:w="0" w:type="dxa"/>
              <w:left w:w="108" w:type="dxa"/>
              <w:bottom w:w="0" w:type="dxa"/>
              <w:right w:w="108" w:type="dxa"/>
            </w:tcMar>
          </w:tcPr>
          <w:p w:rsidR="00BB271D" w:rsidRPr="005A0F49" w:rsidRDefault="00A46A3E">
            <w:pPr>
              <w:rPr>
                <w:rFonts w:ascii="Times New Roman" w:hAnsi="Times New Roman"/>
                <w:b/>
                <w:bCs/>
                <w:sz w:val="24"/>
                <w:szCs w:val="24"/>
                <w:lang w:val="ro-MD"/>
              </w:rPr>
            </w:pPr>
            <w:r w:rsidRPr="005A0F49">
              <w:rPr>
                <w:rFonts w:ascii="Times New Roman" w:hAnsi="Times New Roman"/>
                <w:b/>
                <w:bCs/>
                <w:sz w:val="24"/>
                <w:szCs w:val="24"/>
                <w:lang w:val="ro-MD"/>
              </w:rPr>
              <w:t>9. Măsurile necesare pentru implementarea prevederilor proiectului actului normativ</w:t>
            </w:r>
          </w:p>
        </w:tc>
      </w:tr>
      <w:tr w:rsidR="00BB271D" w:rsidRPr="005A0F49" w:rsidTr="000470F2">
        <w:tc>
          <w:tcPr>
            <w:tcW w:w="10065" w:type="dxa"/>
            <w:tcMar>
              <w:top w:w="0" w:type="dxa"/>
              <w:left w:w="108" w:type="dxa"/>
              <w:bottom w:w="0" w:type="dxa"/>
              <w:right w:w="108" w:type="dxa"/>
            </w:tcMar>
          </w:tcPr>
          <w:p w:rsidR="00BB271D" w:rsidRPr="005A0F49" w:rsidRDefault="00A46A3E" w:rsidP="00CC4E97">
            <w:pPr>
              <w:rPr>
                <w:rFonts w:ascii="Times New Roman" w:hAnsi="Times New Roman"/>
                <w:sz w:val="24"/>
                <w:szCs w:val="24"/>
                <w:lang w:val="ro-MD"/>
              </w:rPr>
            </w:pPr>
            <w:r w:rsidRPr="005A0F49">
              <w:rPr>
                <w:rFonts w:ascii="Times New Roman" w:hAnsi="Times New Roman"/>
                <w:sz w:val="24"/>
                <w:szCs w:val="24"/>
                <w:lang w:val="ro-MD"/>
              </w:rPr>
              <w:t xml:space="preserve"> </w:t>
            </w:r>
            <w:r w:rsidR="00CC4E97" w:rsidRPr="005A0F49">
              <w:rPr>
                <w:rFonts w:ascii="Times New Roman" w:hAnsi="Times New Roman"/>
                <w:sz w:val="24"/>
                <w:szCs w:val="24"/>
                <w:lang w:val="ro-MD"/>
              </w:rPr>
              <w:t>Nu necesită implementarea unor măsuri speciale.</w:t>
            </w:r>
          </w:p>
        </w:tc>
      </w:tr>
    </w:tbl>
    <w:p w:rsidR="00BB271D" w:rsidRPr="005A0F49" w:rsidRDefault="00BB271D" w:rsidP="00CC4E9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rsidR="00CC4E97" w:rsidRPr="005A0F49" w:rsidRDefault="00CC4E97" w:rsidP="00CC4E9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rsidR="005A0F49" w:rsidRDefault="005A0F49" w:rsidP="00CC4E97">
      <w:pPr>
        <w:spacing w:line="276" w:lineRule="auto"/>
        <w:jc w:val="center"/>
        <w:rPr>
          <w:b/>
          <w:sz w:val="24"/>
          <w:szCs w:val="24"/>
          <w:lang w:val="ro-MD"/>
        </w:rPr>
      </w:pPr>
    </w:p>
    <w:p w:rsidR="005A0F49" w:rsidRDefault="005A0F49" w:rsidP="00CC4E97">
      <w:pPr>
        <w:spacing w:line="276" w:lineRule="auto"/>
        <w:jc w:val="center"/>
        <w:rPr>
          <w:b/>
          <w:sz w:val="24"/>
          <w:szCs w:val="24"/>
          <w:lang w:val="ro-MD"/>
        </w:rPr>
      </w:pPr>
    </w:p>
    <w:p w:rsidR="005A0F49" w:rsidRDefault="005A0F49" w:rsidP="00CC4E97">
      <w:pPr>
        <w:spacing w:line="276" w:lineRule="auto"/>
        <w:jc w:val="center"/>
        <w:rPr>
          <w:b/>
          <w:sz w:val="24"/>
          <w:szCs w:val="24"/>
          <w:lang w:val="ro-MD"/>
        </w:rPr>
      </w:pPr>
    </w:p>
    <w:p w:rsidR="00CC4E97" w:rsidRPr="005A0F49" w:rsidRDefault="00CC4E97" w:rsidP="005A0F49">
      <w:pPr>
        <w:spacing w:line="276" w:lineRule="auto"/>
        <w:ind w:firstLine="0"/>
        <w:jc w:val="center"/>
        <w:rPr>
          <w:b/>
          <w:sz w:val="24"/>
          <w:szCs w:val="24"/>
          <w:lang w:val="ro-MD"/>
        </w:rPr>
      </w:pPr>
      <w:r w:rsidRPr="005A0F49">
        <w:rPr>
          <w:b/>
          <w:sz w:val="24"/>
          <w:szCs w:val="24"/>
          <w:lang w:val="ro-MD"/>
        </w:rPr>
        <w:t>Ministru</w:t>
      </w:r>
      <w:r w:rsidRPr="005A0F49">
        <w:rPr>
          <w:b/>
          <w:sz w:val="24"/>
          <w:szCs w:val="24"/>
          <w:lang w:val="ro-MD"/>
        </w:rPr>
        <w:tab/>
      </w:r>
      <w:r w:rsidRPr="005A0F49">
        <w:rPr>
          <w:b/>
          <w:sz w:val="24"/>
          <w:szCs w:val="24"/>
          <w:lang w:val="ro-MD"/>
        </w:rPr>
        <w:tab/>
        <w:t xml:space="preserve">         Dan PERCIUN </w:t>
      </w:r>
    </w:p>
    <w:p w:rsidR="00CC4E97" w:rsidRPr="005A0F49" w:rsidRDefault="00CC4E97" w:rsidP="00CC4E97">
      <w:pPr>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Default="00CC4E97" w:rsidP="00CC4E97">
      <w:pPr>
        <w:ind w:left="-426"/>
        <w:rPr>
          <w:sz w:val="24"/>
          <w:szCs w:val="24"/>
          <w:lang w:val="ro-MD"/>
        </w:rPr>
      </w:pPr>
    </w:p>
    <w:p w:rsidR="00CC1AD0" w:rsidRDefault="00CC1AD0" w:rsidP="00CC4E97">
      <w:pPr>
        <w:ind w:left="-426"/>
        <w:rPr>
          <w:sz w:val="24"/>
          <w:szCs w:val="24"/>
          <w:lang w:val="ro-MD"/>
        </w:rPr>
      </w:pPr>
    </w:p>
    <w:p w:rsidR="00CC1AD0" w:rsidRDefault="00CC1AD0" w:rsidP="00CC4E97">
      <w:pPr>
        <w:ind w:left="-426"/>
        <w:rPr>
          <w:sz w:val="24"/>
          <w:szCs w:val="24"/>
          <w:lang w:val="ro-MD"/>
        </w:rPr>
      </w:pPr>
    </w:p>
    <w:p w:rsidR="00CC1AD0" w:rsidRDefault="00CC1AD0" w:rsidP="00CC4E97">
      <w:pPr>
        <w:ind w:left="-426"/>
        <w:rPr>
          <w:sz w:val="24"/>
          <w:szCs w:val="24"/>
          <w:lang w:val="ro-MD"/>
        </w:rPr>
      </w:pPr>
    </w:p>
    <w:p w:rsidR="00CC1AD0" w:rsidRDefault="00CC1AD0" w:rsidP="00CC4E97">
      <w:pPr>
        <w:ind w:left="-426"/>
        <w:rPr>
          <w:sz w:val="24"/>
          <w:szCs w:val="24"/>
          <w:lang w:val="ro-MD"/>
        </w:rPr>
      </w:pPr>
    </w:p>
    <w:p w:rsidR="00CC1AD0" w:rsidRDefault="00CC1AD0" w:rsidP="00CC4E97">
      <w:pPr>
        <w:ind w:left="-426"/>
        <w:rPr>
          <w:sz w:val="24"/>
          <w:szCs w:val="24"/>
          <w:lang w:val="ro-MD"/>
        </w:rPr>
      </w:pPr>
    </w:p>
    <w:p w:rsidR="00CC1AD0" w:rsidRPr="005A0F49" w:rsidRDefault="00CC1AD0"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sz w:val="24"/>
          <w:szCs w:val="24"/>
          <w:lang w:val="ro-MD"/>
        </w:rPr>
      </w:pPr>
    </w:p>
    <w:p w:rsidR="00CC4E97" w:rsidRPr="005A0F49" w:rsidRDefault="00CC4E97" w:rsidP="00CC4E97">
      <w:pPr>
        <w:ind w:left="-426"/>
        <w:rPr>
          <w:b/>
          <w:sz w:val="24"/>
          <w:szCs w:val="24"/>
          <w:lang w:val="ro-MD"/>
        </w:rPr>
      </w:pPr>
      <w:r w:rsidRPr="005A0F49">
        <w:rPr>
          <w:szCs w:val="24"/>
          <w:lang w:val="ro-MD"/>
        </w:rPr>
        <w:t xml:space="preserve">Ex.: Angela Prisăcaru, tel.: 022 232 785 </w:t>
      </w:r>
      <w:r w:rsidRPr="005A0F49">
        <w:rPr>
          <w:sz w:val="24"/>
          <w:szCs w:val="24"/>
          <w:lang w:val="ro-MD"/>
        </w:rPr>
        <w:t xml:space="preserve">       </w:t>
      </w:r>
    </w:p>
    <w:p w:rsidR="00CC4E97" w:rsidRPr="005A0F49" w:rsidRDefault="00CC4E97" w:rsidP="00CC4E9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sectPr w:rsidR="00CC4E97" w:rsidRPr="005A0F49" w:rsidSect="008D7361">
      <w:headerReference w:type="default" r:id="rId14"/>
      <w:headerReference w:type="first" r:id="rId15"/>
      <w:pgSz w:w="11907" w:h="16840" w:orient="landscape"/>
      <w:pgMar w:top="851" w:right="567" w:bottom="1418" w:left="1985"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FE" w:rsidRDefault="008D51FE">
      <w:r>
        <w:separator/>
      </w:r>
    </w:p>
  </w:endnote>
  <w:endnote w:type="continuationSeparator" w:id="0">
    <w:p w:rsidR="008D51FE" w:rsidRDefault="008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FE" w:rsidRDefault="008D51FE">
      <w:r>
        <w:separator/>
      </w:r>
    </w:p>
  </w:footnote>
  <w:footnote w:type="continuationSeparator" w:id="0">
    <w:p w:rsidR="008D51FE" w:rsidRDefault="008D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1D" w:rsidRDefault="00BB271D">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B6C"/>
    <w:multiLevelType w:val="multilevel"/>
    <w:tmpl w:val="9AE4B89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47DCE"/>
    <w:multiLevelType w:val="multilevel"/>
    <w:tmpl w:val="5764FD0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4095F"/>
    <w:multiLevelType w:val="multilevel"/>
    <w:tmpl w:val="7B86581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0B6BD0"/>
    <w:multiLevelType w:val="multilevel"/>
    <w:tmpl w:val="C92AFB0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7030D"/>
    <w:multiLevelType w:val="multilevel"/>
    <w:tmpl w:val="69DC9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F05227"/>
    <w:multiLevelType w:val="multilevel"/>
    <w:tmpl w:val="DC8685F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876BD"/>
    <w:multiLevelType w:val="multilevel"/>
    <w:tmpl w:val="0626315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F22B2"/>
    <w:multiLevelType w:val="multilevel"/>
    <w:tmpl w:val="8FEE14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28745A"/>
    <w:multiLevelType w:val="multilevel"/>
    <w:tmpl w:val="EA94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C4422"/>
    <w:multiLevelType w:val="multilevel"/>
    <w:tmpl w:val="042A368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18546C"/>
    <w:multiLevelType w:val="multilevel"/>
    <w:tmpl w:val="F648A8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132C62"/>
    <w:multiLevelType w:val="multilevel"/>
    <w:tmpl w:val="F14A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86B44"/>
    <w:multiLevelType w:val="multilevel"/>
    <w:tmpl w:val="996C2E62"/>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F14801"/>
    <w:multiLevelType w:val="multilevel"/>
    <w:tmpl w:val="4694310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5F43F2"/>
    <w:multiLevelType w:val="multilevel"/>
    <w:tmpl w:val="BFCA4EB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681D95"/>
    <w:multiLevelType w:val="multilevel"/>
    <w:tmpl w:val="07E0751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0C95A33"/>
    <w:multiLevelType w:val="multilevel"/>
    <w:tmpl w:val="6182471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D13FF2"/>
    <w:multiLevelType w:val="multilevel"/>
    <w:tmpl w:val="BF1AC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00112"/>
    <w:multiLevelType w:val="multilevel"/>
    <w:tmpl w:val="63507DB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D47D2"/>
    <w:multiLevelType w:val="multilevel"/>
    <w:tmpl w:val="100E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875764"/>
    <w:multiLevelType w:val="multilevel"/>
    <w:tmpl w:val="B9A2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33779"/>
    <w:multiLevelType w:val="multilevel"/>
    <w:tmpl w:val="A6269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A7440E"/>
    <w:multiLevelType w:val="multilevel"/>
    <w:tmpl w:val="174650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46CA0"/>
    <w:multiLevelType w:val="multilevel"/>
    <w:tmpl w:val="F312B78A"/>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4" w15:restartNumberingAfterBreak="0">
    <w:nsid w:val="3E9D4AC2"/>
    <w:multiLevelType w:val="multilevel"/>
    <w:tmpl w:val="961C595C"/>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D15EF1"/>
    <w:multiLevelType w:val="multilevel"/>
    <w:tmpl w:val="4198E18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42FC77F8"/>
    <w:multiLevelType w:val="multilevel"/>
    <w:tmpl w:val="603419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436A7361"/>
    <w:multiLevelType w:val="multilevel"/>
    <w:tmpl w:val="59849B1C"/>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455A4F5F"/>
    <w:multiLevelType w:val="multilevel"/>
    <w:tmpl w:val="5FBAFB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CB6E72"/>
    <w:multiLevelType w:val="multilevel"/>
    <w:tmpl w:val="B2108A0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4F6327"/>
    <w:multiLevelType w:val="multilevel"/>
    <w:tmpl w:val="3044F88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795E20"/>
    <w:multiLevelType w:val="multilevel"/>
    <w:tmpl w:val="5D00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13E1D"/>
    <w:multiLevelType w:val="multilevel"/>
    <w:tmpl w:val="19B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D3DFA"/>
    <w:multiLevelType w:val="multilevel"/>
    <w:tmpl w:val="C04CC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E5815"/>
    <w:multiLevelType w:val="multilevel"/>
    <w:tmpl w:val="E2D8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001FF"/>
    <w:multiLevelType w:val="multilevel"/>
    <w:tmpl w:val="85EEA30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14523E"/>
    <w:multiLevelType w:val="multilevel"/>
    <w:tmpl w:val="A8AE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056BE"/>
    <w:multiLevelType w:val="multilevel"/>
    <w:tmpl w:val="140A1C7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8" w15:restartNumberingAfterBreak="0">
    <w:nsid w:val="65757501"/>
    <w:multiLevelType w:val="multilevel"/>
    <w:tmpl w:val="DF10079E"/>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566D95"/>
    <w:multiLevelType w:val="multilevel"/>
    <w:tmpl w:val="77300B2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0" w15:restartNumberingAfterBreak="0">
    <w:nsid w:val="6B65604D"/>
    <w:multiLevelType w:val="multilevel"/>
    <w:tmpl w:val="88C2EDD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1" w15:restartNumberingAfterBreak="0">
    <w:nsid w:val="6C955CDB"/>
    <w:multiLevelType w:val="multilevel"/>
    <w:tmpl w:val="0438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E5C9A"/>
    <w:multiLevelType w:val="hybridMultilevel"/>
    <w:tmpl w:val="6F8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A5E91"/>
    <w:multiLevelType w:val="multilevel"/>
    <w:tmpl w:val="63422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6"/>
  </w:num>
  <w:num w:numId="3">
    <w:abstractNumId w:val="10"/>
  </w:num>
  <w:num w:numId="4">
    <w:abstractNumId w:val="43"/>
  </w:num>
  <w:num w:numId="5">
    <w:abstractNumId w:val="24"/>
  </w:num>
  <w:num w:numId="6">
    <w:abstractNumId w:val="21"/>
  </w:num>
  <w:num w:numId="7">
    <w:abstractNumId w:val="19"/>
  </w:num>
  <w:num w:numId="8">
    <w:abstractNumId w:val="17"/>
  </w:num>
  <w:num w:numId="9">
    <w:abstractNumId w:val="0"/>
  </w:num>
  <w:num w:numId="10">
    <w:abstractNumId w:val="7"/>
  </w:num>
  <w:num w:numId="11">
    <w:abstractNumId w:val="37"/>
  </w:num>
  <w:num w:numId="12">
    <w:abstractNumId w:val="9"/>
  </w:num>
  <w:num w:numId="13">
    <w:abstractNumId w:val="35"/>
  </w:num>
  <w:num w:numId="14">
    <w:abstractNumId w:val="28"/>
  </w:num>
  <w:num w:numId="15">
    <w:abstractNumId w:val="25"/>
  </w:num>
  <w:num w:numId="16">
    <w:abstractNumId w:val="13"/>
  </w:num>
  <w:num w:numId="17">
    <w:abstractNumId w:val="14"/>
  </w:num>
  <w:num w:numId="18">
    <w:abstractNumId w:val="12"/>
  </w:num>
  <w:num w:numId="19">
    <w:abstractNumId w:val="15"/>
  </w:num>
  <w:num w:numId="20">
    <w:abstractNumId w:val="3"/>
  </w:num>
  <w:num w:numId="21">
    <w:abstractNumId w:val="29"/>
  </w:num>
  <w:num w:numId="22">
    <w:abstractNumId w:val="22"/>
  </w:num>
  <w:num w:numId="23">
    <w:abstractNumId w:val="34"/>
  </w:num>
  <w:num w:numId="24">
    <w:abstractNumId w:val="20"/>
  </w:num>
  <w:num w:numId="25">
    <w:abstractNumId w:val="8"/>
  </w:num>
  <w:num w:numId="26">
    <w:abstractNumId w:val="41"/>
  </w:num>
  <w:num w:numId="27">
    <w:abstractNumId w:val="4"/>
  </w:num>
  <w:num w:numId="28">
    <w:abstractNumId w:val="38"/>
    <w:lvlOverride w:ilvl="0">
      <w:startOverride w:val="1"/>
    </w:lvlOverride>
  </w:num>
  <w:num w:numId="29">
    <w:abstractNumId w:val="18"/>
  </w:num>
  <w:num w:numId="30">
    <w:abstractNumId w:val="16"/>
  </w:num>
  <w:num w:numId="31">
    <w:abstractNumId w:val="5"/>
  </w:num>
  <w:num w:numId="32">
    <w:abstractNumId w:val="38"/>
  </w:num>
  <w:num w:numId="33">
    <w:abstractNumId w:val="33"/>
  </w:num>
  <w:num w:numId="34">
    <w:abstractNumId w:val="32"/>
  </w:num>
  <w:num w:numId="35">
    <w:abstractNumId w:val="31"/>
  </w:num>
  <w:num w:numId="36">
    <w:abstractNumId w:val="36"/>
  </w:num>
  <w:num w:numId="37">
    <w:abstractNumId w:val="2"/>
  </w:num>
  <w:num w:numId="38">
    <w:abstractNumId w:val="1"/>
  </w:num>
  <w:num w:numId="39">
    <w:abstractNumId w:val="39"/>
  </w:num>
  <w:num w:numId="40">
    <w:abstractNumId w:val="23"/>
  </w:num>
  <w:num w:numId="41">
    <w:abstractNumId w:val="40"/>
  </w:num>
  <w:num w:numId="42">
    <w:abstractNumId w:val="26"/>
  </w:num>
  <w:num w:numId="43">
    <w:abstractNumId w:val="27"/>
  </w:num>
  <w:num w:numId="44">
    <w:abstractNumId w:val="1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1D"/>
    <w:rsid w:val="000470F2"/>
    <w:rsid w:val="004A4FE4"/>
    <w:rsid w:val="004B3A4F"/>
    <w:rsid w:val="00542AC1"/>
    <w:rsid w:val="005A0F49"/>
    <w:rsid w:val="007B7A3F"/>
    <w:rsid w:val="008D51FE"/>
    <w:rsid w:val="008D7361"/>
    <w:rsid w:val="00A46A3E"/>
    <w:rsid w:val="00BB271D"/>
    <w:rsid w:val="00CC1AD0"/>
    <w:rsid w:val="00CC4E97"/>
    <w:rsid w:val="00D00EDA"/>
    <w:rsid w:val="00D03C31"/>
    <w:rsid w:val="00D607D1"/>
    <w:rsid w:val="00F9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cc.gov.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procesului-de-elaborare-a-proiectului-hotararii-guvernului-cu-privire-la-modificarea-hotararii-guvernului-nr-8762015-privind-asigurarea-elevilor-cu-manuale-si-a-adultilor-cu-materiale-didactice/159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c.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09CA4-E44D-4DE0-ABB9-0F59FB91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2037</Words>
  <Characters>11617</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Angela Prisacaru</cp:lastModifiedBy>
  <cp:revision>14</cp:revision>
  <dcterms:created xsi:type="dcterms:W3CDTF">2026-02-09T11:58:00Z</dcterms:created>
  <dcterms:modified xsi:type="dcterms:W3CDTF">2026-02-09T12:11:00Z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