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96F34" w14:textId="1130421A" w:rsidR="003D636E" w:rsidRPr="00A1774A" w:rsidRDefault="003D636E" w:rsidP="00A1774A">
      <w:pPr>
        <w:spacing w:after="0"/>
        <w:ind w:firstLine="709"/>
        <w:jc w:val="center"/>
        <w:rPr>
          <w:rFonts w:ascii="Times New Roman" w:hAnsi="Times New Roman" w:cs="Times New Roman"/>
          <w:b/>
          <w:sz w:val="24"/>
          <w:szCs w:val="24"/>
          <w:lang w:val="ro-MD"/>
        </w:rPr>
      </w:pPr>
      <w:r w:rsidRPr="00A1774A">
        <w:rPr>
          <w:rFonts w:ascii="Times New Roman" w:hAnsi="Times New Roman" w:cs="Times New Roman"/>
          <w:b/>
          <w:sz w:val="24"/>
          <w:szCs w:val="24"/>
          <w:lang w:val="ro-MD"/>
        </w:rPr>
        <w:t xml:space="preserve">NOTĂ </w:t>
      </w:r>
      <w:r w:rsidR="0052447C" w:rsidRPr="00A1774A">
        <w:rPr>
          <w:rFonts w:ascii="Times New Roman" w:hAnsi="Times New Roman" w:cs="Times New Roman"/>
          <w:b/>
          <w:sz w:val="24"/>
          <w:szCs w:val="24"/>
          <w:lang w:val="ro-MD"/>
        </w:rPr>
        <w:t>DE FUNDAM</w:t>
      </w:r>
      <w:r w:rsidR="009474AA" w:rsidRPr="00A1774A">
        <w:rPr>
          <w:rFonts w:ascii="Times New Roman" w:hAnsi="Times New Roman" w:cs="Times New Roman"/>
          <w:b/>
          <w:sz w:val="24"/>
          <w:szCs w:val="24"/>
          <w:lang w:val="ro-MD"/>
        </w:rPr>
        <w:t>E</w:t>
      </w:r>
      <w:r w:rsidR="0052447C" w:rsidRPr="00A1774A">
        <w:rPr>
          <w:rFonts w:ascii="Times New Roman" w:hAnsi="Times New Roman" w:cs="Times New Roman"/>
          <w:b/>
          <w:sz w:val="24"/>
          <w:szCs w:val="24"/>
          <w:lang w:val="ro-MD"/>
        </w:rPr>
        <w:t>NTARE</w:t>
      </w:r>
    </w:p>
    <w:p w14:paraId="5FAA876B" w14:textId="52C1C02C" w:rsidR="00692689" w:rsidRPr="00A1774A" w:rsidRDefault="00C12BEA" w:rsidP="00A1774A">
      <w:pPr>
        <w:spacing w:after="0"/>
        <w:ind w:firstLine="709"/>
        <w:jc w:val="center"/>
        <w:rPr>
          <w:rFonts w:ascii="Times New Roman" w:hAnsi="Times New Roman" w:cs="Times New Roman"/>
          <w:b/>
          <w:sz w:val="24"/>
          <w:szCs w:val="24"/>
          <w:lang w:val="ro-MD"/>
        </w:rPr>
      </w:pPr>
      <w:r w:rsidRPr="00A1774A">
        <w:rPr>
          <w:rFonts w:ascii="Times New Roman" w:hAnsi="Times New Roman" w:cs="Times New Roman"/>
          <w:b/>
          <w:sz w:val="24"/>
          <w:szCs w:val="24"/>
          <w:lang w:val="ro-MD"/>
        </w:rPr>
        <w:t>la proiectul de hotărâre de Guvern</w:t>
      </w:r>
      <w:r w:rsidRPr="00A1774A">
        <w:rPr>
          <w:rFonts w:ascii="Times New Roman" w:hAnsi="Times New Roman" w:cs="Times New Roman"/>
          <w:b/>
          <w:sz w:val="24"/>
          <w:szCs w:val="24"/>
          <w:lang w:val="ro-MD"/>
        </w:rPr>
        <w:t xml:space="preserve"> </w:t>
      </w:r>
      <w:r w:rsidR="00CC5392" w:rsidRPr="00A1774A">
        <w:rPr>
          <w:rFonts w:ascii="Times New Roman" w:hAnsi="Times New Roman" w:cs="Times New Roman"/>
          <w:b/>
          <w:sz w:val="24"/>
          <w:szCs w:val="24"/>
          <w:lang w:val="ro-MD"/>
        </w:rPr>
        <w:t>cu privire la reorganizarea Instituției Publice Universitatea Tehnică a Moldovei prin integrarea</w:t>
      </w:r>
    </w:p>
    <w:p w14:paraId="7DB99C11" w14:textId="54A52C8A" w:rsidR="00692689" w:rsidRPr="00A1774A" w:rsidRDefault="00CC5392" w:rsidP="00A1774A">
      <w:pPr>
        <w:spacing w:after="0"/>
        <w:ind w:firstLine="709"/>
        <w:jc w:val="center"/>
        <w:rPr>
          <w:rFonts w:ascii="Times New Roman" w:hAnsi="Times New Roman" w:cs="Times New Roman"/>
          <w:b/>
          <w:sz w:val="24"/>
          <w:szCs w:val="24"/>
          <w:lang w:val="ro-MD"/>
        </w:rPr>
      </w:pPr>
      <w:r w:rsidRPr="00A1774A">
        <w:rPr>
          <w:rFonts w:ascii="Times New Roman" w:hAnsi="Times New Roman" w:cs="Times New Roman"/>
          <w:b/>
          <w:sz w:val="24"/>
          <w:szCs w:val="24"/>
          <w:lang w:val="ro-MD"/>
        </w:rPr>
        <w:t>Instituției Publice Universitatea de Stat „Bogdan Petriceicu Hașdeu” din Cahul și</w:t>
      </w:r>
    </w:p>
    <w:p w14:paraId="252F9E40" w14:textId="6DF63E55" w:rsidR="00692689" w:rsidRPr="00A1774A" w:rsidRDefault="00ED7A74" w:rsidP="00A1774A">
      <w:pPr>
        <w:spacing w:after="0"/>
        <w:ind w:firstLine="709"/>
        <w:jc w:val="center"/>
        <w:rPr>
          <w:rFonts w:ascii="Times New Roman" w:hAnsi="Times New Roman" w:cs="Times New Roman"/>
          <w:b/>
          <w:sz w:val="24"/>
          <w:szCs w:val="24"/>
          <w:lang w:val="ro-MD"/>
        </w:rPr>
      </w:pPr>
      <w:r w:rsidRPr="00A1774A">
        <w:rPr>
          <w:rFonts w:ascii="Times New Roman" w:hAnsi="Times New Roman" w:cs="Times New Roman"/>
          <w:b/>
          <w:sz w:val="24"/>
          <w:szCs w:val="24"/>
          <w:lang w:val="ro-MD"/>
        </w:rPr>
        <w:t>instituirea</w:t>
      </w:r>
      <w:r w:rsidR="00CC5392" w:rsidRPr="00A1774A">
        <w:rPr>
          <w:rFonts w:ascii="Times New Roman" w:hAnsi="Times New Roman" w:cs="Times New Roman"/>
          <w:b/>
          <w:sz w:val="24"/>
          <w:szCs w:val="24"/>
          <w:lang w:val="ro-MD"/>
        </w:rPr>
        <w:t xml:space="preserve"> Centrului Universitar „Bogdan Petriceicu Hașdeu” din Cahul</w:t>
      </w:r>
    </w:p>
    <w:tbl>
      <w:tblPr>
        <w:tblStyle w:val="Tabelgril"/>
        <w:tblW w:w="9810" w:type="dxa"/>
        <w:tblInd w:w="108" w:type="dxa"/>
        <w:tblLayout w:type="fixed"/>
        <w:tblLook w:val="04A0" w:firstRow="1" w:lastRow="0" w:firstColumn="1" w:lastColumn="0" w:noHBand="0" w:noVBand="1"/>
      </w:tblPr>
      <w:tblGrid>
        <w:gridCol w:w="9810"/>
      </w:tblGrid>
      <w:tr w:rsidR="003D636E" w:rsidRPr="00A1774A" w14:paraId="7FE2E282" w14:textId="77777777" w:rsidTr="00A877FD">
        <w:trPr>
          <w:trHeight w:val="397"/>
        </w:trPr>
        <w:tc>
          <w:tcPr>
            <w:tcW w:w="9810" w:type="dxa"/>
            <w:shd w:val="clear" w:color="auto" w:fill="D9D9D9" w:themeFill="background1" w:themeFillShade="D9"/>
          </w:tcPr>
          <w:p w14:paraId="53B5C8BD" w14:textId="12F6E826" w:rsidR="003D636E" w:rsidRPr="00A1774A" w:rsidRDefault="003D636E" w:rsidP="00A1774A">
            <w:pPr>
              <w:spacing w:line="276" w:lineRule="auto"/>
              <w:ind w:firstLine="709"/>
              <w:jc w:val="both"/>
              <w:rPr>
                <w:rFonts w:ascii="Times New Roman" w:hAnsi="Times New Roman" w:cs="Times New Roman"/>
                <w:b/>
                <w:sz w:val="24"/>
                <w:szCs w:val="24"/>
                <w:lang w:val="ro-MD"/>
              </w:rPr>
            </w:pPr>
            <w:r w:rsidRPr="00A1774A">
              <w:rPr>
                <w:rFonts w:ascii="Times New Roman" w:hAnsi="Times New Roman" w:cs="Times New Roman"/>
                <w:b/>
                <w:sz w:val="24"/>
                <w:szCs w:val="24"/>
                <w:lang w:val="ro-MD"/>
              </w:rPr>
              <w:t>1. Denumirea autorului și, după caz, a participanților la elaborarea proiectului</w:t>
            </w:r>
          </w:p>
        </w:tc>
      </w:tr>
      <w:tr w:rsidR="003D636E" w:rsidRPr="00A1774A" w14:paraId="4EBF3F01" w14:textId="77777777" w:rsidTr="00A877FD">
        <w:tc>
          <w:tcPr>
            <w:tcW w:w="9810" w:type="dxa"/>
          </w:tcPr>
          <w:p w14:paraId="3E188BFD" w14:textId="2516A2C3" w:rsidR="008A12CB" w:rsidRPr="00A1774A" w:rsidRDefault="0056437A" w:rsidP="00A1774A">
            <w:pPr>
              <w:spacing w:line="276" w:lineRule="auto"/>
              <w:ind w:firstLine="709"/>
              <w:jc w:val="both"/>
              <w:rPr>
                <w:rFonts w:ascii="Times New Roman" w:hAnsi="Times New Roman" w:cs="Times New Roman"/>
                <w:bCs/>
                <w:sz w:val="24"/>
                <w:szCs w:val="24"/>
                <w:lang w:val="ro-MD"/>
              </w:rPr>
            </w:pPr>
            <w:r w:rsidRPr="00A1774A">
              <w:rPr>
                <w:rFonts w:ascii="Times New Roman" w:hAnsi="Times New Roman" w:cs="Times New Roman"/>
                <w:bCs/>
                <w:sz w:val="24"/>
                <w:szCs w:val="24"/>
                <w:lang w:val="ro-MD"/>
              </w:rPr>
              <w:t>Proiectul Hotă</w:t>
            </w:r>
            <w:r w:rsidR="00E377F5" w:rsidRPr="00A1774A">
              <w:rPr>
                <w:rFonts w:ascii="Times New Roman" w:hAnsi="Times New Roman" w:cs="Times New Roman"/>
                <w:bCs/>
                <w:sz w:val="24"/>
                <w:szCs w:val="24"/>
                <w:lang w:val="ro-MD"/>
              </w:rPr>
              <w:t>râr</w:t>
            </w:r>
            <w:r w:rsidRPr="00A1774A">
              <w:rPr>
                <w:rFonts w:ascii="Times New Roman" w:hAnsi="Times New Roman" w:cs="Times New Roman"/>
                <w:bCs/>
                <w:sz w:val="24"/>
                <w:szCs w:val="24"/>
                <w:lang w:val="ro-MD"/>
              </w:rPr>
              <w:t xml:space="preserve">ii Guvernului </w:t>
            </w:r>
            <w:r w:rsidRPr="00A1774A">
              <w:rPr>
                <w:rFonts w:ascii="Times New Roman" w:hAnsi="Times New Roman" w:cs="Times New Roman"/>
                <w:bCs/>
                <w:sz w:val="24"/>
                <w:szCs w:val="24"/>
                <w:lang w:val="ro-MD" w:eastAsia="ro-RO"/>
              </w:rPr>
              <w:t>este elaborat de Ministerul Educației și Cercetării.</w:t>
            </w:r>
          </w:p>
        </w:tc>
      </w:tr>
      <w:tr w:rsidR="003D636E" w:rsidRPr="00A1774A" w14:paraId="2B67DF37" w14:textId="77777777" w:rsidTr="00A877FD">
        <w:tc>
          <w:tcPr>
            <w:tcW w:w="9810" w:type="dxa"/>
            <w:shd w:val="clear" w:color="auto" w:fill="D9D9D9" w:themeFill="background1" w:themeFillShade="D9"/>
          </w:tcPr>
          <w:p w14:paraId="61C70717" w14:textId="12BC7FF7" w:rsidR="003D636E" w:rsidRPr="00A1774A" w:rsidRDefault="003D636E" w:rsidP="00A1774A">
            <w:pPr>
              <w:spacing w:line="276" w:lineRule="auto"/>
              <w:ind w:firstLine="709"/>
              <w:jc w:val="both"/>
              <w:rPr>
                <w:rFonts w:ascii="Times New Roman" w:hAnsi="Times New Roman" w:cs="Times New Roman"/>
                <w:b/>
                <w:bCs/>
                <w:sz w:val="24"/>
                <w:szCs w:val="24"/>
                <w:lang w:val="ro-MD"/>
              </w:rPr>
            </w:pPr>
            <w:r w:rsidRPr="00A1774A">
              <w:rPr>
                <w:rFonts w:ascii="Times New Roman" w:hAnsi="Times New Roman" w:cs="Times New Roman"/>
                <w:b/>
                <w:bCs/>
                <w:sz w:val="24"/>
                <w:szCs w:val="24"/>
                <w:lang w:val="ro-MD"/>
              </w:rPr>
              <w:t>2. Condițiile ce au impus elaborarea proiectului de act normativ și finalitățile urmărite</w:t>
            </w:r>
          </w:p>
        </w:tc>
      </w:tr>
      <w:tr w:rsidR="003D636E" w:rsidRPr="00A1774A" w14:paraId="33F8AF6F" w14:textId="77777777" w:rsidTr="00A877FD">
        <w:tc>
          <w:tcPr>
            <w:tcW w:w="9810" w:type="dxa"/>
          </w:tcPr>
          <w:tbl>
            <w:tblPr>
              <w:tblW w:w="0" w:type="auto"/>
              <w:tblBorders>
                <w:top w:val="nil"/>
                <w:left w:val="nil"/>
                <w:bottom w:val="nil"/>
                <w:right w:val="nil"/>
              </w:tblBorders>
              <w:tblLayout w:type="fixed"/>
              <w:tblLook w:val="0000" w:firstRow="0" w:lastRow="0" w:firstColumn="0" w:lastColumn="0" w:noHBand="0" w:noVBand="0"/>
            </w:tblPr>
            <w:tblGrid>
              <w:gridCol w:w="9418"/>
            </w:tblGrid>
            <w:tr w:rsidR="005816FB" w:rsidRPr="00A1774A" w14:paraId="53829B0D" w14:textId="77777777" w:rsidTr="00A877FD">
              <w:trPr>
                <w:trHeight w:val="385"/>
              </w:trPr>
              <w:tc>
                <w:tcPr>
                  <w:tcW w:w="9418" w:type="dxa"/>
                </w:tcPr>
                <w:p w14:paraId="3A83678C" w14:textId="77777777" w:rsidR="005816FB" w:rsidRPr="00A1774A" w:rsidRDefault="004E4E63" w:rsidP="00A1774A">
                  <w:pPr>
                    <w:autoSpaceDE w:val="0"/>
                    <w:autoSpaceDN w:val="0"/>
                    <w:adjustRightInd w:val="0"/>
                    <w:spacing w:after="0"/>
                    <w:ind w:firstLine="709"/>
                    <w:jc w:val="both"/>
                    <w:rPr>
                      <w:rFonts w:ascii="Times New Roman" w:hAnsi="Times New Roman" w:cs="Times New Roman"/>
                      <w:sz w:val="24"/>
                      <w:szCs w:val="24"/>
                      <w:lang w:val="ro-MD"/>
                    </w:rPr>
                  </w:pPr>
                  <w:r w:rsidRPr="00A1774A">
                    <w:rPr>
                      <w:rFonts w:ascii="Times New Roman" w:hAnsi="Times New Roman" w:cs="Times New Roman"/>
                      <w:sz w:val="24"/>
                      <w:szCs w:val="24"/>
                      <w:lang w:val="ro-MD"/>
                    </w:rPr>
                    <w:t xml:space="preserve">Proiectul este elaborat în temeiul </w:t>
                  </w:r>
                  <w:r w:rsidR="00F96D31" w:rsidRPr="00A1774A">
                    <w:rPr>
                      <w:rFonts w:ascii="Times New Roman" w:hAnsi="Times New Roman" w:cs="Times New Roman"/>
                      <w:sz w:val="24"/>
                      <w:szCs w:val="24"/>
                      <w:lang w:val="ro-MD"/>
                    </w:rPr>
                    <w:t xml:space="preserve">art.7 lit. e) din </w:t>
                  </w:r>
                  <w:r w:rsidR="00F96D31" w:rsidRPr="00A1774A">
                    <w:rPr>
                      <w:rFonts w:ascii="Times New Roman" w:hAnsi="Times New Roman" w:cs="Times New Roman"/>
                      <w:b/>
                      <w:sz w:val="24"/>
                      <w:szCs w:val="24"/>
                      <w:lang w:val="ro-MD"/>
                    </w:rPr>
                    <w:t>Legea nr.136/2017</w:t>
                  </w:r>
                  <w:r w:rsidR="00F96D31" w:rsidRPr="00A1774A">
                    <w:rPr>
                      <w:rFonts w:ascii="Times New Roman" w:hAnsi="Times New Roman" w:cs="Times New Roman"/>
                      <w:sz w:val="24"/>
                      <w:szCs w:val="24"/>
                      <w:lang w:val="ro-MD"/>
                    </w:rPr>
                    <w:t xml:space="preserve"> cu privire la Guvern (Monitorul Oficial, 2017, nr. 252, art.412), al art.32 alin.(2) din </w:t>
                  </w:r>
                  <w:r w:rsidR="00F96D31" w:rsidRPr="00A1774A">
                    <w:rPr>
                      <w:rFonts w:ascii="Times New Roman" w:hAnsi="Times New Roman" w:cs="Times New Roman"/>
                      <w:b/>
                      <w:sz w:val="24"/>
                      <w:szCs w:val="24"/>
                      <w:lang w:val="ro-MD"/>
                    </w:rPr>
                    <w:t>Legea nr.98/2012</w:t>
                  </w:r>
                  <w:r w:rsidR="00F96D31" w:rsidRPr="00A1774A">
                    <w:rPr>
                      <w:rFonts w:ascii="Times New Roman" w:hAnsi="Times New Roman" w:cs="Times New Roman"/>
                      <w:sz w:val="24"/>
                      <w:szCs w:val="24"/>
                      <w:lang w:val="ro-MD"/>
                    </w:rPr>
                    <w:t xml:space="preserve"> privind administrația publică centrală de specialitate (Monitorul Oficial, 2012, nr.160-164, art. 537), al art.82 alin. (2) și art.139 lit. f) din </w:t>
                  </w:r>
                  <w:r w:rsidR="00F96D31" w:rsidRPr="00A1774A">
                    <w:rPr>
                      <w:rFonts w:ascii="Times New Roman" w:hAnsi="Times New Roman" w:cs="Times New Roman"/>
                      <w:b/>
                      <w:sz w:val="24"/>
                      <w:szCs w:val="24"/>
                      <w:lang w:val="ro-MD"/>
                    </w:rPr>
                    <w:t>Codul educației</w:t>
                  </w:r>
                  <w:r w:rsidR="00F96D31" w:rsidRPr="00A1774A">
                    <w:rPr>
                      <w:rFonts w:ascii="Times New Roman" w:hAnsi="Times New Roman" w:cs="Times New Roman"/>
                      <w:sz w:val="24"/>
                      <w:szCs w:val="24"/>
                      <w:lang w:val="ro-MD"/>
                    </w:rPr>
                    <w:t xml:space="preserve"> </w:t>
                  </w:r>
                  <w:r w:rsidR="00F96D31" w:rsidRPr="00A1774A">
                    <w:rPr>
                      <w:rFonts w:ascii="Times New Roman" w:hAnsi="Times New Roman" w:cs="Times New Roman"/>
                      <w:b/>
                      <w:sz w:val="24"/>
                      <w:szCs w:val="24"/>
                      <w:lang w:val="ro-MD"/>
                    </w:rPr>
                    <w:t>nr.152/2014</w:t>
                  </w:r>
                  <w:r w:rsidR="00F96D31" w:rsidRPr="00A1774A">
                    <w:rPr>
                      <w:rFonts w:ascii="Times New Roman" w:hAnsi="Times New Roman" w:cs="Times New Roman"/>
                      <w:sz w:val="24"/>
                      <w:szCs w:val="24"/>
                      <w:lang w:val="ro-MD"/>
                    </w:rPr>
                    <w:t xml:space="preserve"> (Monitorul Oficial, 2014, nr. 319-324, art.634) și al art.14 alin.(1) lit. c) din </w:t>
                  </w:r>
                  <w:r w:rsidR="00F96D31" w:rsidRPr="00A1774A">
                    <w:rPr>
                      <w:rFonts w:ascii="Times New Roman" w:hAnsi="Times New Roman" w:cs="Times New Roman"/>
                      <w:b/>
                      <w:sz w:val="24"/>
                      <w:szCs w:val="24"/>
                      <w:lang w:val="ro-MD"/>
                    </w:rPr>
                    <w:t>Legea nr.121/2007</w:t>
                  </w:r>
                  <w:r w:rsidR="00F96D31" w:rsidRPr="00A1774A">
                    <w:rPr>
                      <w:rFonts w:ascii="Times New Roman" w:hAnsi="Times New Roman" w:cs="Times New Roman"/>
                      <w:sz w:val="24"/>
                      <w:szCs w:val="24"/>
                      <w:lang w:val="ro-MD"/>
                    </w:rPr>
                    <w:t xml:space="preserve"> privind administrarea și </w:t>
                  </w:r>
                  <w:proofErr w:type="spellStart"/>
                  <w:r w:rsidR="00F96D31" w:rsidRPr="00A1774A">
                    <w:rPr>
                      <w:rFonts w:ascii="Times New Roman" w:hAnsi="Times New Roman" w:cs="Times New Roman"/>
                      <w:sz w:val="24"/>
                      <w:szCs w:val="24"/>
                      <w:lang w:val="ro-MD"/>
                    </w:rPr>
                    <w:t>deetatizarea</w:t>
                  </w:r>
                  <w:proofErr w:type="spellEnd"/>
                  <w:r w:rsidR="00F96D31" w:rsidRPr="00A1774A">
                    <w:rPr>
                      <w:rFonts w:ascii="Times New Roman" w:hAnsi="Times New Roman" w:cs="Times New Roman"/>
                      <w:sz w:val="24"/>
                      <w:szCs w:val="24"/>
                      <w:lang w:val="ro-MD"/>
                    </w:rPr>
                    <w:t xml:space="preserve"> proprietății publice (Monitorul Oficial, 2007, nr.90-93, art.401). </w:t>
                  </w:r>
                </w:p>
                <w:p w14:paraId="225A0147" w14:textId="5C46C564" w:rsidR="00D940FB" w:rsidRPr="00A1774A" w:rsidRDefault="00D940FB" w:rsidP="00A1774A">
                  <w:pPr>
                    <w:autoSpaceDE w:val="0"/>
                    <w:autoSpaceDN w:val="0"/>
                    <w:adjustRightInd w:val="0"/>
                    <w:spacing w:after="0"/>
                    <w:ind w:firstLine="709"/>
                    <w:jc w:val="both"/>
                    <w:rPr>
                      <w:rFonts w:ascii="Times New Roman" w:hAnsi="Times New Roman" w:cs="Times New Roman"/>
                      <w:sz w:val="24"/>
                      <w:szCs w:val="24"/>
                      <w:lang w:val="ro-MD"/>
                    </w:rPr>
                  </w:pPr>
                  <w:r w:rsidRPr="00A1774A">
                    <w:rPr>
                      <w:rFonts w:ascii="Times New Roman" w:hAnsi="Times New Roman" w:cs="Times New Roman"/>
                      <w:sz w:val="24"/>
                      <w:szCs w:val="24"/>
                      <w:lang w:val="ro-MD"/>
                    </w:rPr>
                    <w:t xml:space="preserve">În scopul organizării și asigurării funcționării învățământului superior, Codul Educației prin art.82 alin.(2), cu modificările ulterioare, prevede </w:t>
                  </w:r>
                  <w:r w:rsidRPr="00A1774A">
                    <w:rPr>
                      <w:rFonts w:ascii="Times New Roman" w:hAnsi="Times New Roman" w:cs="Times New Roman"/>
                      <w:b/>
                      <w:bCs/>
                      <w:sz w:val="24"/>
                      <w:szCs w:val="24"/>
                      <w:lang w:val="ro-MD"/>
                    </w:rPr>
                    <w:t>dreptul înființării, reorganizării și lichidării de către Guvern la inițiativa fondatorului a Instituțiilor de învățământ superior</w:t>
                  </w:r>
                  <w:r w:rsidRPr="00A1774A">
                    <w:rPr>
                      <w:rFonts w:ascii="Times New Roman" w:hAnsi="Times New Roman" w:cs="Times New Roman"/>
                      <w:sz w:val="24"/>
                      <w:szCs w:val="24"/>
                      <w:lang w:val="ro-MD"/>
                    </w:rPr>
                    <w:t>.</w:t>
                  </w:r>
                  <w:r w:rsidRPr="00A1774A">
                    <w:rPr>
                      <w:rFonts w:ascii="Times New Roman" w:hAnsi="Times New Roman" w:cs="Times New Roman"/>
                      <w:sz w:val="24"/>
                      <w:szCs w:val="24"/>
                      <w:lang w:val="ro-MD"/>
                    </w:rPr>
                    <w:t xml:space="preserve"> </w:t>
                  </w:r>
                </w:p>
                <w:p w14:paraId="3D1D1204" w14:textId="56B3EDC9" w:rsidR="00D940FB" w:rsidRPr="00A1774A" w:rsidRDefault="00D940FB" w:rsidP="00A1774A">
                  <w:pPr>
                    <w:autoSpaceDE w:val="0"/>
                    <w:autoSpaceDN w:val="0"/>
                    <w:adjustRightInd w:val="0"/>
                    <w:spacing w:after="0"/>
                    <w:ind w:firstLine="709"/>
                    <w:jc w:val="both"/>
                    <w:rPr>
                      <w:rFonts w:ascii="Times New Roman" w:hAnsi="Times New Roman" w:cs="Times New Roman"/>
                      <w:sz w:val="24"/>
                      <w:szCs w:val="24"/>
                      <w:lang w:val="ro-MD"/>
                    </w:rPr>
                  </w:pPr>
                  <w:r w:rsidRPr="00A1774A">
                    <w:rPr>
                      <w:rFonts w:ascii="Times New Roman" w:hAnsi="Times New Roman" w:cs="Times New Roman"/>
                      <w:sz w:val="24"/>
                      <w:szCs w:val="24"/>
                      <w:lang w:val="ro-MD"/>
                    </w:rPr>
                    <w:t>Modalitățile și procedura de reorganizare prin fuziune a persoanelor juridice sunt reglementate de art. 20</w:t>
                  </w:r>
                  <w:r w:rsidR="00FF67E2" w:rsidRPr="00A1774A">
                    <w:rPr>
                      <w:rFonts w:ascii="Times New Roman" w:hAnsi="Times New Roman" w:cs="Times New Roman"/>
                      <w:sz w:val="24"/>
                      <w:szCs w:val="24"/>
                      <w:lang w:val="ro-MD"/>
                    </w:rPr>
                    <w:t>4</w:t>
                  </w:r>
                  <w:r w:rsidRPr="00A1774A">
                    <w:rPr>
                      <w:rFonts w:ascii="Times New Roman" w:hAnsi="Times New Roman" w:cs="Times New Roman"/>
                      <w:sz w:val="24"/>
                      <w:szCs w:val="24"/>
                      <w:lang w:val="ro-MD"/>
                    </w:rPr>
                    <w:t>-213 din Codul Civil al Republicii Moldova nr.1107 din 06.06.2002, cu modificările ulterioare, iar aplicarea acestora se face ținând cont de prevederile art.174 alin.(4) din Cod. Angajarea prin transfer a salariaților instituțiilor fuzionate se efectuează în conformitate cu prevederile Codului Muncii al Republicii Moldova nr.154 din 28.03.2003 cu modificările ulterioare.</w:t>
                  </w:r>
                  <w:r w:rsidRPr="00A1774A">
                    <w:rPr>
                      <w:rFonts w:ascii="Times New Roman" w:hAnsi="Times New Roman" w:cs="Times New Roman"/>
                      <w:sz w:val="24"/>
                      <w:szCs w:val="24"/>
                      <w:lang w:val="ro-MD"/>
                    </w:rPr>
                    <w:t xml:space="preserve"> </w:t>
                  </w:r>
                </w:p>
                <w:p w14:paraId="2FF7E114" w14:textId="0E34C41F" w:rsidR="005816FB" w:rsidRPr="00A1774A" w:rsidRDefault="00CC7BE1" w:rsidP="00A1774A">
                  <w:pPr>
                    <w:autoSpaceDE w:val="0"/>
                    <w:autoSpaceDN w:val="0"/>
                    <w:adjustRightInd w:val="0"/>
                    <w:spacing w:after="0"/>
                    <w:ind w:firstLine="709"/>
                    <w:jc w:val="both"/>
                    <w:rPr>
                      <w:rFonts w:ascii="Times New Roman" w:hAnsi="Times New Roman" w:cs="Times New Roman"/>
                      <w:color w:val="000000"/>
                      <w:sz w:val="24"/>
                      <w:szCs w:val="24"/>
                      <w:lang w:val="ro-MD"/>
                    </w:rPr>
                  </w:pPr>
                  <w:r w:rsidRPr="00A1774A">
                    <w:rPr>
                      <w:rFonts w:ascii="Times New Roman" w:hAnsi="Times New Roman" w:cs="Times New Roman"/>
                      <w:sz w:val="24"/>
                      <w:szCs w:val="24"/>
                      <w:lang w:val="ro-MD"/>
                    </w:rPr>
                    <w:t xml:space="preserve">În </w:t>
                  </w:r>
                  <w:r w:rsidR="00D940FB" w:rsidRPr="00A1774A">
                    <w:rPr>
                      <w:rFonts w:ascii="Times New Roman" w:hAnsi="Times New Roman" w:cs="Times New Roman"/>
                      <w:sz w:val="24"/>
                      <w:szCs w:val="24"/>
                      <w:lang w:val="ro-MD"/>
                    </w:rPr>
                    <w:t>acest context, conform</w:t>
                  </w:r>
                  <w:r w:rsidRPr="00A1774A">
                    <w:rPr>
                      <w:rFonts w:ascii="Times New Roman" w:hAnsi="Times New Roman" w:cs="Times New Roman"/>
                      <w:sz w:val="24"/>
                      <w:szCs w:val="24"/>
                      <w:lang w:val="ro-MD"/>
                    </w:rPr>
                    <w:t xml:space="preserve"> </w:t>
                  </w:r>
                  <w:r w:rsidRPr="00A1774A">
                    <w:rPr>
                      <w:rFonts w:ascii="Times New Roman" w:hAnsi="Times New Roman" w:cs="Times New Roman"/>
                      <w:b/>
                      <w:sz w:val="24"/>
                      <w:szCs w:val="24"/>
                      <w:lang w:val="ro-MD"/>
                    </w:rPr>
                    <w:t>Strategi</w:t>
                  </w:r>
                  <w:r w:rsidR="00D940FB" w:rsidRPr="00A1774A">
                    <w:rPr>
                      <w:rFonts w:ascii="Times New Roman" w:hAnsi="Times New Roman" w:cs="Times New Roman"/>
                      <w:b/>
                      <w:sz w:val="24"/>
                      <w:szCs w:val="24"/>
                      <w:lang w:val="ro-MD"/>
                    </w:rPr>
                    <w:t>ei</w:t>
                  </w:r>
                  <w:r w:rsidRPr="00A1774A">
                    <w:rPr>
                      <w:rFonts w:ascii="Times New Roman" w:hAnsi="Times New Roman" w:cs="Times New Roman"/>
                      <w:b/>
                      <w:sz w:val="24"/>
                      <w:szCs w:val="24"/>
                      <w:lang w:val="ro-MD"/>
                    </w:rPr>
                    <w:t xml:space="preserve"> </w:t>
                  </w:r>
                  <w:r w:rsidRPr="00A1774A">
                    <w:rPr>
                      <w:rFonts w:ascii="Times New Roman" w:hAnsi="Times New Roman" w:cs="Times New Roman"/>
                      <w:b/>
                      <w:bCs/>
                      <w:sz w:val="24"/>
                      <w:szCs w:val="24"/>
                      <w:lang w:val="ro-MD"/>
                    </w:rPr>
                    <w:t>de dezvoltare</w:t>
                  </w:r>
                  <w:r w:rsidRPr="00A1774A">
                    <w:rPr>
                      <w:rFonts w:ascii="Times New Roman" w:hAnsi="Times New Roman" w:cs="Times New Roman"/>
                      <w:b/>
                      <w:bCs/>
                      <w:iCs/>
                      <w:sz w:val="24"/>
                      <w:szCs w:val="24"/>
                      <w:lang w:val="ro-MD"/>
                    </w:rPr>
                    <w:t xml:space="preserve"> </w:t>
                  </w:r>
                  <w:r w:rsidRPr="00A1774A">
                    <w:rPr>
                      <w:rFonts w:ascii="Times New Roman" w:hAnsi="Times New Roman" w:cs="Times New Roman"/>
                      <w:b/>
                      <w:bCs/>
                      <w:sz w:val="24"/>
                      <w:szCs w:val="24"/>
                      <w:lang w:val="ro-MD"/>
                    </w:rPr>
                    <w:t>„E</w:t>
                  </w:r>
                  <w:r w:rsidR="00A877FD" w:rsidRPr="00A1774A">
                    <w:rPr>
                      <w:rFonts w:ascii="Times New Roman" w:hAnsi="Times New Roman" w:cs="Times New Roman"/>
                      <w:b/>
                      <w:bCs/>
                      <w:sz w:val="24"/>
                      <w:szCs w:val="24"/>
                      <w:lang w:val="ro-MD"/>
                    </w:rPr>
                    <w:t xml:space="preserve">DUCAȚIA </w:t>
                  </w:r>
                  <w:r w:rsidRPr="00A1774A">
                    <w:rPr>
                      <w:rFonts w:ascii="Times New Roman" w:hAnsi="Times New Roman" w:cs="Times New Roman"/>
                      <w:b/>
                      <w:bCs/>
                      <w:sz w:val="24"/>
                      <w:szCs w:val="24"/>
                      <w:lang w:val="ro-MD"/>
                    </w:rPr>
                    <w:t>2030”</w:t>
                  </w:r>
                  <w:r w:rsidRPr="00A1774A">
                    <w:rPr>
                      <w:rFonts w:ascii="Times New Roman" w:hAnsi="Times New Roman" w:cs="Times New Roman"/>
                      <w:bCs/>
                      <w:sz w:val="24"/>
                      <w:szCs w:val="24"/>
                      <w:lang w:val="ro-MD"/>
                    </w:rPr>
                    <w:t xml:space="preserve"> și Programul</w:t>
                  </w:r>
                  <w:r w:rsidR="005816FB" w:rsidRPr="00A1774A">
                    <w:rPr>
                      <w:rFonts w:ascii="Times New Roman" w:hAnsi="Times New Roman" w:cs="Times New Roman"/>
                      <w:bCs/>
                      <w:sz w:val="24"/>
                      <w:szCs w:val="24"/>
                      <w:lang w:val="ro-MD"/>
                    </w:rPr>
                    <w:t>ui</w:t>
                  </w:r>
                  <w:r w:rsidRPr="00A1774A">
                    <w:rPr>
                      <w:rFonts w:ascii="Times New Roman" w:hAnsi="Times New Roman" w:cs="Times New Roman"/>
                      <w:bCs/>
                      <w:sz w:val="24"/>
                      <w:szCs w:val="24"/>
                      <w:lang w:val="ro-MD"/>
                    </w:rPr>
                    <w:t xml:space="preserve"> de implementare</w:t>
                  </w:r>
                  <w:r w:rsidRPr="00A1774A">
                    <w:rPr>
                      <w:rFonts w:ascii="Times New Roman" w:hAnsi="Times New Roman" w:cs="Times New Roman"/>
                      <w:sz w:val="24"/>
                      <w:szCs w:val="24"/>
                      <w:lang w:val="ro-MD"/>
                    </w:rPr>
                    <w:t xml:space="preserve"> </w:t>
                  </w:r>
                  <w:r w:rsidRPr="00A1774A">
                    <w:rPr>
                      <w:rFonts w:ascii="Times New Roman" w:hAnsi="Times New Roman" w:cs="Times New Roman"/>
                      <w:bCs/>
                      <w:sz w:val="24"/>
                      <w:szCs w:val="24"/>
                      <w:lang w:val="ro-MD"/>
                    </w:rPr>
                    <w:t>a acesteia pentru anii 2023-2025</w:t>
                  </w:r>
                  <w:r w:rsidRPr="00A1774A">
                    <w:rPr>
                      <w:rFonts w:ascii="Times New Roman" w:hAnsi="Times New Roman" w:cs="Times New Roman"/>
                      <w:bCs/>
                      <w:iCs/>
                      <w:sz w:val="24"/>
                      <w:szCs w:val="24"/>
                      <w:lang w:val="ro-MD"/>
                    </w:rPr>
                    <w:t>, aprobată prin HG nr. 114/2023</w:t>
                  </w:r>
                  <w:r w:rsidR="00667163" w:rsidRPr="00A1774A">
                    <w:rPr>
                      <w:rFonts w:ascii="Times New Roman" w:hAnsi="Times New Roman" w:cs="Times New Roman"/>
                      <w:bCs/>
                      <w:iCs/>
                      <w:sz w:val="24"/>
                      <w:szCs w:val="24"/>
                      <w:lang w:val="ro-MD"/>
                    </w:rPr>
                    <w:t xml:space="preserve">, </w:t>
                  </w:r>
                  <w:r w:rsidR="005816FB" w:rsidRPr="00A1774A">
                    <w:rPr>
                      <w:rFonts w:ascii="Times New Roman" w:hAnsi="Times New Roman" w:cs="Times New Roman"/>
                      <w:b/>
                      <w:color w:val="000000"/>
                      <w:sz w:val="24"/>
                      <w:szCs w:val="24"/>
                      <w:lang w:val="ro-MD"/>
                    </w:rPr>
                    <w:t>acțiunii 3.4.3,</w:t>
                  </w:r>
                  <w:r w:rsidR="005816FB" w:rsidRPr="00A1774A">
                    <w:rPr>
                      <w:rFonts w:ascii="Times New Roman" w:hAnsi="Times New Roman" w:cs="Times New Roman"/>
                      <w:color w:val="000000"/>
                      <w:sz w:val="24"/>
                      <w:szCs w:val="24"/>
                      <w:lang w:val="ro-MD"/>
                    </w:rPr>
                    <w:t xml:space="preserve"> Ministerul Educației și Cercetării este responsabil de </w:t>
                  </w:r>
                  <w:r w:rsidR="005816FB" w:rsidRPr="00A1774A">
                    <w:rPr>
                      <w:rFonts w:ascii="Times New Roman" w:hAnsi="Times New Roman" w:cs="Times New Roman"/>
                      <w:b/>
                      <w:color w:val="000000"/>
                      <w:sz w:val="24"/>
                      <w:szCs w:val="24"/>
                      <w:lang w:val="ro-MD"/>
                    </w:rPr>
                    <w:t>consolidarea rețelei de instituții de învățământ superior</w:t>
                  </w:r>
                  <w:r w:rsidR="005816FB" w:rsidRPr="00A1774A">
                    <w:rPr>
                      <w:rFonts w:ascii="Times New Roman" w:hAnsi="Times New Roman" w:cs="Times New Roman"/>
                      <w:color w:val="000000"/>
                      <w:sz w:val="24"/>
                      <w:szCs w:val="24"/>
                      <w:lang w:val="ro-MD"/>
                    </w:rPr>
                    <w:t>, bazată pe indicatori de calitate, racordată la necesitățile pieței muncii.</w:t>
                  </w:r>
                </w:p>
              </w:tc>
            </w:tr>
          </w:tbl>
          <w:p w14:paraId="4AD001F2" w14:textId="77777777" w:rsidR="00A877FD" w:rsidRPr="00A1774A" w:rsidRDefault="00FC4591" w:rsidP="00A1774A">
            <w:pPr>
              <w:tabs>
                <w:tab w:val="left" w:pos="589"/>
              </w:tabs>
              <w:spacing w:line="276" w:lineRule="auto"/>
              <w:ind w:firstLine="709"/>
              <w:jc w:val="both"/>
              <w:rPr>
                <w:rFonts w:ascii="Times New Roman" w:eastAsiaTheme="minorHAnsi" w:hAnsi="Times New Roman" w:cs="Times New Roman"/>
                <w:sz w:val="24"/>
                <w:szCs w:val="24"/>
                <w:lang w:val="ro-MD" w:eastAsia="en-US"/>
              </w:rPr>
            </w:pPr>
            <w:r w:rsidRPr="00A1774A">
              <w:rPr>
                <w:rFonts w:ascii="Times New Roman" w:eastAsiaTheme="minorHAnsi" w:hAnsi="Times New Roman" w:cs="Times New Roman"/>
                <w:sz w:val="24"/>
                <w:szCs w:val="24"/>
                <w:lang w:val="ro-MD" w:eastAsia="en-US"/>
              </w:rPr>
              <w:t xml:space="preserve">În </w:t>
            </w:r>
            <w:r w:rsidR="00DC7AD5" w:rsidRPr="00A1774A">
              <w:rPr>
                <w:rFonts w:ascii="Times New Roman" w:eastAsiaTheme="minorHAnsi" w:hAnsi="Times New Roman" w:cs="Times New Roman"/>
                <w:sz w:val="24"/>
                <w:szCs w:val="24"/>
                <w:lang w:val="ro-MD" w:eastAsia="en-US"/>
              </w:rPr>
              <w:t>contextul</w:t>
            </w:r>
            <w:r w:rsidRPr="00A1774A">
              <w:rPr>
                <w:rFonts w:ascii="Times New Roman" w:eastAsiaTheme="minorHAnsi" w:hAnsi="Times New Roman" w:cs="Times New Roman"/>
                <w:sz w:val="24"/>
                <w:szCs w:val="24"/>
                <w:lang w:val="ro-MD" w:eastAsia="en-US"/>
              </w:rPr>
              <w:t xml:space="preserve"> impl</w:t>
            </w:r>
            <w:r w:rsidR="00DC7AD5" w:rsidRPr="00A1774A">
              <w:rPr>
                <w:rFonts w:ascii="Times New Roman" w:eastAsiaTheme="minorHAnsi" w:hAnsi="Times New Roman" w:cs="Times New Roman"/>
                <w:sz w:val="24"/>
                <w:szCs w:val="24"/>
                <w:lang w:val="ro-MD" w:eastAsia="en-US"/>
              </w:rPr>
              <w:t>ementării</w:t>
            </w:r>
            <w:r w:rsidRPr="00A1774A">
              <w:rPr>
                <w:rFonts w:ascii="Times New Roman" w:eastAsiaTheme="minorHAnsi" w:hAnsi="Times New Roman" w:cs="Times New Roman"/>
                <w:sz w:val="24"/>
                <w:szCs w:val="24"/>
                <w:lang w:val="ro-MD" w:eastAsia="en-US"/>
              </w:rPr>
              <w:t xml:space="preserve"> reformei</w:t>
            </w:r>
            <w:r w:rsidR="00DC7AD5" w:rsidRPr="00A1774A">
              <w:rPr>
                <w:rFonts w:ascii="Times New Roman" w:eastAsiaTheme="minorHAnsi" w:hAnsi="Times New Roman" w:cs="Times New Roman"/>
                <w:sz w:val="24"/>
                <w:szCs w:val="24"/>
                <w:lang w:val="ro-MD" w:eastAsia="en-US"/>
              </w:rPr>
              <w:t xml:space="preserve"> învățământului superior</w:t>
            </w:r>
            <w:r w:rsidRPr="00A1774A">
              <w:rPr>
                <w:rFonts w:ascii="Times New Roman" w:eastAsiaTheme="minorHAnsi" w:hAnsi="Times New Roman" w:cs="Times New Roman"/>
                <w:sz w:val="24"/>
                <w:szCs w:val="24"/>
                <w:lang w:val="ro-MD" w:eastAsia="en-US"/>
              </w:rPr>
              <w:t xml:space="preserve">, Ministerul Educației și Cercetării se axează pe consolidarea sistemului universitar prin concentrarea resurselor, atât umane, cât și financiare; alocarea de mijloace financiare suplimentare pentru a susține procesul de modernizare a învățământului superior și a sectorului de cercetare. </w:t>
            </w:r>
          </w:p>
          <w:p w14:paraId="72AEADB0" w14:textId="2A891E7F" w:rsidR="00B632F4" w:rsidRPr="00A1774A" w:rsidRDefault="00B632F4" w:rsidP="00A1774A">
            <w:pPr>
              <w:tabs>
                <w:tab w:val="left" w:pos="589"/>
              </w:tabs>
              <w:spacing w:line="276" w:lineRule="auto"/>
              <w:ind w:firstLine="709"/>
              <w:jc w:val="both"/>
              <w:rPr>
                <w:rFonts w:ascii="Times New Roman" w:eastAsiaTheme="minorHAnsi" w:hAnsi="Times New Roman" w:cs="Times New Roman"/>
                <w:bCs/>
                <w:sz w:val="24"/>
                <w:szCs w:val="24"/>
                <w:lang w:val="ro-MD" w:eastAsia="en-US"/>
              </w:rPr>
            </w:pPr>
            <w:r w:rsidRPr="00A1774A">
              <w:rPr>
                <w:rFonts w:ascii="Times New Roman" w:eastAsiaTheme="minorHAnsi" w:hAnsi="Times New Roman" w:cs="Times New Roman"/>
                <w:bCs/>
                <w:sz w:val="24"/>
                <w:szCs w:val="24"/>
                <w:lang w:val="ro-MD" w:eastAsia="en-US"/>
              </w:rPr>
              <w:t xml:space="preserve">Scopul proiectului constă în reorganizarea </w:t>
            </w:r>
            <w:r w:rsidR="00CC5392" w:rsidRPr="00A1774A">
              <w:rPr>
                <w:rFonts w:ascii="Times New Roman" w:eastAsiaTheme="minorHAnsi" w:hAnsi="Times New Roman" w:cs="Times New Roman"/>
                <w:bCs/>
                <w:sz w:val="24"/>
                <w:szCs w:val="24"/>
                <w:lang w:val="ro-MD" w:eastAsia="en-US"/>
              </w:rPr>
              <w:t xml:space="preserve">Instituției Publice Universitatea Tehnică a Moldovei prin integrarea Instituției Publice Universitatea de Stat „Bogdan Petriceicu Hașdeu” din Cahul și constituirea Centrului Universitar „Bogdan Petriceicu Hașdeu” </w:t>
            </w:r>
            <w:r w:rsidR="00CC5392" w:rsidRPr="00A1774A">
              <w:rPr>
                <w:rFonts w:ascii="Times New Roman" w:eastAsiaTheme="minorHAnsi" w:hAnsi="Times New Roman" w:cs="Times New Roman"/>
                <w:bCs/>
                <w:sz w:val="24"/>
                <w:szCs w:val="24"/>
                <w:lang w:val="ro-MD" w:eastAsia="en-US"/>
              </w:rPr>
              <w:t xml:space="preserve">cu </w:t>
            </w:r>
            <w:r w:rsidRPr="00A1774A">
              <w:rPr>
                <w:rFonts w:ascii="Times New Roman" w:eastAsiaTheme="minorHAnsi" w:hAnsi="Times New Roman" w:cs="Times New Roman"/>
                <w:bCs/>
                <w:sz w:val="24"/>
                <w:szCs w:val="24"/>
                <w:lang w:val="ro-MD" w:eastAsia="en-US"/>
              </w:rPr>
              <w:t>sediul în municipiul Cahul, în vederea consolidării și dezvoltării durabile a învățământului superior în regiunea de sud a Republicii Moldova.</w:t>
            </w:r>
          </w:p>
          <w:p w14:paraId="4A66478D" w14:textId="072F3E81" w:rsidR="0053439F" w:rsidRPr="00A1774A" w:rsidRDefault="00FC4591" w:rsidP="00A1774A">
            <w:pPr>
              <w:tabs>
                <w:tab w:val="left" w:pos="589"/>
              </w:tabs>
              <w:spacing w:line="276" w:lineRule="auto"/>
              <w:ind w:firstLine="709"/>
              <w:jc w:val="both"/>
              <w:rPr>
                <w:rFonts w:ascii="Times New Roman" w:eastAsiaTheme="minorHAnsi" w:hAnsi="Times New Roman" w:cs="Times New Roman"/>
                <w:sz w:val="24"/>
                <w:szCs w:val="24"/>
                <w:lang w:val="ro-MD" w:eastAsia="en-US"/>
              </w:rPr>
            </w:pPr>
            <w:r w:rsidRPr="00A1774A">
              <w:rPr>
                <w:rFonts w:ascii="Times New Roman" w:eastAsiaTheme="minorHAnsi" w:hAnsi="Times New Roman" w:cs="Times New Roman"/>
                <w:b/>
                <w:sz w:val="24"/>
                <w:szCs w:val="24"/>
                <w:lang w:val="ro-MD" w:eastAsia="en-US"/>
              </w:rPr>
              <w:t>Problema principală</w:t>
            </w:r>
            <w:r w:rsidRPr="00A1774A">
              <w:rPr>
                <w:rFonts w:ascii="Times New Roman" w:eastAsiaTheme="minorHAnsi" w:hAnsi="Times New Roman" w:cs="Times New Roman"/>
                <w:sz w:val="24"/>
                <w:szCs w:val="24"/>
                <w:lang w:val="ro-MD" w:eastAsia="en-US"/>
              </w:rPr>
              <w:t xml:space="preserve"> abor</w:t>
            </w:r>
            <w:r w:rsidR="00DC7AD5" w:rsidRPr="00A1774A">
              <w:rPr>
                <w:rFonts w:ascii="Times New Roman" w:eastAsiaTheme="minorHAnsi" w:hAnsi="Times New Roman" w:cs="Times New Roman"/>
                <w:sz w:val="24"/>
                <w:szCs w:val="24"/>
                <w:lang w:val="ro-MD" w:eastAsia="en-US"/>
              </w:rPr>
              <w:t>dată prin prezentul proiect de hotărâre</w:t>
            </w:r>
            <w:r w:rsidRPr="00A1774A">
              <w:rPr>
                <w:rFonts w:ascii="Times New Roman" w:eastAsiaTheme="minorHAnsi" w:hAnsi="Times New Roman" w:cs="Times New Roman"/>
                <w:sz w:val="24"/>
                <w:szCs w:val="24"/>
                <w:lang w:val="ro-MD" w:eastAsia="en-US"/>
              </w:rPr>
              <w:t xml:space="preserve"> de Guvern constă </w:t>
            </w:r>
            <w:r w:rsidR="00B632F4" w:rsidRPr="00A1774A">
              <w:rPr>
                <w:rFonts w:ascii="Times New Roman" w:eastAsiaTheme="minorHAnsi" w:hAnsi="Times New Roman" w:cs="Times New Roman"/>
                <w:sz w:val="24"/>
                <w:szCs w:val="24"/>
                <w:lang w:val="ro-MD" w:eastAsia="en-US"/>
              </w:rPr>
              <w:t>în</w:t>
            </w:r>
            <w:r w:rsidR="00DC7AD5" w:rsidRPr="00A1774A">
              <w:rPr>
                <w:rFonts w:ascii="Times New Roman" w:eastAsiaTheme="minorHAnsi" w:hAnsi="Times New Roman" w:cs="Times New Roman"/>
                <w:sz w:val="24"/>
                <w:szCs w:val="24"/>
                <w:lang w:val="ro-MD" w:eastAsia="en-US"/>
              </w:rPr>
              <w:t xml:space="preserve"> </w:t>
            </w:r>
            <w:r w:rsidRPr="00A1774A">
              <w:rPr>
                <w:rFonts w:ascii="Times New Roman" w:eastAsiaTheme="minorHAnsi" w:hAnsi="Times New Roman" w:cs="Times New Roman"/>
                <w:sz w:val="24"/>
                <w:szCs w:val="24"/>
                <w:lang w:val="ro-MD" w:eastAsia="en-US"/>
              </w:rPr>
              <w:t xml:space="preserve">eficiența </w:t>
            </w:r>
            <w:r w:rsidR="00DC7AD5" w:rsidRPr="00A1774A">
              <w:rPr>
                <w:rFonts w:ascii="Times New Roman" w:eastAsiaTheme="minorHAnsi" w:hAnsi="Times New Roman" w:cs="Times New Roman"/>
                <w:sz w:val="24"/>
                <w:szCs w:val="24"/>
                <w:lang w:val="ro-MD" w:eastAsia="en-US"/>
              </w:rPr>
              <w:t>scăzută a</w:t>
            </w:r>
            <w:r w:rsidR="00B632F4" w:rsidRPr="00A1774A">
              <w:rPr>
                <w:rFonts w:ascii="Times New Roman" w:eastAsiaTheme="minorHAnsi" w:hAnsi="Times New Roman" w:cs="Times New Roman"/>
                <w:sz w:val="24"/>
                <w:szCs w:val="24"/>
                <w:lang w:val="ro-MD" w:eastAsia="en-US"/>
              </w:rPr>
              <w:t xml:space="preserve"> unor instituții de învățământ </w:t>
            </w:r>
            <w:r w:rsidRPr="00A1774A">
              <w:rPr>
                <w:rFonts w:ascii="Times New Roman" w:eastAsiaTheme="minorHAnsi" w:hAnsi="Times New Roman" w:cs="Times New Roman"/>
                <w:sz w:val="24"/>
                <w:szCs w:val="24"/>
                <w:lang w:val="ro-MD" w:eastAsia="en-US"/>
              </w:rPr>
              <w:t>superior din Republica Moldova</w:t>
            </w:r>
            <w:r w:rsidR="00DC7AD5" w:rsidRPr="00A1774A">
              <w:rPr>
                <w:rFonts w:ascii="Times New Roman" w:eastAsiaTheme="minorHAnsi" w:hAnsi="Times New Roman" w:cs="Times New Roman"/>
                <w:sz w:val="24"/>
                <w:szCs w:val="24"/>
                <w:lang w:val="ro-MD" w:eastAsia="en-US"/>
              </w:rPr>
              <w:t>,</w:t>
            </w:r>
            <w:r w:rsidRPr="00A1774A">
              <w:rPr>
                <w:rFonts w:ascii="Times New Roman" w:eastAsiaTheme="minorHAnsi" w:hAnsi="Times New Roman" w:cs="Times New Roman"/>
                <w:sz w:val="24"/>
                <w:szCs w:val="24"/>
                <w:lang w:val="ro-MD" w:eastAsia="en-US"/>
              </w:rPr>
              <w:t xml:space="preserve"> în condițiile </w:t>
            </w:r>
            <w:r w:rsidRPr="00A1774A">
              <w:rPr>
                <w:rFonts w:ascii="Times New Roman" w:eastAsiaTheme="minorHAnsi" w:hAnsi="Times New Roman" w:cs="Times New Roman"/>
                <w:bCs/>
                <w:sz w:val="24"/>
                <w:szCs w:val="24"/>
                <w:lang w:val="ro-MD" w:eastAsia="en-US"/>
              </w:rPr>
              <w:t xml:space="preserve">declinului demografic, </w:t>
            </w:r>
            <w:r w:rsidR="00FA5AA0" w:rsidRPr="00A1774A">
              <w:rPr>
                <w:rFonts w:ascii="Times New Roman" w:eastAsiaTheme="minorHAnsi" w:hAnsi="Times New Roman" w:cs="Times New Roman"/>
                <w:bCs/>
                <w:sz w:val="24"/>
                <w:szCs w:val="24"/>
                <w:lang w:val="ro-MD" w:eastAsia="en-US"/>
              </w:rPr>
              <w:t xml:space="preserve">dar și </w:t>
            </w:r>
            <w:r w:rsidRPr="00A1774A">
              <w:rPr>
                <w:rFonts w:ascii="Times New Roman" w:eastAsiaTheme="minorHAnsi" w:hAnsi="Times New Roman" w:cs="Times New Roman"/>
                <w:bCs/>
                <w:sz w:val="24"/>
                <w:szCs w:val="24"/>
                <w:lang w:val="ro-MD" w:eastAsia="en-US"/>
              </w:rPr>
              <w:t xml:space="preserve">exodului </w:t>
            </w:r>
            <w:r w:rsidR="00FA5AA0" w:rsidRPr="00A1774A">
              <w:rPr>
                <w:rFonts w:ascii="Times New Roman" w:eastAsiaTheme="minorHAnsi" w:hAnsi="Times New Roman" w:cs="Times New Roman"/>
                <w:bCs/>
                <w:sz w:val="24"/>
                <w:szCs w:val="24"/>
                <w:lang w:val="ro-MD" w:eastAsia="en-US"/>
              </w:rPr>
              <w:t xml:space="preserve">în </w:t>
            </w:r>
            <w:r w:rsidRPr="00A1774A">
              <w:rPr>
                <w:rFonts w:ascii="Times New Roman" w:eastAsiaTheme="minorHAnsi" w:hAnsi="Times New Roman" w:cs="Times New Roman"/>
                <w:bCs/>
                <w:sz w:val="24"/>
                <w:szCs w:val="24"/>
                <w:lang w:val="ro-MD" w:eastAsia="en-US"/>
              </w:rPr>
              <w:t>rândul</w:t>
            </w:r>
            <w:r w:rsidRPr="00A1774A">
              <w:rPr>
                <w:rFonts w:ascii="Times New Roman" w:eastAsiaTheme="minorHAnsi" w:hAnsi="Times New Roman" w:cs="Times New Roman"/>
                <w:sz w:val="24"/>
                <w:szCs w:val="24"/>
                <w:lang w:val="ro-MD" w:eastAsia="en-US"/>
              </w:rPr>
              <w:t xml:space="preserve"> tinerilor, competiția pentru fonduri (europene și internaționale), precum și necesitatea aplicării noilor metode și tehnologii de predare-învățare, care apar ca urmare a dezvoltării noilor tehnologii.</w:t>
            </w:r>
            <w:r w:rsidR="00DC7AD5" w:rsidRPr="00A1774A">
              <w:rPr>
                <w:rFonts w:ascii="Times New Roman" w:eastAsiaTheme="minorHAnsi" w:hAnsi="Times New Roman" w:cs="Times New Roman"/>
                <w:sz w:val="24"/>
                <w:szCs w:val="24"/>
                <w:lang w:val="ro-MD" w:eastAsia="en-US"/>
              </w:rPr>
              <w:t xml:space="preserve"> În aceste condiții</w:t>
            </w:r>
            <w:r w:rsidR="000B4065" w:rsidRPr="00A1774A">
              <w:rPr>
                <w:rFonts w:ascii="Times New Roman" w:eastAsiaTheme="minorHAnsi" w:hAnsi="Times New Roman" w:cs="Times New Roman"/>
                <w:sz w:val="24"/>
                <w:szCs w:val="24"/>
                <w:lang w:val="ro-MD" w:eastAsia="en-US"/>
              </w:rPr>
              <w:t>, cu infrastructură învechită, slabă dotare a laboratoarelor</w:t>
            </w:r>
            <w:r w:rsidR="00CC5392" w:rsidRPr="00A1774A">
              <w:rPr>
                <w:rFonts w:ascii="Times New Roman" w:eastAsiaTheme="minorHAnsi" w:hAnsi="Times New Roman" w:cs="Times New Roman"/>
                <w:sz w:val="24"/>
                <w:szCs w:val="24"/>
                <w:lang w:val="ro-MD" w:eastAsia="en-US"/>
              </w:rPr>
              <w:t xml:space="preserve"> (sau lipsa acestora)</w:t>
            </w:r>
            <w:r w:rsidR="000B4065" w:rsidRPr="00A1774A">
              <w:rPr>
                <w:rFonts w:ascii="Times New Roman" w:eastAsiaTheme="minorHAnsi" w:hAnsi="Times New Roman" w:cs="Times New Roman"/>
                <w:sz w:val="24"/>
                <w:szCs w:val="24"/>
                <w:lang w:val="ro-MD" w:eastAsia="en-US"/>
              </w:rPr>
              <w:t>, personal didactic îmbătrânit</w:t>
            </w:r>
            <w:r w:rsidR="00DC7AD5" w:rsidRPr="00A1774A">
              <w:rPr>
                <w:rFonts w:ascii="Times New Roman" w:eastAsiaTheme="minorHAnsi" w:hAnsi="Times New Roman" w:cs="Times New Roman"/>
                <w:sz w:val="24"/>
                <w:szCs w:val="24"/>
                <w:lang w:val="ro-MD" w:eastAsia="en-US"/>
              </w:rPr>
              <w:t>, universitățile din Republica Moldova sunt mai puțin atrac</w:t>
            </w:r>
            <w:r w:rsidR="000B4065" w:rsidRPr="00A1774A">
              <w:rPr>
                <w:rFonts w:ascii="Times New Roman" w:eastAsiaTheme="minorHAnsi" w:hAnsi="Times New Roman" w:cs="Times New Roman"/>
                <w:sz w:val="24"/>
                <w:szCs w:val="24"/>
                <w:lang w:val="ro-MD" w:eastAsia="en-US"/>
              </w:rPr>
              <w:t xml:space="preserve">tive decât cele din UE </w:t>
            </w:r>
            <w:r w:rsidR="00CC5392" w:rsidRPr="00A1774A">
              <w:rPr>
                <w:rFonts w:ascii="Times New Roman" w:eastAsiaTheme="minorHAnsi" w:hAnsi="Times New Roman" w:cs="Times New Roman"/>
                <w:sz w:val="24"/>
                <w:szCs w:val="24"/>
                <w:lang w:val="ro-MD" w:eastAsia="en-US"/>
              </w:rPr>
              <w:t>ș</w:t>
            </w:r>
            <w:r w:rsidR="000B4065" w:rsidRPr="00A1774A">
              <w:rPr>
                <w:rFonts w:ascii="Times New Roman" w:eastAsiaTheme="minorHAnsi" w:hAnsi="Times New Roman" w:cs="Times New Roman"/>
                <w:sz w:val="24"/>
                <w:szCs w:val="24"/>
                <w:lang w:val="ro-MD" w:eastAsia="en-US"/>
              </w:rPr>
              <w:t>i SUA.</w:t>
            </w:r>
          </w:p>
          <w:p w14:paraId="517D0562" w14:textId="6C6B0726" w:rsidR="00A877FD" w:rsidRPr="00A1774A" w:rsidRDefault="000B4065" w:rsidP="00A1774A">
            <w:pPr>
              <w:tabs>
                <w:tab w:val="left" w:pos="589"/>
              </w:tabs>
              <w:spacing w:line="276" w:lineRule="auto"/>
              <w:ind w:firstLine="709"/>
              <w:jc w:val="both"/>
              <w:rPr>
                <w:rFonts w:ascii="Times New Roman" w:eastAsia="Times New Roman" w:hAnsi="Times New Roman" w:cs="Times New Roman"/>
                <w:sz w:val="24"/>
                <w:szCs w:val="24"/>
                <w:lang w:val="ro-MD"/>
              </w:rPr>
            </w:pPr>
            <w:r w:rsidRPr="00A1774A">
              <w:rPr>
                <w:rFonts w:ascii="Times New Roman" w:eastAsia="Times New Roman" w:hAnsi="Times New Roman" w:cs="Times New Roman"/>
                <w:sz w:val="24"/>
                <w:szCs w:val="24"/>
                <w:lang w:val="ro-MD"/>
              </w:rPr>
              <w:t xml:space="preserve">Evident, multe </w:t>
            </w:r>
            <w:r w:rsidR="000608DF" w:rsidRPr="00A1774A">
              <w:rPr>
                <w:rFonts w:ascii="Times New Roman" w:eastAsia="Times New Roman" w:hAnsi="Times New Roman" w:cs="Times New Roman"/>
                <w:sz w:val="24"/>
                <w:szCs w:val="24"/>
                <w:lang w:val="ro-MD"/>
              </w:rPr>
              <w:t>instituții</w:t>
            </w:r>
            <w:r w:rsidRPr="00A1774A">
              <w:rPr>
                <w:rFonts w:ascii="Times New Roman" w:eastAsia="Times New Roman" w:hAnsi="Times New Roman" w:cs="Times New Roman"/>
                <w:sz w:val="24"/>
                <w:szCs w:val="24"/>
                <w:lang w:val="ro-MD"/>
              </w:rPr>
              <w:t xml:space="preserve"> de </w:t>
            </w:r>
            <w:r w:rsidR="000608DF" w:rsidRPr="00A1774A">
              <w:rPr>
                <w:rFonts w:ascii="Times New Roman" w:eastAsia="Times New Roman" w:hAnsi="Times New Roman" w:cs="Times New Roman"/>
                <w:sz w:val="24"/>
                <w:szCs w:val="24"/>
                <w:lang w:val="ro-MD"/>
              </w:rPr>
              <w:t>învățământ</w:t>
            </w:r>
            <w:r w:rsidRPr="00A1774A">
              <w:rPr>
                <w:rFonts w:ascii="Times New Roman" w:eastAsia="Times New Roman" w:hAnsi="Times New Roman" w:cs="Times New Roman"/>
                <w:sz w:val="24"/>
                <w:szCs w:val="24"/>
                <w:lang w:val="ro-MD"/>
              </w:rPr>
              <w:t xml:space="preserve"> superior concurează pentru numărul de </w:t>
            </w:r>
            <w:r w:rsidR="000608DF" w:rsidRPr="00A1774A">
              <w:rPr>
                <w:rFonts w:ascii="Times New Roman" w:eastAsia="Times New Roman" w:hAnsi="Times New Roman" w:cs="Times New Roman"/>
                <w:sz w:val="24"/>
                <w:szCs w:val="24"/>
                <w:lang w:val="ro-MD"/>
              </w:rPr>
              <w:t>studenți</w:t>
            </w:r>
            <w:r w:rsidR="00CC5392" w:rsidRPr="00A1774A">
              <w:rPr>
                <w:rFonts w:ascii="Times New Roman" w:eastAsia="Times New Roman" w:hAnsi="Times New Roman" w:cs="Times New Roman"/>
                <w:sz w:val="24"/>
                <w:szCs w:val="24"/>
                <w:lang w:val="ro-MD"/>
              </w:rPr>
              <w:t>.</w:t>
            </w:r>
            <w:r w:rsidR="000608DF" w:rsidRPr="00A1774A">
              <w:rPr>
                <w:rFonts w:ascii="Times New Roman" w:eastAsia="Times New Roman" w:hAnsi="Times New Roman" w:cs="Times New Roman"/>
                <w:sz w:val="24"/>
                <w:szCs w:val="24"/>
                <w:lang w:val="ro-MD"/>
              </w:rPr>
              <w:t xml:space="preserve"> </w:t>
            </w:r>
            <w:r w:rsidR="00CC5392" w:rsidRPr="00A1774A">
              <w:rPr>
                <w:rFonts w:ascii="Times New Roman" w:eastAsia="Times New Roman" w:hAnsi="Times New Roman" w:cs="Times New Roman"/>
                <w:sz w:val="24"/>
                <w:szCs w:val="24"/>
                <w:lang w:val="ro-MD"/>
              </w:rPr>
              <w:t xml:space="preserve">Universitatea de Stat „Bogdan Petriceicu Hașdeu” din Cahul </w:t>
            </w:r>
            <w:r w:rsidR="00CC5392" w:rsidRPr="00A1774A">
              <w:rPr>
                <w:rFonts w:ascii="Times New Roman" w:eastAsia="Times New Roman" w:hAnsi="Times New Roman" w:cs="Times New Roman"/>
                <w:sz w:val="24"/>
                <w:szCs w:val="24"/>
                <w:lang w:val="ro-MD"/>
              </w:rPr>
              <w:t xml:space="preserve">este o instituție </w:t>
            </w:r>
            <w:r w:rsidRPr="00A1774A">
              <w:rPr>
                <w:rFonts w:ascii="Times New Roman" w:eastAsia="Times New Roman" w:hAnsi="Times New Roman" w:cs="Times New Roman"/>
                <w:sz w:val="24"/>
                <w:szCs w:val="24"/>
                <w:lang w:val="ro-MD"/>
              </w:rPr>
              <w:t>mic</w:t>
            </w:r>
            <w:r w:rsidR="00CC5392" w:rsidRPr="00A1774A">
              <w:rPr>
                <w:rFonts w:ascii="Times New Roman" w:eastAsia="Times New Roman" w:hAnsi="Times New Roman" w:cs="Times New Roman"/>
                <w:sz w:val="24"/>
                <w:szCs w:val="24"/>
                <w:lang w:val="ro-MD"/>
              </w:rPr>
              <w:t>ă cu resurse limitate</w:t>
            </w:r>
            <w:r w:rsidRPr="00A1774A">
              <w:rPr>
                <w:rFonts w:ascii="Times New Roman" w:eastAsia="Times New Roman" w:hAnsi="Times New Roman" w:cs="Times New Roman"/>
                <w:sz w:val="24"/>
                <w:szCs w:val="24"/>
                <w:lang w:val="ro-MD"/>
              </w:rPr>
              <w:t xml:space="preserve"> pentru a </w:t>
            </w:r>
            <w:r w:rsidR="000608DF" w:rsidRPr="00A1774A">
              <w:rPr>
                <w:rFonts w:ascii="Times New Roman" w:eastAsia="Times New Roman" w:hAnsi="Times New Roman" w:cs="Times New Roman"/>
                <w:sz w:val="24"/>
                <w:szCs w:val="24"/>
                <w:lang w:val="ro-MD"/>
              </w:rPr>
              <w:t>funcționa</w:t>
            </w:r>
            <w:r w:rsidRPr="00A1774A">
              <w:rPr>
                <w:rFonts w:ascii="Times New Roman" w:eastAsia="Times New Roman" w:hAnsi="Times New Roman" w:cs="Times New Roman"/>
                <w:sz w:val="24"/>
                <w:szCs w:val="24"/>
                <w:lang w:val="ro-MD"/>
              </w:rPr>
              <w:t xml:space="preserve"> eficient, având la activ </w:t>
            </w:r>
            <w:r w:rsidR="00CC5392" w:rsidRPr="00A1774A">
              <w:rPr>
                <w:rFonts w:ascii="Times New Roman" w:eastAsia="Times New Roman" w:hAnsi="Times New Roman" w:cs="Times New Roman"/>
                <w:sz w:val="24"/>
                <w:szCs w:val="24"/>
                <w:lang w:val="ro-MD"/>
              </w:rPr>
              <w:t>infrastructură</w:t>
            </w:r>
            <w:r w:rsidRPr="00A1774A">
              <w:rPr>
                <w:rFonts w:ascii="Times New Roman" w:eastAsia="Times New Roman" w:hAnsi="Times New Roman" w:cs="Times New Roman"/>
                <w:sz w:val="24"/>
                <w:szCs w:val="24"/>
                <w:lang w:val="ro-MD"/>
              </w:rPr>
              <w:t xml:space="preserve"> vech</w:t>
            </w:r>
            <w:r w:rsidR="00CC5392" w:rsidRPr="00A1774A">
              <w:rPr>
                <w:rFonts w:ascii="Times New Roman" w:eastAsia="Times New Roman" w:hAnsi="Times New Roman" w:cs="Times New Roman"/>
                <w:sz w:val="24"/>
                <w:szCs w:val="24"/>
                <w:lang w:val="ro-MD"/>
              </w:rPr>
              <w:t>e</w:t>
            </w:r>
            <w:r w:rsidRPr="00A1774A">
              <w:rPr>
                <w:rFonts w:ascii="Times New Roman" w:eastAsia="Times New Roman" w:hAnsi="Times New Roman" w:cs="Times New Roman"/>
                <w:sz w:val="24"/>
                <w:szCs w:val="24"/>
                <w:lang w:val="ro-MD"/>
              </w:rPr>
              <w:t xml:space="preserve">, care nu </w:t>
            </w:r>
            <w:r w:rsidR="00CC5392" w:rsidRPr="00A1774A">
              <w:rPr>
                <w:rFonts w:ascii="Times New Roman" w:eastAsia="Times New Roman" w:hAnsi="Times New Roman" w:cs="Times New Roman"/>
                <w:sz w:val="24"/>
                <w:szCs w:val="24"/>
                <w:lang w:val="ro-MD"/>
              </w:rPr>
              <w:t>este</w:t>
            </w:r>
            <w:r w:rsidRPr="00A1774A">
              <w:rPr>
                <w:rFonts w:ascii="Times New Roman" w:eastAsia="Times New Roman" w:hAnsi="Times New Roman" w:cs="Times New Roman"/>
                <w:sz w:val="24"/>
                <w:szCs w:val="24"/>
                <w:lang w:val="ro-MD"/>
              </w:rPr>
              <w:t xml:space="preserve"> adapta</w:t>
            </w:r>
            <w:r w:rsidR="009474AA" w:rsidRPr="00A1774A">
              <w:rPr>
                <w:rFonts w:ascii="Times New Roman" w:eastAsia="Times New Roman" w:hAnsi="Times New Roman" w:cs="Times New Roman"/>
                <w:sz w:val="24"/>
                <w:szCs w:val="24"/>
                <w:lang w:val="ro-MD"/>
              </w:rPr>
              <w:t>tă</w:t>
            </w:r>
            <w:r w:rsidRPr="00A1774A">
              <w:rPr>
                <w:rFonts w:ascii="Times New Roman" w:eastAsia="Times New Roman" w:hAnsi="Times New Roman" w:cs="Times New Roman"/>
                <w:sz w:val="24"/>
                <w:szCs w:val="24"/>
                <w:lang w:val="ro-MD"/>
              </w:rPr>
              <w:t xml:space="preserve"> numărului schimbător de studenți. Mai mult decât atât, calitatea infrastructurii generează </w:t>
            </w:r>
            <w:r w:rsidR="000608DF" w:rsidRPr="00A1774A">
              <w:rPr>
                <w:rFonts w:ascii="Times New Roman" w:eastAsia="Times New Roman" w:hAnsi="Times New Roman" w:cs="Times New Roman"/>
                <w:sz w:val="24"/>
                <w:szCs w:val="24"/>
                <w:lang w:val="ro-MD"/>
              </w:rPr>
              <w:t>ineficiențele</w:t>
            </w:r>
            <w:r w:rsidRPr="00A1774A">
              <w:rPr>
                <w:rFonts w:ascii="Times New Roman" w:eastAsia="Times New Roman" w:hAnsi="Times New Roman" w:cs="Times New Roman"/>
                <w:sz w:val="24"/>
                <w:szCs w:val="24"/>
                <w:lang w:val="ro-MD"/>
              </w:rPr>
              <w:t xml:space="preserve"> în cadrul sistemului. </w:t>
            </w:r>
          </w:p>
          <w:p w14:paraId="05272689" w14:textId="66AC1C76" w:rsidR="001D6FB9" w:rsidRPr="00A1774A" w:rsidRDefault="001D6FB9" w:rsidP="00A1774A">
            <w:pPr>
              <w:tabs>
                <w:tab w:val="left" w:pos="589"/>
              </w:tabs>
              <w:spacing w:line="276" w:lineRule="auto"/>
              <w:ind w:firstLine="709"/>
              <w:jc w:val="both"/>
              <w:rPr>
                <w:rFonts w:ascii="Times New Roman" w:eastAsia="Times New Roman" w:hAnsi="Times New Roman" w:cs="Times New Roman"/>
                <w:sz w:val="24"/>
                <w:szCs w:val="24"/>
                <w:lang w:val="ro-MD"/>
              </w:rPr>
            </w:pPr>
            <w:r w:rsidRPr="00A1774A">
              <w:rPr>
                <w:rFonts w:ascii="Times New Roman" w:eastAsia="Times New Roman" w:hAnsi="Times New Roman" w:cs="Times New Roman"/>
                <w:sz w:val="24"/>
                <w:szCs w:val="24"/>
                <w:lang w:val="ro-MD"/>
              </w:rPr>
              <w:t>Astfel, la</w:t>
            </w:r>
            <w:r w:rsidRPr="00A1774A">
              <w:rPr>
                <w:rFonts w:ascii="Times New Roman" w:eastAsia="Times New Roman" w:hAnsi="Times New Roman" w:cs="Times New Roman"/>
                <w:sz w:val="24"/>
                <w:szCs w:val="24"/>
                <w:lang w:val="ro-MD"/>
              </w:rPr>
              <w:t xml:space="preserve"> Universit</w:t>
            </w:r>
            <w:r w:rsidRPr="00A1774A">
              <w:rPr>
                <w:rFonts w:ascii="Times New Roman" w:eastAsia="Times New Roman" w:hAnsi="Times New Roman" w:cs="Times New Roman"/>
                <w:sz w:val="24"/>
                <w:szCs w:val="24"/>
                <w:lang w:val="ro-MD"/>
              </w:rPr>
              <w:t>atea</w:t>
            </w:r>
            <w:r w:rsidRPr="00A1774A">
              <w:rPr>
                <w:rFonts w:ascii="Times New Roman" w:eastAsia="Times New Roman" w:hAnsi="Times New Roman" w:cs="Times New Roman"/>
                <w:sz w:val="24"/>
                <w:szCs w:val="24"/>
                <w:lang w:val="ro-MD"/>
              </w:rPr>
              <w:t xml:space="preserve"> de Stat „B</w:t>
            </w:r>
            <w:r w:rsidRPr="00A1774A">
              <w:rPr>
                <w:rFonts w:ascii="Times New Roman" w:eastAsia="Times New Roman" w:hAnsi="Times New Roman" w:cs="Times New Roman"/>
                <w:sz w:val="24"/>
                <w:szCs w:val="24"/>
                <w:lang w:val="ro-MD"/>
              </w:rPr>
              <w:t>.</w:t>
            </w:r>
            <w:r w:rsidRPr="00A1774A">
              <w:rPr>
                <w:rFonts w:ascii="Times New Roman" w:eastAsia="Times New Roman" w:hAnsi="Times New Roman" w:cs="Times New Roman"/>
                <w:sz w:val="24"/>
                <w:szCs w:val="24"/>
                <w:lang w:val="ro-MD"/>
              </w:rPr>
              <w:t xml:space="preserve"> P</w:t>
            </w:r>
            <w:r w:rsidRPr="00A1774A">
              <w:rPr>
                <w:rFonts w:ascii="Times New Roman" w:eastAsia="Times New Roman" w:hAnsi="Times New Roman" w:cs="Times New Roman"/>
                <w:sz w:val="24"/>
                <w:szCs w:val="24"/>
                <w:lang w:val="ro-MD"/>
              </w:rPr>
              <w:t>.</w:t>
            </w:r>
            <w:r w:rsidRPr="00A1774A">
              <w:rPr>
                <w:rFonts w:ascii="Times New Roman" w:eastAsia="Times New Roman" w:hAnsi="Times New Roman" w:cs="Times New Roman"/>
                <w:sz w:val="24"/>
                <w:szCs w:val="24"/>
                <w:lang w:val="ro-MD"/>
              </w:rPr>
              <w:t xml:space="preserve"> </w:t>
            </w:r>
            <w:r w:rsidRPr="00A1774A">
              <w:rPr>
                <w:rFonts w:ascii="Times New Roman" w:eastAsia="Times New Roman" w:hAnsi="Times New Roman" w:cs="Times New Roman"/>
                <w:sz w:val="24"/>
                <w:szCs w:val="24"/>
                <w:lang w:val="ro-MD"/>
              </w:rPr>
              <w:t>Hașdeu</w:t>
            </w:r>
            <w:r w:rsidRPr="00A1774A">
              <w:rPr>
                <w:rFonts w:ascii="Times New Roman" w:eastAsia="Times New Roman" w:hAnsi="Times New Roman" w:cs="Times New Roman"/>
                <w:sz w:val="24"/>
                <w:szCs w:val="24"/>
                <w:lang w:val="ro-MD"/>
              </w:rPr>
              <w:t>” din Cahul funcționează 3 facultăți și 6 catedre:</w:t>
            </w:r>
          </w:p>
          <w:p w14:paraId="49FDFDEE" w14:textId="3E98EF3A" w:rsidR="001D6FB9" w:rsidRPr="00A1774A" w:rsidRDefault="001D6FB9" w:rsidP="00A1774A">
            <w:pPr>
              <w:tabs>
                <w:tab w:val="left" w:pos="589"/>
              </w:tabs>
              <w:spacing w:line="276" w:lineRule="auto"/>
              <w:ind w:firstLine="709"/>
              <w:jc w:val="both"/>
              <w:rPr>
                <w:rFonts w:ascii="Times New Roman" w:eastAsia="Times New Roman" w:hAnsi="Times New Roman" w:cs="Times New Roman"/>
                <w:b/>
                <w:bCs/>
                <w:sz w:val="24"/>
                <w:szCs w:val="24"/>
                <w:lang w:val="ro-MD"/>
              </w:rPr>
            </w:pPr>
            <w:r w:rsidRPr="00A1774A">
              <w:rPr>
                <w:rFonts w:ascii="Times New Roman" w:eastAsia="Times New Roman" w:hAnsi="Times New Roman" w:cs="Times New Roman"/>
                <w:sz w:val="24"/>
                <w:szCs w:val="24"/>
                <w:lang w:val="ro-MD"/>
              </w:rPr>
              <w:lastRenderedPageBreak/>
              <w:t xml:space="preserve"> 1. </w:t>
            </w:r>
            <w:r w:rsidRPr="00A1774A">
              <w:rPr>
                <w:rFonts w:ascii="Times New Roman" w:eastAsia="Times New Roman" w:hAnsi="Times New Roman" w:cs="Times New Roman"/>
                <w:b/>
                <w:bCs/>
                <w:sz w:val="24"/>
                <w:szCs w:val="24"/>
                <w:lang w:val="ro-MD"/>
              </w:rPr>
              <w:t xml:space="preserve">Facultatea de Economie, Inginerie </w:t>
            </w:r>
            <w:r w:rsidRPr="00A1774A">
              <w:rPr>
                <w:rFonts w:ascii="Times New Roman" w:eastAsia="Times New Roman" w:hAnsi="Times New Roman" w:cs="Times New Roman"/>
                <w:b/>
                <w:bCs/>
                <w:sz w:val="24"/>
                <w:szCs w:val="24"/>
                <w:lang w:val="ro-MD"/>
              </w:rPr>
              <w:t>și</w:t>
            </w:r>
            <w:r w:rsidRPr="00A1774A">
              <w:rPr>
                <w:rFonts w:ascii="Times New Roman" w:eastAsia="Times New Roman" w:hAnsi="Times New Roman" w:cs="Times New Roman"/>
                <w:b/>
                <w:bCs/>
                <w:sz w:val="24"/>
                <w:szCs w:val="24"/>
                <w:lang w:val="ro-MD"/>
              </w:rPr>
              <w:t xml:space="preserve"> </w:t>
            </w:r>
            <w:r w:rsidRPr="00A1774A">
              <w:rPr>
                <w:rFonts w:ascii="Times New Roman" w:eastAsia="Times New Roman" w:hAnsi="Times New Roman" w:cs="Times New Roman"/>
                <w:b/>
                <w:bCs/>
                <w:sz w:val="24"/>
                <w:szCs w:val="24"/>
                <w:lang w:val="ro-MD"/>
              </w:rPr>
              <w:t>Științe</w:t>
            </w:r>
            <w:r w:rsidRPr="00A1774A">
              <w:rPr>
                <w:rFonts w:ascii="Times New Roman" w:eastAsia="Times New Roman" w:hAnsi="Times New Roman" w:cs="Times New Roman"/>
                <w:b/>
                <w:bCs/>
                <w:sz w:val="24"/>
                <w:szCs w:val="24"/>
                <w:lang w:val="ro-MD"/>
              </w:rPr>
              <w:t xml:space="preserve"> Aplicate </w:t>
            </w:r>
          </w:p>
          <w:p w14:paraId="30037B17" w14:textId="77777777" w:rsidR="001D6FB9" w:rsidRPr="00A1774A" w:rsidRDefault="001D6FB9" w:rsidP="00A1774A">
            <w:pPr>
              <w:tabs>
                <w:tab w:val="left" w:pos="589"/>
              </w:tabs>
              <w:spacing w:line="276" w:lineRule="auto"/>
              <w:ind w:firstLine="709"/>
              <w:jc w:val="both"/>
              <w:rPr>
                <w:rFonts w:ascii="Times New Roman" w:eastAsia="Times New Roman" w:hAnsi="Times New Roman" w:cs="Times New Roman"/>
                <w:sz w:val="24"/>
                <w:szCs w:val="24"/>
                <w:lang w:val="ro-MD"/>
              </w:rPr>
            </w:pPr>
            <w:r w:rsidRPr="00A1774A">
              <w:rPr>
                <w:rFonts w:ascii="Times New Roman" w:eastAsia="Times New Roman" w:hAnsi="Times New Roman" w:cs="Times New Roman"/>
                <w:sz w:val="24"/>
                <w:szCs w:val="24"/>
                <w:lang w:val="ro-MD"/>
              </w:rPr>
              <w:t xml:space="preserve">- Catedra de Științe Economice </w:t>
            </w:r>
          </w:p>
          <w:p w14:paraId="1095DCDA" w14:textId="77777777" w:rsidR="001D6FB9" w:rsidRPr="00A1774A" w:rsidRDefault="001D6FB9" w:rsidP="00A1774A">
            <w:pPr>
              <w:tabs>
                <w:tab w:val="left" w:pos="589"/>
              </w:tabs>
              <w:spacing w:line="276" w:lineRule="auto"/>
              <w:ind w:firstLine="709"/>
              <w:jc w:val="both"/>
              <w:rPr>
                <w:rFonts w:ascii="Times New Roman" w:eastAsia="Times New Roman" w:hAnsi="Times New Roman" w:cs="Times New Roman"/>
                <w:sz w:val="24"/>
                <w:szCs w:val="24"/>
                <w:lang w:val="ro-MD"/>
              </w:rPr>
            </w:pPr>
            <w:r w:rsidRPr="00A1774A">
              <w:rPr>
                <w:rFonts w:ascii="Times New Roman" w:eastAsia="Times New Roman" w:hAnsi="Times New Roman" w:cs="Times New Roman"/>
                <w:sz w:val="24"/>
                <w:szCs w:val="24"/>
                <w:lang w:val="ro-MD"/>
              </w:rPr>
              <w:t>- Catedra de Inginerie și Științe Aplicate</w:t>
            </w:r>
          </w:p>
          <w:p w14:paraId="60465336" w14:textId="147DB7F9" w:rsidR="001D6FB9" w:rsidRPr="00A1774A" w:rsidRDefault="001D6FB9" w:rsidP="00A1774A">
            <w:pPr>
              <w:tabs>
                <w:tab w:val="left" w:pos="589"/>
              </w:tabs>
              <w:spacing w:line="276" w:lineRule="auto"/>
              <w:ind w:firstLine="709"/>
              <w:jc w:val="both"/>
              <w:rPr>
                <w:rFonts w:ascii="Times New Roman" w:eastAsia="Times New Roman" w:hAnsi="Times New Roman" w:cs="Times New Roman"/>
                <w:sz w:val="24"/>
                <w:szCs w:val="24"/>
                <w:lang w:val="ro-MD"/>
              </w:rPr>
            </w:pPr>
            <w:r w:rsidRPr="00A1774A">
              <w:rPr>
                <w:rFonts w:ascii="Times New Roman" w:eastAsia="Times New Roman" w:hAnsi="Times New Roman" w:cs="Times New Roman"/>
                <w:sz w:val="24"/>
                <w:szCs w:val="24"/>
                <w:lang w:val="ro-MD"/>
              </w:rPr>
              <w:t>2</w:t>
            </w:r>
            <w:r w:rsidRPr="00A1774A">
              <w:rPr>
                <w:rFonts w:ascii="Times New Roman" w:eastAsia="Times New Roman" w:hAnsi="Times New Roman" w:cs="Times New Roman"/>
                <w:b/>
                <w:bCs/>
                <w:sz w:val="24"/>
                <w:szCs w:val="24"/>
                <w:lang w:val="ro-MD"/>
              </w:rPr>
              <w:t xml:space="preserve">. Facultatea de Drept </w:t>
            </w:r>
            <w:r w:rsidRPr="00A1774A">
              <w:rPr>
                <w:rFonts w:ascii="Times New Roman" w:eastAsia="Times New Roman" w:hAnsi="Times New Roman" w:cs="Times New Roman"/>
                <w:b/>
                <w:bCs/>
                <w:sz w:val="24"/>
                <w:szCs w:val="24"/>
                <w:lang w:val="ro-MD"/>
              </w:rPr>
              <w:t>și</w:t>
            </w:r>
            <w:r w:rsidRPr="00A1774A">
              <w:rPr>
                <w:rFonts w:ascii="Times New Roman" w:eastAsia="Times New Roman" w:hAnsi="Times New Roman" w:cs="Times New Roman"/>
                <w:b/>
                <w:bCs/>
                <w:sz w:val="24"/>
                <w:szCs w:val="24"/>
                <w:lang w:val="ro-MD"/>
              </w:rPr>
              <w:t xml:space="preserve"> </w:t>
            </w:r>
            <w:r w:rsidRPr="00A1774A">
              <w:rPr>
                <w:rFonts w:ascii="Times New Roman" w:eastAsia="Times New Roman" w:hAnsi="Times New Roman" w:cs="Times New Roman"/>
                <w:b/>
                <w:bCs/>
                <w:sz w:val="24"/>
                <w:szCs w:val="24"/>
                <w:lang w:val="ro-MD"/>
              </w:rPr>
              <w:t>Administrație</w:t>
            </w:r>
            <w:r w:rsidRPr="00A1774A">
              <w:rPr>
                <w:rFonts w:ascii="Times New Roman" w:eastAsia="Times New Roman" w:hAnsi="Times New Roman" w:cs="Times New Roman"/>
                <w:b/>
                <w:bCs/>
                <w:sz w:val="24"/>
                <w:szCs w:val="24"/>
                <w:lang w:val="ro-MD"/>
              </w:rPr>
              <w:t xml:space="preserve"> Publică</w:t>
            </w:r>
            <w:r w:rsidRPr="00A1774A">
              <w:rPr>
                <w:rFonts w:ascii="Times New Roman" w:eastAsia="Times New Roman" w:hAnsi="Times New Roman" w:cs="Times New Roman"/>
                <w:sz w:val="24"/>
                <w:szCs w:val="24"/>
                <w:lang w:val="ro-MD"/>
              </w:rPr>
              <w:t xml:space="preserve"> </w:t>
            </w:r>
          </w:p>
          <w:p w14:paraId="04F32B6B" w14:textId="77777777" w:rsidR="001D6FB9" w:rsidRPr="00A1774A" w:rsidRDefault="001D6FB9" w:rsidP="00A1774A">
            <w:pPr>
              <w:tabs>
                <w:tab w:val="left" w:pos="589"/>
              </w:tabs>
              <w:spacing w:line="276" w:lineRule="auto"/>
              <w:ind w:firstLine="709"/>
              <w:jc w:val="both"/>
              <w:rPr>
                <w:rFonts w:ascii="Times New Roman" w:eastAsia="Times New Roman" w:hAnsi="Times New Roman" w:cs="Times New Roman"/>
                <w:sz w:val="24"/>
                <w:szCs w:val="24"/>
                <w:lang w:val="ro-MD"/>
              </w:rPr>
            </w:pPr>
            <w:r w:rsidRPr="00A1774A">
              <w:rPr>
                <w:rFonts w:ascii="Times New Roman" w:eastAsia="Times New Roman" w:hAnsi="Times New Roman" w:cs="Times New Roman"/>
                <w:sz w:val="24"/>
                <w:szCs w:val="24"/>
                <w:lang w:val="ro-MD"/>
              </w:rPr>
              <w:t xml:space="preserve">- Catedra de Drept </w:t>
            </w:r>
          </w:p>
          <w:p w14:paraId="7FD55174" w14:textId="77777777" w:rsidR="001D6FB9" w:rsidRPr="00A1774A" w:rsidRDefault="001D6FB9" w:rsidP="00A1774A">
            <w:pPr>
              <w:tabs>
                <w:tab w:val="left" w:pos="589"/>
              </w:tabs>
              <w:spacing w:line="276" w:lineRule="auto"/>
              <w:ind w:firstLine="709"/>
              <w:jc w:val="both"/>
              <w:rPr>
                <w:rFonts w:ascii="Times New Roman" w:eastAsia="Times New Roman" w:hAnsi="Times New Roman" w:cs="Times New Roman"/>
                <w:sz w:val="24"/>
                <w:szCs w:val="24"/>
                <w:lang w:val="ro-MD"/>
              </w:rPr>
            </w:pPr>
            <w:r w:rsidRPr="00A1774A">
              <w:rPr>
                <w:rFonts w:ascii="Times New Roman" w:eastAsia="Times New Roman" w:hAnsi="Times New Roman" w:cs="Times New Roman"/>
                <w:sz w:val="24"/>
                <w:szCs w:val="24"/>
                <w:lang w:val="ro-MD"/>
              </w:rPr>
              <w:t xml:space="preserve">- Catedra de Științe Politice și Administrative </w:t>
            </w:r>
          </w:p>
          <w:p w14:paraId="35A2C813" w14:textId="77777777" w:rsidR="001D6FB9" w:rsidRPr="00A1774A" w:rsidRDefault="001D6FB9" w:rsidP="00A1774A">
            <w:pPr>
              <w:tabs>
                <w:tab w:val="left" w:pos="589"/>
              </w:tabs>
              <w:spacing w:line="276" w:lineRule="auto"/>
              <w:ind w:firstLine="709"/>
              <w:jc w:val="both"/>
              <w:rPr>
                <w:rFonts w:ascii="Times New Roman" w:eastAsia="Times New Roman" w:hAnsi="Times New Roman" w:cs="Times New Roman"/>
                <w:b/>
                <w:bCs/>
                <w:sz w:val="24"/>
                <w:szCs w:val="24"/>
                <w:lang w:val="ro-MD"/>
              </w:rPr>
            </w:pPr>
            <w:r w:rsidRPr="00A1774A">
              <w:rPr>
                <w:rFonts w:ascii="Times New Roman" w:eastAsia="Times New Roman" w:hAnsi="Times New Roman" w:cs="Times New Roman"/>
                <w:sz w:val="24"/>
                <w:szCs w:val="24"/>
                <w:lang w:val="ro-MD"/>
              </w:rPr>
              <w:t xml:space="preserve">3. </w:t>
            </w:r>
            <w:r w:rsidRPr="00A1774A">
              <w:rPr>
                <w:rFonts w:ascii="Times New Roman" w:eastAsia="Times New Roman" w:hAnsi="Times New Roman" w:cs="Times New Roman"/>
                <w:b/>
                <w:bCs/>
                <w:sz w:val="24"/>
                <w:szCs w:val="24"/>
                <w:lang w:val="ro-MD"/>
              </w:rPr>
              <w:t xml:space="preserve">Facultatea de Științe Umaniste și Pedagogice </w:t>
            </w:r>
          </w:p>
          <w:p w14:paraId="40E26156" w14:textId="77777777" w:rsidR="001D6FB9" w:rsidRPr="00A1774A" w:rsidRDefault="001D6FB9" w:rsidP="00A1774A">
            <w:pPr>
              <w:tabs>
                <w:tab w:val="left" w:pos="589"/>
              </w:tabs>
              <w:spacing w:line="276" w:lineRule="auto"/>
              <w:ind w:firstLine="709"/>
              <w:jc w:val="both"/>
              <w:rPr>
                <w:rFonts w:ascii="Times New Roman" w:eastAsia="Times New Roman" w:hAnsi="Times New Roman" w:cs="Times New Roman"/>
                <w:sz w:val="24"/>
                <w:szCs w:val="24"/>
                <w:lang w:val="ro-MD"/>
              </w:rPr>
            </w:pPr>
            <w:r w:rsidRPr="00A1774A">
              <w:rPr>
                <w:rFonts w:ascii="Times New Roman" w:eastAsia="Times New Roman" w:hAnsi="Times New Roman" w:cs="Times New Roman"/>
                <w:sz w:val="24"/>
                <w:szCs w:val="24"/>
                <w:lang w:val="ro-MD"/>
              </w:rPr>
              <w:t xml:space="preserve">- Catedra de Limbi și Literaturi </w:t>
            </w:r>
          </w:p>
          <w:p w14:paraId="5037B897" w14:textId="2F3A4826" w:rsidR="00C85DB2" w:rsidRPr="00A1774A" w:rsidRDefault="001D6FB9" w:rsidP="00A1774A">
            <w:pPr>
              <w:tabs>
                <w:tab w:val="left" w:pos="589"/>
              </w:tabs>
              <w:spacing w:line="276" w:lineRule="auto"/>
              <w:ind w:firstLine="709"/>
              <w:jc w:val="both"/>
              <w:rPr>
                <w:rFonts w:ascii="Times New Roman" w:eastAsia="Times New Roman" w:hAnsi="Times New Roman" w:cs="Times New Roman"/>
                <w:sz w:val="24"/>
                <w:szCs w:val="24"/>
                <w:lang w:val="ro-MD"/>
              </w:rPr>
            </w:pPr>
            <w:r w:rsidRPr="00A1774A">
              <w:rPr>
                <w:rFonts w:ascii="Times New Roman" w:eastAsia="Times New Roman" w:hAnsi="Times New Roman" w:cs="Times New Roman"/>
                <w:sz w:val="24"/>
                <w:szCs w:val="24"/>
                <w:lang w:val="ro-MD"/>
              </w:rPr>
              <w:t>- Catedra de Istorie și Teoria Educației.</w:t>
            </w:r>
          </w:p>
          <w:p w14:paraId="115FD5E9" w14:textId="0B64A5D3" w:rsidR="00C85DB2" w:rsidRPr="00A1774A" w:rsidRDefault="00754180" w:rsidP="00A1774A">
            <w:pPr>
              <w:tabs>
                <w:tab w:val="left" w:pos="589"/>
              </w:tabs>
              <w:spacing w:line="276" w:lineRule="auto"/>
              <w:ind w:firstLine="709"/>
              <w:jc w:val="both"/>
              <w:rPr>
                <w:rFonts w:ascii="Times New Roman" w:eastAsia="Times New Roman" w:hAnsi="Times New Roman" w:cs="Times New Roman"/>
                <w:b/>
                <w:bCs/>
                <w:sz w:val="24"/>
                <w:szCs w:val="24"/>
                <w:lang w:val="ro-MD"/>
              </w:rPr>
            </w:pPr>
            <w:r w:rsidRPr="00A1774A">
              <w:rPr>
                <w:rFonts w:ascii="Times New Roman" w:eastAsia="Times New Roman" w:hAnsi="Times New Roman" w:cs="Times New Roman"/>
                <w:b/>
                <w:bCs/>
                <w:sz w:val="24"/>
                <w:szCs w:val="24"/>
                <w:lang w:val="ro-MD"/>
              </w:rPr>
              <w:t>C</w:t>
            </w:r>
            <w:r w:rsidR="00C85DB2" w:rsidRPr="00A1774A">
              <w:rPr>
                <w:rFonts w:ascii="Times New Roman" w:eastAsia="Times New Roman" w:hAnsi="Times New Roman" w:cs="Times New Roman"/>
                <w:b/>
                <w:bCs/>
                <w:sz w:val="24"/>
                <w:szCs w:val="24"/>
                <w:lang w:val="ro-MD"/>
              </w:rPr>
              <w:t xml:space="preserve">adre </w:t>
            </w:r>
            <w:r w:rsidRPr="00A1774A">
              <w:rPr>
                <w:rFonts w:ascii="Times New Roman" w:eastAsia="Times New Roman" w:hAnsi="Times New Roman" w:cs="Times New Roman"/>
                <w:b/>
                <w:bCs/>
                <w:sz w:val="24"/>
                <w:szCs w:val="24"/>
                <w:lang w:val="ro-MD"/>
              </w:rPr>
              <w:t xml:space="preserve">universitate la </w:t>
            </w:r>
            <w:r w:rsidRPr="00A1774A">
              <w:rPr>
                <w:rFonts w:ascii="Times New Roman" w:eastAsia="Times New Roman" w:hAnsi="Times New Roman" w:cs="Times New Roman"/>
                <w:b/>
                <w:bCs/>
                <w:sz w:val="24"/>
                <w:szCs w:val="24"/>
                <w:lang w:val="ro-MD"/>
              </w:rPr>
              <w:t>Instituți</w:t>
            </w:r>
            <w:r w:rsidRPr="00A1774A">
              <w:rPr>
                <w:rFonts w:ascii="Times New Roman" w:eastAsia="Times New Roman" w:hAnsi="Times New Roman" w:cs="Times New Roman"/>
                <w:b/>
                <w:bCs/>
                <w:sz w:val="24"/>
                <w:szCs w:val="24"/>
                <w:lang w:val="ro-MD"/>
              </w:rPr>
              <w:t>a</w:t>
            </w:r>
            <w:r w:rsidRPr="00A1774A">
              <w:rPr>
                <w:rFonts w:ascii="Times New Roman" w:eastAsia="Times New Roman" w:hAnsi="Times New Roman" w:cs="Times New Roman"/>
                <w:b/>
                <w:bCs/>
                <w:sz w:val="24"/>
                <w:szCs w:val="24"/>
                <w:lang w:val="ro-MD"/>
              </w:rPr>
              <w:t xml:space="preserve"> Public</w:t>
            </w:r>
            <w:r w:rsidRPr="00A1774A">
              <w:rPr>
                <w:rFonts w:ascii="Times New Roman" w:eastAsia="Times New Roman" w:hAnsi="Times New Roman" w:cs="Times New Roman"/>
                <w:b/>
                <w:bCs/>
                <w:sz w:val="24"/>
                <w:szCs w:val="24"/>
                <w:lang w:val="ro-MD"/>
              </w:rPr>
              <w:t>ă</w:t>
            </w:r>
            <w:r w:rsidRPr="00A1774A">
              <w:rPr>
                <w:rFonts w:ascii="Times New Roman" w:eastAsia="Times New Roman" w:hAnsi="Times New Roman" w:cs="Times New Roman"/>
                <w:b/>
                <w:bCs/>
                <w:sz w:val="24"/>
                <w:szCs w:val="24"/>
                <w:lang w:val="ro-MD"/>
              </w:rPr>
              <w:t xml:space="preserve"> Universitatea de Stat „Bogdan Petriceicu Hașdeu” din Cahul</w:t>
            </w:r>
            <w:r w:rsidRPr="00A1774A">
              <w:rPr>
                <w:rFonts w:ascii="Times New Roman" w:eastAsia="Times New Roman" w:hAnsi="Times New Roman" w:cs="Times New Roman"/>
                <w:b/>
                <w:bCs/>
                <w:sz w:val="24"/>
                <w:szCs w:val="24"/>
                <w:lang w:val="ro-MD"/>
              </w:rPr>
              <w:t>:</w:t>
            </w:r>
          </w:p>
          <w:p w14:paraId="5FFC07A3" w14:textId="3A221A72" w:rsidR="00C85DB2" w:rsidRPr="00A1774A" w:rsidRDefault="00C85DB2" w:rsidP="00A1774A">
            <w:pPr>
              <w:pStyle w:val="Listparagraf"/>
              <w:numPr>
                <w:ilvl w:val="0"/>
                <w:numId w:val="22"/>
              </w:numPr>
              <w:tabs>
                <w:tab w:val="left" w:pos="589"/>
              </w:tabs>
              <w:spacing w:line="276" w:lineRule="auto"/>
              <w:ind w:left="0" w:firstLine="709"/>
              <w:jc w:val="both"/>
              <w:rPr>
                <w:rFonts w:ascii="Times New Roman" w:eastAsia="Times New Roman" w:hAnsi="Times New Roman" w:cs="Times New Roman"/>
                <w:sz w:val="24"/>
                <w:szCs w:val="24"/>
                <w:lang w:val="ro-MD"/>
              </w:rPr>
            </w:pPr>
            <w:r w:rsidRPr="00A1774A">
              <w:rPr>
                <w:rFonts w:ascii="Times New Roman" w:eastAsia="Times New Roman" w:hAnsi="Times New Roman" w:cs="Times New Roman"/>
                <w:sz w:val="24"/>
                <w:szCs w:val="24"/>
                <w:lang w:val="ro-MD"/>
              </w:rPr>
              <w:t xml:space="preserve">Cadre </w:t>
            </w:r>
            <w:proofErr w:type="spellStart"/>
            <w:r w:rsidRPr="00A1774A">
              <w:rPr>
                <w:rFonts w:ascii="Times New Roman" w:eastAsia="Times New Roman" w:hAnsi="Times New Roman" w:cs="Times New Roman"/>
                <w:sz w:val="24"/>
                <w:szCs w:val="24"/>
                <w:lang w:val="ro-MD"/>
              </w:rPr>
              <w:t>stiintifico</w:t>
            </w:r>
            <w:proofErr w:type="spellEnd"/>
            <w:r w:rsidRPr="00A1774A">
              <w:rPr>
                <w:rFonts w:ascii="Times New Roman" w:eastAsia="Times New Roman" w:hAnsi="Times New Roman" w:cs="Times New Roman"/>
                <w:sz w:val="24"/>
                <w:szCs w:val="24"/>
                <w:lang w:val="ro-MD"/>
              </w:rPr>
              <w:t xml:space="preserve">-didactice </w:t>
            </w:r>
            <w:r w:rsidRPr="00A1774A">
              <w:rPr>
                <w:rFonts w:ascii="Times New Roman" w:eastAsia="Times New Roman" w:hAnsi="Times New Roman" w:cs="Times New Roman"/>
                <w:b/>
                <w:bCs/>
                <w:sz w:val="24"/>
                <w:szCs w:val="24"/>
                <w:u w:val="single"/>
                <w:lang w:val="ro-MD"/>
              </w:rPr>
              <w:t>titulare</w:t>
            </w:r>
            <w:r w:rsidRPr="00A1774A">
              <w:rPr>
                <w:rFonts w:ascii="Times New Roman" w:eastAsia="Times New Roman" w:hAnsi="Times New Roman" w:cs="Times New Roman"/>
                <w:sz w:val="24"/>
                <w:szCs w:val="24"/>
                <w:lang w:val="ro-MD"/>
              </w:rPr>
              <w:t xml:space="preserve"> </w:t>
            </w:r>
            <w:r w:rsidR="00754180" w:rsidRPr="00A1774A">
              <w:rPr>
                <w:rFonts w:ascii="Times New Roman" w:eastAsia="Times New Roman" w:hAnsi="Times New Roman" w:cs="Times New Roman"/>
                <w:sz w:val="24"/>
                <w:szCs w:val="24"/>
                <w:lang w:val="ro-MD"/>
              </w:rPr>
              <w:t>–</w:t>
            </w:r>
            <w:r w:rsidRPr="00A1774A">
              <w:rPr>
                <w:rFonts w:ascii="Times New Roman" w:eastAsia="Times New Roman" w:hAnsi="Times New Roman" w:cs="Times New Roman"/>
                <w:b/>
                <w:bCs/>
                <w:sz w:val="24"/>
                <w:szCs w:val="24"/>
                <w:lang w:val="ro-MD"/>
              </w:rPr>
              <w:t xml:space="preserve"> 48</w:t>
            </w:r>
            <w:r w:rsidR="00754180" w:rsidRPr="00A1774A">
              <w:rPr>
                <w:rFonts w:ascii="Times New Roman" w:eastAsia="Times New Roman" w:hAnsi="Times New Roman" w:cs="Times New Roman"/>
                <w:b/>
                <w:bCs/>
                <w:sz w:val="24"/>
                <w:szCs w:val="24"/>
                <w:lang w:val="ro-MD"/>
              </w:rPr>
              <w:t xml:space="preserve"> </w:t>
            </w:r>
            <w:r w:rsidR="00754180" w:rsidRPr="00A1774A">
              <w:rPr>
                <w:rFonts w:ascii="Times New Roman" w:eastAsia="Times New Roman" w:hAnsi="Times New Roman" w:cs="Times New Roman"/>
                <w:sz w:val="24"/>
                <w:szCs w:val="24"/>
                <w:lang w:val="ro-MD"/>
              </w:rPr>
              <w:t>(10 de vârstă pensionară)</w:t>
            </w:r>
            <w:r w:rsidRPr="00A1774A">
              <w:rPr>
                <w:rFonts w:ascii="Times New Roman" w:eastAsia="Times New Roman" w:hAnsi="Times New Roman" w:cs="Times New Roman"/>
                <w:sz w:val="24"/>
                <w:szCs w:val="24"/>
                <w:lang w:val="ro-MD"/>
              </w:rPr>
              <w:t>: dintre care</w:t>
            </w:r>
            <w:r w:rsidRPr="00A1774A">
              <w:rPr>
                <w:rFonts w:ascii="Times New Roman" w:eastAsia="Times New Roman" w:hAnsi="Times New Roman" w:cs="Times New Roman"/>
                <w:sz w:val="24"/>
                <w:szCs w:val="24"/>
                <w:lang w:val="ro-MD"/>
              </w:rPr>
              <w:t>:</w:t>
            </w:r>
            <w:r w:rsidRPr="00A1774A">
              <w:rPr>
                <w:rFonts w:ascii="Times New Roman" w:eastAsia="Times New Roman" w:hAnsi="Times New Roman" w:cs="Times New Roman"/>
                <w:sz w:val="24"/>
                <w:szCs w:val="24"/>
                <w:lang w:val="ro-MD"/>
              </w:rPr>
              <w:t xml:space="preserve"> 2 </w:t>
            </w:r>
            <w:proofErr w:type="spellStart"/>
            <w:r w:rsidRPr="00A1774A">
              <w:rPr>
                <w:rFonts w:ascii="Times New Roman" w:eastAsia="Times New Roman" w:hAnsi="Times New Roman" w:cs="Times New Roman"/>
                <w:sz w:val="24"/>
                <w:szCs w:val="24"/>
                <w:lang w:val="ro-MD"/>
              </w:rPr>
              <w:t>dr.hab</w:t>
            </w:r>
            <w:proofErr w:type="spellEnd"/>
            <w:r w:rsidRPr="00A1774A">
              <w:rPr>
                <w:rFonts w:ascii="Times New Roman" w:eastAsia="Times New Roman" w:hAnsi="Times New Roman" w:cs="Times New Roman"/>
                <w:sz w:val="24"/>
                <w:szCs w:val="24"/>
                <w:lang w:val="ro-MD"/>
              </w:rPr>
              <w:t>.,</w:t>
            </w:r>
            <w:r w:rsidR="00754180" w:rsidRPr="00A1774A">
              <w:rPr>
                <w:rFonts w:ascii="Times New Roman" w:eastAsia="Times New Roman" w:hAnsi="Times New Roman" w:cs="Times New Roman"/>
                <w:sz w:val="24"/>
                <w:szCs w:val="24"/>
                <w:lang w:val="ro-MD"/>
              </w:rPr>
              <w:t xml:space="preserve"> </w:t>
            </w:r>
            <w:r w:rsidRPr="00A1774A">
              <w:rPr>
                <w:rFonts w:ascii="Times New Roman" w:eastAsia="Times New Roman" w:hAnsi="Times New Roman" w:cs="Times New Roman"/>
                <w:sz w:val="24"/>
                <w:szCs w:val="24"/>
                <w:lang w:val="ro-MD"/>
              </w:rPr>
              <w:t>36 doctori</w:t>
            </w:r>
            <w:r w:rsidRPr="00A1774A">
              <w:rPr>
                <w:rFonts w:ascii="Times New Roman" w:eastAsia="Times New Roman" w:hAnsi="Times New Roman" w:cs="Times New Roman"/>
                <w:sz w:val="24"/>
                <w:szCs w:val="24"/>
                <w:lang w:val="ro-MD"/>
              </w:rPr>
              <w:t>,</w:t>
            </w:r>
            <w:r w:rsidRPr="00A1774A">
              <w:rPr>
                <w:rFonts w:ascii="Times New Roman" w:eastAsia="Times New Roman" w:hAnsi="Times New Roman" w:cs="Times New Roman"/>
                <w:sz w:val="24"/>
                <w:szCs w:val="24"/>
                <w:lang w:val="ro-MD"/>
              </w:rPr>
              <w:t xml:space="preserve"> 10 </w:t>
            </w:r>
            <w:r w:rsidRPr="00A1774A">
              <w:rPr>
                <w:rFonts w:ascii="Times New Roman" w:eastAsia="Times New Roman" w:hAnsi="Times New Roman" w:cs="Times New Roman"/>
                <w:sz w:val="24"/>
                <w:szCs w:val="24"/>
                <w:lang w:val="ro-MD"/>
              </w:rPr>
              <w:t>asistenți</w:t>
            </w:r>
          </w:p>
          <w:p w14:paraId="3FDD5913" w14:textId="495D4ED2" w:rsidR="00C85DB2" w:rsidRPr="00A1774A" w:rsidRDefault="00C85DB2" w:rsidP="00A1774A">
            <w:pPr>
              <w:pStyle w:val="Listparagraf"/>
              <w:numPr>
                <w:ilvl w:val="0"/>
                <w:numId w:val="22"/>
              </w:numPr>
              <w:tabs>
                <w:tab w:val="left" w:pos="589"/>
              </w:tabs>
              <w:spacing w:line="276" w:lineRule="auto"/>
              <w:ind w:left="0" w:firstLine="709"/>
              <w:jc w:val="both"/>
              <w:rPr>
                <w:rFonts w:ascii="Times New Roman" w:eastAsia="Times New Roman" w:hAnsi="Times New Roman" w:cs="Times New Roman"/>
                <w:sz w:val="24"/>
                <w:szCs w:val="24"/>
                <w:lang w:val="ro-MD"/>
              </w:rPr>
            </w:pPr>
            <w:r w:rsidRPr="00A1774A">
              <w:rPr>
                <w:rFonts w:ascii="Times New Roman" w:eastAsia="Times New Roman" w:hAnsi="Times New Roman" w:cs="Times New Roman"/>
                <w:sz w:val="24"/>
                <w:szCs w:val="24"/>
                <w:lang w:val="ro-MD"/>
              </w:rPr>
              <w:t xml:space="preserve">Cadre </w:t>
            </w:r>
            <w:proofErr w:type="spellStart"/>
            <w:r w:rsidRPr="00A1774A">
              <w:rPr>
                <w:rFonts w:ascii="Times New Roman" w:eastAsia="Times New Roman" w:hAnsi="Times New Roman" w:cs="Times New Roman"/>
                <w:sz w:val="24"/>
                <w:szCs w:val="24"/>
                <w:lang w:val="ro-MD"/>
              </w:rPr>
              <w:t>stiintifico</w:t>
            </w:r>
            <w:proofErr w:type="spellEnd"/>
            <w:r w:rsidRPr="00A1774A">
              <w:rPr>
                <w:rFonts w:ascii="Times New Roman" w:eastAsia="Times New Roman" w:hAnsi="Times New Roman" w:cs="Times New Roman"/>
                <w:sz w:val="24"/>
                <w:szCs w:val="24"/>
                <w:lang w:val="ro-MD"/>
              </w:rPr>
              <w:t xml:space="preserve">-didactice </w:t>
            </w:r>
            <w:r w:rsidRPr="00A1774A">
              <w:rPr>
                <w:rFonts w:ascii="Times New Roman" w:eastAsia="Times New Roman" w:hAnsi="Times New Roman" w:cs="Times New Roman"/>
                <w:b/>
                <w:bCs/>
                <w:sz w:val="24"/>
                <w:szCs w:val="24"/>
                <w:u w:val="single"/>
                <w:lang w:val="ro-MD"/>
              </w:rPr>
              <w:t>cumul</w:t>
            </w:r>
            <w:r w:rsidRPr="00A1774A">
              <w:rPr>
                <w:rFonts w:ascii="Times New Roman" w:eastAsia="Times New Roman" w:hAnsi="Times New Roman" w:cs="Times New Roman"/>
                <w:b/>
                <w:bCs/>
                <w:sz w:val="24"/>
                <w:szCs w:val="24"/>
                <w:u w:val="single"/>
                <w:lang w:val="ro-MD"/>
              </w:rPr>
              <w:t>arde</w:t>
            </w:r>
            <w:r w:rsidRPr="00A1774A">
              <w:rPr>
                <w:rFonts w:ascii="Times New Roman" w:eastAsia="Times New Roman" w:hAnsi="Times New Roman" w:cs="Times New Roman"/>
                <w:b/>
                <w:bCs/>
                <w:sz w:val="24"/>
                <w:szCs w:val="24"/>
                <w:lang w:val="ro-MD"/>
              </w:rPr>
              <w:t xml:space="preserve"> </w:t>
            </w:r>
            <w:r w:rsidRPr="00A1774A">
              <w:rPr>
                <w:rFonts w:ascii="Times New Roman" w:eastAsia="Times New Roman" w:hAnsi="Times New Roman" w:cs="Times New Roman"/>
                <w:sz w:val="24"/>
                <w:szCs w:val="24"/>
                <w:lang w:val="ro-MD"/>
              </w:rPr>
              <w:t xml:space="preserve">- </w:t>
            </w:r>
            <w:r w:rsidRPr="00A1774A">
              <w:rPr>
                <w:rFonts w:ascii="Times New Roman" w:eastAsia="Times New Roman" w:hAnsi="Times New Roman" w:cs="Times New Roman"/>
                <w:b/>
                <w:bCs/>
                <w:sz w:val="24"/>
                <w:szCs w:val="24"/>
                <w:lang w:val="ro-MD"/>
              </w:rPr>
              <w:t>18</w:t>
            </w:r>
            <w:r w:rsidRPr="00A1774A">
              <w:rPr>
                <w:rFonts w:ascii="Times New Roman" w:eastAsia="Times New Roman" w:hAnsi="Times New Roman" w:cs="Times New Roman"/>
                <w:sz w:val="24"/>
                <w:szCs w:val="24"/>
                <w:lang w:val="ro-MD"/>
              </w:rPr>
              <w:t>: dintre care</w:t>
            </w:r>
            <w:r w:rsidRPr="00A1774A">
              <w:rPr>
                <w:rFonts w:ascii="Times New Roman" w:eastAsia="Times New Roman" w:hAnsi="Times New Roman" w:cs="Times New Roman"/>
                <w:sz w:val="24"/>
                <w:szCs w:val="24"/>
                <w:lang w:val="ro-MD"/>
              </w:rPr>
              <w:t>-</w:t>
            </w:r>
            <w:r w:rsidRPr="00A1774A">
              <w:rPr>
                <w:rFonts w:ascii="Times New Roman" w:eastAsia="Times New Roman" w:hAnsi="Times New Roman" w:cs="Times New Roman"/>
                <w:sz w:val="24"/>
                <w:szCs w:val="24"/>
                <w:lang w:val="ro-MD"/>
              </w:rPr>
              <w:t xml:space="preserve"> 4 </w:t>
            </w:r>
            <w:proofErr w:type="spellStart"/>
            <w:r w:rsidRPr="00A1774A">
              <w:rPr>
                <w:rFonts w:ascii="Times New Roman" w:eastAsia="Times New Roman" w:hAnsi="Times New Roman" w:cs="Times New Roman"/>
                <w:sz w:val="24"/>
                <w:szCs w:val="24"/>
                <w:lang w:val="ro-MD"/>
              </w:rPr>
              <w:t>dr.hab</w:t>
            </w:r>
            <w:proofErr w:type="spellEnd"/>
            <w:r w:rsidRPr="00A1774A">
              <w:rPr>
                <w:rFonts w:ascii="Times New Roman" w:eastAsia="Times New Roman" w:hAnsi="Times New Roman" w:cs="Times New Roman"/>
                <w:sz w:val="24"/>
                <w:szCs w:val="24"/>
                <w:lang w:val="ro-MD"/>
              </w:rPr>
              <w:t>.,</w:t>
            </w:r>
            <w:r w:rsidRPr="00A1774A">
              <w:rPr>
                <w:rFonts w:ascii="Times New Roman" w:eastAsia="Times New Roman" w:hAnsi="Times New Roman" w:cs="Times New Roman"/>
                <w:sz w:val="24"/>
                <w:szCs w:val="24"/>
                <w:lang w:val="ro-MD"/>
              </w:rPr>
              <w:t xml:space="preserve"> 11 doctori</w:t>
            </w:r>
            <w:r w:rsidRPr="00A1774A">
              <w:rPr>
                <w:rFonts w:ascii="Times New Roman" w:eastAsia="Times New Roman" w:hAnsi="Times New Roman" w:cs="Times New Roman"/>
                <w:sz w:val="24"/>
                <w:szCs w:val="24"/>
                <w:lang w:val="ro-MD"/>
              </w:rPr>
              <w:t>,</w:t>
            </w:r>
            <w:r w:rsidRPr="00A1774A">
              <w:rPr>
                <w:rFonts w:ascii="Times New Roman" w:eastAsia="Times New Roman" w:hAnsi="Times New Roman" w:cs="Times New Roman"/>
                <w:sz w:val="24"/>
                <w:szCs w:val="24"/>
                <w:lang w:val="ro-MD"/>
              </w:rPr>
              <w:t xml:space="preserve"> 3 </w:t>
            </w:r>
            <w:r w:rsidRPr="00A1774A">
              <w:rPr>
                <w:rFonts w:ascii="Times New Roman" w:eastAsia="Times New Roman" w:hAnsi="Times New Roman" w:cs="Times New Roman"/>
                <w:sz w:val="24"/>
                <w:szCs w:val="24"/>
                <w:lang w:val="ro-MD"/>
              </w:rPr>
              <w:t>asistenți</w:t>
            </w:r>
          </w:p>
          <w:p w14:paraId="73A898DF" w14:textId="60FE20D5" w:rsidR="00C85DB2" w:rsidRPr="00A1774A" w:rsidRDefault="00C85DB2" w:rsidP="00A1774A">
            <w:pPr>
              <w:pStyle w:val="Listparagraf"/>
              <w:numPr>
                <w:ilvl w:val="0"/>
                <w:numId w:val="22"/>
              </w:numPr>
              <w:tabs>
                <w:tab w:val="left" w:pos="589"/>
              </w:tabs>
              <w:spacing w:line="276" w:lineRule="auto"/>
              <w:ind w:left="0" w:firstLine="709"/>
              <w:jc w:val="both"/>
              <w:rPr>
                <w:rFonts w:ascii="Times New Roman" w:eastAsia="Times New Roman" w:hAnsi="Times New Roman" w:cs="Times New Roman"/>
                <w:sz w:val="24"/>
                <w:szCs w:val="24"/>
                <w:lang w:val="ro-MD"/>
              </w:rPr>
            </w:pPr>
            <w:r w:rsidRPr="00A1774A">
              <w:rPr>
                <w:rFonts w:ascii="Times New Roman" w:eastAsia="Times New Roman" w:hAnsi="Times New Roman" w:cs="Times New Roman"/>
                <w:sz w:val="24"/>
                <w:szCs w:val="24"/>
                <w:lang w:val="ro-MD"/>
              </w:rPr>
              <w:t xml:space="preserve">Personal administrativ, </w:t>
            </w:r>
            <w:r w:rsidRPr="00A1774A">
              <w:rPr>
                <w:rFonts w:ascii="Times New Roman" w:eastAsia="Times New Roman" w:hAnsi="Times New Roman" w:cs="Times New Roman"/>
                <w:sz w:val="24"/>
                <w:szCs w:val="24"/>
                <w:lang w:val="ro-MD"/>
              </w:rPr>
              <w:t>tehnic</w:t>
            </w:r>
            <w:r w:rsidRPr="00A1774A">
              <w:rPr>
                <w:rFonts w:ascii="Times New Roman" w:eastAsia="Times New Roman" w:hAnsi="Times New Roman" w:cs="Times New Roman"/>
                <w:sz w:val="24"/>
                <w:szCs w:val="24"/>
                <w:lang w:val="ro-MD"/>
              </w:rPr>
              <w:t xml:space="preserve"> si auxiliar – </w:t>
            </w:r>
            <w:r w:rsidRPr="00A1774A">
              <w:rPr>
                <w:rFonts w:ascii="Times New Roman" w:eastAsia="Times New Roman" w:hAnsi="Times New Roman" w:cs="Times New Roman"/>
                <w:b/>
                <w:bCs/>
                <w:sz w:val="24"/>
                <w:szCs w:val="24"/>
                <w:lang w:val="ro-MD"/>
              </w:rPr>
              <w:t>69</w:t>
            </w:r>
            <w:r w:rsidRPr="00A1774A">
              <w:rPr>
                <w:rFonts w:ascii="Times New Roman" w:eastAsia="Times New Roman" w:hAnsi="Times New Roman" w:cs="Times New Roman"/>
                <w:sz w:val="24"/>
                <w:szCs w:val="24"/>
                <w:lang w:val="ro-MD"/>
              </w:rPr>
              <w:t>: dintre care</w:t>
            </w:r>
            <w:r w:rsidRPr="00A1774A">
              <w:rPr>
                <w:rFonts w:ascii="Times New Roman" w:eastAsia="Times New Roman" w:hAnsi="Times New Roman" w:cs="Times New Roman"/>
                <w:sz w:val="24"/>
                <w:szCs w:val="24"/>
                <w:lang w:val="ro-MD"/>
              </w:rPr>
              <w:t>-</w:t>
            </w:r>
            <w:r w:rsidRPr="00A1774A">
              <w:rPr>
                <w:rFonts w:ascii="Times New Roman" w:eastAsia="Times New Roman" w:hAnsi="Times New Roman" w:cs="Times New Roman"/>
                <w:sz w:val="24"/>
                <w:szCs w:val="24"/>
                <w:lang w:val="ro-MD"/>
              </w:rPr>
              <w:t xml:space="preserve"> 62 </w:t>
            </w:r>
            <w:r w:rsidRPr="00A1774A">
              <w:rPr>
                <w:rFonts w:ascii="Times New Roman" w:eastAsia="Times New Roman" w:hAnsi="Times New Roman" w:cs="Times New Roman"/>
                <w:sz w:val="24"/>
                <w:szCs w:val="24"/>
                <w:lang w:val="ro-MD"/>
              </w:rPr>
              <w:t>titulari,</w:t>
            </w:r>
            <w:r w:rsidRPr="00A1774A">
              <w:rPr>
                <w:rFonts w:ascii="Times New Roman" w:eastAsia="Times New Roman" w:hAnsi="Times New Roman" w:cs="Times New Roman"/>
                <w:sz w:val="24"/>
                <w:szCs w:val="24"/>
                <w:lang w:val="ro-MD"/>
              </w:rPr>
              <w:t xml:space="preserve"> 7 cumul</w:t>
            </w:r>
            <w:r w:rsidRPr="00A1774A">
              <w:rPr>
                <w:rFonts w:ascii="Times New Roman" w:eastAsia="Times New Roman" w:hAnsi="Times New Roman" w:cs="Times New Roman"/>
                <w:sz w:val="24"/>
                <w:szCs w:val="24"/>
                <w:lang w:val="ro-MD"/>
              </w:rPr>
              <w:t>arzi.</w:t>
            </w:r>
          </w:p>
          <w:p w14:paraId="168CBC8B" w14:textId="77777777" w:rsidR="008F0E4C" w:rsidRPr="00A1774A" w:rsidRDefault="008F0E4C" w:rsidP="00A1774A">
            <w:pPr>
              <w:tabs>
                <w:tab w:val="left" w:pos="589"/>
              </w:tabs>
              <w:spacing w:line="276" w:lineRule="auto"/>
              <w:ind w:firstLine="709"/>
              <w:jc w:val="both"/>
              <w:rPr>
                <w:rFonts w:ascii="Times New Roman" w:eastAsia="Times New Roman" w:hAnsi="Times New Roman" w:cs="Times New Roman"/>
                <w:sz w:val="24"/>
                <w:szCs w:val="24"/>
                <w:lang w:val="ro-MD"/>
              </w:rPr>
            </w:pPr>
            <w:r w:rsidRPr="00A1774A">
              <w:rPr>
                <w:rFonts w:ascii="Times New Roman" w:eastAsia="Times New Roman" w:hAnsi="Times New Roman" w:cs="Times New Roman"/>
                <w:sz w:val="24"/>
                <w:szCs w:val="24"/>
                <w:lang w:val="ro-MD"/>
              </w:rPr>
              <w:t>Astfel, 36 de cadre didactice (</w:t>
            </w:r>
            <w:r w:rsidRPr="00A1774A">
              <w:rPr>
                <w:rFonts w:ascii="Times New Roman" w:eastAsia="Times New Roman" w:hAnsi="Times New Roman" w:cs="Times New Roman"/>
                <w:b/>
                <w:bCs/>
                <w:sz w:val="24"/>
                <w:szCs w:val="24"/>
                <w:lang w:val="ro-MD"/>
              </w:rPr>
              <w:t>45%)</w:t>
            </w:r>
            <w:r w:rsidRPr="00A1774A">
              <w:rPr>
                <w:rFonts w:ascii="Times New Roman" w:eastAsia="Times New Roman" w:hAnsi="Times New Roman" w:cs="Times New Roman"/>
                <w:sz w:val="24"/>
                <w:szCs w:val="24"/>
                <w:lang w:val="ro-MD"/>
              </w:rPr>
              <w:t xml:space="preserve"> </w:t>
            </w:r>
            <w:r w:rsidRPr="00A1774A">
              <w:rPr>
                <w:rFonts w:ascii="Times New Roman" w:eastAsia="Times New Roman" w:hAnsi="Times New Roman" w:cs="Times New Roman"/>
                <w:b/>
                <w:bCs/>
                <w:sz w:val="24"/>
                <w:szCs w:val="24"/>
                <w:lang w:val="ro-MD"/>
              </w:rPr>
              <w:t>nu au norma</w:t>
            </w:r>
            <w:r w:rsidRPr="00A1774A">
              <w:rPr>
                <w:rFonts w:ascii="Times New Roman" w:eastAsia="Times New Roman" w:hAnsi="Times New Roman" w:cs="Times New Roman"/>
                <w:b/>
                <w:bCs/>
                <w:sz w:val="24"/>
                <w:szCs w:val="24"/>
                <w:lang w:val="ro-MD"/>
              </w:rPr>
              <w:t xml:space="preserve"> întreaga</w:t>
            </w:r>
            <w:r w:rsidRPr="00A1774A">
              <w:rPr>
                <w:rFonts w:ascii="Times New Roman" w:eastAsia="Times New Roman" w:hAnsi="Times New Roman" w:cs="Times New Roman"/>
                <w:sz w:val="24"/>
                <w:szCs w:val="24"/>
                <w:lang w:val="ro-MD"/>
              </w:rPr>
              <w:t>,</w:t>
            </w:r>
            <w:r w:rsidRPr="00A1774A">
              <w:rPr>
                <w:rFonts w:ascii="Times New Roman" w:eastAsia="Times New Roman" w:hAnsi="Times New Roman" w:cs="Times New Roman"/>
                <w:sz w:val="24"/>
                <w:szCs w:val="24"/>
                <w:lang w:val="ro-MD"/>
              </w:rPr>
              <w:t xml:space="preserve"> </w:t>
            </w:r>
            <w:r w:rsidRPr="00A1774A">
              <w:rPr>
                <w:rFonts w:ascii="Times New Roman" w:eastAsia="Times New Roman" w:hAnsi="Times New Roman" w:cs="Times New Roman"/>
                <w:b/>
                <w:bCs/>
                <w:sz w:val="24"/>
                <w:szCs w:val="24"/>
                <w:lang w:val="ro-MD"/>
              </w:rPr>
              <w:t>de bază</w:t>
            </w:r>
            <w:r w:rsidRPr="00A1774A">
              <w:rPr>
                <w:rFonts w:ascii="Times New Roman" w:eastAsia="Times New Roman" w:hAnsi="Times New Roman" w:cs="Times New Roman"/>
                <w:sz w:val="24"/>
                <w:szCs w:val="24"/>
                <w:lang w:val="ro-MD"/>
              </w:rPr>
              <w:t xml:space="preserve"> în cadrul universității, iar aproape o treime din activitatea didactică este asigurată de cadre angajate prin cumul extern, ceea ce indică o dependență structurală de personal cu implicare parțială.</w:t>
            </w:r>
          </w:p>
          <w:p w14:paraId="535C5E99" w14:textId="77777777" w:rsidR="008F0E4C" w:rsidRPr="00A1774A" w:rsidRDefault="008F0E4C" w:rsidP="00A1774A">
            <w:pPr>
              <w:tabs>
                <w:tab w:val="left" w:pos="589"/>
              </w:tabs>
              <w:spacing w:line="276" w:lineRule="auto"/>
              <w:ind w:firstLine="709"/>
              <w:jc w:val="both"/>
              <w:rPr>
                <w:rFonts w:ascii="Times New Roman" w:eastAsia="Times New Roman" w:hAnsi="Times New Roman" w:cs="Times New Roman"/>
                <w:sz w:val="24"/>
                <w:szCs w:val="24"/>
                <w:lang w:val="ro-MD"/>
              </w:rPr>
            </w:pPr>
            <w:r w:rsidRPr="00A1774A">
              <w:rPr>
                <w:rFonts w:ascii="Times New Roman" w:eastAsia="Times New Roman" w:hAnsi="Times New Roman" w:cs="Times New Roman"/>
                <w:sz w:val="24"/>
                <w:szCs w:val="24"/>
                <w:lang w:val="ro-MD"/>
              </w:rPr>
              <w:t xml:space="preserve">Analiza pe facultăți relevă diferențe semnificative în </w:t>
            </w:r>
            <w:r w:rsidRPr="00A1774A">
              <w:rPr>
                <w:rFonts w:ascii="Times New Roman" w:eastAsia="Times New Roman" w:hAnsi="Times New Roman" w:cs="Times New Roman"/>
                <w:b/>
                <w:bCs/>
                <w:sz w:val="24"/>
                <w:szCs w:val="24"/>
                <w:lang w:val="ro-MD"/>
              </w:rPr>
              <w:t>gradul de stabilitate a resursei umane</w:t>
            </w:r>
            <w:r w:rsidRPr="00A1774A">
              <w:rPr>
                <w:rFonts w:ascii="Times New Roman" w:eastAsia="Times New Roman" w:hAnsi="Times New Roman" w:cs="Times New Roman"/>
                <w:sz w:val="24"/>
                <w:szCs w:val="24"/>
                <w:lang w:val="ro-MD"/>
              </w:rPr>
              <w:t>. Facultatea Drept și Administrație Publică înregistrează cea mai mare dependență de mecanismele de cumul, cu 11 cadre de bază, 10 cadre prin cumul intern și 7 cadre prin cumul extern, în contextul unui volum ridicat de studenți și al unei ponderi foarte mari a studiilor fără frecvență. Facultatea de Științe Umaniste și Pedagogice dispune de 16 cadre de bază, 3 cadre prin cumul intern și 9 cadre prin cumul extern, ceea ce asigură un nucleu academic funcțional, dar insuficient pentru dezvoltare fără consolidare. Facultatea Economie, Inginerie și Științe Aplicate prezintă cea mai stabilă structură a personalului, cu 17 cadre de bază și 7 cadre prin cumul extern, însă chiar și în acest caz domeniile tehnice și inginerești depind de aportul cadrelor din exterior</w:t>
            </w:r>
          </w:p>
          <w:p w14:paraId="3324E960" w14:textId="2B484781" w:rsidR="008F0E4C" w:rsidRPr="00A1774A" w:rsidRDefault="008F0E4C" w:rsidP="00A1774A">
            <w:pPr>
              <w:tabs>
                <w:tab w:val="left" w:pos="589"/>
              </w:tabs>
              <w:spacing w:line="276" w:lineRule="auto"/>
              <w:ind w:firstLine="709"/>
              <w:jc w:val="both"/>
              <w:rPr>
                <w:rFonts w:ascii="Times New Roman" w:eastAsia="Times New Roman" w:hAnsi="Times New Roman" w:cs="Times New Roman"/>
                <w:sz w:val="24"/>
                <w:szCs w:val="24"/>
                <w:lang w:val="ro-MD"/>
              </w:rPr>
            </w:pPr>
            <w:r w:rsidRPr="00A1774A">
              <w:rPr>
                <w:rFonts w:ascii="Times New Roman" w:eastAsia="Times New Roman" w:hAnsi="Times New Roman" w:cs="Times New Roman"/>
                <w:sz w:val="24"/>
                <w:szCs w:val="24"/>
                <w:lang w:val="ro-MD"/>
              </w:rPr>
              <w:t>Aceste vulnerabilități sunt amplificate de structura de vârstă a corpului didactic, care evidențiază un deficit pronunțat de cadre tinere. Doar aproximativ 4% dintre cadre au vârsta sub 30 de ani, în timp ce 34 de cadre se încadrează în grupa de vârstă 40–49 ani, iar 26 de cadre au vârsta de peste 50 de ani. Absența unui segment consistent de cadre în grupa de vârstă 30–39 ani limitează capacitatea de reînnoire a corpului academic și creează riscuri privind continuitatea procesului educațional în următorii ani.</w:t>
            </w:r>
          </w:p>
          <w:p w14:paraId="788F3CDE" w14:textId="77777777" w:rsidR="008F0E4C" w:rsidRPr="00A1774A" w:rsidRDefault="008F0E4C" w:rsidP="00A1774A">
            <w:pPr>
              <w:tabs>
                <w:tab w:val="left" w:pos="589"/>
              </w:tabs>
              <w:spacing w:line="276" w:lineRule="auto"/>
              <w:ind w:firstLine="709"/>
              <w:jc w:val="both"/>
              <w:rPr>
                <w:rFonts w:ascii="Times New Roman" w:eastAsia="Times New Roman" w:hAnsi="Times New Roman" w:cs="Times New Roman"/>
                <w:sz w:val="24"/>
                <w:szCs w:val="24"/>
                <w:lang w:val="ro-MD"/>
              </w:rPr>
            </w:pPr>
            <w:r w:rsidRPr="00A1774A">
              <w:rPr>
                <w:rFonts w:ascii="Times New Roman" w:eastAsia="Times New Roman" w:hAnsi="Times New Roman" w:cs="Times New Roman"/>
                <w:sz w:val="24"/>
                <w:szCs w:val="24"/>
                <w:lang w:val="ro-MD"/>
              </w:rPr>
              <w:t>Constrângerile bugetare existente, reflectate inclusiv în majorarea normelor didactice, reduc atractivitatea carierei universitare la Cahul și generează diferențe de tratament față de cadrele didactice din alte universități publice, unde condițiile financiare permit un raport mai echilibrat între activitatea didactică, cercetare și dezvoltare profesională. În lipsa unor mecanisme de consolidare instituțională, aceste elemente pot conduce la accentuarea dependenței de cumul, dificultăți în atragerea cadrelor tinere și diminuarea capacității de dezvoltare academică.</w:t>
            </w:r>
          </w:p>
          <w:p w14:paraId="462C6199" w14:textId="77777777" w:rsidR="008F0E4C" w:rsidRPr="00A1774A" w:rsidRDefault="008F0E4C" w:rsidP="00A1774A">
            <w:pPr>
              <w:tabs>
                <w:tab w:val="left" w:pos="589"/>
              </w:tabs>
              <w:spacing w:line="276" w:lineRule="auto"/>
              <w:ind w:firstLine="709"/>
              <w:jc w:val="both"/>
              <w:rPr>
                <w:rFonts w:ascii="Times New Roman" w:eastAsia="Times New Roman" w:hAnsi="Times New Roman" w:cs="Times New Roman"/>
                <w:sz w:val="24"/>
                <w:szCs w:val="24"/>
                <w:lang w:val="ro-MD"/>
              </w:rPr>
            </w:pPr>
            <w:r w:rsidRPr="00A1774A">
              <w:rPr>
                <w:rFonts w:ascii="Times New Roman" w:eastAsia="Times New Roman" w:hAnsi="Times New Roman" w:cs="Times New Roman"/>
                <w:sz w:val="24"/>
                <w:szCs w:val="24"/>
                <w:lang w:val="ro-MD"/>
              </w:rPr>
              <w:t xml:space="preserve">În acest context, analiza resurselor umane confirmă faptul că </w:t>
            </w:r>
            <w:r w:rsidRPr="00A1774A">
              <w:rPr>
                <w:rFonts w:ascii="Times New Roman" w:eastAsia="Times New Roman" w:hAnsi="Times New Roman" w:cs="Times New Roman"/>
                <w:b/>
                <w:bCs/>
                <w:sz w:val="24"/>
                <w:szCs w:val="24"/>
                <w:lang w:val="ro-MD"/>
              </w:rPr>
              <w:t>vulnerabilitățile identificate</w:t>
            </w:r>
            <w:r w:rsidRPr="00A1774A">
              <w:rPr>
                <w:rFonts w:ascii="Times New Roman" w:eastAsia="Times New Roman" w:hAnsi="Times New Roman" w:cs="Times New Roman"/>
                <w:sz w:val="24"/>
                <w:szCs w:val="24"/>
                <w:lang w:val="ro-MD"/>
              </w:rPr>
              <w:t xml:space="preserve"> nu pot fi soluționate prin intervenții punctuale, fiind necesare măsuri structurale de consolidare instituțională, care să permită stabilizarea corpului academic, creșterea atractivității carierei universitare și valorificarea eficientă a investițiilor realizate în infrastructura educațională din municipiul Cahul.</w:t>
            </w:r>
          </w:p>
          <w:p w14:paraId="51D20259" w14:textId="49C9A04B" w:rsidR="000A5D97" w:rsidRPr="00A1774A" w:rsidRDefault="001D6FB9" w:rsidP="00A1774A">
            <w:pPr>
              <w:tabs>
                <w:tab w:val="left" w:pos="589"/>
              </w:tabs>
              <w:spacing w:line="276" w:lineRule="auto"/>
              <w:ind w:firstLine="709"/>
              <w:jc w:val="both"/>
              <w:rPr>
                <w:rFonts w:ascii="Times New Roman" w:eastAsia="Times New Roman" w:hAnsi="Times New Roman" w:cs="Times New Roman"/>
                <w:sz w:val="24"/>
                <w:szCs w:val="24"/>
                <w:lang w:val="ro-MD"/>
              </w:rPr>
            </w:pPr>
            <w:r w:rsidRPr="00A1774A">
              <w:rPr>
                <w:rFonts w:ascii="Times New Roman" w:eastAsia="Times New Roman" w:hAnsi="Times New Roman" w:cs="Times New Roman"/>
                <w:sz w:val="24"/>
                <w:szCs w:val="24"/>
                <w:lang w:val="ro-MD"/>
              </w:rPr>
              <w:t>La momentul actual la Universitatea de Stat ”B</w:t>
            </w:r>
            <w:r w:rsidR="00754D50" w:rsidRPr="00A1774A">
              <w:rPr>
                <w:rFonts w:ascii="Times New Roman" w:eastAsia="Times New Roman" w:hAnsi="Times New Roman" w:cs="Times New Roman"/>
                <w:sz w:val="24"/>
                <w:szCs w:val="24"/>
                <w:lang w:val="ro-MD"/>
              </w:rPr>
              <w:t>.</w:t>
            </w:r>
            <w:r w:rsidRPr="00A1774A">
              <w:rPr>
                <w:rFonts w:ascii="Times New Roman" w:eastAsia="Times New Roman" w:hAnsi="Times New Roman" w:cs="Times New Roman"/>
                <w:sz w:val="24"/>
                <w:szCs w:val="24"/>
                <w:lang w:val="ro-MD"/>
              </w:rPr>
              <w:t xml:space="preserve"> P</w:t>
            </w:r>
            <w:r w:rsidR="00754D50" w:rsidRPr="00A1774A">
              <w:rPr>
                <w:rFonts w:ascii="Times New Roman" w:eastAsia="Times New Roman" w:hAnsi="Times New Roman" w:cs="Times New Roman"/>
                <w:sz w:val="24"/>
                <w:szCs w:val="24"/>
                <w:lang w:val="ro-MD"/>
              </w:rPr>
              <w:t>.</w:t>
            </w:r>
            <w:r w:rsidRPr="00A1774A">
              <w:rPr>
                <w:rFonts w:ascii="Times New Roman" w:eastAsia="Times New Roman" w:hAnsi="Times New Roman" w:cs="Times New Roman"/>
                <w:sz w:val="24"/>
                <w:szCs w:val="24"/>
                <w:lang w:val="ro-MD"/>
              </w:rPr>
              <w:t xml:space="preserve"> </w:t>
            </w:r>
            <w:proofErr w:type="spellStart"/>
            <w:r w:rsidRPr="00A1774A">
              <w:rPr>
                <w:rFonts w:ascii="Times New Roman" w:eastAsia="Times New Roman" w:hAnsi="Times New Roman" w:cs="Times New Roman"/>
                <w:sz w:val="24"/>
                <w:szCs w:val="24"/>
                <w:lang w:val="ro-MD"/>
              </w:rPr>
              <w:t>Hasdeu</w:t>
            </w:r>
            <w:proofErr w:type="spellEnd"/>
            <w:r w:rsidRPr="00A1774A">
              <w:rPr>
                <w:rFonts w:ascii="Times New Roman" w:eastAsia="Times New Roman" w:hAnsi="Times New Roman" w:cs="Times New Roman"/>
                <w:sz w:val="24"/>
                <w:szCs w:val="24"/>
                <w:lang w:val="ro-MD"/>
              </w:rPr>
              <w:t>” din Cahul</w:t>
            </w:r>
            <w:r w:rsidR="00754D50" w:rsidRPr="00A1774A">
              <w:rPr>
                <w:rFonts w:ascii="Times New Roman" w:eastAsia="Times New Roman" w:hAnsi="Times New Roman" w:cs="Times New Roman"/>
                <w:sz w:val="24"/>
                <w:szCs w:val="24"/>
                <w:lang w:val="ro-MD"/>
              </w:rPr>
              <w:t xml:space="preserve"> își fac studiile </w:t>
            </w:r>
            <w:r w:rsidR="00754D50" w:rsidRPr="00A1774A">
              <w:rPr>
                <w:rFonts w:ascii="Times New Roman" w:eastAsia="Times New Roman" w:hAnsi="Times New Roman" w:cs="Times New Roman"/>
                <w:b/>
                <w:bCs/>
                <w:sz w:val="24"/>
                <w:szCs w:val="24"/>
                <w:lang w:val="ro-MD"/>
              </w:rPr>
              <w:t>869</w:t>
            </w:r>
            <w:r w:rsidR="00754D50" w:rsidRPr="00A1774A">
              <w:rPr>
                <w:rFonts w:ascii="Times New Roman" w:eastAsia="Times New Roman" w:hAnsi="Times New Roman" w:cs="Times New Roman"/>
                <w:sz w:val="24"/>
                <w:szCs w:val="24"/>
                <w:lang w:val="ro-MD"/>
              </w:rPr>
              <w:t xml:space="preserve"> de studenți la ciclul I-licență, la buget – 396, la învățământul cu frecvență-385; 484</w:t>
            </w:r>
            <w:r w:rsidR="001E6A80" w:rsidRPr="00A1774A">
              <w:rPr>
                <w:rFonts w:ascii="Times New Roman" w:eastAsia="Times New Roman" w:hAnsi="Times New Roman" w:cs="Times New Roman"/>
                <w:sz w:val="24"/>
                <w:szCs w:val="24"/>
                <w:lang w:val="ro-MD"/>
              </w:rPr>
              <w:t xml:space="preserve"> </w:t>
            </w:r>
            <w:r w:rsidR="00754D50" w:rsidRPr="00A1774A">
              <w:rPr>
                <w:rFonts w:ascii="Times New Roman" w:eastAsia="Times New Roman" w:hAnsi="Times New Roman" w:cs="Times New Roman"/>
                <w:sz w:val="24"/>
                <w:szCs w:val="24"/>
                <w:lang w:val="ro-MD"/>
              </w:rPr>
              <w:t>-</w:t>
            </w:r>
            <w:r w:rsidR="00754D50" w:rsidRPr="00A1774A">
              <w:rPr>
                <w:rFonts w:ascii="Times New Roman" w:eastAsia="Times New Roman" w:hAnsi="Times New Roman" w:cs="Times New Roman"/>
                <w:b/>
                <w:bCs/>
                <w:sz w:val="24"/>
                <w:szCs w:val="24"/>
                <w:lang w:val="ro-MD"/>
              </w:rPr>
              <w:t xml:space="preserve">la </w:t>
            </w:r>
            <w:proofErr w:type="spellStart"/>
            <w:r w:rsidR="00754D50" w:rsidRPr="00A1774A">
              <w:rPr>
                <w:rFonts w:ascii="Times New Roman" w:eastAsia="Times New Roman" w:hAnsi="Times New Roman" w:cs="Times New Roman"/>
                <w:b/>
                <w:bCs/>
                <w:sz w:val="24"/>
                <w:szCs w:val="24"/>
                <w:lang w:val="ro-MD"/>
              </w:rPr>
              <w:t>fr.redusă</w:t>
            </w:r>
            <w:proofErr w:type="spellEnd"/>
            <w:r w:rsidR="00754D50" w:rsidRPr="00A1774A">
              <w:rPr>
                <w:rFonts w:ascii="Times New Roman" w:eastAsia="Times New Roman" w:hAnsi="Times New Roman" w:cs="Times New Roman"/>
                <w:b/>
                <w:bCs/>
                <w:sz w:val="24"/>
                <w:szCs w:val="24"/>
                <w:lang w:val="ro-MD"/>
              </w:rPr>
              <w:t xml:space="preserve"> </w:t>
            </w:r>
            <w:r w:rsidR="001E6A80" w:rsidRPr="00A1774A">
              <w:rPr>
                <w:rFonts w:ascii="Times New Roman" w:eastAsia="Times New Roman" w:hAnsi="Times New Roman" w:cs="Times New Roman"/>
                <w:b/>
                <w:bCs/>
                <w:sz w:val="24"/>
                <w:szCs w:val="24"/>
                <w:lang w:val="ro-MD"/>
              </w:rPr>
              <w:t>(56%)</w:t>
            </w:r>
            <w:r w:rsidR="001E6A80" w:rsidRPr="00A1774A">
              <w:rPr>
                <w:rFonts w:ascii="Times New Roman" w:eastAsia="Times New Roman" w:hAnsi="Times New Roman" w:cs="Times New Roman"/>
                <w:sz w:val="24"/>
                <w:szCs w:val="24"/>
                <w:lang w:val="ro-MD"/>
              </w:rPr>
              <w:t xml:space="preserve"> </w:t>
            </w:r>
            <w:r w:rsidR="00754D50" w:rsidRPr="00A1774A">
              <w:rPr>
                <w:rFonts w:ascii="Times New Roman" w:eastAsia="Times New Roman" w:hAnsi="Times New Roman" w:cs="Times New Roman"/>
                <w:sz w:val="24"/>
                <w:szCs w:val="24"/>
                <w:lang w:val="ro-MD"/>
              </w:rPr>
              <w:t>și 152 de studenți la ciclul II-master, 98-la buget.</w:t>
            </w:r>
            <w:r w:rsidR="000A5D97" w:rsidRPr="00A1774A">
              <w:rPr>
                <w:rFonts w:ascii="Times New Roman" w:hAnsi="Times New Roman" w:cs="Times New Roman"/>
                <w:sz w:val="24"/>
                <w:szCs w:val="24"/>
                <w:lang w:val="ro-MD"/>
              </w:rPr>
              <w:t xml:space="preserve"> </w:t>
            </w:r>
          </w:p>
          <w:p w14:paraId="2A46865C" w14:textId="77777777" w:rsidR="00A1774A" w:rsidRDefault="00A1774A" w:rsidP="00A1774A">
            <w:pPr>
              <w:spacing w:line="276" w:lineRule="auto"/>
              <w:ind w:firstLine="709"/>
              <w:jc w:val="both"/>
              <w:rPr>
                <w:rFonts w:ascii="Times New Roman" w:eastAsia="Times New Roman" w:hAnsi="Times New Roman" w:cs="Times New Roman"/>
                <w:b/>
                <w:bCs/>
                <w:sz w:val="24"/>
                <w:szCs w:val="24"/>
                <w:lang w:val="ro-MD"/>
              </w:rPr>
            </w:pPr>
          </w:p>
          <w:p w14:paraId="2171C97A" w14:textId="77777777" w:rsidR="00A1774A" w:rsidRDefault="00A1774A" w:rsidP="00A1774A">
            <w:pPr>
              <w:spacing w:line="276" w:lineRule="auto"/>
              <w:ind w:firstLine="709"/>
              <w:jc w:val="both"/>
              <w:rPr>
                <w:rFonts w:ascii="Times New Roman" w:eastAsia="Times New Roman" w:hAnsi="Times New Roman" w:cs="Times New Roman"/>
                <w:b/>
                <w:bCs/>
                <w:sz w:val="24"/>
                <w:szCs w:val="24"/>
                <w:lang w:val="ro-MD"/>
              </w:rPr>
            </w:pPr>
          </w:p>
          <w:p w14:paraId="5B2CFC18" w14:textId="05733C1D" w:rsidR="000A5D97" w:rsidRPr="00A1774A" w:rsidRDefault="00A1774A" w:rsidP="00A1774A">
            <w:pPr>
              <w:spacing w:line="276" w:lineRule="auto"/>
              <w:ind w:firstLine="709"/>
              <w:jc w:val="both"/>
              <w:rPr>
                <w:rFonts w:ascii="Times New Roman" w:eastAsia="Times New Roman" w:hAnsi="Times New Roman" w:cs="Times New Roman"/>
                <w:b/>
                <w:bCs/>
                <w:sz w:val="24"/>
                <w:szCs w:val="24"/>
                <w:lang w:val="ro-MD"/>
              </w:rPr>
            </w:pPr>
            <w:r>
              <w:rPr>
                <w:rFonts w:ascii="Times New Roman" w:eastAsia="Times New Roman" w:hAnsi="Times New Roman" w:cs="Times New Roman"/>
                <w:b/>
                <w:bCs/>
                <w:sz w:val="24"/>
                <w:szCs w:val="24"/>
                <w:lang w:val="ro-MD"/>
              </w:rPr>
              <w:lastRenderedPageBreak/>
              <w:t xml:space="preserve">      </w:t>
            </w:r>
            <w:r w:rsidR="000A5D97" w:rsidRPr="00A1774A">
              <w:rPr>
                <w:rFonts w:ascii="Times New Roman" w:eastAsia="Times New Roman" w:hAnsi="Times New Roman" w:cs="Times New Roman"/>
                <w:b/>
                <w:bCs/>
                <w:sz w:val="24"/>
                <w:szCs w:val="24"/>
                <w:lang w:val="ro-MD"/>
              </w:rPr>
              <w:t>Oferta educațională:</w:t>
            </w:r>
          </w:p>
          <w:p w14:paraId="23F4914E" w14:textId="76A3835C" w:rsidR="00754D50" w:rsidRPr="00A1774A" w:rsidRDefault="001E6A80" w:rsidP="00A1774A">
            <w:pPr>
              <w:spacing w:line="276" w:lineRule="auto"/>
              <w:ind w:firstLine="709"/>
              <w:jc w:val="both"/>
              <w:rPr>
                <w:rFonts w:ascii="Times New Roman" w:eastAsia="Times New Roman" w:hAnsi="Times New Roman" w:cs="Times New Roman"/>
                <w:sz w:val="24"/>
                <w:szCs w:val="24"/>
                <w:lang w:val="ro-MD"/>
              </w:rPr>
            </w:pPr>
            <w:r w:rsidRPr="00A1774A">
              <w:rPr>
                <w:rFonts w:ascii="Times New Roman" w:eastAsia="Times New Roman" w:hAnsi="Times New Roman" w:cs="Times New Roman"/>
                <w:sz w:val="24"/>
                <w:szCs w:val="24"/>
                <w:lang w:val="ro-MD"/>
              </w:rPr>
              <w:t xml:space="preserve">    </w:t>
            </w:r>
            <w:r w:rsidR="000A5D97" w:rsidRPr="00A1774A">
              <w:rPr>
                <w:rFonts w:ascii="Times New Roman" w:eastAsia="Times New Roman" w:hAnsi="Times New Roman" w:cs="Times New Roman"/>
                <w:sz w:val="24"/>
                <w:szCs w:val="24"/>
                <w:lang w:val="ro-MD"/>
              </w:rPr>
              <w:t xml:space="preserve">Astfel, la Universitatea de Stat „B. P. Hașdeu” din Cahul, la domeniul </w:t>
            </w:r>
            <w:r w:rsidR="000A5D97" w:rsidRPr="00A1774A">
              <w:rPr>
                <w:rFonts w:ascii="Times New Roman" w:eastAsia="Times New Roman" w:hAnsi="Times New Roman" w:cs="Times New Roman"/>
                <w:b/>
                <w:bCs/>
                <w:sz w:val="24"/>
                <w:szCs w:val="24"/>
                <w:lang w:val="ro-MD"/>
              </w:rPr>
              <w:t>Științe ale educației</w:t>
            </w:r>
            <w:r w:rsidR="000A5D97" w:rsidRPr="00A1774A">
              <w:rPr>
                <w:rFonts w:ascii="Times New Roman" w:eastAsia="Times New Roman" w:hAnsi="Times New Roman" w:cs="Times New Roman"/>
                <w:sz w:val="24"/>
                <w:szCs w:val="24"/>
                <w:lang w:val="ro-MD"/>
              </w:rPr>
              <w:t xml:space="preserve">, se organizează 4 programe de licență: </w:t>
            </w:r>
            <w:r w:rsidR="000A5D97" w:rsidRPr="00A1774A">
              <w:rPr>
                <w:rFonts w:ascii="Times New Roman" w:eastAsia="Times New Roman" w:hAnsi="Times New Roman" w:cs="Times New Roman"/>
                <w:i/>
                <w:iCs/>
                <w:sz w:val="24"/>
                <w:szCs w:val="24"/>
                <w:lang w:val="ro-MD"/>
              </w:rPr>
              <w:t>Pedagogie în învățământul primar și pedagogie preșcolară</w:t>
            </w:r>
            <w:r w:rsidR="000A5D97" w:rsidRPr="00A1774A">
              <w:rPr>
                <w:rFonts w:ascii="Times New Roman" w:eastAsia="Times New Roman" w:hAnsi="Times New Roman" w:cs="Times New Roman"/>
                <w:sz w:val="24"/>
                <w:szCs w:val="24"/>
                <w:lang w:val="ro-MD"/>
              </w:rPr>
              <w:t xml:space="preserve">: acreditată până în 2028; </w:t>
            </w:r>
            <w:r w:rsidR="000A5D97" w:rsidRPr="00A1774A">
              <w:rPr>
                <w:rFonts w:ascii="Times New Roman" w:eastAsia="Times New Roman" w:hAnsi="Times New Roman" w:cs="Times New Roman"/>
                <w:i/>
                <w:iCs/>
                <w:sz w:val="24"/>
                <w:szCs w:val="24"/>
                <w:lang w:val="ro-MD"/>
              </w:rPr>
              <w:t>Limba și literatura română</w:t>
            </w:r>
            <w:r w:rsidR="000A5D97" w:rsidRPr="00A1774A">
              <w:rPr>
                <w:rFonts w:ascii="Times New Roman" w:eastAsia="Times New Roman" w:hAnsi="Times New Roman" w:cs="Times New Roman"/>
                <w:sz w:val="24"/>
                <w:szCs w:val="24"/>
                <w:lang w:val="ro-MD"/>
              </w:rPr>
              <w:t xml:space="preserve">: acreditare până în 2029; </w:t>
            </w:r>
            <w:r w:rsidR="000A5D97" w:rsidRPr="00A1774A">
              <w:rPr>
                <w:rFonts w:ascii="Times New Roman" w:eastAsia="Times New Roman" w:hAnsi="Times New Roman" w:cs="Times New Roman"/>
                <w:i/>
                <w:iCs/>
                <w:sz w:val="24"/>
                <w:szCs w:val="24"/>
                <w:lang w:val="ro-MD"/>
              </w:rPr>
              <w:t>Limba engleză</w:t>
            </w:r>
            <w:r w:rsidR="000A5D97" w:rsidRPr="00A1774A">
              <w:rPr>
                <w:rFonts w:ascii="Times New Roman" w:eastAsia="Times New Roman" w:hAnsi="Times New Roman" w:cs="Times New Roman"/>
                <w:sz w:val="24"/>
                <w:szCs w:val="24"/>
                <w:lang w:val="ro-MD"/>
              </w:rPr>
              <w:t xml:space="preserve">: acreditare până în 2029, </w:t>
            </w:r>
            <w:r w:rsidR="000A5D97" w:rsidRPr="00A1774A">
              <w:rPr>
                <w:rFonts w:ascii="Times New Roman" w:eastAsia="Times New Roman" w:hAnsi="Times New Roman" w:cs="Times New Roman"/>
                <w:i/>
                <w:iCs/>
                <w:sz w:val="24"/>
                <w:szCs w:val="24"/>
                <w:lang w:val="ro-MD"/>
              </w:rPr>
              <w:t>Istorie și educație pentru societate (civică)</w:t>
            </w:r>
            <w:r w:rsidR="000A5D97" w:rsidRPr="00A1774A">
              <w:rPr>
                <w:rFonts w:ascii="Times New Roman" w:eastAsia="Times New Roman" w:hAnsi="Times New Roman" w:cs="Times New Roman"/>
                <w:sz w:val="24"/>
                <w:szCs w:val="24"/>
                <w:lang w:val="ro-MD"/>
              </w:rPr>
              <w:t xml:space="preserve">: acreditare până în 2028. La domeniul </w:t>
            </w:r>
            <w:r w:rsidR="000A5D97" w:rsidRPr="00A1774A">
              <w:rPr>
                <w:rFonts w:ascii="Times New Roman" w:eastAsia="Times New Roman" w:hAnsi="Times New Roman" w:cs="Times New Roman"/>
                <w:b/>
                <w:bCs/>
                <w:sz w:val="24"/>
                <w:szCs w:val="24"/>
                <w:lang w:val="ro-MD"/>
              </w:rPr>
              <w:t>Științe administrative</w:t>
            </w:r>
            <w:r w:rsidR="000A5D97" w:rsidRPr="00A1774A">
              <w:rPr>
                <w:rFonts w:ascii="Times New Roman" w:eastAsia="Times New Roman" w:hAnsi="Times New Roman" w:cs="Times New Roman"/>
                <w:sz w:val="24"/>
                <w:szCs w:val="24"/>
                <w:lang w:val="ro-MD"/>
              </w:rPr>
              <w:t xml:space="preserve">, programul </w:t>
            </w:r>
            <w:r w:rsidR="000A5D97" w:rsidRPr="00A1774A">
              <w:rPr>
                <w:rFonts w:ascii="Times New Roman" w:eastAsia="Times New Roman" w:hAnsi="Times New Roman" w:cs="Times New Roman"/>
                <w:i/>
                <w:iCs/>
                <w:sz w:val="24"/>
                <w:szCs w:val="24"/>
                <w:lang w:val="ro-MD"/>
              </w:rPr>
              <w:t>Administrație publică</w:t>
            </w:r>
            <w:r w:rsidR="000A5D97" w:rsidRPr="00A1774A">
              <w:rPr>
                <w:rFonts w:ascii="Times New Roman" w:eastAsia="Times New Roman" w:hAnsi="Times New Roman" w:cs="Times New Roman"/>
                <w:sz w:val="24"/>
                <w:szCs w:val="24"/>
                <w:lang w:val="ro-MD"/>
              </w:rPr>
              <w:t xml:space="preserve">, reacreditat, valabil până în 2030. La domeniul </w:t>
            </w:r>
            <w:r w:rsidR="000A5D97" w:rsidRPr="00A1774A">
              <w:rPr>
                <w:rFonts w:ascii="Times New Roman" w:eastAsia="Times New Roman" w:hAnsi="Times New Roman" w:cs="Times New Roman"/>
                <w:b/>
                <w:bCs/>
                <w:sz w:val="24"/>
                <w:szCs w:val="24"/>
                <w:lang w:val="ro-MD"/>
              </w:rPr>
              <w:t>Științe economice</w:t>
            </w:r>
            <w:r w:rsidR="000A5D97" w:rsidRPr="00A1774A">
              <w:rPr>
                <w:rFonts w:ascii="Times New Roman" w:eastAsia="Times New Roman" w:hAnsi="Times New Roman" w:cs="Times New Roman"/>
                <w:sz w:val="24"/>
                <w:szCs w:val="24"/>
                <w:lang w:val="ro-MD"/>
              </w:rPr>
              <w:t xml:space="preserve">: programele </w:t>
            </w:r>
            <w:r w:rsidR="000A5D97" w:rsidRPr="00A1774A">
              <w:rPr>
                <w:rFonts w:ascii="Times New Roman" w:eastAsia="Times New Roman" w:hAnsi="Times New Roman" w:cs="Times New Roman"/>
                <w:i/>
                <w:iCs/>
                <w:sz w:val="24"/>
                <w:szCs w:val="24"/>
                <w:lang w:val="ro-MD"/>
              </w:rPr>
              <w:t>Contabilitate:</w:t>
            </w:r>
            <w:r w:rsidR="000A5D97" w:rsidRPr="00A1774A">
              <w:rPr>
                <w:rFonts w:ascii="Times New Roman" w:eastAsia="Times New Roman" w:hAnsi="Times New Roman" w:cs="Times New Roman"/>
                <w:sz w:val="24"/>
                <w:szCs w:val="24"/>
                <w:lang w:val="ro-MD"/>
              </w:rPr>
              <w:t xml:space="preserve"> acreditare până în 2029; </w:t>
            </w:r>
            <w:r w:rsidR="000A5D97" w:rsidRPr="00A1774A">
              <w:rPr>
                <w:rFonts w:ascii="Times New Roman" w:eastAsia="Times New Roman" w:hAnsi="Times New Roman" w:cs="Times New Roman"/>
                <w:i/>
                <w:iCs/>
                <w:sz w:val="24"/>
                <w:szCs w:val="24"/>
                <w:lang w:val="ro-MD"/>
              </w:rPr>
              <w:t>Business și administrare</w:t>
            </w:r>
            <w:r w:rsidR="000A5D97" w:rsidRPr="00A1774A">
              <w:rPr>
                <w:rFonts w:ascii="Times New Roman" w:eastAsia="Times New Roman" w:hAnsi="Times New Roman" w:cs="Times New Roman"/>
                <w:sz w:val="24"/>
                <w:szCs w:val="24"/>
                <w:lang w:val="ro-MD"/>
              </w:rPr>
              <w:t xml:space="preserve">: acreditare până în 2029. La domeniul </w:t>
            </w:r>
            <w:r w:rsidR="000A5D97" w:rsidRPr="00A1774A">
              <w:rPr>
                <w:rFonts w:ascii="Times New Roman" w:eastAsia="Times New Roman" w:hAnsi="Times New Roman" w:cs="Times New Roman"/>
                <w:b/>
                <w:bCs/>
                <w:sz w:val="24"/>
                <w:szCs w:val="24"/>
                <w:lang w:val="ro-MD"/>
              </w:rPr>
              <w:t>Drept,</w:t>
            </w:r>
            <w:r w:rsidR="000A5D97" w:rsidRPr="00A1774A">
              <w:rPr>
                <w:rFonts w:ascii="Times New Roman" w:eastAsia="Times New Roman" w:hAnsi="Times New Roman" w:cs="Times New Roman"/>
                <w:sz w:val="24"/>
                <w:szCs w:val="24"/>
                <w:lang w:val="ro-MD"/>
              </w:rPr>
              <w:t xml:space="preserve"> programul </w:t>
            </w:r>
            <w:r w:rsidR="000A5D97" w:rsidRPr="00A1774A">
              <w:rPr>
                <w:rFonts w:ascii="Times New Roman" w:eastAsia="Times New Roman" w:hAnsi="Times New Roman" w:cs="Times New Roman"/>
                <w:i/>
                <w:iCs/>
                <w:sz w:val="24"/>
                <w:szCs w:val="24"/>
                <w:lang w:val="ro-MD"/>
              </w:rPr>
              <w:t>Drept</w:t>
            </w:r>
            <w:r w:rsidR="000A5D97" w:rsidRPr="00A1774A">
              <w:rPr>
                <w:rFonts w:ascii="Times New Roman" w:eastAsia="Times New Roman" w:hAnsi="Times New Roman" w:cs="Times New Roman"/>
                <w:sz w:val="24"/>
                <w:szCs w:val="24"/>
                <w:lang w:val="ro-MD"/>
              </w:rPr>
              <w:t xml:space="preserve">: acreditare până în 2028. Programele </w:t>
            </w:r>
            <w:r w:rsidR="000A5D97" w:rsidRPr="00A1774A">
              <w:rPr>
                <w:rFonts w:ascii="Times New Roman" w:eastAsia="Times New Roman" w:hAnsi="Times New Roman" w:cs="Times New Roman"/>
                <w:i/>
                <w:iCs/>
                <w:sz w:val="24"/>
                <w:szCs w:val="24"/>
                <w:lang w:val="ro-MD"/>
              </w:rPr>
              <w:t>Informatică și Inginerie și management în industria alimentară</w:t>
            </w:r>
            <w:r w:rsidR="000A5D97" w:rsidRPr="00A1774A">
              <w:rPr>
                <w:rFonts w:ascii="Times New Roman" w:eastAsia="Times New Roman" w:hAnsi="Times New Roman" w:cs="Times New Roman"/>
                <w:sz w:val="24"/>
                <w:szCs w:val="24"/>
                <w:lang w:val="ro-MD"/>
              </w:rPr>
              <w:t xml:space="preserve"> au fost acreditate recent-25.08.2025 cu calificativul ”bine”, valabile pană în 2030.</w:t>
            </w:r>
          </w:p>
          <w:p w14:paraId="1B2D34AD" w14:textId="787724D0" w:rsidR="00E92F19" w:rsidRPr="00E92F19" w:rsidRDefault="00E92F19" w:rsidP="00A1774A">
            <w:pPr>
              <w:spacing w:line="276" w:lineRule="auto"/>
              <w:ind w:firstLine="709"/>
              <w:jc w:val="both"/>
              <w:rPr>
                <w:rFonts w:ascii="Times New Roman" w:eastAsia="Calibri" w:hAnsi="Times New Roman" w:cs="Times New Roman"/>
                <w:b/>
                <w:bCs/>
                <w:sz w:val="24"/>
                <w:szCs w:val="24"/>
                <w:lang w:val="ro-MD" w:eastAsia="en-US"/>
              </w:rPr>
            </w:pPr>
            <w:r w:rsidRPr="00E92F19">
              <w:rPr>
                <w:rFonts w:ascii="Times New Roman" w:eastAsia="Calibri" w:hAnsi="Times New Roman" w:cs="Times New Roman"/>
                <w:b/>
                <w:bCs/>
                <w:sz w:val="24"/>
                <w:szCs w:val="24"/>
                <w:lang w:val="ro-MD" w:eastAsia="en-US"/>
              </w:rPr>
              <w:t>Admiterea</w:t>
            </w:r>
          </w:p>
          <w:tbl>
            <w:tblPr>
              <w:tblW w:w="9776" w:type="dxa"/>
              <w:tblLook w:val="04A0" w:firstRow="1" w:lastRow="0" w:firstColumn="1" w:lastColumn="0" w:noHBand="0" w:noVBand="1"/>
            </w:tblPr>
            <w:tblGrid>
              <w:gridCol w:w="1980"/>
              <w:gridCol w:w="2410"/>
              <w:gridCol w:w="2835"/>
              <w:gridCol w:w="2551"/>
            </w:tblGrid>
            <w:tr w:rsidR="00E92F19" w:rsidRPr="00E92F19" w14:paraId="2418EBB2" w14:textId="77777777" w:rsidTr="000E293E">
              <w:trPr>
                <w:trHeight w:val="300"/>
              </w:trPr>
              <w:tc>
                <w:tcPr>
                  <w:tcW w:w="4390" w:type="dxa"/>
                  <w:gridSpan w:val="2"/>
                  <w:tcBorders>
                    <w:top w:val="single" w:sz="4" w:space="0" w:color="auto"/>
                    <w:left w:val="single" w:sz="4" w:space="0" w:color="auto"/>
                    <w:bottom w:val="single" w:sz="4" w:space="0" w:color="auto"/>
                    <w:right w:val="single" w:sz="4" w:space="0" w:color="auto"/>
                  </w:tcBorders>
                  <w:noWrap/>
                  <w:vAlign w:val="bottom"/>
                  <w:hideMark/>
                </w:tcPr>
                <w:p w14:paraId="304A9110" w14:textId="77777777" w:rsidR="00E92F19" w:rsidRPr="00E92F19" w:rsidRDefault="00E92F19" w:rsidP="00A1774A">
                  <w:pPr>
                    <w:spacing w:after="0"/>
                    <w:ind w:firstLine="709"/>
                    <w:jc w:val="both"/>
                    <w:rPr>
                      <w:rFonts w:ascii="Times New Roman" w:eastAsia="Calibri" w:hAnsi="Times New Roman" w:cs="Times New Roman"/>
                      <w:b/>
                      <w:bCs/>
                      <w:sz w:val="24"/>
                      <w:szCs w:val="24"/>
                      <w:lang w:val="ro-MD" w:eastAsia="en-US"/>
                    </w:rPr>
                  </w:pPr>
                  <w:r w:rsidRPr="00E92F19">
                    <w:rPr>
                      <w:rFonts w:ascii="Times New Roman" w:eastAsia="Calibri" w:hAnsi="Times New Roman" w:cs="Times New Roman"/>
                      <w:b/>
                      <w:bCs/>
                      <w:sz w:val="24"/>
                      <w:szCs w:val="24"/>
                      <w:lang w:val="ro-MD" w:eastAsia="en-US"/>
                    </w:rPr>
                    <w:t>Anul</w:t>
                  </w:r>
                </w:p>
              </w:tc>
              <w:tc>
                <w:tcPr>
                  <w:tcW w:w="2835" w:type="dxa"/>
                  <w:tcBorders>
                    <w:top w:val="single" w:sz="4" w:space="0" w:color="auto"/>
                    <w:left w:val="nil"/>
                    <w:bottom w:val="single" w:sz="4" w:space="0" w:color="auto"/>
                    <w:right w:val="single" w:sz="4" w:space="0" w:color="auto"/>
                  </w:tcBorders>
                  <w:noWrap/>
                  <w:vAlign w:val="bottom"/>
                  <w:hideMark/>
                </w:tcPr>
                <w:p w14:paraId="37ABDFD7" w14:textId="77777777" w:rsidR="00E92F19" w:rsidRPr="00E92F19" w:rsidRDefault="00E92F19" w:rsidP="00A1774A">
                  <w:pPr>
                    <w:spacing w:after="0"/>
                    <w:ind w:firstLine="709"/>
                    <w:jc w:val="both"/>
                    <w:rPr>
                      <w:rFonts w:ascii="Times New Roman" w:eastAsia="Calibri" w:hAnsi="Times New Roman" w:cs="Times New Roman"/>
                      <w:b/>
                      <w:bCs/>
                      <w:sz w:val="24"/>
                      <w:szCs w:val="24"/>
                      <w:lang w:val="ro-MD" w:eastAsia="en-US"/>
                    </w:rPr>
                  </w:pPr>
                  <w:r w:rsidRPr="00E92F19">
                    <w:rPr>
                      <w:rFonts w:ascii="Times New Roman" w:eastAsia="Calibri" w:hAnsi="Times New Roman" w:cs="Times New Roman"/>
                      <w:b/>
                      <w:bCs/>
                      <w:sz w:val="24"/>
                      <w:szCs w:val="24"/>
                      <w:lang w:val="ro-MD" w:eastAsia="en-US"/>
                    </w:rPr>
                    <w:t>Total admitere</w:t>
                  </w:r>
                </w:p>
              </w:tc>
              <w:tc>
                <w:tcPr>
                  <w:tcW w:w="2551" w:type="dxa"/>
                  <w:tcBorders>
                    <w:top w:val="single" w:sz="4" w:space="0" w:color="auto"/>
                    <w:left w:val="nil"/>
                    <w:bottom w:val="single" w:sz="4" w:space="0" w:color="auto"/>
                    <w:right w:val="single" w:sz="4" w:space="0" w:color="auto"/>
                  </w:tcBorders>
                  <w:noWrap/>
                  <w:vAlign w:val="bottom"/>
                  <w:hideMark/>
                </w:tcPr>
                <w:p w14:paraId="57B70A74" w14:textId="77777777" w:rsidR="00E92F19" w:rsidRPr="00E92F19" w:rsidRDefault="00E92F19" w:rsidP="00A1774A">
                  <w:pPr>
                    <w:spacing w:after="0"/>
                    <w:ind w:firstLine="709"/>
                    <w:jc w:val="both"/>
                    <w:rPr>
                      <w:rFonts w:ascii="Times New Roman" w:eastAsia="Calibri" w:hAnsi="Times New Roman" w:cs="Times New Roman"/>
                      <w:b/>
                      <w:bCs/>
                      <w:sz w:val="24"/>
                      <w:szCs w:val="24"/>
                      <w:lang w:val="ro-MD" w:eastAsia="en-US"/>
                    </w:rPr>
                  </w:pPr>
                  <w:r w:rsidRPr="00E92F19">
                    <w:rPr>
                      <w:rFonts w:ascii="Times New Roman" w:eastAsia="Calibri" w:hAnsi="Times New Roman" w:cs="Times New Roman"/>
                      <w:b/>
                      <w:bCs/>
                      <w:sz w:val="24"/>
                      <w:szCs w:val="24"/>
                      <w:lang w:val="ro-MD" w:eastAsia="en-US"/>
                    </w:rPr>
                    <w:t>Buget</w:t>
                  </w:r>
                </w:p>
              </w:tc>
            </w:tr>
            <w:tr w:rsidR="00E92F19" w:rsidRPr="00E92F19" w14:paraId="68199E41" w14:textId="77777777" w:rsidTr="000E293E">
              <w:trPr>
                <w:trHeight w:val="300"/>
              </w:trPr>
              <w:tc>
                <w:tcPr>
                  <w:tcW w:w="1980" w:type="dxa"/>
                  <w:vMerge w:val="restart"/>
                  <w:tcBorders>
                    <w:top w:val="nil"/>
                    <w:left w:val="single" w:sz="4" w:space="0" w:color="auto"/>
                    <w:bottom w:val="single" w:sz="4" w:space="0" w:color="auto"/>
                    <w:right w:val="single" w:sz="4" w:space="0" w:color="auto"/>
                  </w:tcBorders>
                  <w:noWrap/>
                  <w:vAlign w:val="center"/>
                  <w:hideMark/>
                </w:tcPr>
                <w:p w14:paraId="6B16C030" w14:textId="77777777" w:rsidR="00E92F19" w:rsidRPr="00E92F19" w:rsidRDefault="00E92F19" w:rsidP="00A1774A">
                  <w:pPr>
                    <w:spacing w:after="0"/>
                    <w:ind w:firstLine="709"/>
                    <w:jc w:val="both"/>
                    <w:rPr>
                      <w:rFonts w:ascii="Times New Roman" w:eastAsia="Calibri" w:hAnsi="Times New Roman" w:cs="Times New Roman"/>
                      <w:b/>
                      <w:bCs/>
                      <w:sz w:val="24"/>
                      <w:szCs w:val="24"/>
                      <w:lang w:val="ro-MD" w:eastAsia="en-US"/>
                    </w:rPr>
                  </w:pPr>
                  <w:r w:rsidRPr="00E92F19">
                    <w:rPr>
                      <w:rFonts w:ascii="Times New Roman" w:eastAsia="Calibri" w:hAnsi="Times New Roman" w:cs="Times New Roman"/>
                      <w:b/>
                      <w:bCs/>
                      <w:sz w:val="24"/>
                      <w:szCs w:val="24"/>
                      <w:lang w:val="ro-MD" w:eastAsia="en-US"/>
                    </w:rPr>
                    <w:t>2023</w:t>
                  </w:r>
                </w:p>
              </w:tc>
              <w:tc>
                <w:tcPr>
                  <w:tcW w:w="2410" w:type="dxa"/>
                  <w:tcBorders>
                    <w:top w:val="nil"/>
                    <w:left w:val="nil"/>
                    <w:bottom w:val="single" w:sz="4" w:space="0" w:color="auto"/>
                    <w:right w:val="single" w:sz="4" w:space="0" w:color="auto"/>
                  </w:tcBorders>
                  <w:noWrap/>
                  <w:vAlign w:val="center"/>
                  <w:hideMark/>
                </w:tcPr>
                <w:p w14:paraId="62D7D7F0" w14:textId="77777777" w:rsidR="00E92F19" w:rsidRPr="00E92F19" w:rsidRDefault="00E92F19" w:rsidP="00A1774A">
                  <w:pPr>
                    <w:spacing w:after="0"/>
                    <w:ind w:firstLine="709"/>
                    <w:jc w:val="both"/>
                    <w:rPr>
                      <w:rFonts w:ascii="Times New Roman" w:eastAsia="Calibri" w:hAnsi="Times New Roman" w:cs="Times New Roman"/>
                      <w:b/>
                      <w:bCs/>
                      <w:sz w:val="24"/>
                      <w:szCs w:val="24"/>
                      <w:lang w:val="ro-MD" w:eastAsia="en-US"/>
                    </w:rPr>
                  </w:pPr>
                  <w:r w:rsidRPr="00E92F19">
                    <w:rPr>
                      <w:rFonts w:ascii="Times New Roman" w:eastAsia="Calibri" w:hAnsi="Times New Roman" w:cs="Times New Roman"/>
                      <w:b/>
                      <w:bCs/>
                      <w:sz w:val="24"/>
                      <w:szCs w:val="24"/>
                      <w:lang w:val="ro-MD" w:eastAsia="en-US"/>
                    </w:rPr>
                    <w:t>Licență</w:t>
                  </w:r>
                </w:p>
              </w:tc>
              <w:tc>
                <w:tcPr>
                  <w:tcW w:w="2835" w:type="dxa"/>
                  <w:tcBorders>
                    <w:top w:val="nil"/>
                    <w:left w:val="nil"/>
                    <w:bottom w:val="single" w:sz="4" w:space="0" w:color="auto"/>
                    <w:right w:val="single" w:sz="4" w:space="0" w:color="auto"/>
                  </w:tcBorders>
                  <w:noWrap/>
                  <w:vAlign w:val="bottom"/>
                  <w:hideMark/>
                </w:tcPr>
                <w:p w14:paraId="0D83FE9D" w14:textId="77777777" w:rsidR="00E92F19" w:rsidRPr="00E92F19" w:rsidRDefault="00E92F19" w:rsidP="00A1774A">
                  <w:pPr>
                    <w:spacing w:after="0"/>
                    <w:ind w:firstLine="709"/>
                    <w:jc w:val="both"/>
                    <w:rPr>
                      <w:rFonts w:ascii="Times New Roman" w:eastAsia="Calibri" w:hAnsi="Times New Roman" w:cs="Times New Roman"/>
                      <w:sz w:val="24"/>
                      <w:szCs w:val="24"/>
                      <w:lang w:val="ro-MD" w:eastAsia="en-US"/>
                    </w:rPr>
                  </w:pPr>
                  <w:r w:rsidRPr="00E92F19">
                    <w:rPr>
                      <w:rFonts w:ascii="Times New Roman" w:eastAsia="Calibri" w:hAnsi="Times New Roman" w:cs="Times New Roman"/>
                      <w:sz w:val="24"/>
                      <w:szCs w:val="24"/>
                      <w:lang w:val="ro-MD" w:eastAsia="en-US"/>
                    </w:rPr>
                    <w:t>254</w:t>
                  </w:r>
                </w:p>
              </w:tc>
              <w:tc>
                <w:tcPr>
                  <w:tcW w:w="2551" w:type="dxa"/>
                  <w:tcBorders>
                    <w:top w:val="nil"/>
                    <w:left w:val="nil"/>
                    <w:bottom w:val="single" w:sz="4" w:space="0" w:color="auto"/>
                    <w:right w:val="single" w:sz="4" w:space="0" w:color="auto"/>
                  </w:tcBorders>
                  <w:noWrap/>
                  <w:vAlign w:val="bottom"/>
                  <w:hideMark/>
                </w:tcPr>
                <w:p w14:paraId="1BCB7A25" w14:textId="77777777" w:rsidR="00E92F19" w:rsidRPr="00E92F19" w:rsidRDefault="00E92F19" w:rsidP="00A1774A">
                  <w:pPr>
                    <w:spacing w:after="0"/>
                    <w:ind w:firstLine="709"/>
                    <w:jc w:val="both"/>
                    <w:rPr>
                      <w:rFonts w:ascii="Times New Roman" w:eastAsia="Calibri" w:hAnsi="Times New Roman" w:cs="Times New Roman"/>
                      <w:sz w:val="24"/>
                      <w:szCs w:val="24"/>
                      <w:lang w:val="ro-MD" w:eastAsia="en-US"/>
                    </w:rPr>
                  </w:pPr>
                  <w:r w:rsidRPr="00E92F19">
                    <w:rPr>
                      <w:rFonts w:ascii="Times New Roman" w:eastAsia="Calibri" w:hAnsi="Times New Roman" w:cs="Times New Roman"/>
                      <w:sz w:val="24"/>
                      <w:szCs w:val="24"/>
                      <w:lang w:val="ro-MD" w:eastAsia="en-US"/>
                    </w:rPr>
                    <w:t>108</w:t>
                  </w:r>
                </w:p>
              </w:tc>
            </w:tr>
            <w:tr w:rsidR="00E92F19" w:rsidRPr="00E92F19" w14:paraId="054837EA" w14:textId="77777777" w:rsidTr="000E293E">
              <w:trPr>
                <w:trHeight w:val="300"/>
              </w:trPr>
              <w:tc>
                <w:tcPr>
                  <w:tcW w:w="1980" w:type="dxa"/>
                  <w:vMerge/>
                  <w:tcBorders>
                    <w:top w:val="nil"/>
                    <w:left w:val="single" w:sz="4" w:space="0" w:color="auto"/>
                    <w:bottom w:val="single" w:sz="4" w:space="0" w:color="auto"/>
                    <w:right w:val="single" w:sz="4" w:space="0" w:color="auto"/>
                  </w:tcBorders>
                  <w:vAlign w:val="center"/>
                  <w:hideMark/>
                </w:tcPr>
                <w:p w14:paraId="39D90206" w14:textId="77777777" w:rsidR="00E92F19" w:rsidRPr="00E92F19" w:rsidRDefault="00E92F19" w:rsidP="00A1774A">
                  <w:pPr>
                    <w:spacing w:after="0"/>
                    <w:ind w:firstLine="709"/>
                    <w:jc w:val="both"/>
                    <w:rPr>
                      <w:rFonts w:ascii="Times New Roman" w:eastAsia="Calibri" w:hAnsi="Times New Roman" w:cs="Times New Roman"/>
                      <w:b/>
                      <w:bCs/>
                      <w:sz w:val="24"/>
                      <w:szCs w:val="24"/>
                      <w:lang w:val="ro-MD" w:eastAsia="en-US"/>
                    </w:rPr>
                  </w:pPr>
                </w:p>
              </w:tc>
              <w:tc>
                <w:tcPr>
                  <w:tcW w:w="2410" w:type="dxa"/>
                  <w:tcBorders>
                    <w:top w:val="nil"/>
                    <w:left w:val="nil"/>
                    <w:bottom w:val="single" w:sz="4" w:space="0" w:color="auto"/>
                    <w:right w:val="single" w:sz="4" w:space="0" w:color="auto"/>
                  </w:tcBorders>
                  <w:noWrap/>
                  <w:vAlign w:val="center"/>
                  <w:hideMark/>
                </w:tcPr>
                <w:p w14:paraId="552F74EC" w14:textId="77777777" w:rsidR="00E92F19" w:rsidRPr="00E92F19" w:rsidRDefault="00E92F19" w:rsidP="00A1774A">
                  <w:pPr>
                    <w:spacing w:after="0"/>
                    <w:ind w:firstLine="709"/>
                    <w:jc w:val="both"/>
                    <w:rPr>
                      <w:rFonts w:ascii="Times New Roman" w:eastAsia="Calibri" w:hAnsi="Times New Roman" w:cs="Times New Roman"/>
                      <w:b/>
                      <w:bCs/>
                      <w:sz w:val="24"/>
                      <w:szCs w:val="24"/>
                      <w:lang w:val="ro-MD" w:eastAsia="en-US"/>
                    </w:rPr>
                  </w:pPr>
                  <w:r w:rsidRPr="00E92F19">
                    <w:rPr>
                      <w:rFonts w:ascii="Times New Roman" w:eastAsia="Calibri" w:hAnsi="Times New Roman" w:cs="Times New Roman"/>
                      <w:b/>
                      <w:bCs/>
                      <w:sz w:val="24"/>
                      <w:szCs w:val="24"/>
                      <w:lang w:val="ro-MD" w:eastAsia="en-US"/>
                    </w:rPr>
                    <w:t>Master</w:t>
                  </w:r>
                </w:p>
              </w:tc>
              <w:tc>
                <w:tcPr>
                  <w:tcW w:w="2835" w:type="dxa"/>
                  <w:tcBorders>
                    <w:top w:val="nil"/>
                    <w:left w:val="nil"/>
                    <w:bottom w:val="single" w:sz="4" w:space="0" w:color="auto"/>
                    <w:right w:val="single" w:sz="4" w:space="0" w:color="auto"/>
                  </w:tcBorders>
                  <w:noWrap/>
                  <w:vAlign w:val="bottom"/>
                  <w:hideMark/>
                </w:tcPr>
                <w:p w14:paraId="18A56C49" w14:textId="77777777" w:rsidR="00E92F19" w:rsidRPr="00E92F19" w:rsidRDefault="00E92F19" w:rsidP="00A1774A">
                  <w:pPr>
                    <w:spacing w:after="0"/>
                    <w:ind w:firstLine="709"/>
                    <w:jc w:val="both"/>
                    <w:rPr>
                      <w:rFonts w:ascii="Times New Roman" w:eastAsia="Calibri" w:hAnsi="Times New Roman" w:cs="Times New Roman"/>
                      <w:sz w:val="24"/>
                      <w:szCs w:val="24"/>
                      <w:lang w:val="ro-MD" w:eastAsia="en-US"/>
                    </w:rPr>
                  </w:pPr>
                  <w:r w:rsidRPr="00E92F19">
                    <w:rPr>
                      <w:rFonts w:ascii="Times New Roman" w:eastAsia="Calibri" w:hAnsi="Times New Roman" w:cs="Times New Roman"/>
                      <w:sz w:val="24"/>
                      <w:szCs w:val="24"/>
                      <w:lang w:val="ro-MD" w:eastAsia="en-US"/>
                    </w:rPr>
                    <w:t>60</w:t>
                  </w:r>
                </w:p>
              </w:tc>
              <w:tc>
                <w:tcPr>
                  <w:tcW w:w="2551" w:type="dxa"/>
                  <w:tcBorders>
                    <w:top w:val="nil"/>
                    <w:left w:val="nil"/>
                    <w:bottom w:val="single" w:sz="4" w:space="0" w:color="auto"/>
                    <w:right w:val="single" w:sz="4" w:space="0" w:color="auto"/>
                  </w:tcBorders>
                  <w:noWrap/>
                  <w:vAlign w:val="bottom"/>
                  <w:hideMark/>
                </w:tcPr>
                <w:p w14:paraId="1D37EB3D" w14:textId="77777777" w:rsidR="00E92F19" w:rsidRPr="00E92F19" w:rsidRDefault="00E92F19" w:rsidP="00A1774A">
                  <w:pPr>
                    <w:spacing w:after="0"/>
                    <w:ind w:firstLine="709"/>
                    <w:jc w:val="both"/>
                    <w:rPr>
                      <w:rFonts w:ascii="Times New Roman" w:eastAsia="Calibri" w:hAnsi="Times New Roman" w:cs="Times New Roman"/>
                      <w:sz w:val="24"/>
                      <w:szCs w:val="24"/>
                      <w:lang w:val="ro-MD" w:eastAsia="en-US"/>
                    </w:rPr>
                  </w:pPr>
                  <w:r w:rsidRPr="00E92F19">
                    <w:rPr>
                      <w:rFonts w:ascii="Times New Roman" w:eastAsia="Calibri" w:hAnsi="Times New Roman" w:cs="Times New Roman"/>
                      <w:sz w:val="24"/>
                      <w:szCs w:val="24"/>
                      <w:lang w:val="ro-MD" w:eastAsia="en-US"/>
                    </w:rPr>
                    <w:t>50</w:t>
                  </w:r>
                </w:p>
              </w:tc>
            </w:tr>
            <w:tr w:rsidR="00E92F19" w:rsidRPr="00E92F19" w14:paraId="5CD2CC0B" w14:textId="77777777" w:rsidTr="000E293E">
              <w:trPr>
                <w:trHeight w:val="300"/>
              </w:trPr>
              <w:tc>
                <w:tcPr>
                  <w:tcW w:w="4390" w:type="dxa"/>
                  <w:gridSpan w:val="2"/>
                  <w:tcBorders>
                    <w:top w:val="single" w:sz="4" w:space="0" w:color="auto"/>
                    <w:left w:val="single" w:sz="4" w:space="0" w:color="auto"/>
                    <w:bottom w:val="single" w:sz="4" w:space="0" w:color="auto"/>
                    <w:right w:val="single" w:sz="4" w:space="0" w:color="auto"/>
                  </w:tcBorders>
                  <w:noWrap/>
                  <w:vAlign w:val="center"/>
                  <w:hideMark/>
                </w:tcPr>
                <w:p w14:paraId="3E95BAB0" w14:textId="77777777" w:rsidR="00E92F19" w:rsidRPr="00E92F19" w:rsidRDefault="00E92F19" w:rsidP="00A1774A">
                  <w:pPr>
                    <w:spacing w:after="0"/>
                    <w:ind w:firstLine="709"/>
                    <w:jc w:val="both"/>
                    <w:rPr>
                      <w:rFonts w:ascii="Times New Roman" w:eastAsia="Calibri" w:hAnsi="Times New Roman" w:cs="Times New Roman"/>
                      <w:b/>
                      <w:bCs/>
                      <w:sz w:val="24"/>
                      <w:szCs w:val="24"/>
                      <w:lang w:val="ro-MD" w:eastAsia="en-US"/>
                    </w:rPr>
                  </w:pPr>
                  <w:r w:rsidRPr="00E92F19">
                    <w:rPr>
                      <w:rFonts w:ascii="Times New Roman" w:eastAsia="Calibri" w:hAnsi="Times New Roman" w:cs="Times New Roman"/>
                      <w:b/>
                      <w:bCs/>
                      <w:sz w:val="24"/>
                      <w:szCs w:val="24"/>
                      <w:lang w:val="ro-MD" w:eastAsia="en-US"/>
                    </w:rPr>
                    <w:t>Total 2023</w:t>
                  </w:r>
                </w:p>
              </w:tc>
              <w:tc>
                <w:tcPr>
                  <w:tcW w:w="2835" w:type="dxa"/>
                  <w:tcBorders>
                    <w:top w:val="nil"/>
                    <w:left w:val="nil"/>
                    <w:bottom w:val="single" w:sz="4" w:space="0" w:color="auto"/>
                    <w:right w:val="single" w:sz="4" w:space="0" w:color="auto"/>
                  </w:tcBorders>
                  <w:noWrap/>
                  <w:vAlign w:val="bottom"/>
                  <w:hideMark/>
                </w:tcPr>
                <w:p w14:paraId="1127D200" w14:textId="77777777" w:rsidR="00E92F19" w:rsidRPr="00E92F19" w:rsidRDefault="00E92F19" w:rsidP="00A1774A">
                  <w:pPr>
                    <w:spacing w:after="0"/>
                    <w:ind w:firstLine="709"/>
                    <w:jc w:val="both"/>
                    <w:rPr>
                      <w:rFonts w:ascii="Times New Roman" w:eastAsia="Calibri" w:hAnsi="Times New Roman" w:cs="Times New Roman"/>
                      <w:b/>
                      <w:bCs/>
                      <w:sz w:val="24"/>
                      <w:szCs w:val="24"/>
                      <w:lang w:val="ro-MD" w:eastAsia="en-US"/>
                    </w:rPr>
                  </w:pPr>
                  <w:r w:rsidRPr="00E92F19">
                    <w:rPr>
                      <w:rFonts w:ascii="Times New Roman" w:eastAsia="Calibri" w:hAnsi="Times New Roman" w:cs="Times New Roman"/>
                      <w:b/>
                      <w:bCs/>
                      <w:sz w:val="24"/>
                      <w:szCs w:val="24"/>
                      <w:lang w:val="ro-MD" w:eastAsia="en-US"/>
                    </w:rPr>
                    <w:t>314</w:t>
                  </w:r>
                </w:p>
              </w:tc>
              <w:tc>
                <w:tcPr>
                  <w:tcW w:w="2551" w:type="dxa"/>
                  <w:tcBorders>
                    <w:top w:val="nil"/>
                    <w:left w:val="nil"/>
                    <w:bottom w:val="single" w:sz="4" w:space="0" w:color="auto"/>
                    <w:right w:val="single" w:sz="4" w:space="0" w:color="auto"/>
                  </w:tcBorders>
                  <w:noWrap/>
                  <w:vAlign w:val="bottom"/>
                  <w:hideMark/>
                </w:tcPr>
                <w:p w14:paraId="3FAFF83B" w14:textId="77777777" w:rsidR="00E92F19" w:rsidRPr="00E92F19" w:rsidRDefault="00E92F19" w:rsidP="00A1774A">
                  <w:pPr>
                    <w:spacing w:after="0"/>
                    <w:ind w:firstLine="709"/>
                    <w:jc w:val="both"/>
                    <w:rPr>
                      <w:rFonts w:ascii="Times New Roman" w:eastAsia="Calibri" w:hAnsi="Times New Roman" w:cs="Times New Roman"/>
                      <w:b/>
                      <w:bCs/>
                      <w:sz w:val="24"/>
                      <w:szCs w:val="24"/>
                      <w:lang w:val="ro-MD" w:eastAsia="en-US"/>
                    </w:rPr>
                  </w:pPr>
                  <w:r w:rsidRPr="00E92F19">
                    <w:rPr>
                      <w:rFonts w:ascii="Times New Roman" w:eastAsia="Calibri" w:hAnsi="Times New Roman" w:cs="Times New Roman"/>
                      <w:b/>
                      <w:bCs/>
                      <w:sz w:val="24"/>
                      <w:szCs w:val="24"/>
                      <w:lang w:val="ro-MD" w:eastAsia="en-US"/>
                    </w:rPr>
                    <w:t>158</w:t>
                  </w:r>
                </w:p>
              </w:tc>
            </w:tr>
            <w:tr w:rsidR="00E92F19" w:rsidRPr="00E92F19" w14:paraId="22AB5E5A" w14:textId="77777777" w:rsidTr="000E293E">
              <w:trPr>
                <w:trHeight w:val="300"/>
              </w:trPr>
              <w:tc>
                <w:tcPr>
                  <w:tcW w:w="1980" w:type="dxa"/>
                  <w:vMerge w:val="restart"/>
                  <w:tcBorders>
                    <w:top w:val="nil"/>
                    <w:left w:val="single" w:sz="4" w:space="0" w:color="auto"/>
                    <w:bottom w:val="single" w:sz="4" w:space="0" w:color="auto"/>
                    <w:right w:val="single" w:sz="4" w:space="0" w:color="auto"/>
                  </w:tcBorders>
                  <w:noWrap/>
                  <w:vAlign w:val="center"/>
                  <w:hideMark/>
                </w:tcPr>
                <w:p w14:paraId="1DEAAF52" w14:textId="77777777" w:rsidR="00E92F19" w:rsidRPr="00E92F19" w:rsidRDefault="00E92F19" w:rsidP="00A1774A">
                  <w:pPr>
                    <w:spacing w:after="0"/>
                    <w:ind w:firstLine="709"/>
                    <w:jc w:val="both"/>
                    <w:rPr>
                      <w:rFonts w:ascii="Times New Roman" w:eastAsia="Calibri" w:hAnsi="Times New Roman" w:cs="Times New Roman"/>
                      <w:b/>
                      <w:bCs/>
                      <w:sz w:val="24"/>
                      <w:szCs w:val="24"/>
                      <w:lang w:val="ro-MD" w:eastAsia="en-US"/>
                    </w:rPr>
                  </w:pPr>
                  <w:r w:rsidRPr="00E92F19">
                    <w:rPr>
                      <w:rFonts w:ascii="Times New Roman" w:eastAsia="Calibri" w:hAnsi="Times New Roman" w:cs="Times New Roman"/>
                      <w:b/>
                      <w:bCs/>
                      <w:sz w:val="24"/>
                      <w:szCs w:val="24"/>
                      <w:lang w:val="ro-MD" w:eastAsia="en-US"/>
                    </w:rPr>
                    <w:t>2024</w:t>
                  </w:r>
                </w:p>
              </w:tc>
              <w:tc>
                <w:tcPr>
                  <w:tcW w:w="2410" w:type="dxa"/>
                  <w:tcBorders>
                    <w:top w:val="nil"/>
                    <w:left w:val="nil"/>
                    <w:bottom w:val="single" w:sz="4" w:space="0" w:color="auto"/>
                    <w:right w:val="single" w:sz="4" w:space="0" w:color="auto"/>
                  </w:tcBorders>
                  <w:noWrap/>
                  <w:vAlign w:val="center"/>
                  <w:hideMark/>
                </w:tcPr>
                <w:p w14:paraId="4F5490CA" w14:textId="77777777" w:rsidR="00E92F19" w:rsidRPr="00E92F19" w:rsidRDefault="00E92F19" w:rsidP="00A1774A">
                  <w:pPr>
                    <w:spacing w:after="0"/>
                    <w:ind w:firstLine="709"/>
                    <w:jc w:val="both"/>
                    <w:rPr>
                      <w:rFonts w:ascii="Times New Roman" w:eastAsia="Calibri" w:hAnsi="Times New Roman" w:cs="Times New Roman"/>
                      <w:b/>
                      <w:bCs/>
                      <w:sz w:val="24"/>
                      <w:szCs w:val="24"/>
                      <w:lang w:val="ro-MD" w:eastAsia="en-US"/>
                    </w:rPr>
                  </w:pPr>
                  <w:r w:rsidRPr="00E92F19">
                    <w:rPr>
                      <w:rFonts w:ascii="Times New Roman" w:eastAsia="Calibri" w:hAnsi="Times New Roman" w:cs="Times New Roman"/>
                      <w:b/>
                      <w:bCs/>
                      <w:sz w:val="24"/>
                      <w:szCs w:val="24"/>
                      <w:lang w:val="ro-MD" w:eastAsia="en-US"/>
                    </w:rPr>
                    <w:t>Licență</w:t>
                  </w:r>
                </w:p>
              </w:tc>
              <w:tc>
                <w:tcPr>
                  <w:tcW w:w="2835" w:type="dxa"/>
                  <w:tcBorders>
                    <w:top w:val="nil"/>
                    <w:left w:val="nil"/>
                    <w:bottom w:val="single" w:sz="4" w:space="0" w:color="auto"/>
                    <w:right w:val="single" w:sz="4" w:space="0" w:color="auto"/>
                  </w:tcBorders>
                  <w:noWrap/>
                  <w:vAlign w:val="bottom"/>
                  <w:hideMark/>
                </w:tcPr>
                <w:p w14:paraId="7A437177" w14:textId="77777777" w:rsidR="00E92F19" w:rsidRPr="00E92F19" w:rsidRDefault="00E92F19" w:rsidP="00A1774A">
                  <w:pPr>
                    <w:spacing w:after="0"/>
                    <w:ind w:firstLine="709"/>
                    <w:jc w:val="both"/>
                    <w:rPr>
                      <w:rFonts w:ascii="Times New Roman" w:eastAsia="Calibri" w:hAnsi="Times New Roman" w:cs="Times New Roman"/>
                      <w:sz w:val="24"/>
                      <w:szCs w:val="24"/>
                      <w:lang w:val="ro-MD" w:eastAsia="en-US"/>
                    </w:rPr>
                  </w:pPr>
                  <w:r w:rsidRPr="00E92F19">
                    <w:rPr>
                      <w:rFonts w:ascii="Times New Roman" w:eastAsia="Calibri" w:hAnsi="Times New Roman" w:cs="Times New Roman"/>
                      <w:sz w:val="24"/>
                      <w:szCs w:val="24"/>
                      <w:lang w:val="ro-MD" w:eastAsia="en-US"/>
                    </w:rPr>
                    <w:t>317</w:t>
                  </w:r>
                </w:p>
              </w:tc>
              <w:tc>
                <w:tcPr>
                  <w:tcW w:w="2551" w:type="dxa"/>
                  <w:tcBorders>
                    <w:top w:val="nil"/>
                    <w:left w:val="nil"/>
                    <w:bottom w:val="single" w:sz="4" w:space="0" w:color="auto"/>
                    <w:right w:val="single" w:sz="4" w:space="0" w:color="auto"/>
                  </w:tcBorders>
                  <w:noWrap/>
                  <w:vAlign w:val="bottom"/>
                  <w:hideMark/>
                </w:tcPr>
                <w:p w14:paraId="0864EB81" w14:textId="77777777" w:rsidR="00E92F19" w:rsidRPr="00E92F19" w:rsidRDefault="00E92F19" w:rsidP="00A1774A">
                  <w:pPr>
                    <w:spacing w:after="0"/>
                    <w:ind w:firstLine="709"/>
                    <w:jc w:val="both"/>
                    <w:rPr>
                      <w:rFonts w:ascii="Times New Roman" w:eastAsia="Calibri" w:hAnsi="Times New Roman" w:cs="Times New Roman"/>
                      <w:sz w:val="24"/>
                      <w:szCs w:val="24"/>
                      <w:lang w:val="ro-MD" w:eastAsia="en-US"/>
                    </w:rPr>
                  </w:pPr>
                  <w:r w:rsidRPr="00E92F19">
                    <w:rPr>
                      <w:rFonts w:ascii="Times New Roman" w:eastAsia="Calibri" w:hAnsi="Times New Roman" w:cs="Times New Roman"/>
                      <w:sz w:val="24"/>
                      <w:szCs w:val="24"/>
                      <w:lang w:val="ro-MD" w:eastAsia="en-US"/>
                    </w:rPr>
                    <w:t>117</w:t>
                  </w:r>
                </w:p>
              </w:tc>
            </w:tr>
            <w:tr w:rsidR="00E92F19" w:rsidRPr="00E92F19" w14:paraId="3A2127C7" w14:textId="77777777" w:rsidTr="000E293E">
              <w:trPr>
                <w:trHeight w:val="300"/>
              </w:trPr>
              <w:tc>
                <w:tcPr>
                  <w:tcW w:w="1980" w:type="dxa"/>
                  <w:vMerge/>
                  <w:tcBorders>
                    <w:top w:val="nil"/>
                    <w:left w:val="single" w:sz="4" w:space="0" w:color="auto"/>
                    <w:bottom w:val="single" w:sz="4" w:space="0" w:color="auto"/>
                    <w:right w:val="single" w:sz="4" w:space="0" w:color="auto"/>
                  </w:tcBorders>
                  <w:vAlign w:val="center"/>
                  <w:hideMark/>
                </w:tcPr>
                <w:p w14:paraId="234F55CC" w14:textId="77777777" w:rsidR="00E92F19" w:rsidRPr="00E92F19" w:rsidRDefault="00E92F19" w:rsidP="00A1774A">
                  <w:pPr>
                    <w:spacing w:after="0"/>
                    <w:ind w:firstLine="709"/>
                    <w:jc w:val="both"/>
                    <w:rPr>
                      <w:rFonts w:ascii="Times New Roman" w:eastAsia="Calibri" w:hAnsi="Times New Roman" w:cs="Times New Roman"/>
                      <w:b/>
                      <w:bCs/>
                      <w:sz w:val="24"/>
                      <w:szCs w:val="24"/>
                      <w:lang w:val="ro-MD" w:eastAsia="en-US"/>
                    </w:rPr>
                  </w:pPr>
                </w:p>
              </w:tc>
              <w:tc>
                <w:tcPr>
                  <w:tcW w:w="2410" w:type="dxa"/>
                  <w:tcBorders>
                    <w:top w:val="nil"/>
                    <w:left w:val="nil"/>
                    <w:bottom w:val="single" w:sz="4" w:space="0" w:color="auto"/>
                    <w:right w:val="single" w:sz="4" w:space="0" w:color="auto"/>
                  </w:tcBorders>
                  <w:noWrap/>
                  <w:vAlign w:val="center"/>
                  <w:hideMark/>
                </w:tcPr>
                <w:p w14:paraId="359B484E" w14:textId="77777777" w:rsidR="00E92F19" w:rsidRPr="00E92F19" w:rsidRDefault="00E92F19" w:rsidP="00A1774A">
                  <w:pPr>
                    <w:spacing w:after="0"/>
                    <w:ind w:firstLine="709"/>
                    <w:jc w:val="both"/>
                    <w:rPr>
                      <w:rFonts w:ascii="Times New Roman" w:eastAsia="Calibri" w:hAnsi="Times New Roman" w:cs="Times New Roman"/>
                      <w:b/>
                      <w:bCs/>
                      <w:sz w:val="24"/>
                      <w:szCs w:val="24"/>
                      <w:lang w:val="ro-MD" w:eastAsia="en-US"/>
                    </w:rPr>
                  </w:pPr>
                  <w:r w:rsidRPr="00E92F19">
                    <w:rPr>
                      <w:rFonts w:ascii="Times New Roman" w:eastAsia="Calibri" w:hAnsi="Times New Roman" w:cs="Times New Roman"/>
                      <w:b/>
                      <w:bCs/>
                      <w:sz w:val="24"/>
                      <w:szCs w:val="24"/>
                      <w:lang w:val="ro-MD" w:eastAsia="en-US"/>
                    </w:rPr>
                    <w:t>Master</w:t>
                  </w:r>
                </w:p>
              </w:tc>
              <w:tc>
                <w:tcPr>
                  <w:tcW w:w="2835" w:type="dxa"/>
                  <w:tcBorders>
                    <w:top w:val="nil"/>
                    <w:left w:val="nil"/>
                    <w:bottom w:val="single" w:sz="4" w:space="0" w:color="auto"/>
                    <w:right w:val="single" w:sz="4" w:space="0" w:color="auto"/>
                  </w:tcBorders>
                  <w:noWrap/>
                  <w:vAlign w:val="bottom"/>
                  <w:hideMark/>
                </w:tcPr>
                <w:p w14:paraId="21319FF8" w14:textId="77777777" w:rsidR="00E92F19" w:rsidRPr="00E92F19" w:rsidRDefault="00E92F19" w:rsidP="00A1774A">
                  <w:pPr>
                    <w:spacing w:after="0"/>
                    <w:ind w:firstLine="709"/>
                    <w:jc w:val="both"/>
                    <w:rPr>
                      <w:rFonts w:ascii="Times New Roman" w:eastAsia="Calibri" w:hAnsi="Times New Roman" w:cs="Times New Roman"/>
                      <w:sz w:val="24"/>
                      <w:szCs w:val="24"/>
                      <w:lang w:val="ro-MD" w:eastAsia="en-US"/>
                    </w:rPr>
                  </w:pPr>
                  <w:r w:rsidRPr="00E92F19">
                    <w:rPr>
                      <w:rFonts w:ascii="Times New Roman" w:eastAsia="Calibri" w:hAnsi="Times New Roman" w:cs="Times New Roman"/>
                      <w:sz w:val="24"/>
                      <w:szCs w:val="24"/>
                      <w:lang w:val="ro-MD" w:eastAsia="en-US"/>
                    </w:rPr>
                    <w:t>61</w:t>
                  </w:r>
                </w:p>
              </w:tc>
              <w:tc>
                <w:tcPr>
                  <w:tcW w:w="2551" w:type="dxa"/>
                  <w:tcBorders>
                    <w:top w:val="nil"/>
                    <w:left w:val="nil"/>
                    <w:bottom w:val="single" w:sz="4" w:space="0" w:color="auto"/>
                    <w:right w:val="single" w:sz="4" w:space="0" w:color="auto"/>
                  </w:tcBorders>
                  <w:noWrap/>
                  <w:vAlign w:val="bottom"/>
                  <w:hideMark/>
                </w:tcPr>
                <w:p w14:paraId="07D2B973" w14:textId="77777777" w:rsidR="00E92F19" w:rsidRPr="00E92F19" w:rsidRDefault="00E92F19" w:rsidP="00A1774A">
                  <w:pPr>
                    <w:spacing w:after="0"/>
                    <w:ind w:firstLine="709"/>
                    <w:jc w:val="both"/>
                    <w:rPr>
                      <w:rFonts w:ascii="Times New Roman" w:eastAsia="Calibri" w:hAnsi="Times New Roman" w:cs="Times New Roman"/>
                      <w:sz w:val="24"/>
                      <w:szCs w:val="24"/>
                      <w:lang w:val="ro-MD" w:eastAsia="en-US"/>
                    </w:rPr>
                  </w:pPr>
                  <w:r w:rsidRPr="00E92F19">
                    <w:rPr>
                      <w:rFonts w:ascii="Times New Roman" w:eastAsia="Calibri" w:hAnsi="Times New Roman" w:cs="Times New Roman"/>
                      <w:sz w:val="24"/>
                      <w:szCs w:val="24"/>
                      <w:lang w:val="ro-MD" w:eastAsia="en-US"/>
                    </w:rPr>
                    <w:t>59</w:t>
                  </w:r>
                </w:p>
              </w:tc>
            </w:tr>
            <w:tr w:rsidR="00E92F19" w:rsidRPr="00E92F19" w14:paraId="6320991C" w14:textId="77777777" w:rsidTr="000E293E">
              <w:trPr>
                <w:trHeight w:val="300"/>
              </w:trPr>
              <w:tc>
                <w:tcPr>
                  <w:tcW w:w="4390" w:type="dxa"/>
                  <w:gridSpan w:val="2"/>
                  <w:tcBorders>
                    <w:top w:val="single" w:sz="4" w:space="0" w:color="auto"/>
                    <w:left w:val="single" w:sz="4" w:space="0" w:color="auto"/>
                    <w:bottom w:val="single" w:sz="4" w:space="0" w:color="auto"/>
                    <w:right w:val="single" w:sz="4" w:space="0" w:color="auto"/>
                  </w:tcBorders>
                  <w:noWrap/>
                  <w:vAlign w:val="center"/>
                  <w:hideMark/>
                </w:tcPr>
                <w:p w14:paraId="24FFBD35" w14:textId="77777777" w:rsidR="00E92F19" w:rsidRPr="00E92F19" w:rsidRDefault="00E92F19" w:rsidP="00A1774A">
                  <w:pPr>
                    <w:spacing w:after="0"/>
                    <w:ind w:firstLine="709"/>
                    <w:jc w:val="both"/>
                    <w:rPr>
                      <w:rFonts w:ascii="Times New Roman" w:eastAsia="Calibri" w:hAnsi="Times New Roman" w:cs="Times New Roman"/>
                      <w:b/>
                      <w:bCs/>
                      <w:sz w:val="24"/>
                      <w:szCs w:val="24"/>
                      <w:lang w:val="ro-MD" w:eastAsia="en-US"/>
                    </w:rPr>
                  </w:pPr>
                  <w:r w:rsidRPr="00E92F19">
                    <w:rPr>
                      <w:rFonts w:ascii="Times New Roman" w:eastAsia="Calibri" w:hAnsi="Times New Roman" w:cs="Times New Roman"/>
                      <w:b/>
                      <w:bCs/>
                      <w:sz w:val="24"/>
                      <w:szCs w:val="24"/>
                      <w:lang w:val="ro-MD" w:eastAsia="en-US"/>
                    </w:rPr>
                    <w:t>Total 2024</w:t>
                  </w:r>
                </w:p>
              </w:tc>
              <w:tc>
                <w:tcPr>
                  <w:tcW w:w="2835" w:type="dxa"/>
                  <w:tcBorders>
                    <w:top w:val="nil"/>
                    <w:left w:val="nil"/>
                    <w:bottom w:val="single" w:sz="4" w:space="0" w:color="auto"/>
                    <w:right w:val="single" w:sz="4" w:space="0" w:color="auto"/>
                  </w:tcBorders>
                  <w:noWrap/>
                  <w:vAlign w:val="bottom"/>
                  <w:hideMark/>
                </w:tcPr>
                <w:p w14:paraId="020A71C6" w14:textId="77777777" w:rsidR="00E92F19" w:rsidRPr="00E92F19" w:rsidRDefault="00E92F19" w:rsidP="00A1774A">
                  <w:pPr>
                    <w:spacing w:after="0"/>
                    <w:ind w:firstLine="709"/>
                    <w:jc w:val="both"/>
                    <w:rPr>
                      <w:rFonts w:ascii="Times New Roman" w:eastAsia="Calibri" w:hAnsi="Times New Roman" w:cs="Times New Roman"/>
                      <w:b/>
                      <w:bCs/>
                      <w:sz w:val="24"/>
                      <w:szCs w:val="24"/>
                      <w:lang w:val="ro-MD" w:eastAsia="en-US"/>
                    </w:rPr>
                  </w:pPr>
                  <w:r w:rsidRPr="00E92F19">
                    <w:rPr>
                      <w:rFonts w:ascii="Times New Roman" w:eastAsia="Calibri" w:hAnsi="Times New Roman" w:cs="Times New Roman"/>
                      <w:b/>
                      <w:bCs/>
                      <w:sz w:val="24"/>
                      <w:szCs w:val="24"/>
                      <w:lang w:val="ro-MD" w:eastAsia="en-US"/>
                    </w:rPr>
                    <w:t>378</w:t>
                  </w:r>
                </w:p>
              </w:tc>
              <w:tc>
                <w:tcPr>
                  <w:tcW w:w="2551" w:type="dxa"/>
                  <w:tcBorders>
                    <w:top w:val="nil"/>
                    <w:left w:val="nil"/>
                    <w:bottom w:val="single" w:sz="4" w:space="0" w:color="auto"/>
                    <w:right w:val="single" w:sz="4" w:space="0" w:color="auto"/>
                  </w:tcBorders>
                  <w:noWrap/>
                  <w:vAlign w:val="bottom"/>
                  <w:hideMark/>
                </w:tcPr>
                <w:p w14:paraId="65BB7266" w14:textId="77777777" w:rsidR="00E92F19" w:rsidRPr="00E92F19" w:rsidRDefault="00E92F19" w:rsidP="00A1774A">
                  <w:pPr>
                    <w:spacing w:after="0"/>
                    <w:ind w:firstLine="709"/>
                    <w:jc w:val="both"/>
                    <w:rPr>
                      <w:rFonts w:ascii="Times New Roman" w:eastAsia="Calibri" w:hAnsi="Times New Roman" w:cs="Times New Roman"/>
                      <w:b/>
                      <w:bCs/>
                      <w:sz w:val="24"/>
                      <w:szCs w:val="24"/>
                      <w:lang w:val="ro-MD" w:eastAsia="en-US"/>
                    </w:rPr>
                  </w:pPr>
                  <w:r w:rsidRPr="00E92F19">
                    <w:rPr>
                      <w:rFonts w:ascii="Times New Roman" w:eastAsia="Calibri" w:hAnsi="Times New Roman" w:cs="Times New Roman"/>
                      <w:b/>
                      <w:bCs/>
                      <w:sz w:val="24"/>
                      <w:szCs w:val="24"/>
                      <w:lang w:val="ro-MD" w:eastAsia="en-US"/>
                    </w:rPr>
                    <w:t>176</w:t>
                  </w:r>
                </w:p>
              </w:tc>
            </w:tr>
            <w:tr w:rsidR="00E92F19" w:rsidRPr="00E92F19" w14:paraId="6CE1DAEE" w14:textId="77777777" w:rsidTr="000E293E">
              <w:trPr>
                <w:trHeight w:val="300"/>
              </w:trPr>
              <w:tc>
                <w:tcPr>
                  <w:tcW w:w="1980" w:type="dxa"/>
                  <w:vMerge w:val="restart"/>
                  <w:tcBorders>
                    <w:top w:val="nil"/>
                    <w:left w:val="single" w:sz="4" w:space="0" w:color="auto"/>
                    <w:bottom w:val="single" w:sz="4" w:space="0" w:color="auto"/>
                    <w:right w:val="single" w:sz="4" w:space="0" w:color="auto"/>
                  </w:tcBorders>
                  <w:noWrap/>
                  <w:vAlign w:val="center"/>
                  <w:hideMark/>
                </w:tcPr>
                <w:p w14:paraId="749EA0C9" w14:textId="77777777" w:rsidR="00E92F19" w:rsidRPr="00E92F19" w:rsidRDefault="00E92F19" w:rsidP="00A1774A">
                  <w:pPr>
                    <w:spacing w:after="0"/>
                    <w:ind w:firstLine="709"/>
                    <w:jc w:val="both"/>
                    <w:rPr>
                      <w:rFonts w:ascii="Times New Roman" w:eastAsia="Calibri" w:hAnsi="Times New Roman" w:cs="Times New Roman"/>
                      <w:b/>
                      <w:bCs/>
                      <w:sz w:val="24"/>
                      <w:szCs w:val="24"/>
                      <w:lang w:val="ro-MD" w:eastAsia="en-US"/>
                    </w:rPr>
                  </w:pPr>
                  <w:r w:rsidRPr="00E92F19">
                    <w:rPr>
                      <w:rFonts w:ascii="Times New Roman" w:eastAsia="Calibri" w:hAnsi="Times New Roman" w:cs="Times New Roman"/>
                      <w:b/>
                      <w:bCs/>
                      <w:sz w:val="24"/>
                      <w:szCs w:val="24"/>
                      <w:lang w:val="ro-MD" w:eastAsia="en-US"/>
                    </w:rPr>
                    <w:t>2025</w:t>
                  </w:r>
                </w:p>
              </w:tc>
              <w:tc>
                <w:tcPr>
                  <w:tcW w:w="2410" w:type="dxa"/>
                  <w:tcBorders>
                    <w:top w:val="nil"/>
                    <w:left w:val="nil"/>
                    <w:bottom w:val="single" w:sz="4" w:space="0" w:color="auto"/>
                    <w:right w:val="single" w:sz="4" w:space="0" w:color="auto"/>
                  </w:tcBorders>
                  <w:noWrap/>
                  <w:vAlign w:val="center"/>
                  <w:hideMark/>
                </w:tcPr>
                <w:p w14:paraId="048B2227" w14:textId="77777777" w:rsidR="00E92F19" w:rsidRPr="00E92F19" w:rsidRDefault="00E92F19" w:rsidP="00A1774A">
                  <w:pPr>
                    <w:spacing w:after="0"/>
                    <w:ind w:firstLine="709"/>
                    <w:jc w:val="both"/>
                    <w:rPr>
                      <w:rFonts w:ascii="Times New Roman" w:eastAsia="Calibri" w:hAnsi="Times New Roman" w:cs="Times New Roman"/>
                      <w:b/>
                      <w:bCs/>
                      <w:sz w:val="24"/>
                      <w:szCs w:val="24"/>
                      <w:lang w:val="ro-MD" w:eastAsia="en-US"/>
                    </w:rPr>
                  </w:pPr>
                  <w:r w:rsidRPr="00E92F19">
                    <w:rPr>
                      <w:rFonts w:ascii="Times New Roman" w:eastAsia="Calibri" w:hAnsi="Times New Roman" w:cs="Times New Roman"/>
                      <w:b/>
                      <w:bCs/>
                      <w:sz w:val="24"/>
                      <w:szCs w:val="24"/>
                      <w:lang w:val="ro-MD" w:eastAsia="en-US"/>
                    </w:rPr>
                    <w:t>Licență</w:t>
                  </w:r>
                </w:p>
              </w:tc>
              <w:tc>
                <w:tcPr>
                  <w:tcW w:w="2835" w:type="dxa"/>
                  <w:tcBorders>
                    <w:top w:val="nil"/>
                    <w:left w:val="nil"/>
                    <w:bottom w:val="single" w:sz="4" w:space="0" w:color="auto"/>
                    <w:right w:val="single" w:sz="4" w:space="0" w:color="auto"/>
                  </w:tcBorders>
                  <w:noWrap/>
                  <w:vAlign w:val="bottom"/>
                  <w:hideMark/>
                </w:tcPr>
                <w:p w14:paraId="68A9F1A1" w14:textId="77777777" w:rsidR="00E92F19" w:rsidRPr="00E92F19" w:rsidRDefault="00E92F19" w:rsidP="00A1774A">
                  <w:pPr>
                    <w:spacing w:after="0"/>
                    <w:ind w:firstLine="709"/>
                    <w:jc w:val="both"/>
                    <w:rPr>
                      <w:rFonts w:ascii="Times New Roman" w:eastAsia="Calibri" w:hAnsi="Times New Roman" w:cs="Times New Roman"/>
                      <w:sz w:val="24"/>
                      <w:szCs w:val="24"/>
                      <w:lang w:val="ro-MD" w:eastAsia="en-US"/>
                    </w:rPr>
                  </w:pPr>
                  <w:r w:rsidRPr="00E92F19">
                    <w:rPr>
                      <w:rFonts w:ascii="Times New Roman" w:eastAsia="Calibri" w:hAnsi="Times New Roman" w:cs="Times New Roman"/>
                      <w:sz w:val="24"/>
                      <w:szCs w:val="24"/>
                      <w:lang w:val="ro-MD" w:eastAsia="en-US"/>
                    </w:rPr>
                    <w:t>295</w:t>
                  </w:r>
                </w:p>
              </w:tc>
              <w:tc>
                <w:tcPr>
                  <w:tcW w:w="2551" w:type="dxa"/>
                  <w:tcBorders>
                    <w:top w:val="nil"/>
                    <w:left w:val="nil"/>
                    <w:bottom w:val="single" w:sz="4" w:space="0" w:color="auto"/>
                    <w:right w:val="single" w:sz="4" w:space="0" w:color="auto"/>
                  </w:tcBorders>
                  <w:noWrap/>
                  <w:vAlign w:val="bottom"/>
                  <w:hideMark/>
                </w:tcPr>
                <w:p w14:paraId="5AA7A7EB" w14:textId="77777777" w:rsidR="00E92F19" w:rsidRPr="00E92F19" w:rsidRDefault="00E92F19" w:rsidP="00A1774A">
                  <w:pPr>
                    <w:spacing w:after="0"/>
                    <w:ind w:firstLine="709"/>
                    <w:jc w:val="both"/>
                    <w:rPr>
                      <w:rFonts w:ascii="Times New Roman" w:eastAsia="Calibri" w:hAnsi="Times New Roman" w:cs="Times New Roman"/>
                      <w:sz w:val="24"/>
                      <w:szCs w:val="24"/>
                      <w:lang w:val="ro-MD" w:eastAsia="en-US"/>
                    </w:rPr>
                  </w:pPr>
                  <w:r w:rsidRPr="00E92F19">
                    <w:rPr>
                      <w:rFonts w:ascii="Times New Roman" w:eastAsia="Calibri" w:hAnsi="Times New Roman" w:cs="Times New Roman"/>
                      <w:sz w:val="24"/>
                      <w:szCs w:val="24"/>
                      <w:lang w:val="ro-MD" w:eastAsia="en-US"/>
                    </w:rPr>
                    <w:t>111</w:t>
                  </w:r>
                </w:p>
              </w:tc>
            </w:tr>
            <w:tr w:rsidR="00E92F19" w:rsidRPr="00E92F19" w14:paraId="070A02A4" w14:textId="77777777" w:rsidTr="000E293E">
              <w:trPr>
                <w:trHeight w:val="300"/>
              </w:trPr>
              <w:tc>
                <w:tcPr>
                  <w:tcW w:w="1980" w:type="dxa"/>
                  <w:vMerge/>
                  <w:tcBorders>
                    <w:top w:val="nil"/>
                    <w:left w:val="single" w:sz="4" w:space="0" w:color="auto"/>
                    <w:bottom w:val="single" w:sz="4" w:space="0" w:color="auto"/>
                    <w:right w:val="single" w:sz="4" w:space="0" w:color="auto"/>
                  </w:tcBorders>
                  <w:vAlign w:val="center"/>
                  <w:hideMark/>
                </w:tcPr>
                <w:p w14:paraId="2F98C044" w14:textId="77777777" w:rsidR="00E92F19" w:rsidRPr="00E92F19" w:rsidRDefault="00E92F19" w:rsidP="00A1774A">
                  <w:pPr>
                    <w:spacing w:after="0"/>
                    <w:ind w:firstLine="709"/>
                    <w:jc w:val="both"/>
                    <w:rPr>
                      <w:rFonts w:ascii="Times New Roman" w:eastAsia="Calibri" w:hAnsi="Times New Roman" w:cs="Times New Roman"/>
                      <w:b/>
                      <w:bCs/>
                      <w:sz w:val="24"/>
                      <w:szCs w:val="24"/>
                      <w:lang w:val="ro-MD" w:eastAsia="en-US"/>
                    </w:rPr>
                  </w:pPr>
                </w:p>
              </w:tc>
              <w:tc>
                <w:tcPr>
                  <w:tcW w:w="2410" w:type="dxa"/>
                  <w:tcBorders>
                    <w:top w:val="nil"/>
                    <w:left w:val="nil"/>
                    <w:bottom w:val="single" w:sz="4" w:space="0" w:color="auto"/>
                    <w:right w:val="single" w:sz="4" w:space="0" w:color="auto"/>
                  </w:tcBorders>
                  <w:noWrap/>
                  <w:vAlign w:val="center"/>
                  <w:hideMark/>
                </w:tcPr>
                <w:p w14:paraId="1214C873" w14:textId="77777777" w:rsidR="00E92F19" w:rsidRPr="00E92F19" w:rsidRDefault="00E92F19" w:rsidP="00A1774A">
                  <w:pPr>
                    <w:spacing w:after="0"/>
                    <w:ind w:firstLine="709"/>
                    <w:jc w:val="both"/>
                    <w:rPr>
                      <w:rFonts w:ascii="Times New Roman" w:eastAsia="Calibri" w:hAnsi="Times New Roman" w:cs="Times New Roman"/>
                      <w:b/>
                      <w:bCs/>
                      <w:sz w:val="24"/>
                      <w:szCs w:val="24"/>
                      <w:lang w:val="ro-MD" w:eastAsia="en-US"/>
                    </w:rPr>
                  </w:pPr>
                  <w:r w:rsidRPr="00E92F19">
                    <w:rPr>
                      <w:rFonts w:ascii="Times New Roman" w:eastAsia="Calibri" w:hAnsi="Times New Roman" w:cs="Times New Roman"/>
                      <w:b/>
                      <w:bCs/>
                      <w:sz w:val="24"/>
                      <w:szCs w:val="24"/>
                      <w:lang w:val="ro-MD" w:eastAsia="en-US"/>
                    </w:rPr>
                    <w:t>Master</w:t>
                  </w:r>
                </w:p>
              </w:tc>
              <w:tc>
                <w:tcPr>
                  <w:tcW w:w="2835" w:type="dxa"/>
                  <w:tcBorders>
                    <w:top w:val="nil"/>
                    <w:left w:val="nil"/>
                    <w:bottom w:val="single" w:sz="4" w:space="0" w:color="auto"/>
                    <w:right w:val="single" w:sz="4" w:space="0" w:color="auto"/>
                  </w:tcBorders>
                  <w:noWrap/>
                  <w:vAlign w:val="bottom"/>
                  <w:hideMark/>
                </w:tcPr>
                <w:p w14:paraId="425A8BCA" w14:textId="77777777" w:rsidR="00E92F19" w:rsidRPr="00E92F19" w:rsidRDefault="00E92F19" w:rsidP="00A1774A">
                  <w:pPr>
                    <w:spacing w:after="0"/>
                    <w:ind w:firstLine="709"/>
                    <w:jc w:val="both"/>
                    <w:rPr>
                      <w:rFonts w:ascii="Times New Roman" w:eastAsia="Calibri" w:hAnsi="Times New Roman" w:cs="Times New Roman"/>
                      <w:sz w:val="24"/>
                      <w:szCs w:val="24"/>
                      <w:lang w:val="ro-MD" w:eastAsia="en-US"/>
                    </w:rPr>
                  </w:pPr>
                  <w:r w:rsidRPr="00E92F19">
                    <w:rPr>
                      <w:rFonts w:ascii="Times New Roman" w:eastAsia="Calibri" w:hAnsi="Times New Roman" w:cs="Times New Roman"/>
                      <w:sz w:val="24"/>
                      <w:szCs w:val="24"/>
                      <w:lang w:val="ro-MD" w:eastAsia="en-US"/>
                    </w:rPr>
                    <w:t>102</w:t>
                  </w:r>
                </w:p>
              </w:tc>
              <w:tc>
                <w:tcPr>
                  <w:tcW w:w="2551" w:type="dxa"/>
                  <w:tcBorders>
                    <w:top w:val="nil"/>
                    <w:left w:val="nil"/>
                    <w:bottom w:val="single" w:sz="4" w:space="0" w:color="auto"/>
                    <w:right w:val="single" w:sz="4" w:space="0" w:color="auto"/>
                  </w:tcBorders>
                  <w:noWrap/>
                  <w:vAlign w:val="bottom"/>
                  <w:hideMark/>
                </w:tcPr>
                <w:p w14:paraId="26B19E13" w14:textId="77777777" w:rsidR="00E92F19" w:rsidRPr="00E92F19" w:rsidRDefault="00E92F19" w:rsidP="00A1774A">
                  <w:pPr>
                    <w:spacing w:after="0"/>
                    <w:ind w:firstLine="709"/>
                    <w:jc w:val="both"/>
                    <w:rPr>
                      <w:rFonts w:ascii="Times New Roman" w:eastAsia="Calibri" w:hAnsi="Times New Roman" w:cs="Times New Roman"/>
                      <w:sz w:val="24"/>
                      <w:szCs w:val="24"/>
                      <w:lang w:val="ro-MD" w:eastAsia="en-US"/>
                    </w:rPr>
                  </w:pPr>
                  <w:r w:rsidRPr="00E92F19">
                    <w:rPr>
                      <w:rFonts w:ascii="Times New Roman" w:eastAsia="Calibri" w:hAnsi="Times New Roman" w:cs="Times New Roman"/>
                      <w:sz w:val="24"/>
                      <w:szCs w:val="24"/>
                      <w:lang w:val="ro-MD" w:eastAsia="en-US"/>
                    </w:rPr>
                    <w:t>51</w:t>
                  </w:r>
                </w:p>
              </w:tc>
            </w:tr>
            <w:tr w:rsidR="00E92F19" w:rsidRPr="00E92F19" w14:paraId="12EEC5F7" w14:textId="77777777" w:rsidTr="000E293E">
              <w:trPr>
                <w:trHeight w:val="300"/>
              </w:trPr>
              <w:tc>
                <w:tcPr>
                  <w:tcW w:w="4390" w:type="dxa"/>
                  <w:gridSpan w:val="2"/>
                  <w:tcBorders>
                    <w:top w:val="single" w:sz="4" w:space="0" w:color="auto"/>
                    <w:left w:val="single" w:sz="4" w:space="0" w:color="auto"/>
                    <w:bottom w:val="single" w:sz="4" w:space="0" w:color="auto"/>
                    <w:right w:val="single" w:sz="4" w:space="0" w:color="auto"/>
                  </w:tcBorders>
                  <w:noWrap/>
                  <w:vAlign w:val="bottom"/>
                  <w:hideMark/>
                </w:tcPr>
                <w:p w14:paraId="261408D9" w14:textId="77777777" w:rsidR="00E92F19" w:rsidRPr="00E92F19" w:rsidRDefault="00E92F19" w:rsidP="00A1774A">
                  <w:pPr>
                    <w:spacing w:after="0"/>
                    <w:ind w:firstLine="709"/>
                    <w:jc w:val="both"/>
                    <w:rPr>
                      <w:rFonts w:ascii="Times New Roman" w:eastAsia="Calibri" w:hAnsi="Times New Roman" w:cs="Times New Roman"/>
                      <w:b/>
                      <w:bCs/>
                      <w:sz w:val="24"/>
                      <w:szCs w:val="24"/>
                      <w:lang w:val="ro-MD" w:eastAsia="en-US"/>
                    </w:rPr>
                  </w:pPr>
                  <w:r w:rsidRPr="00E92F19">
                    <w:rPr>
                      <w:rFonts w:ascii="Times New Roman" w:eastAsia="Calibri" w:hAnsi="Times New Roman" w:cs="Times New Roman"/>
                      <w:b/>
                      <w:bCs/>
                      <w:sz w:val="24"/>
                      <w:szCs w:val="24"/>
                      <w:lang w:val="ro-MD" w:eastAsia="en-US"/>
                    </w:rPr>
                    <w:t>Total 2025</w:t>
                  </w:r>
                </w:p>
              </w:tc>
              <w:tc>
                <w:tcPr>
                  <w:tcW w:w="2835" w:type="dxa"/>
                  <w:tcBorders>
                    <w:top w:val="nil"/>
                    <w:left w:val="nil"/>
                    <w:bottom w:val="single" w:sz="4" w:space="0" w:color="auto"/>
                    <w:right w:val="single" w:sz="4" w:space="0" w:color="auto"/>
                  </w:tcBorders>
                  <w:noWrap/>
                  <w:vAlign w:val="bottom"/>
                  <w:hideMark/>
                </w:tcPr>
                <w:p w14:paraId="69A43A4E" w14:textId="77777777" w:rsidR="00E92F19" w:rsidRPr="00E92F19" w:rsidRDefault="00E92F19" w:rsidP="00A1774A">
                  <w:pPr>
                    <w:spacing w:after="0"/>
                    <w:ind w:firstLine="709"/>
                    <w:jc w:val="both"/>
                    <w:rPr>
                      <w:rFonts w:ascii="Times New Roman" w:eastAsia="Calibri" w:hAnsi="Times New Roman" w:cs="Times New Roman"/>
                      <w:b/>
                      <w:bCs/>
                      <w:sz w:val="24"/>
                      <w:szCs w:val="24"/>
                      <w:lang w:val="ro-MD" w:eastAsia="en-US"/>
                    </w:rPr>
                  </w:pPr>
                  <w:r w:rsidRPr="00E92F19">
                    <w:rPr>
                      <w:rFonts w:ascii="Times New Roman" w:eastAsia="Calibri" w:hAnsi="Times New Roman" w:cs="Times New Roman"/>
                      <w:b/>
                      <w:bCs/>
                      <w:sz w:val="24"/>
                      <w:szCs w:val="24"/>
                      <w:lang w:val="ro-MD" w:eastAsia="en-US"/>
                    </w:rPr>
                    <w:t>397</w:t>
                  </w:r>
                </w:p>
              </w:tc>
              <w:tc>
                <w:tcPr>
                  <w:tcW w:w="2551" w:type="dxa"/>
                  <w:tcBorders>
                    <w:top w:val="nil"/>
                    <w:left w:val="nil"/>
                    <w:bottom w:val="single" w:sz="4" w:space="0" w:color="auto"/>
                    <w:right w:val="single" w:sz="4" w:space="0" w:color="auto"/>
                  </w:tcBorders>
                  <w:noWrap/>
                  <w:vAlign w:val="bottom"/>
                  <w:hideMark/>
                </w:tcPr>
                <w:p w14:paraId="5C5DBB7E" w14:textId="77777777" w:rsidR="00E92F19" w:rsidRPr="00E92F19" w:rsidRDefault="00E92F19" w:rsidP="00A1774A">
                  <w:pPr>
                    <w:spacing w:after="0"/>
                    <w:ind w:firstLine="709"/>
                    <w:jc w:val="both"/>
                    <w:rPr>
                      <w:rFonts w:ascii="Times New Roman" w:eastAsia="Calibri" w:hAnsi="Times New Roman" w:cs="Times New Roman"/>
                      <w:b/>
                      <w:bCs/>
                      <w:sz w:val="24"/>
                      <w:szCs w:val="24"/>
                      <w:lang w:val="ro-MD" w:eastAsia="en-US"/>
                    </w:rPr>
                  </w:pPr>
                  <w:r w:rsidRPr="00E92F19">
                    <w:rPr>
                      <w:rFonts w:ascii="Times New Roman" w:eastAsia="Calibri" w:hAnsi="Times New Roman" w:cs="Times New Roman"/>
                      <w:b/>
                      <w:bCs/>
                      <w:sz w:val="24"/>
                      <w:szCs w:val="24"/>
                      <w:lang w:val="ro-MD" w:eastAsia="en-US"/>
                    </w:rPr>
                    <w:t>162</w:t>
                  </w:r>
                </w:p>
              </w:tc>
            </w:tr>
          </w:tbl>
          <w:p w14:paraId="0751CBD2" w14:textId="4D35956C" w:rsidR="00E35B8F" w:rsidRPr="00A1774A" w:rsidRDefault="00E35B8F" w:rsidP="00A1774A">
            <w:pPr>
              <w:tabs>
                <w:tab w:val="left" w:pos="589"/>
              </w:tabs>
              <w:spacing w:line="276" w:lineRule="auto"/>
              <w:ind w:firstLine="709"/>
              <w:jc w:val="both"/>
              <w:rPr>
                <w:rFonts w:ascii="Times New Roman" w:eastAsia="Times New Roman" w:hAnsi="Times New Roman" w:cs="Times New Roman"/>
                <w:sz w:val="24"/>
                <w:szCs w:val="24"/>
                <w:lang w:val="ro-MD"/>
              </w:rPr>
            </w:pPr>
            <w:r w:rsidRPr="00A1774A">
              <w:rPr>
                <w:rFonts w:ascii="Times New Roman" w:eastAsia="Times New Roman" w:hAnsi="Times New Roman" w:cs="Times New Roman"/>
                <w:sz w:val="24"/>
                <w:szCs w:val="24"/>
                <w:lang w:val="ro-MD"/>
              </w:rPr>
              <w:t>Creșterea admiterii înregistrată de Universitatea de Stat „B</w:t>
            </w:r>
            <w:r w:rsidRPr="00A1774A">
              <w:rPr>
                <w:rFonts w:ascii="Times New Roman" w:eastAsia="Times New Roman" w:hAnsi="Times New Roman" w:cs="Times New Roman"/>
                <w:sz w:val="24"/>
                <w:szCs w:val="24"/>
                <w:lang w:val="ro-MD"/>
              </w:rPr>
              <w:t>.</w:t>
            </w:r>
            <w:r w:rsidRPr="00A1774A">
              <w:rPr>
                <w:rFonts w:ascii="Times New Roman" w:eastAsia="Times New Roman" w:hAnsi="Times New Roman" w:cs="Times New Roman"/>
                <w:sz w:val="24"/>
                <w:szCs w:val="24"/>
                <w:lang w:val="ro-MD"/>
              </w:rPr>
              <w:t xml:space="preserve"> P</w:t>
            </w:r>
            <w:r w:rsidRPr="00A1774A">
              <w:rPr>
                <w:rFonts w:ascii="Times New Roman" w:eastAsia="Times New Roman" w:hAnsi="Times New Roman" w:cs="Times New Roman"/>
                <w:sz w:val="24"/>
                <w:szCs w:val="24"/>
                <w:lang w:val="ro-MD"/>
              </w:rPr>
              <w:t>.</w:t>
            </w:r>
            <w:r w:rsidRPr="00A1774A">
              <w:rPr>
                <w:rFonts w:ascii="Times New Roman" w:eastAsia="Times New Roman" w:hAnsi="Times New Roman" w:cs="Times New Roman"/>
                <w:sz w:val="24"/>
                <w:szCs w:val="24"/>
                <w:lang w:val="ro-MD"/>
              </w:rPr>
              <w:t xml:space="preserve"> Hașdeu” din Cahul în perioada 2023–2025 s-a produs pe fundalul unei creșteri generale a numărului de studenți la nivelul întregului sistem de învățământ superior din Republica Moldova, determinată inclusiv de evoluții favorabile privind opțiunea absolvenților de a-și continua studiile în țară</w:t>
            </w:r>
            <w:r w:rsidRPr="00A1774A">
              <w:rPr>
                <w:rFonts w:ascii="Times New Roman" w:eastAsia="Times New Roman" w:hAnsi="Times New Roman" w:cs="Times New Roman"/>
                <w:sz w:val="24"/>
                <w:szCs w:val="24"/>
                <w:lang w:val="ro-MD"/>
              </w:rPr>
              <w:t xml:space="preserve">, urmare a </w:t>
            </w:r>
            <w:r w:rsidRPr="00A1774A">
              <w:rPr>
                <w:rFonts w:ascii="Times New Roman" w:eastAsia="Times New Roman" w:hAnsi="Times New Roman" w:cs="Times New Roman"/>
                <w:b/>
                <w:bCs/>
                <w:sz w:val="24"/>
                <w:szCs w:val="24"/>
                <w:lang w:val="ro-MD"/>
              </w:rPr>
              <w:t>Campaniilor Naționale ”Învață în Moldova”</w:t>
            </w:r>
            <w:r w:rsidRPr="00A1774A">
              <w:rPr>
                <w:rFonts w:ascii="Times New Roman" w:eastAsia="Times New Roman" w:hAnsi="Times New Roman" w:cs="Times New Roman"/>
                <w:sz w:val="24"/>
                <w:szCs w:val="24"/>
                <w:lang w:val="ro-MD"/>
              </w:rPr>
              <w:t xml:space="preserve"> organizate de Ministerul Educației și Cercetării în toate raioanele țării.</w:t>
            </w:r>
          </w:p>
          <w:p w14:paraId="6804D8EE" w14:textId="77777777" w:rsidR="00E35B8F" w:rsidRPr="00A1774A" w:rsidRDefault="00E35B8F" w:rsidP="00A1774A">
            <w:pPr>
              <w:tabs>
                <w:tab w:val="left" w:pos="589"/>
              </w:tabs>
              <w:spacing w:line="276" w:lineRule="auto"/>
              <w:ind w:firstLine="709"/>
              <w:jc w:val="both"/>
              <w:rPr>
                <w:rFonts w:ascii="Times New Roman" w:eastAsia="Times New Roman" w:hAnsi="Times New Roman" w:cs="Times New Roman"/>
                <w:sz w:val="24"/>
                <w:szCs w:val="24"/>
                <w:lang w:val="ro-MD"/>
              </w:rPr>
            </w:pPr>
            <w:r w:rsidRPr="00A1774A">
              <w:rPr>
                <w:rFonts w:ascii="Times New Roman" w:eastAsia="Times New Roman" w:hAnsi="Times New Roman" w:cs="Times New Roman"/>
                <w:sz w:val="24"/>
                <w:szCs w:val="24"/>
                <w:lang w:val="ro-MD"/>
              </w:rPr>
              <w:t>Astfel, în anul 2025, aproximativ 6 din 10 absolvenți eligibili la nivel național au ales să-și continue studiile universitare în Republica Moldova, ceea ce reflectă o consolidare a atractivității sistemului universitar per ansamblu.</w:t>
            </w:r>
          </w:p>
          <w:p w14:paraId="1D0311A8" w14:textId="77777777" w:rsidR="00E35B8F" w:rsidRPr="00A1774A" w:rsidRDefault="00E35B8F" w:rsidP="00A1774A">
            <w:pPr>
              <w:tabs>
                <w:tab w:val="left" w:pos="589"/>
              </w:tabs>
              <w:spacing w:line="276" w:lineRule="auto"/>
              <w:ind w:firstLine="709"/>
              <w:jc w:val="both"/>
              <w:rPr>
                <w:rFonts w:ascii="Times New Roman" w:eastAsia="Times New Roman" w:hAnsi="Times New Roman" w:cs="Times New Roman"/>
                <w:sz w:val="24"/>
                <w:szCs w:val="24"/>
                <w:lang w:val="ro-MD"/>
              </w:rPr>
            </w:pPr>
            <w:r w:rsidRPr="00A1774A">
              <w:rPr>
                <w:rFonts w:ascii="Times New Roman" w:eastAsia="Times New Roman" w:hAnsi="Times New Roman" w:cs="Times New Roman"/>
                <w:sz w:val="24"/>
                <w:szCs w:val="24"/>
                <w:lang w:val="ro-MD"/>
              </w:rPr>
              <w:t xml:space="preserve">În același timp, atractivitatea relativă a ofertei educaționale din </w:t>
            </w:r>
            <w:r w:rsidRPr="00A1774A">
              <w:rPr>
                <w:rFonts w:ascii="Times New Roman" w:eastAsia="Times New Roman" w:hAnsi="Times New Roman" w:cs="Times New Roman"/>
                <w:b/>
                <w:bCs/>
                <w:sz w:val="24"/>
                <w:szCs w:val="24"/>
                <w:lang w:val="ro-MD"/>
              </w:rPr>
              <w:t>municipiul Cahul</w:t>
            </w:r>
            <w:r w:rsidRPr="00A1774A">
              <w:rPr>
                <w:rFonts w:ascii="Times New Roman" w:eastAsia="Times New Roman" w:hAnsi="Times New Roman" w:cs="Times New Roman"/>
                <w:sz w:val="24"/>
                <w:szCs w:val="24"/>
                <w:lang w:val="ro-MD"/>
              </w:rPr>
              <w:t xml:space="preserve"> rămâne inferioară mediei naționale, întrucât </w:t>
            </w:r>
            <w:r w:rsidRPr="00A1774A">
              <w:rPr>
                <w:rFonts w:ascii="Times New Roman" w:eastAsia="Times New Roman" w:hAnsi="Times New Roman" w:cs="Times New Roman"/>
                <w:b/>
                <w:bCs/>
                <w:sz w:val="24"/>
                <w:szCs w:val="24"/>
                <w:lang w:val="ro-MD"/>
              </w:rPr>
              <w:t>doar 4 din 10 absolvenți eligibili din regiunea Cahul au ales să urmeze studii universitare în cadrul instituției locale.</w:t>
            </w:r>
            <w:r w:rsidRPr="00A1774A">
              <w:rPr>
                <w:rFonts w:ascii="Times New Roman" w:eastAsia="Times New Roman" w:hAnsi="Times New Roman" w:cs="Times New Roman"/>
                <w:sz w:val="24"/>
                <w:szCs w:val="24"/>
                <w:lang w:val="ro-MD"/>
              </w:rPr>
              <w:t xml:space="preserve"> Această diferență evidențiază faptul că, deși universitatea beneficiază de tendințe generale favorabile la nivel de sistem, capacitatea de retenție a absolvenților din propria arie de recrutare este limitată.</w:t>
            </w:r>
          </w:p>
          <w:p w14:paraId="6FD98B1F" w14:textId="404C0856" w:rsidR="001E6A80" w:rsidRPr="00A1774A" w:rsidRDefault="00E35B8F" w:rsidP="00A1774A">
            <w:pPr>
              <w:tabs>
                <w:tab w:val="left" w:pos="589"/>
              </w:tabs>
              <w:spacing w:line="276" w:lineRule="auto"/>
              <w:ind w:firstLine="709"/>
              <w:jc w:val="both"/>
              <w:rPr>
                <w:rFonts w:ascii="Times New Roman" w:eastAsia="Times New Roman" w:hAnsi="Times New Roman" w:cs="Times New Roman"/>
                <w:b/>
                <w:bCs/>
                <w:sz w:val="24"/>
                <w:szCs w:val="24"/>
                <w:lang w:val="ro-MD"/>
              </w:rPr>
            </w:pPr>
            <w:r w:rsidRPr="00A1774A">
              <w:rPr>
                <w:rFonts w:ascii="Times New Roman" w:eastAsia="Times New Roman" w:hAnsi="Times New Roman" w:cs="Times New Roman"/>
                <w:sz w:val="24"/>
                <w:szCs w:val="24"/>
                <w:lang w:val="ro-MD"/>
              </w:rPr>
              <w:t>În acest context, creșterea numerică a admiterii nu reflectă o consolidare proporțională a atractivității regionale, ci mai degrabă o adaptare la condițiile generale ale pieței educaționale, inclusiv prin atragerea studenților în forme de învățământ fără frecvență și prin înmatriculări cu taxă. Pe termen mediu, această situație accentuează necesitatea unor măsuri structurale menite să crească atractivi</w:t>
            </w:r>
            <w:r w:rsidR="00DC3735" w:rsidRPr="00A1774A">
              <w:rPr>
                <w:rFonts w:ascii="Times New Roman" w:hAnsi="Times New Roman" w:cs="Times New Roman"/>
                <w:sz w:val="24"/>
                <w:szCs w:val="24"/>
                <w:lang w:val="ro-MD"/>
              </w:rPr>
              <w:t xml:space="preserve">.                                           </w:t>
            </w:r>
            <w:r w:rsidR="001E6A80" w:rsidRPr="00A1774A">
              <w:rPr>
                <w:rFonts w:ascii="Times New Roman" w:eastAsia="Times New Roman" w:hAnsi="Times New Roman" w:cs="Times New Roman"/>
                <w:b/>
                <w:bCs/>
                <w:sz w:val="24"/>
                <w:szCs w:val="24"/>
                <w:lang w:val="ro-MD"/>
              </w:rPr>
              <w:t>Situația demografică</w:t>
            </w:r>
          </w:p>
          <w:p w14:paraId="07BB24C4" w14:textId="77777777" w:rsidR="001E6A80" w:rsidRPr="00A1774A" w:rsidRDefault="001E6A80" w:rsidP="00A1774A">
            <w:pPr>
              <w:tabs>
                <w:tab w:val="left" w:pos="589"/>
              </w:tabs>
              <w:spacing w:line="276" w:lineRule="auto"/>
              <w:ind w:firstLine="709"/>
              <w:jc w:val="both"/>
              <w:rPr>
                <w:rFonts w:ascii="Times New Roman" w:eastAsia="Times New Roman" w:hAnsi="Times New Roman" w:cs="Times New Roman"/>
                <w:sz w:val="24"/>
                <w:szCs w:val="24"/>
                <w:lang w:val="ro-MD"/>
              </w:rPr>
            </w:pPr>
            <w:r w:rsidRPr="00A1774A">
              <w:rPr>
                <w:rFonts w:ascii="Times New Roman" w:eastAsia="Times New Roman" w:hAnsi="Times New Roman" w:cs="Times New Roman"/>
                <w:sz w:val="24"/>
                <w:szCs w:val="24"/>
                <w:lang w:val="ro-MD"/>
              </w:rPr>
              <w:t>Proiecțiile demografice pentru regiunea Cahul indică o diminuare constantă a bazinului potențial de recrutare, respectiv o reducere cu aproximativ 14% până în anul 2030 și cu aproximativ 25% până în anul 2035. În termeni absoluți, populația eligibilă estimată se va reduce de la circa 10 019 persoane în anul 2025 la aproximativ 6 480 persoane în anul 2040.</w:t>
            </w:r>
          </w:p>
          <w:p w14:paraId="317E3A76" w14:textId="77777777" w:rsidR="001E6A80" w:rsidRPr="00A1774A" w:rsidRDefault="001E6A80" w:rsidP="00A1774A">
            <w:pPr>
              <w:tabs>
                <w:tab w:val="left" w:pos="589"/>
              </w:tabs>
              <w:spacing w:line="276" w:lineRule="auto"/>
              <w:ind w:firstLine="709"/>
              <w:jc w:val="both"/>
              <w:rPr>
                <w:rFonts w:ascii="Times New Roman" w:eastAsia="Times New Roman" w:hAnsi="Times New Roman" w:cs="Times New Roman"/>
                <w:sz w:val="24"/>
                <w:szCs w:val="24"/>
                <w:lang w:val="ro-MD"/>
              </w:rPr>
            </w:pPr>
            <w:r w:rsidRPr="00A1774A">
              <w:rPr>
                <w:rFonts w:ascii="Times New Roman" w:eastAsia="Times New Roman" w:hAnsi="Times New Roman" w:cs="Times New Roman"/>
                <w:sz w:val="24"/>
                <w:szCs w:val="24"/>
                <w:lang w:val="ro-MD"/>
              </w:rPr>
              <w:t>Această evoluție demografică are un impact direct asupra capacității instituției de a menține efectivele de studenți, în special la forma de învățământ cu frecvență, unde dependența de cohortele clasice de vârstă este mai pronunțată. Pe termen mediu, diminuarea bazinului de recrutare poate conduce la scăderea numărului de programe viabile din punct de vedere academic și financiar, în special în cazul programelor cu costuri fixe ridicate.</w:t>
            </w:r>
          </w:p>
          <w:p w14:paraId="529590BD" w14:textId="77777777" w:rsidR="001E6A80" w:rsidRPr="00A1774A" w:rsidRDefault="001E6A80" w:rsidP="00A1774A">
            <w:pPr>
              <w:tabs>
                <w:tab w:val="left" w:pos="589"/>
              </w:tabs>
              <w:spacing w:line="276" w:lineRule="auto"/>
              <w:ind w:firstLine="709"/>
              <w:jc w:val="both"/>
              <w:rPr>
                <w:rFonts w:ascii="Times New Roman" w:eastAsia="Times New Roman" w:hAnsi="Times New Roman" w:cs="Times New Roman"/>
                <w:sz w:val="24"/>
                <w:szCs w:val="24"/>
                <w:lang w:val="ro-MD"/>
              </w:rPr>
            </w:pPr>
            <w:r w:rsidRPr="00A1774A">
              <w:rPr>
                <w:rFonts w:ascii="Times New Roman" w:eastAsia="Times New Roman" w:hAnsi="Times New Roman" w:cs="Times New Roman"/>
                <w:sz w:val="24"/>
                <w:szCs w:val="24"/>
                <w:lang w:val="ro-MD"/>
              </w:rPr>
              <w:lastRenderedPageBreak/>
              <w:t>În lipsa unor măsuri structurale de consolidare, aceste tendințe pot genera riscuri semnificative pentru sustenabilitatea instituțională, inclusiv:</w:t>
            </w:r>
          </w:p>
          <w:p w14:paraId="4EDE94A0" w14:textId="77777777" w:rsidR="001E6A80" w:rsidRPr="00A1774A" w:rsidRDefault="001E6A80" w:rsidP="00A1774A">
            <w:pPr>
              <w:tabs>
                <w:tab w:val="left" w:pos="589"/>
              </w:tabs>
              <w:spacing w:line="276" w:lineRule="auto"/>
              <w:ind w:firstLine="709"/>
              <w:jc w:val="both"/>
              <w:rPr>
                <w:rFonts w:ascii="Times New Roman" w:eastAsia="Times New Roman" w:hAnsi="Times New Roman" w:cs="Times New Roman"/>
                <w:sz w:val="24"/>
                <w:szCs w:val="24"/>
                <w:lang w:val="ro-MD"/>
              </w:rPr>
            </w:pPr>
            <w:r w:rsidRPr="00A1774A">
              <w:rPr>
                <w:rFonts w:ascii="Times New Roman" w:eastAsia="Times New Roman" w:hAnsi="Times New Roman" w:cs="Times New Roman"/>
                <w:sz w:val="24"/>
                <w:szCs w:val="24"/>
                <w:lang w:val="ro-MD"/>
              </w:rPr>
              <w:t>-</w:t>
            </w:r>
            <w:r w:rsidRPr="00A1774A">
              <w:rPr>
                <w:rFonts w:ascii="Times New Roman" w:eastAsia="Times New Roman" w:hAnsi="Times New Roman" w:cs="Times New Roman"/>
                <w:sz w:val="24"/>
                <w:szCs w:val="24"/>
                <w:lang w:val="ro-MD"/>
              </w:rPr>
              <w:tab/>
              <w:t>dificultăți în formarea grupelor de studii cu efective minime necesare;</w:t>
            </w:r>
          </w:p>
          <w:p w14:paraId="4BF8A287" w14:textId="77777777" w:rsidR="001E6A80" w:rsidRPr="00A1774A" w:rsidRDefault="001E6A80" w:rsidP="00A1774A">
            <w:pPr>
              <w:tabs>
                <w:tab w:val="left" w:pos="589"/>
              </w:tabs>
              <w:spacing w:line="276" w:lineRule="auto"/>
              <w:ind w:firstLine="709"/>
              <w:jc w:val="both"/>
              <w:rPr>
                <w:rFonts w:ascii="Times New Roman" w:eastAsia="Times New Roman" w:hAnsi="Times New Roman" w:cs="Times New Roman"/>
                <w:sz w:val="24"/>
                <w:szCs w:val="24"/>
                <w:lang w:val="ro-MD"/>
              </w:rPr>
            </w:pPr>
            <w:r w:rsidRPr="00A1774A">
              <w:rPr>
                <w:rFonts w:ascii="Times New Roman" w:eastAsia="Times New Roman" w:hAnsi="Times New Roman" w:cs="Times New Roman"/>
                <w:sz w:val="24"/>
                <w:szCs w:val="24"/>
                <w:lang w:val="ro-MD"/>
              </w:rPr>
              <w:t>-</w:t>
            </w:r>
            <w:r w:rsidRPr="00A1774A">
              <w:rPr>
                <w:rFonts w:ascii="Times New Roman" w:eastAsia="Times New Roman" w:hAnsi="Times New Roman" w:cs="Times New Roman"/>
                <w:sz w:val="24"/>
                <w:szCs w:val="24"/>
                <w:lang w:val="ro-MD"/>
              </w:rPr>
              <w:tab/>
              <w:t>creșterea costului per student și presiuni suplimentare asupra bugetului instituției;</w:t>
            </w:r>
          </w:p>
          <w:p w14:paraId="1C7FFE2B" w14:textId="77777777" w:rsidR="001E6A80" w:rsidRPr="00A1774A" w:rsidRDefault="001E6A80" w:rsidP="00A1774A">
            <w:pPr>
              <w:tabs>
                <w:tab w:val="left" w:pos="589"/>
              </w:tabs>
              <w:spacing w:line="276" w:lineRule="auto"/>
              <w:ind w:firstLine="709"/>
              <w:jc w:val="both"/>
              <w:rPr>
                <w:rFonts w:ascii="Times New Roman" w:eastAsia="Times New Roman" w:hAnsi="Times New Roman" w:cs="Times New Roman"/>
                <w:sz w:val="24"/>
                <w:szCs w:val="24"/>
                <w:lang w:val="ro-MD"/>
              </w:rPr>
            </w:pPr>
            <w:r w:rsidRPr="00A1774A">
              <w:rPr>
                <w:rFonts w:ascii="Times New Roman" w:eastAsia="Times New Roman" w:hAnsi="Times New Roman" w:cs="Times New Roman"/>
                <w:sz w:val="24"/>
                <w:szCs w:val="24"/>
                <w:lang w:val="ro-MD"/>
              </w:rPr>
              <w:t>-</w:t>
            </w:r>
            <w:r w:rsidRPr="00A1774A">
              <w:rPr>
                <w:rFonts w:ascii="Times New Roman" w:eastAsia="Times New Roman" w:hAnsi="Times New Roman" w:cs="Times New Roman"/>
                <w:sz w:val="24"/>
                <w:szCs w:val="24"/>
                <w:lang w:val="ro-MD"/>
              </w:rPr>
              <w:tab/>
              <w:t>reducerea capacității de atragere și menținere a cadrelor didactice tinere;</w:t>
            </w:r>
          </w:p>
          <w:p w14:paraId="75468B63" w14:textId="77777777" w:rsidR="001E6A80" w:rsidRPr="00A1774A" w:rsidRDefault="001E6A80" w:rsidP="00A1774A">
            <w:pPr>
              <w:tabs>
                <w:tab w:val="left" w:pos="589"/>
              </w:tabs>
              <w:spacing w:line="276" w:lineRule="auto"/>
              <w:ind w:firstLine="709"/>
              <w:jc w:val="both"/>
              <w:rPr>
                <w:rFonts w:ascii="Times New Roman" w:eastAsia="Times New Roman" w:hAnsi="Times New Roman" w:cs="Times New Roman"/>
                <w:sz w:val="24"/>
                <w:szCs w:val="24"/>
                <w:lang w:val="ro-MD"/>
              </w:rPr>
            </w:pPr>
            <w:r w:rsidRPr="00A1774A">
              <w:rPr>
                <w:rFonts w:ascii="Times New Roman" w:eastAsia="Times New Roman" w:hAnsi="Times New Roman" w:cs="Times New Roman"/>
                <w:sz w:val="24"/>
                <w:szCs w:val="24"/>
                <w:lang w:val="ro-MD"/>
              </w:rPr>
              <w:t>-</w:t>
            </w:r>
            <w:r w:rsidRPr="00A1774A">
              <w:rPr>
                <w:rFonts w:ascii="Times New Roman" w:eastAsia="Times New Roman" w:hAnsi="Times New Roman" w:cs="Times New Roman"/>
                <w:sz w:val="24"/>
                <w:szCs w:val="24"/>
                <w:lang w:val="ro-MD"/>
              </w:rPr>
              <w:tab/>
              <w:t>limitarea posibilităților de dezvoltare a unor programe noi și competitive.</w:t>
            </w:r>
          </w:p>
          <w:p w14:paraId="04B3AEA3" w14:textId="58F2A0BE" w:rsidR="00E55CF7" w:rsidRPr="00A1774A" w:rsidRDefault="001E6A80" w:rsidP="00A1774A">
            <w:pPr>
              <w:tabs>
                <w:tab w:val="left" w:pos="589"/>
              </w:tabs>
              <w:spacing w:line="276" w:lineRule="auto"/>
              <w:ind w:firstLine="709"/>
              <w:jc w:val="both"/>
              <w:rPr>
                <w:rFonts w:ascii="Times New Roman" w:eastAsia="Times New Roman" w:hAnsi="Times New Roman" w:cs="Times New Roman"/>
                <w:sz w:val="24"/>
                <w:szCs w:val="24"/>
                <w:lang w:val="ro-MD"/>
              </w:rPr>
            </w:pPr>
            <w:r w:rsidRPr="00A1774A">
              <w:rPr>
                <w:rFonts w:ascii="Times New Roman" w:eastAsia="Times New Roman" w:hAnsi="Times New Roman" w:cs="Times New Roman"/>
                <w:sz w:val="24"/>
                <w:szCs w:val="24"/>
                <w:lang w:val="ro-MD"/>
              </w:rPr>
              <w:t>În acest context, intervențiile orientate spre consolidarea capacității instituționale și creșterea atractivității regionale devin esențiale pentru a preveni accentuarea fragmentării ofertei educaționale și pentru a asigura continuitatea unui centru universitar funcțional în regiunea de sud a Republicii Moldova</w:t>
            </w:r>
            <w:r w:rsidR="00DC3735" w:rsidRPr="00A1774A">
              <w:rPr>
                <w:rFonts w:ascii="Times New Roman" w:eastAsia="Times New Roman" w:hAnsi="Times New Roman" w:cs="Times New Roman"/>
                <w:sz w:val="24"/>
                <w:szCs w:val="24"/>
                <w:lang w:val="ro-MD"/>
              </w:rPr>
              <w:t>.</w:t>
            </w:r>
          </w:p>
          <w:p w14:paraId="74635F73" w14:textId="18C97C56" w:rsidR="001E6A80" w:rsidRPr="00A1774A" w:rsidRDefault="001E6A80" w:rsidP="00A1774A">
            <w:pPr>
              <w:tabs>
                <w:tab w:val="left" w:pos="589"/>
              </w:tabs>
              <w:spacing w:line="276" w:lineRule="auto"/>
              <w:ind w:firstLine="709"/>
              <w:jc w:val="both"/>
              <w:rPr>
                <w:rFonts w:ascii="Times New Roman" w:eastAsia="Times New Roman" w:hAnsi="Times New Roman" w:cs="Times New Roman"/>
                <w:b/>
                <w:bCs/>
                <w:sz w:val="24"/>
                <w:szCs w:val="24"/>
                <w:lang w:val="ro-MD"/>
              </w:rPr>
            </w:pPr>
            <w:r w:rsidRPr="00A1774A">
              <w:rPr>
                <w:rFonts w:ascii="Times New Roman" w:eastAsia="Times New Roman" w:hAnsi="Times New Roman" w:cs="Times New Roman"/>
                <w:b/>
                <w:bCs/>
                <w:sz w:val="24"/>
                <w:szCs w:val="24"/>
                <w:lang w:val="ro-MD"/>
              </w:rPr>
              <w:t>Situația financiară și investițională</w:t>
            </w:r>
          </w:p>
          <w:p w14:paraId="2351C25A" w14:textId="6A4E6BB2" w:rsidR="001E6A80" w:rsidRPr="00A1774A" w:rsidRDefault="001E6A80" w:rsidP="00A1774A">
            <w:pPr>
              <w:tabs>
                <w:tab w:val="left" w:pos="589"/>
              </w:tabs>
              <w:spacing w:line="276" w:lineRule="auto"/>
              <w:ind w:firstLine="709"/>
              <w:jc w:val="both"/>
              <w:rPr>
                <w:rFonts w:ascii="Times New Roman" w:eastAsia="Times New Roman" w:hAnsi="Times New Roman" w:cs="Times New Roman"/>
                <w:sz w:val="24"/>
                <w:szCs w:val="24"/>
                <w:lang w:val="ro-MD"/>
              </w:rPr>
            </w:pPr>
            <w:r w:rsidRPr="00A1774A">
              <w:rPr>
                <w:rFonts w:ascii="Times New Roman" w:eastAsia="Times New Roman" w:hAnsi="Times New Roman" w:cs="Times New Roman"/>
                <w:sz w:val="24"/>
                <w:szCs w:val="24"/>
                <w:lang w:val="ro-MD"/>
              </w:rPr>
              <w:t>În ultimii ani, susținerea statului pentru Universitatea de Stat „B</w:t>
            </w:r>
            <w:r w:rsidRPr="00A1774A">
              <w:rPr>
                <w:rFonts w:ascii="Times New Roman" w:eastAsia="Times New Roman" w:hAnsi="Times New Roman" w:cs="Times New Roman"/>
                <w:sz w:val="24"/>
                <w:szCs w:val="24"/>
                <w:lang w:val="ro-MD"/>
              </w:rPr>
              <w:t>.</w:t>
            </w:r>
            <w:r w:rsidRPr="00A1774A">
              <w:rPr>
                <w:rFonts w:ascii="Times New Roman" w:eastAsia="Times New Roman" w:hAnsi="Times New Roman" w:cs="Times New Roman"/>
                <w:sz w:val="24"/>
                <w:szCs w:val="24"/>
                <w:lang w:val="ro-MD"/>
              </w:rPr>
              <w:t xml:space="preserve"> P</w:t>
            </w:r>
            <w:r w:rsidRPr="00A1774A">
              <w:rPr>
                <w:rFonts w:ascii="Times New Roman" w:eastAsia="Times New Roman" w:hAnsi="Times New Roman" w:cs="Times New Roman"/>
                <w:sz w:val="24"/>
                <w:szCs w:val="24"/>
                <w:lang w:val="ro-MD"/>
              </w:rPr>
              <w:t>.</w:t>
            </w:r>
            <w:r w:rsidRPr="00A1774A">
              <w:rPr>
                <w:rFonts w:ascii="Times New Roman" w:eastAsia="Times New Roman" w:hAnsi="Times New Roman" w:cs="Times New Roman"/>
                <w:sz w:val="24"/>
                <w:szCs w:val="24"/>
                <w:lang w:val="ro-MD"/>
              </w:rPr>
              <w:t xml:space="preserve"> Hașdeu” din Cahul a înregistrat o creștere, fapt reflectat atât în evoluția alocațiilor din bugetul de stat, cât și în direcționarea unor investiții importante din partea partenerilor externi și instituționali către regiunea Cahul.</w:t>
            </w:r>
          </w:p>
          <w:p w14:paraId="1299CF0A" w14:textId="77777777" w:rsidR="001E6A80" w:rsidRPr="00A1774A" w:rsidRDefault="001E6A80" w:rsidP="00A1774A">
            <w:pPr>
              <w:tabs>
                <w:tab w:val="left" w:pos="589"/>
              </w:tabs>
              <w:spacing w:line="276" w:lineRule="auto"/>
              <w:ind w:firstLine="709"/>
              <w:jc w:val="both"/>
              <w:rPr>
                <w:rFonts w:ascii="Times New Roman" w:eastAsia="Times New Roman" w:hAnsi="Times New Roman" w:cs="Times New Roman"/>
                <w:sz w:val="24"/>
                <w:szCs w:val="24"/>
                <w:lang w:val="ro-MD"/>
              </w:rPr>
            </w:pPr>
            <w:r w:rsidRPr="00A1774A">
              <w:rPr>
                <w:rFonts w:ascii="Times New Roman" w:eastAsia="Times New Roman" w:hAnsi="Times New Roman" w:cs="Times New Roman"/>
                <w:sz w:val="24"/>
                <w:szCs w:val="24"/>
                <w:lang w:val="ro-MD"/>
              </w:rPr>
              <w:t>Astfel, finanțarea din bugetul de stat a constituit 24,81 milioane lei în anul 2024 și 26,02 milioane lei în anul 2025, din care 22,5 milioane lei au fost destinați activităților de studii, iar aproximativ 3,5 milioane lei pentru burse. Această evoluție confirmă angajamentul autorităților publice de a menține și sprijini funcționarea centrului universitar din sudul țării.</w:t>
            </w:r>
          </w:p>
          <w:p w14:paraId="31A86C07" w14:textId="77777777" w:rsidR="001E6A80" w:rsidRPr="00A1774A" w:rsidRDefault="001E6A80" w:rsidP="00A1774A">
            <w:pPr>
              <w:tabs>
                <w:tab w:val="left" w:pos="589"/>
              </w:tabs>
              <w:spacing w:line="276" w:lineRule="auto"/>
              <w:ind w:firstLine="709"/>
              <w:jc w:val="both"/>
              <w:rPr>
                <w:rFonts w:ascii="Times New Roman" w:eastAsia="Times New Roman" w:hAnsi="Times New Roman" w:cs="Times New Roman"/>
                <w:sz w:val="24"/>
                <w:szCs w:val="24"/>
                <w:lang w:val="ro-MD"/>
              </w:rPr>
            </w:pPr>
            <w:r w:rsidRPr="00A1774A">
              <w:rPr>
                <w:rFonts w:ascii="Times New Roman" w:eastAsia="Times New Roman" w:hAnsi="Times New Roman" w:cs="Times New Roman"/>
                <w:sz w:val="24"/>
                <w:szCs w:val="24"/>
                <w:lang w:val="ro-MD"/>
              </w:rPr>
              <w:t>Totodată, în pofida acestei creșteri, nivelul actual al finanțării rămâne insuficient pentru a acoperi în mod adecvat costurile fixe ale programelor de studii și necesitățile de dezvoltare instituțională, în special în condițiile reducerii bazinului de recrutare și ale menținerii unui portofoliu diversificat de programe.</w:t>
            </w:r>
          </w:p>
          <w:p w14:paraId="254527A1" w14:textId="6AA19711" w:rsidR="001E6A80" w:rsidRPr="00A1774A" w:rsidRDefault="001E6A80" w:rsidP="00A1774A">
            <w:pPr>
              <w:tabs>
                <w:tab w:val="left" w:pos="589"/>
              </w:tabs>
              <w:spacing w:line="276" w:lineRule="auto"/>
              <w:ind w:firstLine="709"/>
              <w:jc w:val="both"/>
              <w:rPr>
                <w:rFonts w:ascii="Times New Roman" w:eastAsia="Times New Roman" w:hAnsi="Times New Roman" w:cs="Times New Roman"/>
                <w:sz w:val="24"/>
                <w:szCs w:val="24"/>
                <w:lang w:val="ro-MD"/>
              </w:rPr>
            </w:pPr>
            <w:r w:rsidRPr="00A1774A">
              <w:rPr>
                <w:rFonts w:ascii="Times New Roman" w:eastAsia="Times New Roman" w:hAnsi="Times New Roman" w:cs="Times New Roman"/>
                <w:sz w:val="24"/>
                <w:szCs w:val="24"/>
                <w:lang w:val="ro-MD"/>
              </w:rPr>
              <w:t xml:space="preserve">În acest context, constrângerile bugetare au condus inclusiv la majorarea normelor didactice pentru personalul academic, fapt care afectează capacitatea cadrelor didactice de a desfășura activități de cercetare, dezvoltare profesională și inovare didactică. </w:t>
            </w:r>
          </w:p>
          <w:p w14:paraId="690E1238" w14:textId="77777777" w:rsidR="001E6A80" w:rsidRPr="00A1774A" w:rsidRDefault="001E6A80" w:rsidP="00A1774A">
            <w:pPr>
              <w:tabs>
                <w:tab w:val="left" w:pos="589"/>
              </w:tabs>
              <w:spacing w:line="276" w:lineRule="auto"/>
              <w:ind w:firstLine="709"/>
              <w:jc w:val="both"/>
              <w:rPr>
                <w:rFonts w:ascii="Times New Roman" w:eastAsia="Times New Roman" w:hAnsi="Times New Roman" w:cs="Times New Roman"/>
                <w:sz w:val="24"/>
                <w:szCs w:val="24"/>
                <w:lang w:val="ro-MD"/>
              </w:rPr>
            </w:pPr>
            <w:r w:rsidRPr="00A1774A">
              <w:rPr>
                <w:rFonts w:ascii="Times New Roman" w:eastAsia="Times New Roman" w:hAnsi="Times New Roman" w:cs="Times New Roman"/>
                <w:sz w:val="24"/>
                <w:szCs w:val="24"/>
                <w:lang w:val="ro-MD"/>
              </w:rPr>
              <w:t xml:space="preserve">Pe termen mediu, menținerea acestor constrângeri poate avea un </w:t>
            </w:r>
            <w:r w:rsidRPr="00A1774A">
              <w:rPr>
                <w:rFonts w:ascii="Times New Roman" w:eastAsia="Times New Roman" w:hAnsi="Times New Roman" w:cs="Times New Roman"/>
                <w:b/>
                <w:bCs/>
                <w:sz w:val="24"/>
                <w:szCs w:val="24"/>
                <w:lang w:val="ro-MD"/>
              </w:rPr>
              <w:t>impact negativ</w:t>
            </w:r>
            <w:r w:rsidRPr="00A1774A">
              <w:rPr>
                <w:rFonts w:ascii="Times New Roman" w:eastAsia="Times New Roman" w:hAnsi="Times New Roman" w:cs="Times New Roman"/>
                <w:sz w:val="24"/>
                <w:szCs w:val="24"/>
                <w:lang w:val="ro-MD"/>
              </w:rPr>
              <w:t xml:space="preserve"> asupra performanței academice, atractivității carierei universitare și capacității instituției de a reține cadre didactice calificate, accentuând vulnerabilitățile existente la nivelul resursei umane.</w:t>
            </w:r>
          </w:p>
          <w:p w14:paraId="5BDDDA2A" w14:textId="77777777" w:rsidR="001E6A80" w:rsidRPr="00A1774A" w:rsidRDefault="001E6A80" w:rsidP="00A1774A">
            <w:pPr>
              <w:tabs>
                <w:tab w:val="left" w:pos="589"/>
              </w:tabs>
              <w:spacing w:line="276" w:lineRule="auto"/>
              <w:ind w:firstLine="709"/>
              <w:jc w:val="both"/>
              <w:rPr>
                <w:rFonts w:ascii="Times New Roman" w:eastAsia="Times New Roman" w:hAnsi="Times New Roman" w:cs="Times New Roman"/>
                <w:sz w:val="24"/>
                <w:szCs w:val="24"/>
                <w:lang w:val="ro-MD"/>
              </w:rPr>
            </w:pPr>
            <w:r w:rsidRPr="00A1774A">
              <w:rPr>
                <w:rFonts w:ascii="Times New Roman" w:eastAsia="Times New Roman" w:hAnsi="Times New Roman" w:cs="Times New Roman"/>
                <w:sz w:val="24"/>
                <w:szCs w:val="24"/>
                <w:lang w:val="ro-MD"/>
              </w:rPr>
              <w:t>Suplimentar finanțării curente, Ministerul Educației și Cercetării a susținut în mod activ, în ultimii ani, atragerea și implementarea unor proiecte investiționale majore în municipiul Cahul, orientate spre modernizarea infrastructurii universitare și creșterea atractivității centrului universitar din regiunea de sud.</w:t>
            </w:r>
          </w:p>
          <w:p w14:paraId="690765B5" w14:textId="77777777" w:rsidR="001E6A80" w:rsidRPr="00A1774A" w:rsidRDefault="001E6A80" w:rsidP="00A1774A">
            <w:pPr>
              <w:tabs>
                <w:tab w:val="left" w:pos="589"/>
              </w:tabs>
              <w:spacing w:line="276" w:lineRule="auto"/>
              <w:ind w:firstLine="709"/>
              <w:jc w:val="both"/>
              <w:rPr>
                <w:rFonts w:ascii="Times New Roman" w:eastAsia="Times New Roman" w:hAnsi="Times New Roman" w:cs="Times New Roman"/>
                <w:sz w:val="24"/>
                <w:szCs w:val="24"/>
                <w:lang w:val="ro-MD"/>
              </w:rPr>
            </w:pPr>
            <w:r w:rsidRPr="00A1774A">
              <w:rPr>
                <w:rFonts w:ascii="Times New Roman" w:eastAsia="Times New Roman" w:hAnsi="Times New Roman" w:cs="Times New Roman"/>
                <w:sz w:val="24"/>
                <w:szCs w:val="24"/>
                <w:lang w:val="ro-MD"/>
              </w:rPr>
              <w:t>Cu sprijinul MEC și în cooperare cu parteneri externi și instituționali, au fost inițiate și implementate proiecte de anvergură, inclusiv:</w:t>
            </w:r>
          </w:p>
          <w:p w14:paraId="302F0D2F" w14:textId="5D867204" w:rsidR="001E6A80" w:rsidRPr="00A1774A" w:rsidRDefault="001E6A80" w:rsidP="00A1774A">
            <w:pPr>
              <w:tabs>
                <w:tab w:val="left" w:pos="589"/>
              </w:tabs>
              <w:spacing w:line="276" w:lineRule="auto"/>
              <w:ind w:firstLine="709"/>
              <w:jc w:val="both"/>
              <w:rPr>
                <w:rFonts w:ascii="Times New Roman" w:eastAsia="Times New Roman" w:hAnsi="Times New Roman" w:cs="Times New Roman"/>
                <w:sz w:val="24"/>
                <w:szCs w:val="24"/>
                <w:lang w:val="ro-MD"/>
              </w:rPr>
            </w:pPr>
            <w:r w:rsidRPr="00A1774A">
              <w:rPr>
                <w:rFonts w:ascii="Times New Roman" w:eastAsia="Times New Roman" w:hAnsi="Times New Roman" w:cs="Times New Roman"/>
                <w:sz w:val="24"/>
                <w:szCs w:val="24"/>
                <w:lang w:val="ro-MD"/>
              </w:rPr>
              <w:t>●</w:t>
            </w:r>
            <w:r w:rsidRPr="00A1774A">
              <w:rPr>
                <w:rFonts w:ascii="Times New Roman" w:eastAsia="Times New Roman" w:hAnsi="Times New Roman" w:cs="Times New Roman"/>
                <w:sz w:val="24"/>
                <w:szCs w:val="24"/>
                <w:lang w:val="ro-MD"/>
              </w:rPr>
              <w:tab/>
              <w:t>modernizarea și reabilitarea căminului studențesc nr. 3, cu o valoare totală de aproximativ 48,5 milioane lei, realizată cu suportul financiar al Guvernului României;</w:t>
            </w:r>
          </w:p>
          <w:p w14:paraId="27818610" w14:textId="3FAFE00F" w:rsidR="001E6A80" w:rsidRPr="00A1774A" w:rsidRDefault="001E6A80" w:rsidP="00A1774A">
            <w:pPr>
              <w:tabs>
                <w:tab w:val="left" w:pos="589"/>
              </w:tabs>
              <w:spacing w:line="276" w:lineRule="auto"/>
              <w:ind w:firstLine="709"/>
              <w:jc w:val="both"/>
              <w:rPr>
                <w:rFonts w:ascii="Times New Roman" w:eastAsia="Times New Roman" w:hAnsi="Times New Roman" w:cs="Times New Roman"/>
                <w:sz w:val="24"/>
                <w:szCs w:val="24"/>
                <w:lang w:val="ro-MD"/>
              </w:rPr>
            </w:pPr>
            <w:r w:rsidRPr="00A1774A">
              <w:rPr>
                <w:rFonts w:ascii="Times New Roman" w:eastAsia="Times New Roman" w:hAnsi="Times New Roman" w:cs="Times New Roman"/>
                <w:sz w:val="24"/>
                <w:szCs w:val="24"/>
                <w:lang w:val="ro-MD"/>
              </w:rPr>
              <w:t>●</w:t>
            </w:r>
            <w:r w:rsidRPr="00A1774A">
              <w:rPr>
                <w:rFonts w:ascii="Times New Roman" w:eastAsia="Times New Roman" w:hAnsi="Times New Roman" w:cs="Times New Roman"/>
                <w:sz w:val="24"/>
                <w:szCs w:val="24"/>
                <w:lang w:val="ro-MD"/>
              </w:rPr>
              <w:tab/>
              <w:t xml:space="preserve">dezvoltarea centrului de inovare și </w:t>
            </w:r>
            <w:proofErr w:type="spellStart"/>
            <w:r w:rsidRPr="00A1774A">
              <w:rPr>
                <w:rFonts w:ascii="Times New Roman" w:eastAsia="Times New Roman" w:hAnsi="Times New Roman" w:cs="Times New Roman"/>
                <w:sz w:val="24"/>
                <w:szCs w:val="24"/>
                <w:lang w:val="ro-MD"/>
              </w:rPr>
              <w:t>antreprenoriat</w:t>
            </w:r>
            <w:proofErr w:type="spellEnd"/>
            <w:r w:rsidRPr="00A1774A">
              <w:rPr>
                <w:rFonts w:ascii="Times New Roman" w:eastAsia="Times New Roman" w:hAnsi="Times New Roman" w:cs="Times New Roman"/>
                <w:sz w:val="24"/>
                <w:szCs w:val="24"/>
                <w:lang w:val="ro-MD"/>
              </w:rPr>
              <w:t xml:space="preserve"> INOTEK Cahul, cu finanțări externe ce depășesc 1,3 milioane euro, proiect sprijinit instituțional de MEC și orientat spre consolidarea ecosistemului educațional, antreprenorial și de inovare din regiune;</w:t>
            </w:r>
          </w:p>
          <w:p w14:paraId="511A37CE" w14:textId="59336FD9" w:rsidR="001E6A80" w:rsidRPr="00A1774A" w:rsidRDefault="001E6A80" w:rsidP="00A1774A">
            <w:pPr>
              <w:tabs>
                <w:tab w:val="left" w:pos="589"/>
              </w:tabs>
              <w:spacing w:line="276" w:lineRule="auto"/>
              <w:ind w:firstLine="709"/>
              <w:jc w:val="both"/>
              <w:rPr>
                <w:rFonts w:ascii="Times New Roman" w:eastAsia="Times New Roman" w:hAnsi="Times New Roman" w:cs="Times New Roman"/>
                <w:sz w:val="24"/>
                <w:szCs w:val="24"/>
                <w:lang w:val="ro-MD"/>
              </w:rPr>
            </w:pPr>
            <w:r w:rsidRPr="00A1774A">
              <w:rPr>
                <w:rFonts w:ascii="Times New Roman" w:eastAsia="Times New Roman" w:hAnsi="Times New Roman" w:cs="Times New Roman"/>
                <w:sz w:val="24"/>
                <w:szCs w:val="24"/>
                <w:lang w:val="ro-MD"/>
              </w:rPr>
              <w:t>●</w:t>
            </w:r>
            <w:r w:rsidRPr="00A1774A">
              <w:rPr>
                <w:rFonts w:ascii="Times New Roman" w:eastAsia="Times New Roman" w:hAnsi="Times New Roman" w:cs="Times New Roman"/>
                <w:sz w:val="24"/>
                <w:szCs w:val="24"/>
                <w:lang w:val="ro-MD"/>
              </w:rPr>
              <w:tab/>
              <w:t>implementarea proiectelor de modernizare academică și instituțională în cadrul Programului „Învățământul Superior din Moldova” (PÎSM), finanțat de Banca Mondială, care vizează îmbunătățirea calității procesului educațional, a capacităților administrative și a infrastructurii universitare.</w:t>
            </w:r>
          </w:p>
          <w:p w14:paraId="34496346" w14:textId="7755BA2C" w:rsidR="00C85DB2" w:rsidRPr="00A1774A" w:rsidRDefault="001E6A80" w:rsidP="00A1774A">
            <w:pPr>
              <w:tabs>
                <w:tab w:val="left" w:pos="589"/>
              </w:tabs>
              <w:spacing w:line="276" w:lineRule="auto"/>
              <w:ind w:firstLine="709"/>
              <w:jc w:val="both"/>
              <w:rPr>
                <w:rFonts w:ascii="Times New Roman" w:eastAsia="Times New Roman" w:hAnsi="Times New Roman" w:cs="Times New Roman"/>
                <w:sz w:val="24"/>
                <w:szCs w:val="24"/>
                <w:lang w:val="ro-MD"/>
              </w:rPr>
            </w:pPr>
            <w:r w:rsidRPr="00A1774A">
              <w:rPr>
                <w:rFonts w:ascii="Times New Roman" w:eastAsia="Times New Roman" w:hAnsi="Times New Roman" w:cs="Times New Roman"/>
                <w:sz w:val="24"/>
                <w:szCs w:val="24"/>
                <w:lang w:val="ro-MD"/>
              </w:rPr>
              <w:t>Aceste investiții confirmă angajamentul constant al statului de a susține dezvoltarea centrului universitar din Cahul și demonstrează potențialul instituției de a valorifica resurse externe. Totodată, ele evidențiază faptul că, în absența unei consolidări instituționale, impactul acestor investiții riscă să rămână fragmentat, fiind necesară o abordare structurală care să permită integrarea lor într-o viziune coerentă de dezvoltare pe termen mediu și lung.</w:t>
            </w:r>
          </w:p>
          <w:p w14:paraId="76D5FA6F" w14:textId="77777777" w:rsidR="001E6A80" w:rsidRPr="00A1774A" w:rsidRDefault="001E6A80" w:rsidP="00A1774A">
            <w:pPr>
              <w:tabs>
                <w:tab w:val="left" w:pos="589"/>
              </w:tabs>
              <w:spacing w:line="276" w:lineRule="auto"/>
              <w:ind w:firstLine="709"/>
              <w:jc w:val="both"/>
              <w:rPr>
                <w:rFonts w:ascii="Times New Roman" w:eastAsia="Times New Roman" w:hAnsi="Times New Roman" w:cs="Times New Roman"/>
                <w:sz w:val="24"/>
                <w:szCs w:val="24"/>
                <w:lang w:val="ro-MD"/>
              </w:rPr>
            </w:pPr>
          </w:p>
          <w:p w14:paraId="4AEAFCFF" w14:textId="7900F1CE" w:rsidR="00A71D00" w:rsidRPr="00A1774A" w:rsidRDefault="00A83239" w:rsidP="00A1774A">
            <w:pPr>
              <w:tabs>
                <w:tab w:val="left" w:pos="589"/>
              </w:tabs>
              <w:spacing w:line="276" w:lineRule="auto"/>
              <w:ind w:firstLine="709"/>
              <w:jc w:val="both"/>
              <w:rPr>
                <w:rFonts w:ascii="Times New Roman" w:hAnsi="Times New Roman" w:cs="Times New Roman"/>
                <w:sz w:val="24"/>
                <w:szCs w:val="24"/>
                <w:lang w:val="ro-MD"/>
              </w:rPr>
            </w:pPr>
            <w:r w:rsidRPr="00A1774A">
              <w:rPr>
                <w:rFonts w:ascii="Times New Roman" w:hAnsi="Times New Roman" w:cs="Times New Roman"/>
                <w:sz w:val="24"/>
                <w:szCs w:val="24"/>
                <w:lang w:val="ro-MD"/>
              </w:rPr>
              <w:lastRenderedPageBreak/>
              <w:t>Astfel</w:t>
            </w:r>
            <w:r w:rsidR="00A64CD5" w:rsidRPr="00A1774A">
              <w:rPr>
                <w:rFonts w:ascii="Times New Roman" w:hAnsi="Times New Roman" w:cs="Times New Roman"/>
                <w:sz w:val="24"/>
                <w:szCs w:val="24"/>
                <w:lang w:val="ro-MD"/>
              </w:rPr>
              <w:t>, Ministerul Educa</w:t>
            </w:r>
            <w:r w:rsidR="00B51A34" w:rsidRPr="00A1774A">
              <w:rPr>
                <w:rFonts w:ascii="Times New Roman" w:hAnsi="Times New Roman" w:cs="Times New Roman"/>
                <w:sz w:val="24"/>
                <w:szCs w:val="24"/>
                <w:lang w:val="ro-MD"/>
              </w:rPr>
              <w:t>ției și Cercetării vine cu</w:t>
            </w:r>
            <w:r w:rsidR="00A64CD5" w:rsidRPr="00A1774A">
              <w:rPr>
                <w:rFonts w:ascii="Times New Roman" w:hAnsi="Times New Roman" w:cs="Times New Roman"/>
                <w:sz w:val="24"/>
                <w:szCs w:val="24"/>
                <w:lang w:val="ro-MD"/>
              </w:rPr>
              <w:t xml:space="preserve"> propunerea de </w:t>
            </w:r>
            <w:r w:rsidR="000608DF" w:rsidRPr="00A1774A">
              <w:rPr>
                <w:rFonts w:ascii="Times New Roman" w:hAnsi="Times New Roman" w:cs="Times New Roman"/>
                <w:sz w:val="24"/>
                <w:szCs w:val="24"/>
                <w:lang w:val="ro-MD"/>
              </w:rPr>
              <w:t xml:space="preserve">continuare a procesului de </w:t>
            </w:r>
            <w:r w:rsidR="000608DF" w:rsidRPr="00A1774A">
              <w:rPr>
                <w:rFonts w:ascii="Times New Roman" w:hAnsi="Times New Roman" w:cs="Times New Roman"/>
                <w:b/>
                <w:sz w:val="24"/>
                <w:szCs w:val="24"/>
                <w:lang w:val="ro-MD"/>
              </w:rPr>
              <w:t xml:space="preserve">consolidare a rețelei de instituții de învățământ superior </w:t>
            </w:r>
            <w:r w:rsidR="000608DF" w:rsidRPr="00A1774A">
              <w:rPr>
                <w:rFonts w:ascii="Times New Roman" w:hAnsi="Times New Roman" w:cs="Times New Roman"/>
                <w:sz w:val="24"/>
                <w:szCs w:val="24"/>
                <w:lang w:val="ro-MD"/>
              </w:rPr>
              <w:t>(începută în anii 2013/14),</w:t>
            </w:r>
            <w:r w:rsidR="000608DF" w:rsidRPr="00A1774A">
              <w:rPr>
                <w:rFonts w:ascii="Times New Roman" w:hAnsi="Times New Roman" w:cs="Times New Roman"/>
                <w:b/>
                <w:sz w:val="24"/>
                <w:szCs w:val="24"/>
                <w:lang w:val="ro-MD"/>
              </w:rPr>
              <w:t xml:space="preserve"> bazată pe indicatori de calitate, racordată la necesitățile pieței muncii.</w:t>
            </w:r>
          </w:p>
        </w:tc>
      </w:tr>
      <w:tr w:rsidR="00D92C9E" w:rsidRPr="00A1774A" w14:paraId="4FAA69CC" w14:textId="77777777" w:rsidTr="00A877FD">
        <w:tc>
          <w:tcPr>
            <w:tcW w:w="9810" w:type="dxa"/>
            <w:shd w:val="clear" w:color="auto" w:fill="D9D9D9" w:themeFill="background1" w:themeFillShade="D9"/>
          </w:tcPr>
          <w:p w14:paraId="3C16BF01" w14:textId="6689FAA2" w:rsidR="00D92C9E" w:rsidRPr="00A1774A" w:rsidRDefault="00D92C9E" w:rsidP="00A1774A">
            <w:pPr>
              <w:spacing w:line="276" w:lineRule="auto"/>
              <w:ind w:firstLine="709"/>
              <w:jc w:val="both"/>
              <w:rPr>
                <w:rFonts w:ascii="Times New Roman" w:hAnsi="Times New Roman" w:cs="Times New Roman"/>
                <w:b/>
                <w:bCs/>
                <w:sz w:val="24"/>
                <w:szCs w:val="24"/>
                <w:lang w:val="ro-MD"/>
              </w:rPr>
            </w:pPr>
            <w:r w:rsidRPr="00A1774A">
              <w:rPr>
                <w:rFonts w:ascii="Times New Roman" w:hAnsi="Times New Roman" w:cs="Times New Roman"/>
                <w:b/>
                <w:bCs/>
                <w:sz w:val="24"/>
                <w:szCs w:val="24"/>
                <w:lang w:val="ro-MD"/>
              </w:rPr>
              <w:lastRenderedPageBreak/>
              <w:t>3. Descrierea gradului de compatibilitate pentru proiectele care au scop armonizarea legislației naționale cu legislația Uniunii Europene</w:t>
            </w:r>
          </w:p>
        </w:tc>
      </w:tr>
      <w:tr w:rsidR="00D92C9E" w:rsidRPr="00A1774A" w14:paraId="58195D75" w14:textId="77777777" w:rsidTr="00A877FD">
        <w:tc>
          <w:tcPr>
            <w:tcW w:w="9810" w:type="dxa"/>
          </w:tcPr>
          <w:p w14:paraId="1DDA3B15" w14:textId="6C67EE12" w:rsidR="00D92C9E" w:rsidRPr="00A1774A" w:rsidRDefault="00D92C9E" w:rsidP="00A1774A">
            <w:pPr>
              <w:spacing w:line="276" w:lineRule="auto"/>
              <w:ind w:firstLine="709"/>
              <w:jc w:val="both"/>
              <w:rPr>
                <w:rFonts w:ascii="Times New Roman" w:hAnsi="Times New Roman" w:cs="Times New Roman"/>
                <w:bCs/>
                <w:sz w:val="24"/>
                <w:szCs w:val="24"/>
                <w:lang w:val="ro-MD"/>
              </w:rPr>
            </w:pPr>
            <w:r w:rsidRPr="00A1774A">
              <w:rPr>
                <w:rFonts w:ascii="Times New Roman" w:hAnsi="Times New Roman" w:cs="Times New Roman"/>
                <w:bCs/>
                <w:sz w:val="24"/>
                <w:szCs w:val="24"/>
                <w:lang w:val="ro-MD"/>
              </w:rPr>
              <w:t>Proiectul hotărârii de Guvern nu conține norme privind armonizarea legislației naționale cu legislația Uniunii Europene.</w:t>
            </w:r>
          </w:p>
        </w:tc>
      </w:tr>
      <w:tr w:rsidR="003D636E" w:rsidRPr="00A1774A" w14:paraId="4C2A2100" w14:textId="77777777" w:rsidTr="00A877FD">
        <w:trPr>
          <w:trHeight w:val="286"/>
        </w:trPr>
        <w:tc>
          <w:tcPr>
            <w:tcW w:w="9810" w:type="dxa"/>
            <w:shd w:val="clear" w:color="auto" w:fill="D9D9D9" w:themeFill="background1" w:themeFillShade="D9"/>
          </w:tcPr>
          <w:p w14:paraId="666F0545" w14:textId="32EACDE8" w:rsidR="003D636E" w:rsidRPr="00A1774A" w:rsidRDefault="00D92C9E" w:rsidP="00A1774A">
            <w:pPr>
              <w:spacing w:line="276" w:lineRule="auto"/>
              <w:ind w:firstLine="709"/>
              <w:jc w:val="both"/>
              <w:rPr>
                <w:rFonts w:ascii="Times New Roman" w:hAnsi="Times New Roman" w:cs="Times New Roman"/>
                <w:b/>
                <w:bCs/>
                <w:sz w:val="24"/>
                <w:szCs w:val="24"/>
                <w:lang w:val="ro-MD"/>
              </w:rPr>
            </w:pPr>
            <w:r w:rsidRPr="00A1774A">
              <w:rPr>
                <w:rFonts w:ascii="Times New Roman" w:hAnsi="Times New Roman" w:cs="Times New Roman"/>
                <w:b/>
                <w:bCs/>
                <w:sz w:val="24"/>
                <w:szCs w:val="24"/>
                <w:lang w:val="ro-MD"/>
              </w:rPr>
              <w:t>4</w:t>
            </w:r>
            <w:r w:rsidR="003D636E" w:rsidRPr="00A1774A">
              <w:rPr>
                <w:rFonts w:ascii="Times New Roman" w:hAnsi="Times New Roman" w:cs="Times New Roman"/>
                <w:b/>
                <w:bCs/>
                <w:sz w:val="24"/>
                <w:szCs w:val="24"/>
                <w:lang w:val="ro-MD"/>
              </w:rPr>
              <w:t>. Principalele prevederi ale proiectului și evidențierea elementelor noi</w:t>
            </w:r>
          </w:p>
        </w:tc>
      </w:tr>
      <w:tr w:rsidR="003D636E" w:rsidRPr="00A1774A" w14:paraId="4B1C8F1C" w14:textId="77777777" w:rsidTr="00A877FD">
        <w:tc>
          <w:tcPr>
            <w:tcW w:w="9810" w:type="dxa"/>
          </w:tcPr>
          <w:p w14:paraId="1DEA165F" w14:textId="0B9CAC7C" w:rsidR="008C6DA1" w:rsidRPr="00A1774A" w:rsidRDefault="001E6A80" w:rsidP="00A1774A">
            <w:pPr>
              <w:spacing w:line="276" w:lineRule="auto"/>
              <w:ind w:firstLine="709"/>
              <w:jc w:val="both"/>
              <w:rPr>
                <w:rFonts w:ascii="Times New Roman" w:hAnsi="Times New Roman" w:cs="Times New Roman"/>
                <w:bCs/>
                <w:sz w:val="24"/>
                <w:szCs w:val="24"/>
                <w:lang w:val="ro-MD"/>
              </w:rPr>
            </w:pPr>
            <w:r w:rsidRPr="00A1774A">
              <w:rPr>
                <w:rFonts w:ascii="Times New Roman" w:hAnsi="Times New Roman" w:cs="Times New Roman"/>
                <w:bCs/>
                <w:sz w:val="24"/>
                <w:szCs w:val="24"/>
                <w:lang w:val="ro-MD"/>
              </w:rPr>
              <w:t>Î</w:t>
            </w:r>
            <w:r w:rsidR="008C6DA1" w:rsidRPr="00A1774A">
              <w:rPr>
                <w:rFonts w:ascii="Times New Roman" w:hAnsi="Times New Roman" w:cs="Times New Roman"/>
                <w:bCs/>
                <w:sz w:val="24"/>
                <w:szCs w:val="24"/>
                <w:lang w:val="ro-MD"/>
              </w:rPr>
              <w:t xml:space="preserve">n condițiile </w:t>
            </w:r>
            <w:r w:rsidR="000608DF" w:rsidRPr="00A1774A">
              <w:rPr>
                <w:rFonts w:ascii="Times New Roman" w:hAnsi="Times New Roman" w:cs="Times New Roman"/>
                <w:bCs/>
                <w:sz w:val="24"/>
                <w:szCs w:val="24"/>
                <w:lang w:val="ro-MD"/>
              </w:rPr>
              <w:t>provocărilor cu care se confruntă instituțiile de învățământ super</w:t>
            </w:r>
            <w:r w:rsidR="008C6DA1" w:rsidRPr="00A1774A">
              <w:rPr>
                <w:rFonts w:ascii="Times New Roman" w:hAnsi="Times New Roman" w:cs="Times New Roman"/>
                <w:bCs/>
                <w:sz w:val="24"/>
                <w:szCs w:val="24"/>
                <w:lang w:val="ro-MD"/>
              </w:rPr>
              <w:t>ior publice referitor</w:t>
            </w:r>
            <w:r w:rsidR="000608DF" w:rsidRPr="00A1774A">
              <w:rPr>
                <w:rFonts w:ascii="Times New Roman" w:hAnsi="Times New Roman" w:cs="Times New Roman"/>
                <w:bCs/>
                <w:sz w:val="24"/>
                <w:szCs w:val="24"/>
                <w:lang w:val="ro-MD"/>
              </w:rPr>
              <w:t xml:space="preserve"> la guvernanța universitară, finanțare, relevanța programelor de studiu pentru piața muncii și infrastructura instituțională </w:t>
            </w:r>
            <w:r w:rsidR="00E35B8F" w:rsidRPr="00A1774A">
              <w:rPr>
                <w:rFonts w:ascii="Times New Roman" w:hAnsi="Times New Roman" w:cs="Times New Roman"/>
                <w:bCs/>
                <w:sz w:val="24"/>
                <w:szCs w:val="24"/>
                <w:lang w:val="ro-MD"/>
              </w:rPr>
              <w:t xml:space="preserve">învechită, </w:t>
            </w:r>
            <w:r w:rsidR="000608DF" w:rsidRPr="00A1774A">
              <w:rPr>
                <w:rFonts w:ascii="Times New Roman" w:hAnsi="Times New Roman" w:cs="Times New Roman"/>
                <w:bCs/>
                <w:sz w:val="24"/>
                <w:szCs w:val="24"/>
                <w:lang w:val="ro-MD"/>
              </w:rPr>
              <w:t xml:space="preserve">exodul de cadre didactice și </w:t>
            </w:r>
            <w:proofErr w:type="spellStart"/>
            <w:r w:rsidR="000608DF" w:rsidRPr="00A1774A">
              <w:rPr>
                <w:rFonts w:ascii="Times New Roman" w:hAnsi="Times New Roman" w:cs="Times New Roman"/>
                <w:bCs/>
                <w:sz w:val="24"/>
                <w:szCs w:val="24"/>
                <w:lang w:val="ro-MD"/>
              </w:rPr>
              <w:t>științifico</w:t>
            </w:r>
            <w:proofErr w:type="spellEnd"/>
            <w:r w:rsidR="000608DF" w:rsidRPr="00A1774A">
              <w:rPr>
                <w:rFonts w:ascii="Times New Roman" w:hAnsi="Times New Roman" w:cs="Times New Roman"/>
                <w:bCs/>
                <w:sz w:val="24"/>
                <w:szCs w:val="24"/>
                <w:lang w:val="ro-MD"/>
              </w:rPr>
              <w:t>-didactice;</w:t>
            </w:r>
            <w:r w:rsidR="008C6DA1" w:rsidRPr="00A1774A">
              <w:rPr>
                <w:rFonts w:ascii="Times New Roman" w:hAnsi="Times New Roman" w:cs="Times New Roman"/>
                <w:bCs/>
                <w:sz w:val="24"/>
                <w:szCs w:val="24"/>
                <w:lang w:val="ro-MD"/>
              </w:rPr>
              <w:t xml:space="preserve"> </w:t>
            </w:r>
            <w:r w:rsidR="000608DF" w:rsidRPr="00A1774A">
              <w:rPr>
                <w:rFonts w:ascii="Times New Roman" w:hAnsi="Times New Roman" w:cs="Times New Roman"/>
                <w:bCs/>
                <w:sz w:val="24"/>
                <w:szCs w:val="24"/>
                <w:lang w:val="ro-MD"/>
              </w:rPr>
              <w:t>subfinanțarea sectorului la general și alocarea nerațională a resurselor financiare per instituție;</w:t>
            </w:r>
            <w:r w:rsidR="008C6DA1" w:rsidRPr="00A1774A">
              <w:rPr>
                <w:rFonts w:ascii="Times New Roman" w:hAnsi="Times New Roman" w:cs="Times New Roman"/>
                <w:bCs/>
                <w:sz w:val="24"/>
                <w:szCs w:val="24"/>
                <w:lang w:val="ro-MD"/>
              </w:rPr>
              <w:t xml:space="preserve"> </w:t>
            </w:r>
            <w:r w:rsidR="000608DF" w:rsidRPr="00A1774A">
              <w:rPr>
                <w:rFonts w:ascii="Times New Roman" w:hAnsi="Times New Roman" w:cs="Times New Roman"/>
                <w:bCs/>
                <w:sz w:val="24"/>
                <w:szCs w:val="24"/>
                <w:lang w:val="ro-MD"/>
              </w:rPr>
              <w:t xml:space="preserve">neasigurarea respectării </w:t>
            </w:r>
            <w:r w:rsidR="008C6DA1" w:rsidRPr="00A1774A">
              <w:rPr>
                <w:rFonts w:ascii="Times New Roman" w:hAnsi="Times New Roman" w:cs="Times New Roman"/>
                <w:bCs/>
                <w:sz w:val="24"/>
                <w:szCs w:val="24"/>
                <w:lang w:val="ro-MD"/>
              </w:rPr>
              <w:t>obligațiilor</w:t>
            </w:r>
            <w:r w:rsidR="000608DF" w:rsidRPr="00A1774A">
              <w:rPr>
                <w:rFonts w:ascii="Times New Roman" w:hAnsi="Times New Roman" w:cs="Times New Roman"/>
                <w:bCs/>
                <w:sz w:val="24"/>
                <w:szCs w:val="24"/>
                <w:lang w:val="ro-MD"/>
              </w:rPr>
              <w:t xml:space="preserve"> ce derivă din principiul de responsabilitate publică de către managementul unor instituții de învățământ superior</w:t>
            </w:r>
            <w:r w:rsidR="008C6DA1" w:rsidRPr="00A1774A">
              <w:rPr>
                <w:rFonts w:ascii="Times New Roman" w:hAnsi="Times New Roman" w:cs="Times New Roman"/>
                <w:bCs/>
                <w:sz w:val="24"/>
                <w:szCs w:val="24"/>
                <w:lang w:val="ro-MD"/>
              </w:rPr>
              <w:t xml:space="preserve"> etc., Ministerul Educației și Cercetării vi</w:t>
            </w:r>
            <w:r w:rsidR="00D55C61" w:rsidRPr="00A1774A">
              <w:rPr>
                <w:rFonts w:ascii="Times New Roman" w:hAnsi="Times New Roman" w:cs="Times New Roman"/>
                <w:bCs/>
                <w:sz w:val="24"/>
                <w:szCs w:val="24"/>
                <w:lang w:val="ro-MD"/>
              </w:rPr>
              <w:t>ne cu un proiect de consolidare a rețelei universitare</w:t>
            </w:r>
            <w:r w:rsidR="008C6DA1" w:rsidRPr="00A1774A">
              <w:rPr>
                <w:rFonts w:ascii="Times New Roman" w:hAnsi="Times New Roman" w:cs="Times New Roman"/>
                <w:bCs/>
                <w:sz w:val="24"/>
                <w:szCs w:val="24"/>
                <w:lang w:val="ro-MD"/>
              </w:rPr>
              <w:t xml:space="preserve"> si anume de </w:t>
            </w:r>
            <w:r w:rsidR="00E35B8F" w:rsidRPr="00A1774A">
              <w:rPr>
                <w:rFonts w:ascii="Times New Roman" w:hAnsi="Times New Roman" w:cs="Times New Roman"/>
                <w:bCs/>
                <w:sz w:val="24"/>
                <w:szCs w:val="24"/>
                <w:lang w:val="ro-MD"/>
              </w:rPr>
              <w:t>reorganizare</w:t>
            </w:r>
            <w:r w:rsidR="00E35B8F" w:rsidRPr="00A1774A">
              <w:rPr>
                <w:rFonts w:ascii="Times New Roman" w:hAnsi="Times New Roman" w:cs="Times New Roman"/>
                <w:bCs/>
                <w:sz w:val="24"/>
                <w:szCs w:val="24"/>
                <w:lang w:val="ro-MD"/>
              </w:rPr>
              <w:t xml:space="preserve"> </w:t>
            </w:r>
            <w:r w:rsidR="00E35B8F" w:rsidRPr="00A1774A">
              <w:rPr>
                <w:rFonts w:ascii="Times New Roman" w:hAnsi="Times New Roman" w:cs="Times New Roman"/>
                <w:bCs/>
                <w:sz w:val="24"/>
                <w:szCs w:val="24"/>
                <w:lang w:val="ro-MD"/>
              </w:rPr>
              <w:t>a Instituției Publice Universitatea Tehnică a Moldovei prin integrarea Instituției Publice Universitatea de Stat „B</w:t>
            </w:r>
            <w:r w:rsidR="00E35B8F" w:rsidRPr="00A1774A">
              <w:rPr>
                <w:rFonts w:ascii="Times New Roman" w:hAnsi="Times New Roman" w:cs="Times New Roman"/>
                <w:bCs/>
                <w:sz w:val="24"/>
                <w:szCs w:val="24"/>
                <w:lang w:val="ro-MD"/>
              </w:rPr>
              <w:t>.</w:t>
            </w:r>
            <w:r w:rsidR="00E35B8F" w:rsidRPr="00A1774A">
              <w:rPr>
                <w:rFonts w:ascii="Times New Roman" w:hAnsi="Times New Roman" w:cs="Times New Roman"/>
                <w:bCs/>
                <w:sz w:val="24"/>
                <w:szCs w:val="24"/>
                <w:lang w:val="ro-MD"/>
              </w:rPr>
              <w:t xml:space="preserve"> P</w:t>
            </w:r>
            <w:r w:rsidR="00E35B8F" w:rsidRPr="00A1774A">
              <w:rPr>
                <w:rFonts w:ascii="Times New Roman" w:hAnsi="Times New Roman" w:cs="Times New Roman"/>
                <w:bCs/>
                <w:sz w:val="24"/>
                <w:szCs w:val="24"/>
                <w:lang w:val="ro-MD"/>
              </w:rPr>
              <w:t xml:space="preserve">. </w:t>
            </w:r>
            <w:r w:rsidR="00E35B8F" w:rsidRPr="00A1774A">
              <w:rPr>
                <w:rFonts w:ascii="Times New Roman" w:hAnsi="Times New Roman" w:cs="Times New Roman"/>
                <w:bCs/>
                <w:sz w:val="24"/>
                <w:szCs w:val="24"/>
                <w:lang w:val="ro-MD"/>
              </w:rPr>
              <w:t xml:space="preserve">Hașdeu” din Cahul și constituirea </w:t>
            </w:r>
            <w:r w:rsidR="00E35B8F" w:rsidRPr="00A1774A">
              <w:rPr>
                <w:rFonts w:ascii="Times New Roman" w:hAnsi="Times New Roman" w:cs="Times New Roman"/>
                <w:b/>
                <w:sz w:val="24"/>
                <w:szCs w:val="24"/>
                <w:lang w:val="ro-MD"/>
              </w:rPr>
              <w:t>Centrului Universitar „B</w:t>
            </w:r>
            <w:r w:rsidR="00E35B8F" w:rsidRPr="00A1774A">
              <w:rPr>
                <w:rFonts w:ascii="Times New Roman" w:hAnsi="Times New Roman" w:cs="Times New Roman"/>
                <w:b/>
                <w:sz w:val="24"/>
                <w:szCs w:val="24"/>
                <w:lang w:val="ro-MD"/>
              </w:rPr>
              <w:t>.</w:t>
            </w:r>
            <w:r w:rsidR="00E35B8F" w:rsidRPr="00A1774A">
              <w:rPr>
                <w:rFonts w:ascii="Times New Roman" w:hAnsi="Times New Roman" w:cs="Times New Roman"/>
                <w:b/>
                <w:sz w:val="24"/>
                <w:szCs w:val="24"/>
                <w:lang w:val="ro-MD"/>
              </w:rPr>
              <w:t xml:space="preserve"> P</w:t>
            </w:r>
            <w:r w:rsidR="00E35B8F" w:rsidRPr="00A1774A">
              <w:rPr>
                <w:rFonts w:ascii="Times New Roman" w:hAnsi="Times New Roman" w:cs="Times New Roman"/>
                <w:b/>
                <w:sz w:val="24"/>
                <w:szCs w:val="24"/>
                <w:lang w:val="ro-MD"/>
              </w:rPr>
              <w:t>.</w:t>
            </w:r>
            <w:r w:rsidR="00E35B8F" w:rsidRPr="00A1774A">
              <w:rPr>
                <w:rFonts w:ascii="Times New Roman" w:hAnsi="Times New Roman" w:cs="Times New Roman"/>
                <w:b/>
                <w:sz w:val="24"/>
                <w:szCs w:val="24"/>
                <w:lang w:val="ro-MD"/>
              </w:rPr>
              <w:t xml:space="preserve"> Hașdeu” din Cahul</w:t>
            </w:r>
            <w:r w:rsidR="00E35B8F" w:rsidRPr="00A1774A">
              <w:rPr>
                <w:rFonts w:ascii="Times New Roman" w:hAnsi="Times New Roman" w:cs="Times New Roman"/>
                <w:b/>
                <w:sz w:val="24"/>
                <w:szCs w:val="24"/>
                <w:lang w:val="ro-MD"/>
              </w:rPr>
              <w:t>.</w:t>
            </w:r>
            <w:r w:rsidR="00E35B8F" w:rsidRPr="00A1774A">
              <w:rPr>
                <w:rFonts w:ascii="Times New Roman" w:hAnsi="Times New Roman" w:cs="Times New Roman"/>
                <w:bCs/>
                <w:sz w:val="24"/>
                <w:szCs w:val="24"/>
                <w:lang w:val="ro-MD"/>
              </w:rPr>
              <w:t xml:space="preserve"> </w:t>
            </w:r>
            <w:r w:rsidR="008C6DA1" w:rsidRPr="00A1774A">
              <w:rPr>
                <w:rFonts w:ascii="Times New Roman" w:hAnsi="Times New Roman" w:cs="Times New Roman"/>
                <w:bCs/>
                <w:sz w:val="24"/>
                <w:szCs w:val="24"/>
                <w:lang w:val="ro-MD"/>
              </w:rPr>
              <w:t xml:space="preserve">Proiectul de hotărâre de Guvern se înscrie </w:t>
            </w:r>
            <w:r w:rsidR="00D55C61" w:rsidRPr="00A1774A">
              <w:rPr>
                <w:rFonts w:ascii="Times New Roman" w:hAnsi="Times New Roman" w:cs="Times New Roman"/>
                <w:bCs/>
                <w:sz w:val="24"/>
                <w:szCs w:val="24"/>
                <w:lang w:val="ro-MD"/>
              </w:rPr>
              <w:t xml:space="preserve">în programul </w:t>
            </w:r>
            <w:r w:rsidRPr="00A1774A">
              <w:rPr>
                <w:rFonts w:ascii="Times New Roman" w:hAnsi="Times New Roman" w:cs="Times New Roman"/>
                <w:bCs/>
                <w:sz w:val="24"/>
                <w:szCs w:val="24"/>
                <w:lang w:val="ro-MD"/>
              </w:rPr>
              <w:t>Ministerului</w:t>
            </w:r>
            <w:r w:rsidR="00D55C61" w:rsidRPr="00A1774A">
              <w:rPr>
                <w:rFonts w:ascii="Times New Roman" w:hAnsi="Times New Roman" w:cs="Times New Roman"/>
                <w:bCs/>
                <w:sz w:val="24"/>
                <w:szCs w:val="24"/>
                <w:lang w:val="ro-MD"/>
              </w:rPr>
              <w:t xml:space="preserve"> de</w:t>
            </w:r>
            <w:r w:rsidR="008C6DA1" w:rsidRPr="00A1774A">
              <w:rPr>
                <w:rFonts w:ascii="Times New Roman" w:hAnsi="Times New Roman" w:cs="Times New Roman"/>
                <w:bCs/>
                <w:sz w:val="24"/>
                <w:szCs w:val="24"/>
                <w:lang w:val="ro-MD"/>
              </w:rPr>
              <w:t xml:space="preserve"> modernizare a </w:t>
            </w:r>
            <w:r w:rsidR="00E35B8F" w:rsidRPr="00A1774A">
              <w:rPr>
                <w:rFonts w:ascii="Times New Roman" w:hAnsi="Times New Roman" w:cs="Times New Roman"/>
                <w:bCs/>
                <w:sz w:val="24"/>
                <w:szCs w:val="24"/>
                <w:lang w:val="ro-MD"/>
              </w:rPr>
              <w:t xml:space="preserve">sistemului de </w:t>
            </w:r>
            <w:r w:rsidR="008C6DA1" w:rsidRPr="00A1774A">
              <w:rPr>
                <w:rFonts w:ascii="Times New Roman" w:hAnsi="Times New Roman" w:cs="Times New Roman"/>
                <w:bCs/>
                <w:sz w:val="24"/>
                <w:szCs w:val="24"/>
                <w:lang w:val="ro-MD"/>
              </w:rPr>
              <w:t>învățământ superior. Lipsa intervențiilor la nivel de sector, adică nerealizarea reformei propuse de către Guvern, va conduce la distrugerea întregului sector de învățământ superior, din cauza următorilor factori:</w:t>
            </w:r>
          </w:p>
          <w:p w14:paraId="3868F88E" w14:textId="7EA2DEAD" w:rsidR="008C6DA1" w:rsidRPr="00A1774A" w:rsidRDefault="008C6DA1" w:rsidP="00A1774A">
            <w:pPr>
              <w:pStyle w:val="Listparagraf"/>
              <w:numPr>
                <w:ilvl w:val="0"/>
                <w:numId w:val="11"/>
              </w:numPr>
              <w:spacing w:line="276" w:lineRule="auto"/>
              <w:ind w:left="0" w:firstLine="709"/>
              <w:jc w:val="both"/>
              <w:rPr>
                <w:rFonts w:ascii="Times New Roman" w:hAnsi="Times New Roman" w:cs="Times New Roman"/>
                <w:bCs/>
                <w:sz w:val="24"/>
                <w:szCs w:val="24"/>
                <w:lang w:val="ro-MD"/>
              </w:rPr>
            </w:pPr>
            <w:r w:rsidRPr="00A1774A">
              <w:rPr>
                <w:rFonts w:ascii="Times New Roman" w:hAnsi="Times New Roman" w:cs="Times New Roman"/>
                <w:b/>
                <w:bCs/>
                <w:sz w:val="24"/>
                <w:szCs w:val="24"/>
                <w:lang w:val="ro-MD"/>
              </w:rPr>
              <w:t>Concurența neloială</w:t>
            </w:r>
            <w:r w:rsidRPr="00A1774A">
              <w:rPr>
                <w:rFonts w:ascii="Times New Roman" w:hAnsi="Times New Roman" w:cs="Times New Roman"/>
                <w:bCs/>
                <w:sz w:val="24"/>
                <w:szCs w:val="24"/>
                <w:lang w:val="ro-MD"/>
              </w:rPr>
              <w:t xml:space="preserve"> între instituții puternice și cele neperformante</w:t>
            </w:r>
            <w:r w:rsidR="00186980" w:rsidRPr="00A1774A">
              <w:rPr>
                <w:rFonts w:ascii="Times New Roman" w:hAnsi="Times New Roman" w:cs="Times New Roman"/>
                <w:bCs/>
                <w:sz w:val="24"/>
                <w:szCs w:val="24"/>
                <w:lang w:val="ro-MD"/>
              </w:rPr>
              <w:t>.</w:t>
            </w:r>
          </w:p>
          <w:p w14:paraId="3DA29E98" w14:textId="1F217D64" w:rsidR="00D55C61" w:rsidRPr="00A1774A" w:rsidRDefault="00D55C61" w:rsidP="00A1774A">
            <w:pPr>
              <w:pStyle w:val="Listparagraf"/>
              <w:numPr>
                <w:ilvl w:val="0"/>
                <w:numId w:val="11"/>
              </w:numPr>
              <w:spacing w:line="276" w:lineRule="auto"/>
              <w:ind w:left="0" w:firstLine="709"/>
              <w:jc w:val="both"/>
              <w:rPr>
                <w:rFonts w:ascii="Times New Roman" w:hAnsi="Times New Roman" w:cs="Times New Roman"/>
                <w:b/>
                <w:sz w:val="24"/>
                <w:szCs w:val="24"/>
                <w:lang w:val="ro-MD"/>
              </w:rPr>
            </w:pPr>
            <w:r w:rsidRPr="00A1774A">
              <w:rPr>
                <w:rFonts w:ascii="Times New Roman" w:hAnsi="Times New Roman" w:cs="Times New Roman"/>
                <w:bCs/>
                <w:sz w:val="24"/>
                <w:szCs w:val="24"/>
                <w:lang w:val="ro-MD"/>
              </w:rPr>
              <w:t xml:space="preserve">Înmatricularea </w:t>
            </w:r>
            <w:r w:rsidRPr="00A1774A">
              <w:rPr>
                <w:rFonts w:ascii="Times New Roman" w:hAnsi="Times New Roman" w:cs="Times New Roman"/>
                <w:b/>
                <w:bCs/>
                <w:sz w:val="24"/>
                <w:szCs w:val="24"/>
                <w:lang w:val="ro-MD"/>
              </w:rPr>
              <w:t xml:space="preserve">tuturor </w:t>
            </w:r>
            <w:r w:rsidRPr="00A1774A">
              <w:rPr>
                <w:rFonts w:ascii="Times New Roman" w:hAnsi="Times New Roman" w:cs="Times New Roman"/>
                <w:bCs/>
                <w:sz w:val="24"/>
                <w:szCs w:val="24"/>
                <w:lang w:val="ro-MD"/>
              </w:rPr>
              <w:t>candidaților la studii, fără a desfășura concursuri autentice, în rezultat, avem studenți admiși cu note de 5-6, chiar la specialitățile prestigioase</w:t>
            </w:r>
            <w:r w:rsidR="00186980" w:rsidRPr="00A1774A">
              <w:rPr>
                <w:rFonts w:ascii="Times New Roman" w:hAnsi="Times New Roman" w:cs="Times New Roman"/>
                <w:bCs/>
                <w:sz w:val="24"/>
                <w:szCs w:val="24"/>
                <w:lang w:val="ro-MD"/>
              </w:rPr>
              <w:t>. Astfel, în sesiunea de admitere 2025, din 116 studenți înmatriculați la</w:t>
            </w:r>
            <w:r w:rsidR="00186980" w:rsidRPr="00A1774A">
              <w:rPr>
                <w:rFonts w:ascii="Times New Roman" w:hAnsi="Times New Roman" w:cs="Times New Roman"/>
                <w:sz w:val="24"/>
                <w:szCs w:val="24"/>
                <w:lang w:val="ro-MD"/>
              </w:rPr>
              <w:t xml:space="preserve"> </w:t>
            </w:r>
            <w:r w:rsidR="00186980" w:rsidRPr="00A1774A">
              <w:rPr>
                <w:rFonts w:ascii="Times New Roman" w:hAnsi="Times New Roman" w:cs="Times New Roman"/>
                <w:bCs/>
                <w:sz w:val="24"/>
                <w:szCs w:val="24"/>
                <w:lang w:val="ro-MD"/>
              </w:rPr>
              <w:t>Universitatea de Stat „B. P. Hașdeu” din Cahul</w:t>
            </w:r>
            <w:r w:rsidR="00186980" w:rsidRPr="00A1774A">
              <w:rPr>
                <w:rFonts w:ascii="Times New Roman" w:hAnsi="Times New Roman" w:cs="Times New Roman"/>
                <w:bCs/>
                <w:sz w:val="24"/>
                <w:szCs w:val="24"/>
                <w:lang w:val="ro-MD"/>
              </w:rPr>
              <w:t xml:space="preserve"> în baza diplomei de BAC, </w:t>
            </w:r>
            <w:r w:rsidR="00186980" w:rsidRPr="00A1774A">
              <w:rPr>
                <w:rFonts w:ascii="Times New Roman" w:hAnsi="Times New Roman" w:cs="Times New Roman"/>
                <w:b/>
                <w:sz w:val="24"/>
                <w:szCs w:val="24"/>
                <w:lang w:val="ro-MD"/>
              </w:rPr>
              <w:t>19 studenți sunt cu note 5,0 - 6,5.</w:t>
            </w:r>
          </w:p>
          <w:p w14:paraId="0C050EF1" w14:textId="77777777" w:rsidR="008F0E4C" w:rsidRPr="00A1774A" w:rsidRDefault="008F0E4C" w:rsidP="00A1774A">
            <w:pPr>
              <w:pStyle w:val="Listparagraf"/>
              <w:numPr>
                <w:ilvl w:val="0"/>
                <w:numId w:val="11"/>
              </w:numPr>
              <w:spacing w:line="276" w:lineRule="auto"/>
              <w:ind w:left="0" w:firstLine="709"/>
              <w:jc w:val="both"/>
              <w:rPr>
                <w:rFonts w:ascii="Times New Roman" w:hAnsi="Times New Roman" w:cs="Times New Roman"/>
                <w:sz w:val="24"/>
                <w:szCs w:val="24"/>
                <w:lang w:val="ro-MD"/>
              </w:rPr>
            </w:pPr>
            <w:r w:rsidRPr="00A1774A">
              <w:rPr>
                <w:rFonts w:ascii="Times New Roman" w:hAnsi="Times New Roman" w:cs="Times New Roman"/>
                <w:b/>
                <w:bCs/>
                <w:sz w:val="24"/>
                <w:szCs w:val="24"/>
                <w:lang w:val="ro-MD"/>
              </w:rPr>
              <w:t>Inechitate</w:t>
            </w:r>
            <w:r w:rsidRPr="00A1774A">
              <w:rPr>
                <w:rFonts w:ascii="Times New Roman" w:hAnsi="Times New Roman" w:cs="Times New Roman"/>
                <w:sz w:val="24"/>
                <w:szCs w:val="24"/>
                <w:lang w:val="ro-MD"/>
              </w:rPr>
              <w:t xml:space="preserve"> în alocarea fondurilor publice;</w:t>
            </w:r>
          </w:p>
          <w:p w14:paraId="391ADDF6" w14:textId="77777777" w:rsidR="008F0E4C" w:rsidRPr="00A1774A" w:rsidRDefault="008F0E4C" w:rsidP="00A1774A">
            <w:pPr>
              <w:pStyle w:val="Listparagraf"/>
              <w:numPr>
                <w:ilvl w:val="0"/>
                <w:numId w:val="11"/>
              </w:numPr>
              <w:spacing w:line="276" w:lineRule="auto"/>
              <w:ind w:left="0" w:firstLine="709"/>
              <w:jc w:val="both"/>
              <w:rPr>
                <w:rFonts w:ascii="Times New Roman" w:hAnsi="Times New Roman" w:cs="Times New Roman"/>
                <w:sz w:val="24"/>
                <w:szCs w:val="24"/>
                <w:lang w:val="ro-MD"/>
              </w:rPr>
            </w:pPr>
            <w:r w:rsidRPr="00A1774A">
              <w:rPr>
                <w:rFonts w:ascii="Times New Roman" w:hAnsi="Times New Roman" w:cs="Times New Roman"/>
                <w:sz w:val="24"/>
                <w:szCs w:val="24"/>
                <w:lang w:val="ro-MD"/>
              </w:rPr>
              <w:t xml:space="preserve">Efectuarea unor </w:t>
            </w:r>
            <w:r w:rsidRPr="00A1774A">
              <w:rPr>
                <w:rFonts w:ascii="Times New Roman" w:hAnsi="Times New Roman" w:cs="Times New Roman"/>
                <w:b/>
                <w:bCs/>
                <w:sz w:val="24"/>
                <w:szCs w:val="24"/>
                <w:lang w:val="ro-MD"/>
              </w:rPr>
              <w:t>cheltuieli</w:t>
            </w:r>
            <w:r w:rsidRPr="00A1774A">
              <w:rPr>
                <w:rFonts w:ascii="Times New Roman" w:hAnsi="Times New Roman" w:cs="Times New Roman"/>
                <w:sz w:val="24"/>
                <w:szCs w:val="24"/>
                <w:lang w:val="ro-MD"/>
              </w:rPr>
              <w:t xml:space="preserve"> din bugetul de stat</w:t>
            </w:r>
            <w:r w:rsidRPr="00A1774A">
              <w:rPr>
                <w:rFonts w:ascii="Times New Roman" w:hAnsi="Times New Roman" w:cs="Times New Roman"/>
                <w:b/>
                <w:bCs/>
                <w:sz w:val="24"/>
                <w:szCs w:val="24"/>
                <w:lang w:val="ro-MD"/>
              </w:rPr>
              <w:t xml:space="preserve"> nejustificate</w:t>
            </w:r>
            <w:r w:rsidRPr="00A1774A">
              <w:rPr>
                <w:rFonts w:ascii="Times New Roman" w:hAnsi="Times New Roman" w:cs="Times New Roman"/>
                <w:sz w:val="24"/>
                <w:szCs w:val="24"/>
                <w:lang w:val="ro-MD"/>
              </w:rPr>
              <w:t>;</w:t>
            </w:r>
          </w:p>
          <w:p w14:paraId="56C1F8DD" w14:textId="77777777" w:rsidR="008F0E4C" w:rsidRPr="00A1774A" w:rsidRDefault="008F0E4C" w:rsidP="00A1774A">
            <w:pPr>
              <w:pStyle w:val="Listparagraf"/>
              <w:numPr>
                <w:ilvl w:val="0"/>
                <w:numId w:val="11"/>
              </w:numPr>
              <w:spacing w:line="276" w:lineRule="auto"/>
              <w:ind w:left="0" w:firstLine="709"/>
              <w:jc w:val="both"/>
              <w:rPr>
                <w:rFonts w:ascii="Times New Roman" w:hAnsi="Times New Roman" w:cs="Times New Roman"/>
                <w:sz w:val="24"/>
                <w:szCs w:val="24"/>
                <w:lang w:val="ro-MD"/>
              </w:rPr>
            </w:pPr>
            <w:r w:rsidRPr="00A1774A">
              <w:rPr>
                <w:rFonts w:ascii="Times New Roman" w:hAnsi="Times New Roman" w:cs="Times New Roman"/>
                <w:sz w:val="24"/>
                <w:szCs w:val="24"/>
                <w:lang w:val="ro-MD"/>
              </w:rPr>
              <w:t xml:space="preserve">Programe de studii </w:t>
            </w:r>
            <w:r w:rsidRPr="00A1774A">
              <w:rPr>
                <w:rFonts w:ascii="Times New Roman" w:hAnsi="Times New Roman" w:cs="Times New Roman"/>
                <w:b/>
                <w:bCs/>
                <w:sz w:val="24"/>
                <w:szCs w:val="24"/>
                <w:lang w:val="ro-MD"/>
              </w:rPr>
              <w:t>fără accent pe calitate</w:t>
            </w:r>
            <w:r w:rsidRPr="00A1774A">
              <w:rPr>
                <w:rFonts w:ascii="Times New Roman" w:hAnsi="Times New Roman" w:cs="Times New Roman"/>
                <w:sz w:val="24"/>
                <w:szCs w:val="24"/>
                <w:lang w:val="ro-MD"/>
              </w:rPr>
              <w:t>, care nu reușesc să pregătească specialiști relevanți pentru cerințele actuale ale pieței muncii;</w:t>
            </w:r>
          </w:p>
          <w:p w14:paraId="6A750F99" w14:textId="77777777" w:rsidR="008F0E4C" w:rsidRPr="00A1774A" w:rsidRDefault="008F0E4C" w:rsidP="00A1774A">
            <w:pPr>
              <w:pStyle w:val="Listparagraf"/>
              <w:numPr>
                <w:ilvl w:val="0"/>
                <w:numId w:val="11"/>
              </w:numPr>
              <w:spacing w:line="276" w:lineRule="auto"/>
              <w:ind w:left="0" w:firstLine="709"/>
              <w:jc w:val="both"/>
              <w:rPr>
                <w:rFonts w:ascii="Times New Roman" w:hAnsi="Times New Roman" w:cs="Times New Roman"/>
                <w:sz w:val="24"/>
                <w:szCs w:val="24"/>
                <w:lang w:val="ro-MD"/>
              </w:rPr>
            </w:pPr>
            <w:r w:rsidRPr="00A1774A">
              <w:rPr>
                <w:rFonts w:ascii="Times New Roman" w:hAnsi="Times New Roman" w:cs="Times New Roman"/>
                <w:sz w:val="24"/>
                <w:szCs w:val="24"/>
                <w:lang w:val="ro-MD"/>
              </w:rPr>
              <w:t xml:space="preserve">Activitate de </w:t>
            </w:r>
            <w:r w:rsidRPr="00A1774A">
              <w:rPr>
                <w:rFonts w:ascii="Times New Roman" w:hAnsi="Times New Roman" w:cs="Times New Roman"/>
                <w:b/>
                <w:bCs/>
                <w:sz w:val="24"/>
                <w:szCs w:val="24"/>
                <w:lang w:val="ro-MD"/>
              </w:rPr>
              <w:t>cercetare neperformantă</w:t>
            </w:r>
            <w:r w:rsidRPr="00A1774A">
              <w:rPr>
                <w:rFonts w:ascii="Times New Roman" w:hAnsi="Times New Roman" w:cs="Times New Roman"/>
                <w:sz w:val="24"/>
                <w:szCs w:val="24"/>
                <w:lang w:val="ro-MD"/>
              </w:rPr>
              <w:t xml:space="preserve"> (doar ”pe hârtie”), care nu aduce plus valoare economiei naționale;</w:t>
            </w:r>
          </w:p>
          <w:p w14:paraId="47C6EDDF" w14:textId="4723CA94" w:rsidR="001E6A80" w:rsidRPr="00A1774A" w:rsidRDefault="008F0E4C" w:rsidP="00A1774A">
            <w:pPr>
              <w:pStyle w:val="Listparagraf"/>
              <w:numPr>
                <w:ilvl w:val="0"/>
                <w:numId w:val="11"/>
              </w:numPr>
              <w:spacing w:line="276" w:lineRule="auto"/>
              <w:ind w:left="0" w:firstLine="709"/>
              <w:jc w:val="both"/>
              <w:rPr>
                <w:rFonts w:ascii="Times New Roman" w:hAnsi="Times New Roman" w:cs="Times New Roman"/>
                <w:sz w:val="24"/>
                <w:szCs w:val="24"/>
                <w:lang w:val="ro-MD"/>
              </w:rPr>
            </w:pPr>
            <w:r w:rsidRPr="00A1774A">
              <w:rPr>
                <w:rFonts w:ascii="Times New Roman" w:hAnsi="Times New Roman" w:cs="Times New Roman"/>
                <w:b/>
                <w:bCs/>
                <w:sz w:val="24"/>
                <w:szCs w:val="24"/>
                <w:lang w:val="ro-MD"/>
              </w:rPr>
              <w:t>Exodul capitalului uman din sistem și din țară</w:t>
            </w:r>
            <w:r w:rsidRPr="00A1774A">
              <w:rPr>
                <w:rFonts w:ascii="Times New Roman" w:hAnsi="Times New Roman" w:cs="Times New Roman"/>
                <w:sz w:val="24"/>
                <w:szCs w:val="24"/>
                <w:lang w:val="ro-MD"/>
              </w:rPr>
              <w:t xml:space="preserve"> etc.</w:t>
            </w:r>
          </w:p>
          <w:p w14:paraId="2E1EBD92" w14:textId="1D43A969" w:rsidR="001E6A80" w:rsidRPr="00A1774A" w:rsidRDefault="001E6A80" w:rsidP="00A1774A">
            <w:pPr>
              <w:spacing w:line="276" w:lineRule="auto"/>
              <w:ind w:firstLine="709"/>
              <w:jc w:val="both"/>
              <w:rPr>
                <w:rFonts w:ascii="Times New Roman" w:hAnsi="Times New Roman" w:cs="Times New Roman"/>
                <w:bCs/>
                <w:sz w:val="24"/>
                <w:szCs w:val="24"/>
                <w:lang w:val="ro-MD"/>
              </w:rPr>
            </w:pPr>
            <w:r w:rsidRPr="00A1774A">
              <w:rPr>
                <w:rFonts w:ascii="Times New Roman" w:hAnsi="Times New Roman" w:cs="Times New Roman"/>
                <w:b/>
                <w:sz w:val="24"/>
                <w:szCs w:val="24"/>
                <w:lang w:val="ro-MD"/>
              </w:rPr>
              <w:t>Necesitatea reorganizării Universității de Stat „Bogdan Petriceicu Hașdeu” din Cahul</w:t>
            </w:r>
            <w:r w:rsidRPr="00A1774A">
              <w:rPr>
                <w:rFonts w:ascii="Times New Roman" w:hAnsi="Times New Roman" w:cs="Times New Roman"/>
                <w:bCs/>
                <w:sz w:val="24"/>
                <w:szCs w:val="24"/>
                <w:lang w:val="ro-MD"/>
              </w:rPr>
              <w:t xml:space="preserve"> derivă dintr-un ansamblu de factori structurali și evolutivi care, analizați cumulativ, indică limitele modelului instituțional actual și justifică adoptarea unei soluții de consolidare instituțională.</w:t>
            </w:r>
          </w:p>
          <w:p w14:paraId="0963FCCB" w14:textId="77777777" w:rsidR="001E6A80" w:rsidRPr="00A1774A" w:rsidRDefault="001E6A80" w:rsidP="00A1774A">
            <w:pPr>
              <w:spacing w:line="276" w:lineRule="auto"/>
              <w:ind w:firstLine="709"/>
              <w:jc w:val="both"/>
              <w:rPr>
                <w:rFonts w:ascii="Times New Roman" w:hAnsi="Times New Roman" w:cs="Times New Roman"/>
                <w:bCs/>
                <w:sz w:val="24"/>
                <w:szCs w:val="24"/>
                <w:lang w:val="ro-MD"/>
              </w:rPr>
            </w:pPr>
            <w:r w:rsidRPr="00A1774A">
              <w:rPr>
                <w:rFonts w:ascii="Times New Roman" w:hAnsi="Times New Roman" w:cs="Times New Roman"/>
                <w:bCs/>
                <w:sz w:val="24"/>
                <w:szCs w:val="24"/>
                <w:lang w:val="ro-MD"/>
              </w:rPr>
              <w:t>Din perspectiva cererii educaționale, deși admiterea totală a înregistrat o creștere în perioada 2023–2025, aceasta s-a produs pe fundalul unei creșteri generale la nivelul întregului sistem de învățământ superior. Atractivitatea relativă a ofertei educaționale din Cahul rămâne inferioară mediei naționale, întrucât doar aproximativ 4 din 10 absolvenți eligibili din regiune aleg să urmeze studii universitare la Cahul, comparativ cu o rată de retenție națională de circa 60%. În același timp, ponderea ridicată a studiilor fără frecvență indică o adaptare la constrângerile pieței, dar și o presiune suplimentară asupra sustenabilității academice.</w:t>
            </w:r>
          </w:p>
          <w:p w14:paraId="5BE5AA9F" w14:textId="77777777" w:rsidR="001E6A80" w:rsidRPr="00A1774A" w:rsidRDefault="001E6A80" w:rsidP="00A1774A">
            <w:pPr>
              <w:spacing w:line="276" w:lineRule="auto"/>
              <w:ind w:firstLine="709"/>
              <w:jc w:val="both"/>
              <w:rPr>
                <w:rFonts w:ascii="Times New Roman" w:hAnsi="Times New Roman" w:cs="Times New Roman"/>
                <w:bCs/>
                <w:sz w:val="24"/>
                <w:szCs w:val="24"/>
                <w:lang w:val="ro-MD"/>
              </w:rPr>
            </w:pPr>
            <w:r w:rsidRPr="00A1774A">
              <w:rPr>
                <w:rFonts w:ascii="Times New Roman" w:hAnsi="Times New Roman" w:cs="Times New Roman"/>
                <w:bCs/>
                <w:sz w:val="24"/>
                <w:szCs w:val="24"/>
                <w:lang w:val="ro-MD"/>
              </w:rPr>
              <w:t>În plan financiar, susținerea statului pentru universitate a crescut în ultimii ani, finanțarea din bugetul de stat atingând 24,81 milioane lei în anul 2024 și 26,02 milioane lei în anul 2025, iar investițiile susținute de Ministerul Educației și Cercetării și de parteneri externi au contribuit la modernizarea infrastructurii universitare din Cahul. Totuși, nivelul actual al resurselor financiare rămâne insuficient pentru a compensa efectele declinului demografic și pentru a susține dezvoltarea instituțională, constrângerile bugetare reflectându-se inclusiv în majorarea normelor didactice și în limitarea capacității de atragere a cadrelor tinere.</w:t>
            </w:r>
          </w:p>
          <w:p w14:paraId="76E4C280" w14:textId="5238BB73" w:rsidR="001E6A80" w:rsidRPr="00A1774A" w:rsidRDefault="001E6A80" w:rsidP="00A1774A">
            <w:pPr>
              <w:spacing w:line="276" w:lineRule="auto"/>
              <w:ind w:firstLine="709"/>
              <w:jc w:val="both"/>
              <w:rPr>
                <w:rFonts w:ascii="Times New Roman" w:hAnsi="Times New Roman" w:cs="Times New Roman"/>
                <w:bCs/>
                <w:sz w:val="24"/>
                <w:szCs w:val="24"/>
                <w:lang w:val="ro-MD"/>
              </w:rPr>
            </w:pPr>
            <w:r w:rsidRPr="00A1774A">
              <w:rPr>
                <w:rFonts w:ascii="Times New Roman" w:hAnsi="Times New Roman" w:cs="Times New Roman"/>
                <w:bCs/>
                <w:sz w:val="24"/>
                <w:szCs w:val="24"/>
                <w:lang w:val="ro-MD"/>
              </w:rPr>
              <w:lastRenderedPageBreak/>
              <w:t xml:space="preserve">În acest context, reorganizarea prin integrare instituțională într-o universitate cu capacitate administrativă și financiară sporită reprezintă o măsură necesară pentru consolidarea </w:t>
            </w:r>
            <w:r w:rsidR="00805FC9" w:rsidRPr="00A1774A">
              <w:rPr>
                <w:rFonts w:ascii="Times New Roman" w:hAnsi="Times New Roman" w:cs="Times New Roman"/>
                <w:bCs/>
                <w:sz w:val="24"/>
                <w:szCs w:val="24"/>
                <w:lang w:val="ro-MD"/>
              </w:rPr>
              <w:t>C</w:t>
            </w:r>
            <w:r w:rsidRPr="00A1774A">
              <w:rPr>
                <w:rFonts w:ascii="Times New Roman" w:hAnsi="Times New Roman" w:cs="Times New Roman"/>
                <w:bCs/>
                <w:sz w:val="24"/>
                <w:szCs w:val="24"/>
                <w:lang w:val="ro-MD"/>
              </w:rPr>
              <w:t xml:space="preserve">entrului </w:t>
            </w:r>
            <w:r w:rsidR="00805FC9" w:rsidRPr="00A1774A">
              <w:rPr>
                <w:rFonts w:ascii="Times New Roman" w:hAnsi="Times New Roman" w:cs="Times New Roman"/>
                <w:bCs/>
                <w:sz w:val="24"/>
                <w:szCs w:val="24"/>
                <w:lang w:val="ro-MD"/>
              </w:rPr>
              <w:t>U</w:t>
            </w:r>
            <w:r w:rsidRPr="00A1774A">
              <w:rPr>
                <w:rFonts w:ascii="Times New Roman" w:hAnsi="Times New Roman" w:cs="Times New Roman"/>
                <w:bCs/>
                <w:sz w:val="24"/>
                <w:szCs w:val="24"/>
                <w:lang w:val="ro-MD"/>
              </w:rPr>
              <w:t>niversitar din Cahul, permițând stabilizarea resursei umane, creșterea atractivității ofertei educaționale și valorificarea eficientă a investițiilor realizate. Integrarea oferă premisele pentru diversificarea programelor de studii, atragerea cadrelor tinere și creșterea capacității de accesare a fondurilor externe, contribuind la menținerea și dezvoltarea unui centru universitar funcțional în regiunea de sud a Republicii Moldova.</w:t>
            </w:r>
          </w:p>
          <w:p w14:paraId="01F1E3FF" w14:textId="431F6DF3" w:rsidR="00805FC9" w:rsidRPr="00A1774A" w:rsidRDefault="001E6A80" w:rsidP="00A1774A">
            <w:pPr>
              <w:spacing w:line="276" w:lineRule="auto"/>
              <w:ind w:firstLine="709"/>
              <w:jc w:val="both"/>
              <w:rPr>
                <w:rFonts w:ascii="Times New Roman" w:hAnsi="Times New Roman" w:cs="Times New Roman"/>
                <w:bCs/>
                <w:sz w:val="24"/>
                <w:szCs w:val="24"/>
                <w:lang w:val="ro-MD"/>
              </w:rPr>
            </w:pPr>
            <w:r w:rsidRPr="00A1774A">
              <w:rPr>
                <w:rFonts w:ascii="Times New Roman" w:hAnsi="Times New Roman" w:cs="Times New Roman"/>
                <w:bCs/>
                <w:sz w:val="24"/>
                <w:szCs w:val="24"/>
                <w:lang w:val="ro-MD"/>
              </w:rPr>
              <w:t>Reorganizarea prin integrare instituțională, astfel cum este reglementată prin proiectul hotărârii, produce efecte juridice echivalente reorganizării prin absorbție, în sensul Codului civil al Republicii Moldova, asigurând succesiunea universală a drepturilor și obligațiilor.</w:t>
            </w:r>
          </w:p>
          <w:p w14:paraId="434163B4" w14:textId="5D46D8A4" w:rsidR="001E6A80" w:rsidRPr="00A1774A" w:rsidRDefault="001E6A80" w:rsidP="00A1774A">
            <w:pPr>
              <w:spacing w:line="276" w:lineRule="auto"/>
              <w:ind w:firstLine="709"/>
              <w:jc w:val="both"/>
              <w:rPr>
                <w:rFonts w:ascii="Times New Roman" w:hAnsi="Times New Roman" w:cs="Times New Roman"/>
                <w:b/>
                <w:sz w:val="24"/>
                <w:szCs w:val="24"/>
                <w:lang w:val="ro-MD"/>
              </w:rPr>
            </w:pPr>
            <w:r w:rsidRPr="00A1774A">
              <w:rPr>
                <w:rFonts w:ascii="Times New Roman" w:hAnsi="Times New Roman" w:cs="Times New Roman"/>
                <w:b/>
                <w:sz w:val="24"/>
                <w:szCs w:val="24"/>
                <w:lang w:val="ro-MD"/>
              </w:rPr>
              <w:t>Garanțiile prevăzute prin proiectul Hotărârii Guvernului</w:t>
            </w:r>
          </w:p>
          <w:p w14:paraId="3E9AD82B" w14:textId="77777777" w:rsidR="001E6A80" w:rsidRPr="00A1774A" w:rsidRDefault="001E6A80" w:rsidP="00A1774A">
            <w:pPr>
              <w:spacing w:line="276" w:lineRule="auto"/>
              <w:ind w:firstLine="709"/>
              <w:jc w:val="both"/>
              <w:rPr>
                <w:rFonts w:ascii="Times New Roman" w:hAnsi="Times New Roman" w:cs="Times New Roman"/>
                <w:bCs/>
                <w:sz w:val="24"/>
                <w:szCs w:val="24"/>
                <w:lang w:val="ro-MD"/>
              </w:rPr>
            </w:pPr>
            <w:r w:rsidRPr="00A1774A">
              <w:rPr>
                <w:rFonts w:ascii="Times New Roman" w:hAnsi="Times New Roman" w:cs="Times New Roman"/>
                <w:bCs/>
                <w:sz w:val="24"/>
                <w:szCs w:val="24"/>
                <w:lang w:val="ro-MD"/>
              </w:rPr>
              <w:t>Proiectul Hotărârii de Guvern prevede un set de garanții menite să asigure protejarea comunității academice din Cahul și dezvoltarea durabilă a Centrului Universitar.</w:t>
            </w:r>
          </w:p>
          <w:p w14:paraId="5563B30D" w14:textId="7A812456" w:rsidR="001E6A80" w:rsidRPr="00A1774A" w:rsidRDefault="001E6A80" w:rsidP="00A1774A">
            <w:pPr>
              <w:spacing w:line="276" w:lineRule="auto"/>
              <w:ind w:firstLine="709"/>
              <w:jc w:val="both"/>
              <w:rPr>
                <w:rFonts w:ascii="Times New Roman" w:hAnsi="Times New Roman" w:cs="Times New Roman"/>
                <w:b/>
                <w:sz w:val="24"/>
                <w:szCs w:val="24"/>
                <w:lang w:val="ro-MD"/>
              </w:rPr>
            </w:pPr>
            <w:r w:rsidRPr="00A1774A">
              <w:rPr>
                <w:rFonts w:ascii="Times New Roman" w:hAnsi="Times New Roman" w:cs="Times New Roman"/>
                <w:b/>
                <w:sz w:val="24"/>
                <w:szCs w:val="24"/>
                <w:lang w:val="ro-MD"/>
              </w:rPr>
              <w:t>Garanții instituționale și de guvernanță</w:t>
            </w:r>
          </w:p>
          <w:p w14:paraId="6CD8D3DC" w14:textId="5AB71E8C" w:rsidR="001E6A80" w:rsidRPr="00A1774A" w:rsidRDefault="001E6A80" w:rsidP="00A1774A">
            <w:pPr>
              <w:pStyle w:val="Listparagraf"/>
              <w:numPr>
                <w:ilvl w:val="0"/>
                <w:numId w:val="24"/>
              </w:numPr>
              <w:spacing w:line="276" w:lineRule="auto"/>
              <w:ind w:left="0" w:firstLine="709"/>
              <w:jc w:val="both"/>
              <w:rPr>
                <w:rFonts w:ascii="Times New Roman" w:hAnsi="Times New Roman" w:cs="Times New Roman"/>
                <w:bCs/>
                <w:sz w:val="24"/>
                <w:szCs w:val="24"/>
                <w:lang w:val="ro-MD"/>
              </w:rPr>
            </w:pPr>
            <w:r w:rsidRPr="00A1774A">
              <w:rPr>
                <w:rFonts w:ascii="Times New Roman" w:hAnsi="Times New Roman" w:cs="Times New Roman"/>
                <w:bCs/>
                <w:sz w:val="24"/>
                <w:szCs w:val="24"/>
                <w:lang w:val="ro-MD"/>
              </w:rPr>
              <w:t>constituirea Centrului Universitar cu autonomie universitară lărgită în cadrul U</w:t>
            </w:r>
            <w:r w:rsidR="00805FC9" w:rsidRPr="00A1774A">
              <w:rPr>
                <w:rFonts w:ascii="Times New Roman" w:hAnsi="Times New Roman" w:cs="Times New Roman"/>
                <w:bCs/>
                <w:sz w:val="24"/>
                <w:szCs w:val="24"/>
                <w:lang w:val="ro-MD"/>
              </w:rPr>
              <w:t>niversității Tehnice a Moldovei</w:t>
            </w:r>
            <w:r w:rsidRPr="00A1774A">
              <w:rPr>
                <w:rFonts w:ascii="Times New Roman" w:hAnsi="Times New Roman" w:cs="Times New Roman"/>
                <w:bCs/>
                <w:sz w:val="24"/>
                <w:szCs w:val="24"/>
                <w:lang w:val="ro-MD"/>
              </w:rPr>
              <w:t>;</w:t>
            </w:r>
          </w:p>
          <w:p w14:paraId="55448C77" w14:textId="583B569E" w:rsidR="001E6A80" w:rsidRPr="00A1774A" w:rsidRDefault="001E6A80" w:rsidP="00A1774A">
            <w:pPr>
              <w:pStyle w:val="Listparagraf"/>
              <w:numPr>
                <w:ilvl w:val="0"/>
                <w:numId w:val="24"/>
              </w:numPr>
              <w:spacing w:line="276" w:lineRule="auto"/>
              <w:ind w:left="0" w:firstLine="709"/>
              <w:jc w:val="both"/>
              <w:rPr>
                <w:rFonts w:ascii="Times New Roman" w:hAnsi="Times New Roman" w:cs="Times New Roman"/>
                <w:bCs/>
                <w:sz w:val="24"/>
                <w:szCs w:val="24"/>
                <w:lang w:val="ro-MD"/>
              </w:rPr>
            </w:pPr>
            <w:r w:rsidRPr="00A1774A">
              <w:rPr>
                <w:rFonts w:ascii="Times New Roman" w:hAnsi="Times New Roman" w:cs="Times New Roman"/>
                <w:bCs/>
                <w:sz w:val="24"/>
                <w:szCs w:val="24"/>
                <w:lang w:val="ro-MD"/>
              </w:rPr>
              <w:t>instituirea funcției de prorector responsabil de Centrul Universitar, selectat din rândul comunității academice locale;</w:t>
            </w:r>
          </w:p>
          <w:p w14:paraId="0898DDF8" w14:textId="4794F63B" w:rsidR="001E6A80" w:rsidRPr="00A1774A" w:rsidRDefault="001E6A80" w:rsidP="00A1774A">
            <w:pPr>
              <w:pStyle w:val="Listparagraf"/>
              <w:numPr>
                <w:ilvl w:val="0"/>
                <w:numId w:val="24"/>
              </w:numPr>
              <w:spacing w:line="276" w:lineRule="auto"/>
              <w:ind w:left="0" w:firstLine="709"/>
              <w:jc w:val="both"/>
              <w:rPr>
                <w:rFonts w:ascii="Times New Roman" w:hAnsi="Times New Roman" w:cs="Times New Roman"/>
                <w:bCs/>
                <w:sz w:val="24"/>
                <w:szCs w:val="24"/>
                <w:lang w:val="ro-MD"/>
              </w:rPr>
            </w:pPr>
            <w:r w:rsidRPr="00A1774A">
              <w:rPr>
                <w:rFonts w:ascii="Times New Roman" w:hAnsi="Times New Roman" w:cs="Times New Roman"/>
                <w:bCs/>
                <w:sz w:val="24"/>
                <w:szCs w:val="24"/>
                <w:lang w:val="ro-MD"/>
              </w:rPr>
              <w:t xml:space="preserve">reprezentarea Centrului Universitar prin 10 membri în Senatul </w:t>
            </w:r>
            <w:r w:rsidR="00805FC9" w:rsidRPr="00A1774A">
              <w:rPr>
                <w:rFonts w:ascii="Times New Roman" w:hAnsi="Times New Roman" w:cs="Times New Roman"/>
                <w:bCs/>
                <w:sz w:val="24"/>
                <w:szCs w:val="24"/>
                <w:lang w:val="ro-MD"/>
              </w:rPr>
              <w:t>Universității Tehnice a Moldovei</w:t>
            </w:r>
            <w:r w:rsidRPr="00A1774A">
              <w:rPr>
                <w:rFonts w:ascii="Times New Roman" w:hAnsi="Times New Roman" w:cs="Times New Roman"/>
                <w:bCs/>
                <w:sz w:val="24"/>
                <w:szCs w:val="24"/>
                <w:lang w:val="ro-MD"/>
              </w:rPr>
              <w:t>;</w:t>
            </w:r>
          </w:p>
          <w:p w14:paraId="6B882884" w14:textId="30E867BB" w:rsidR="001E6A80" w:rsidRPr="00A1774A" w:rsidRDefault="001E6A80" w:rsidP="00A1774A">
            <w:pPr>
              <w:pStyle w:val="Listparagraf"/>
              <w:numPr>
                <w:ilvl w:val="0"/>
                <w:numId w:val="24"/>
              </w:numPr>
              <w:spacing w:line="276" w:lineRule="auto"/>
              <w:ind w:left="0" w:firstLine="709"/>
              <w:jc w:val="both"/>
              <w:rPr>
                <w:rFonts w:ascii="Times New Roman" w:hAnsi="Times New Roman" w:cs="Times New Roman"/>
                <w:bCs/>
                <w:sz w:val="24"/>
                <w:szCs w:val="24"/>
                <w:lang w:val="ro-MD"/>
              </w:rPr>
            </w:pPr>
            <w:r w:rsidRPr="00A1774A">
              <w:rPr>
                <w:rFonts w:ascii="Times New Roman" w:hAnsi="Times New Roman" w:cs="Times New Roman"/>
                <w:bCs/>
                <w:sz w:val="24"/>
                <w:szCs w:val="24"/>
                <w:lang w:val="ro-MD"/>
              </w:rPr>
              <w:t xml:space="preserve">organizarea a cel puțin unei ședințe anuale a Senatului </w:t>
            </w:r>
            <w:r w:rsidR="00805FC9" w:rsidRPr="00A1774A">
              <w:rPr>
                <w:rFonts w:ascii="Times New Roman" w:hAnsi="Times New Roman" w:cs="Times New Roman"/>
                <w:bCs/>
                <w:sz w:val="24"/>
                <w:szCs w:val="24"/>
                <w:lang w:val="ro-MD"/>
              </w:rPr>
              <w:t>Universității Tehnice a Moldovei</w:t>
            </w:r>
            <w:r w:rsidRPr="00A1774A">
              <w:rPr>
                <w:rFonts w:ascii="Times New Roman" w:hAnsi="Times New Roman" w:cs="Times New Roman"/>
                <w:bCs/>
                <w:sz w:val="24"/>
                <w:szCs w:val="24"/>
                <w:lang w:val="ro-MD"/>
              </w:rPr>
              <w:t xml:space="preserve"> la Cahul;</w:t>
            </w:r>
          </w:p>
          <w:p w14:paraId="1C4960AB" w14:textId="7E1B0DF3" w:rsidR="001E6A80" w:rsidRPr="00A1774A" w:rsidRDefault="001E6A80" w:rsidP="00A1774A">
            <w:pPr>
              <w:pStyle w:val="Listparagraf"/>
              <w:numPr>
                <w:ilvl w:val="0"/>
                <w:numId w:val="24"/>
              </w:numPr>
              <w:spacing w:line="276" w:lineRule="auto"/>
              <w:ind w:left="0" w:firstLine="709"/>
              <w:jc w:val="both"/>
              <w:rPr>
                <w:rFonts w:ascii="Times New Roman" w:hAnsi="Times New Roman" w:cs="Times New Roman"/>
                <w:bCs/>
                <w:sz w:val="24"/>
                <w:szCs w:val="24"/>
                <w:lang w:val="ro-MD"/>
              </w:rPr>
            </w:pPr>
            <w:r w:rsidRPr="00A1774A">
              <w:rPr>
                <w:rFonts w:ascii="Times New Roman" w:hAnsi="Times New Roman" w:cs="Times New Roman"/>
                <w:bCs/>
                <w:sz w:val="24"/>
                <w:szCs w:val="24"/>
                <w:lang w:val="ro-MD"/>
              </w:rPr>
              <w:t>consultarea autorităților publice locale și raionale din Cahul în procesul decizional privind dezvoltarea Centrului.</w:t>
            </w:r>
          </w:p>
          <w:p w14:paraId="460E31B9" w14:textId="0DD3960F" w:rsidR="001E6A80" w:rsidRPr="00A1774A" w:rsidRDefault="001E6A80" w:rsidP="00A1774A">
            <w:pPr>
              <w:spacing w:line="276" w:lineRule="auto"/>
              <w:ind w:firstLine="709"/>
              <w:jc w:val="both"/>
              <w:rPr>
                <w:rFonts w:ascii="Times New Roman" w:hAnsi="Times New Roman" w:cs="Times New Roman"/>
                <w:bCs/>
                <w:sz w:val="24"/>
                <w:szCs w:val="24"/>
                <w:lang w:val="ro-MD"/>
              </w:rPr>
            </w:pPr>
            <w:r w:rsidRPr="00A1774A">
              <w:rPr>
                <w:rFonts w:ascii="Times New Roman" w:hAnsi="Times New Roman" w:cs="Times New Roman"/>
                <w:b/>
                <w:sz w:val="24"/>
                <w:szCs w:val="24"/>
                <w:lang w:val="ro-MD"/>
              </w:rPr>
              <w:t xml:space="preserve">Garanții academice și </w:t>
            </w:r>
            <w:r w:rsidRPr="00A1774A">
              <w:rPr>
                <w:rFonts w:ascii="Times New Roman" w:hAnsi="Times New Roman" w:cs="Times New Roman"/>
                <w:bCs/>
                <w:sz w:val="24"/>
                <w:szCs w:val="24"/>
                <w:lang w:val="ro-MD"/>
              </w:rPr>
              <w:t>identitare</w:t>
            </w:r>
          </w:p>
          <w:p w14:paraId="2996697D" w14:textId="5EE8E5C0" w:rsidR="001E6A80" w:rsidRPr="00A1774A" w:rsidRDefault="001E6A80" w:rsidP="00A1774A">
            <w:pPr>
              <w:pStyle w:val="Listparagraf"/>
              <w:numPr>
                <w:ilvl w:val="0"/>
                <w:numId w:val="25"/>
              </w:numPr>
              <w:spacing w:line="276" w:lineRule="auto"/>
              <w:ind w:left="0" w:firstLine="709"/>
              <w:jc w:val="both"/>
              <w:rPr>
                <w:rFonts w:ascii="Times New Roman" w:hAnsi="Times New Roman" w:cs="Times New Roman"/>
                <w:bCs/>
                <w:sz w:val="24"/>
                <w:szCs w:val="24"/>
                <w:lang w:val="ro-MD"/>
              </w:rPr>
            </w:pPr>
            <w:r w:rsidRPr="00A1774A">
              <w:rPr>
                <w:rFonts w:ascii="Times New Roman" w:hAnsi="Times New Roman" w:cs="Times New Roman"/>
                <w:bCs/>
                <w:sz w:val="24"/>
                <w:szCs w:val="24"/>
                <w:lang w:val="ro-MD"/>
              </w:rPr>
              <w:t>păstrarea identității academice distincte și a tradițiilor</w:t>
            </w:r>
            <w:r w:rsidR="00805FC9" w:rsidRPr="00A1774A">
              <w:rPr>
                <w:rFonts w:ascii="Times New Roman" w:hAnsi="Times New Roman" w:cs="Times New Roman"/>
                <w:bCs/>
                <w:sz w:val="24"/>
                <w:szCs w:val="24"/>
                <w:lang w:val="ro-MD"/>
              </w:rPr>
              <w:t xml:space="preserve"> educaționale</w:t>
            </w:r>
            <w:r w:rsidRPr="00A1774A">
              <w:rPr>
                <w:rFonts w:ascii="Times New Roman" w:hAnsi="Times New Roman" w:cs="Times New Roman"/>
                <w:bCs/>
                <w:sz w:val="24"/>
                <w:szCs w:val="24"/>
                <w:lang w:val="ro-MD"/>
              </w:rPr>
              <w:t xml:space="preserve"> instituționale;</w:t>
            </w:r>
          </w:p>
          <w:p w14:paraId="0A59ADBD" w14:textId="6A3EB2E6" w:rsidR="001E6A80" w:rsidRPr="00A1774A" w:rsidRDefault="001E6A80" w:rsidP="00A1774A">
            <w:pPr>
              <w:pStyle w:val="Listparagraf"/>
              <w:numPr>
                <w:ilvl w:val="0"/>
                <w:numId w:val="25"/>
              </w:numPr>
              <w:spacing w:line="276" w:lineRule="auto"/>
              <w:ind w:left="0" w:firstLine="709"/>
              <w:jc w:val="both"/>
              <w:rPr>
                <w:rFonts w:ascii="Times New Roman" w:hAnsi="Times New Roman" w:cs="Times New Roman"/>
                <w:bCs/>
                <w:sz w:val="24"/>
                <w:szCs w:val="24"/>
                <w:lang w:val="ro-MD"/>
              </w:rPr>
            </w:pPr>
            <w:r w:rsidRPr="00A1774A">
              <w:rPr>
                <w:rFonts w:ascii="Times New Roman" w:hAnsi="Times New Roman" w:cs="Times New Roman"/>
                <w:bCs/>
                <w:sz w:val="24"/>
                <w:szCs w:val="24"/>
                <w:lang w:val="ro-MD"/>
              </w:rPr>
              <w:t>recunoașterea Centrului Universitar ca structură de importanță strategică pentru dezvoltarea regională;</w:t>
            </w:r>
          </w:p>
          <w:p w14:paraId="2D6AF085" w14:textId="7A91BC67" w:rsidR="001E6A80" w:rsidRPr="00A1774A" w:rsidRDefault="001E6A80" w:rsidP="00A1774A">
            <w:pPr>
              <w:pStyle w:val="Listparagraf"/>
              <w:numPr>
                <w:ilvl w:val="0"/>
                <w:numId w:val="25"/>
              </w:numPr>
              <w:spacing w:line="276" w:lineRule="auto"/>
              <w:ind w:left="0" w:firstLine="709"/>
              <w:jc w:val="both"/>
              <w:rPr>
                <w:rFonts w:ascii="Times New Roman" w:hAnsi="Times New Roman" w:cs="Times New Roman"/>
                <w:bCs/>
                <w:sz w:val="24"/>
                <w:szCs w:val="24"/>
                <w:lang w:val="ro-MD"/>
              </w:rPr>
            </w:pPr>
            <w:r w:rsidRPr="00A1774A">
              <w:rPr>
                <w:rFonts w:ascii="Times New Roman" w:hAnsi="Times New Roman" w:cs="Times New Roman"/>
                <w:bCs/>
                <w:sz w:val="24"/>
                <w:szCs w:val="24"/>
                <w:lang w:val="ro-MD"/>
              </w:rPr>
              <w:t xml:space="preserve">participarea Centrului Universitar la </w:t>
            </w:r>
            <w:r w:rsidR="00805FC9" w:rsidRPr="00A1774A">
              <w:rPr>
                <w:rFonts w:ascii="Times New Roman" w:hAnsi="Times New Roman" w:cs="Times New Roman"/>
                <w:bCs/>
                <w:sz w:val="24"/>
                <w:szCs w:val="24"/>
                <w:lang w:val="ro-MD"/>
              </w:rPr>
              <w:t>luarea</w:t>
            </w:r>
            <w:r w:rsidRPr="00A1774A">
              <w:rPr>
                <w:rFonts w:ascii="Times New Roman" w:hAnsi="Times New Roman" w:cs="Times New Roman"/>
                <w:bCs/>
                <w:sz w:val="24"/>
                <w:szCs w:val="24"/>
                <w:lang w:val="ro-MD"/>
              </w:rPr>
              <w:t xml:space="preserve"> deciziilor strategice </w:t>
            </w:r>
            <w:r w:rsidR="00805FC9" w:rsidRPr="00A1774A">
              <w:rPr>
                <w:rFonts w:ascii="Times New Roman" w:hAnsi="Times New Roman" w:cs="Times New Roman"/>
                <w:bCs/>
                <w:sz w:val="24"/>
                <w:szCs w:val="24"/>
                <w:lang w:val="ro-MD"/>
              </w:rPr>
              <w:t xml:space="preserve">în cadrul </w:t>
            </w:r>
            <w:r w:rsidR="00805FC9" w:rsidRPr="00A1774A">
              <w:rPr>
                <w:rFonts w:ascii="Times New Roman" w:hAnsi="Times New Roman" w:cs="Times New Roman"/>
                <w:bCs/>
                <w:sz w:val="24"/>
                <w:szCs w:val="24"/>
                <w:lang w:val="ro-MD"/>
              </w:rPr>
              <w:t>Universității Tehnice a Moldovei</w:t>
            </w:r>
            <w:r w:rsidR="00805FC9" w:rsidRPr="00A1774A">
              <w:rPr>
                <w:rFonts w:ascii="Times New Roman" w:hAnsi="Times New Roman" w:cs="Times New Roman"/>
                <w:bCs/>
                <w:sz w:val="24"/>
                <w:szCs w:val="24"/>
                <w:lang w:val="ro-MD"/>
              </w:rPr>
              <w:t xml:space="preserve">, </w:t>
            </w:r>
            <w:r w:rsidRPr="00A1774A">
              <w:rPr>
                <w:rFonts w:ascii="Times New Roman" w:hAnsi="Times New Roman" w:cs="Times New Roman"/>
                <w:bCs/>
                <w:sz w:val="24"/>
                <w:szCs w:val="24"/>
                <w:lang w:val="ro-MD"/>
              </w:rPr>
              <w:t>care îl vizează;</w:t>
            </w:r>
          </w:p>
          <w:p w14:paraId="7A99F561" w14:textId="76738CE4" w:rsidR="001E6A80" w:rsidRPr="00A1774A" w:rsidRDefault="001E6A80" w:rsidP="00A1774A">
            <w:pPr>
              <w:pStyle w:val="Listparagraf"/>
              <w:numPr>
                <w:ilvl w:val="0"/>
                <w:numId w:val="25"/>
              </w:numPr>
              <w:spacing w:line="276" w:lineRule="auto"/>
              <w:ind w:left="0" w:firstLine="709"/>
              <w:jc w:val="both"/>
              <w:rPr>
                <w:rFonts w:ascii="Times New Roman" w:hAnsi="Times New Roman" w:cs="Times New Roman"/>
                <w:bCs/>
                <w:sz w:val="24"/>
                <w:szCs w:val="24"/>
                <w:lang w:val="ro-MD"/>
              </w:rPr>
            </w:pPr>
            <w:r w:rsidRPr="00A1774A">
              <w:rPr>
                <w:rFonts w:ascii="Times New Roman" w:hAnsi="Times New Roman" w:cs="Times New Roman"/>
                <w:bCs/>
                <w:sz w:val="24"/>
                <w:szCs w:val="24"/>
                <w:lang w:val="ro-MD"/>
              </w:rPr>
              <w:t>evaluările periodice au caracter de monitorizare și îmbunătățire;</w:t>
            </w:r>
          </w:p>
          <w:p w14:paraId="42989E67" w14:textId="6F610E61" w:rsidR="001E6A80" w:rsidRPr="00A1774A" w:rsidRDefault="001E6A80" w:rsidP="00A1774A">
            <w:pPr>
              <w:pStyle w:val="Listparagraf"/>
              <w:numPr>
                <w:ilvl w:val="0"/>
                <w:numId w:val="25"/>
              </w:numPr>
              <w:spacing w:line="276" w:lineRule="auto"/>
              <w:ind w:left="0" w:firstLine="709"/>
              <w:jc w:val="both"/>
              <w:rPr>
                <w:rFonts w:ascii="Times New Roman" w:hAnsi="Times New Roman" w:cs="Times New Roman"/>
                <w:bCs/>
                <w:sz w:val="24"/>
                <w:szCs w:val="24"/>
                <w:lang w:val="ro-MD"/>
              </w:rPr>
            </w:pPr>
            <w:r w:rsidRPr="00A1774A">
              <w:rPr>
                <w:rFonts w:ascii="Times New Roman" w:hAnsi="Times New Roman" w:cs="Times New Roman"/>
                <w:bCs/>
                <w:sz w:val="24"/>
                <w:szCs w:val="24"/>
                <w:lang w:val="ro-MD"/>
              </w:rPr>
              <w:t xml:space="preserve">asigurarea vizibilității instituționale a Centrului Universitar în structura și comunicarea oficială a </w:t>
            </w:r>
            <w:r w:rsidR="00805FC9" w:rsidRPr="00A1774A">
              <w:rPr>
                <w:rFonts w:ascii="Times New Roman" w:hAnsi="Times New Roman" w:cs="Times New Roman"/>
                <w:bCs/>
                <w:sz w:val="24"/>
                <w:szCs w:val="24"/>
                <w:lang w:val="ro-MD"/>
              </w:rPr>
              <w:t>Universității Tehnice a Moldovei</w:t>
            </w:r>
            <w:r w:rsidRPr="00A1774A">
              <w:rPr>
                <w:rFonts w:ascii="Times New Roman" w:hAnsi="Times New Roman" w:cs="Times New Roman"/>
                <w:bCs/>
                <w:sz w:val="24"/>
                <w:szCs w:val="24"/>
                <w:lang w:val="ro-MD"/>
              </w:rPr>
              <w:t>.</w:t>
            </w:r>
          </w:p>
          <w:p w14:paraId="74019CD2" w14:textId="7EAA41ED" w:rsidR="001E6A80" w:rsidRPr="00A1774A" w:rsidRDefault="001E6A80" w:rsidP="00A1774A">
            <w:pPr>
              <w:spacing w:line="276" w:lineRule="auto"/>
              <w:ind w:firstLine="709"/>
              <w:jc w:val="both"/>
              <w:rPr>
                <w:rFonts w:ascii="Times New Roman" w:hAnsi="Times New Roman" w:cs="Times New Roman"/>
                <w:b/>
                <w:sz w:val="24"/>
                <w:szCs w:val="24"/>
                <w:lang w:val="ro-MD"/>
              </w:rPr>
            </w:pPr>
            <w:r w:rsidRPr="00A1774A">
              <w:rPr>
                <w:rFonts w:ascii="Times New Roman" w:hAnsi="Times New Roman" w:cs="Times New Roman"/>
                <w:b/>
                <w:sz w:val="24"/>
                <w:szCs w:val="24"/>
                <w:lang w:val="ro-MD"/>
              </w:rPr>
              <w:t>Garanții pentru personal și studenți</w:t>
            </w:r>
          </w:p>
          <w:p w14:paraId="7CEA2876" w14:textId="553F2A08" w:rsidR="001E6A80" w:rsidRPr="00A1774A" w:rsidRDefault="001E6A80" w:rsidP="00A1774A">
            <w:pPr>
              <w:pStyle w:val="Listparagraf"/>
              <w:numPr>
                <w:ilvl w:val="0"/>
                <w:numId w:val="26"/>
              </w:numPr>
              <w:spacing w:line="276" w:lineRule="auto"/>
              <w:ind w:left="0" w:firstLine="709"/>
              <w:jc w:val="both"/>
              <w:rPr>
                <w:rFonts w:ascii="Times New Roman" w:hAnsi="Times New Roman" w:cs="Times New Roman"/>
                <w:bCs/>
                <w:sz w:val="24"/>
                <w:szCs w:val="24"/>
                <w:lang w:val="ro-MD"/>
              </w:rPr>
            </w:pPr>
            <w:r w:rsidRPr="00A1774A">
              <w:rPr>
                <w:rFonts w:ascii="Times New Roman" w:hAnsi="Times New Roman" w:cs="Times New Roman"/>
                <w:bCs/>
                <w:sz w:val="24"/>
                <w:szCs w:val="24"/>
                <w:lang w:val="ro-MD"/>
              </w:rPr>
              <w:t>reangajarea personalului didactic, științific și administrativ;</w:t>
            </w:r>
          </w:p>
          <w:p w14:paraId="3E1F2097" w14:textId="6AC87104" w:rsidR="001E6A80" w:rsidRPr="00A1774A" w:rsidRDefault="001E6A80" w:rsidP="00A1774A">
            <w:pPr>
              <w:pStyle w:val="Listparagraf"/>
              <w:numPr>
                <w:ilvl w:val="0"/>
                <w:numId w:val="26"/>
              </w:numPr>
              <w:spacing w:line="276" w:lineRule="auto"/>
              <w:ind w:left="0" w:firstLine="709"/>
              <w:jc w:val="both"/>
              <w:rPr>
                <w:rFonts w:ascii="Times New Roman" w:hAnsi="Times New Roman" w:cs="Times New Roman"/>
                <w:bCs/>
                <w:sz w:val="24"/>
                <w:szCs w:val="24"/>
                <w:lang w:val="ro-MD"/>
              </w:rPr>
            </w:pPr>
            <w:r w:rsidRPr="00A1774A">
              <w:rPr>
                <w:rFonts w:ascii="Times New Roman" w:hAnsi="Times New Roman" w:cs="Times New Roman"/>
                <w:bCs/>
                <w:sz w:val="24"/>
                <w:szCs w:val="24"/>
                <w:lang w:val="ro-MD"/>
              </w:rPr>
              <w:t>menținerea facultăților și programelor de studii existente;</w:t>
            </w:r>
          </w:p>
          <w:p w14:paraId="4B322615" w14:textId="115BBDAB" w:rsidR="001E6A80" w:rsidRPr="00A1774A" w:rsidRDefault="001E6A80" w:rsidP="00A1774A">
            <w:pPr>
              <w:pStyle w:val="Listparagraf"/>
              <w:numPr>
                <w:ilvl w:val="0"/>
                <w:numId w:val="26"/>
              </w:numPr>
              <w:spacing w:line="276" w:lineRule="auto"/>
              <w:ind w:left="0" w:firstLine="709"/>
              <w:jc w:val="both"/>
              <w:rPr>
                <w:rFonts w:ascii="Times New Roman" w:hAnsi="Times New Roman" w:cs="Times New Roman"/>
                <w:bCs/>
                <w:sz w:val="24"/>
                <w:szCs w:val="24"/>
                <w:lang w:val="ro-MD"/>
              </w:rPr>
            </w:pPr>
            <w:r w:rsidRPr="00A1774A">
              <w:rPr>
                <w:rFonts w:ascii="Times New Roman" w:hAnsi="Times New Roman" w:cs="Times New Roman"/>
                <w:bCs/>
                <w:sz w:val="24"/>
                <w:szCs w:val="24"/>
                <w:lang w:val="ro-MD"/>
              </w:rPr>
              <w:t>transferul studenților în aceleași condiții de finanțare;</w:t>
            </w:r>
          </w:p>
          <w:p w14:paraId="3C7DCC03" w14:textId="2202FD74" w:rsidR="001E6A80" w:rsidRPr="00A1774A" w:rsidRDefault="001E6A80" w:rsidP="00A1774A">
            <w:pPr>
              <w:pStyle w:val="Listparagraf"/>
              <w:numPr>
                <w:ilvl w:val="0"/>
                <w:numId w:val="26"/>
              </w:numPr>
              <w:spacing w:line="276" w:lineRule="auto"/>
              <w:ind w:left="0" w:firstLine="709"/>
              <w:jc w:val="both"/>
              <w:rPr>
                <w:rFonts w:ascii="Times New Roman" w:hAnsi="Times New Roman" w:cs="Times New Roman"/>
                <w:bCs/>
                <w:sz w:val="24"/>
                <w:szCs w:val="24"/>
                <w:lang w:val="ro-MD"/>
              </w:rPr>
            </w:pPr>
            <w:r w:rsidRPr="00A1774A">
              <w:rPr>
                <w:rFonts w:ascii="Times New Roman" w:hAnsi="Times New Roman" w:cs="Times New Roman"/>
                <w:bCs/>
                <w:sz w:val="24"/>
                <w:szCs w:val="24"/>
                <w:lang w:val="ro-MD"/>
              </w:rPr>
              <w:t>acces egal la concursuri, promovare academică și mobilități.</w:t>
            </w:r>
          </w:p>
          <w:p w14:paraId="41086FE6" w14:textId="719AE1F7" w:rsidR="001E6A80" w:rsidRPr="00A1774A" w:rsidRDefault="001E6A80" w:rsidP="00A1774A">
            <w:pPr>
              <w:spacing w:line="276" w:lineRule="auto"/>
              <w:ind w:firstLine="709"/>
              <w:jc w:val="both"/>
              <w:rPr>
                <w:rFonts w:ascii="Times New Roman" w:hAnsi="Times New Roman" w:cs="Times New Roman"/>
                <w:b/>
                <w:sz w:val="24"/>
                <w:szCs w:val="24"/>
                <w:lang w:val="ro-MD"/>
              </w:rPr>
            </w:pPr>
            <w:r w:rsidRPr="00A1774A">
              <w:rPr>
                <w:rFonts w:ascii="Times New Roman" w:hAnsi="Times New Roman" w:cs="Times New Roman"/>
                <w:b/>
                <w:sz w:val="24"/>
                <w:szCs w:val="24"/>
                <w:lang w:val="ro-MD"/>
              </w:rPr>
              <w:t>Garanții financiare și de dezvoltare</w:t>
            </w:r>
          </w:p>
          <w:p w14:paraId="7BB9981A" w14:textId="51F2C917" w:rsidR="001E6A80" w:rsidRPr="00A1774A" w:rsidRDefault="001E6A80" w:rsidP="00A1774A">
            <w:pPr>
              <w:pStyle w:val="Listparagraf"/>
              <w:numPr>
                <w:ilvl w:val="0"/>
                <w:numId w:val="27"/>
              </w:numPr>
              <w:spacing w:line="276" w:lineRule="auto"/>
              <w:ind w:left="0" w:firstLine="709"/>
              <w:jc w:val="both"/>
              <w:rPr>
                <w:rFonts w:ascii="Times New Roman" w:hAnsi="Times New Roman" w:cs="Times New Roman"/>
                <w:bCs/>
                <w:sz w:val="24"/>
                <w:szCs w:val="24"/>
                <w:lang w:val="ro-MD"/>
              </w:rPr>
            </w:pPr>
            <w:r w:rsidRPr="00A1774A">
              <w:rPr>
                <w:rFonts w:ascii="Times New Roman" w:hAnsi="Times New Roman" w:cs="Times New Roman"/>
                <w:bCs/>
                <w:sz w:val="24"/>
                <w:szCs w:val="24"/>
                <w:lang w:val="ro-MD"/>
              </w:rPr>
              <w:t>alocarea anuală a cel puțin 10 milioane lei pentru investiții în infrastructură și dotări;</w:t>
            </w:r>
          </w:p>
          <w:p w14:paraId="1A0D1D93" w14:textId="025B684D" w:rsidR="001E6A80" w:rsidRPr="00A1774A" w:rsidRDefault="001E6A80" w:rsidP="00A1774A">
            <w:pPr>
              <w:pStyle w:val="Listparagraf"/>
              <w:numPr>
                <w:ilvl w:val="0"/>
                <w:numId w:val="27"/>
              </w:numPr>
              <w:spacing w:line="276" w:lineRule="auto"/>
              <w:ind w:left="0" w:firstLine="709"/>
              <w:jc w:val="both"/>
              <w:rPr>
                <w:rFonts w:ascii="Times New Roman" w:hAnsi="Times New Roman" w:cs="Times New Roman"/>
                <w:bCs/>
                <w:sz w:val="24"/>
                <w:szCs w:val="24"/>
                <w:lang w:val="ro-MD"/>
              </w:rPr>
            </w:pPr>
            <w:r w:rsidRPr="00A1774A">
              <w:rPr>
                <w:rFonts w:ascii="Times New Roman" w:hAnsi="Times New Roman" w:cs="Times New Roman"/>
                <w:bCs/>
                <w:sz w:val="24"/>
                <w:szCs w:val="24"/>
                <w:lang w:val="ro-MD"/>
              </w:rPr>
              <w:t xml:space="preserve">evidențierea distinctă a bugetului Centrului Universitar în cadrul bugetului </w:t>
            </w:r>
            <w:r w:rsidR="000A2D2D" w:rsidRPr="00A1774A">
              <w:rPr>
                <w:rFonts w:ascii="Times New Roman" w:hAnsi="Times New Roman" w:cs="Times New Roman"/>
                <w:bCs/>
                <w:sz w:val="24"/>
                <w:szCs w:val="24"/>
                <w:lang w:val="ro-MD"/>
              </w:rPr>
              <w:t>Universității Tehnice a Moldovei</w:t>
            </w:r>
            <w:r w:rsidRPr="00A1774A">
              <w:rPr>
                <w:rFonts w:ascii="Times New Roman" w:hAnsi="Times New Roman" w:cs="Times New Roman"/>
                <w:bCs/>
                <w:sz w:val="24"/>
                <w:szCs w:val="24"/>
                <w:lang w:val="ro-MD"/>
              </w:rPr>
              <w:t>;</w:t>
            </w:r>
          </w:p>
          <w:p w14:paraId="04345B42" w14:textId="0A1A57C9" w:rsidR="001E6A80" w:rsidRPr="00A1774A" w:rsidRDefault="001E6A80" w:rsidP="00A1774A">
            <w:pPr>
              <w:pStyle w:val="Listparagraf"/>
              <w:numPr>
                <w:ilvl w:val="0"/>
                <w:numId w:val="27"/>
              </w:numPr>
              <w:spacing w:line="276" w:lineRule="auto"/>
              <w:ind w:left="0" w:firstLine="709"/>
              <w:jc w:val="both"/>
              <w:rPr>
                <w:rFonts w:ascii="Times New Roman" w:hAnsi="Times New Roman" w:cs="Times New Roman"/>
                <w:bCs/>
                <w:sz w:val="24"/>
                <w:szCs w:val="24"/>
                <w:lang w:val="ro-MD"/>
              </w:rPr>
            </w:pPr>
            <w:r w:rsidRPr="00A1774A">
              <w:rPr>
                <w:rFonts w:ascii="Times New Roman" w:hAnsi="Times New Roman" w:cs="Times New Roman"/>
                <w:bCs/>
                <w:sz w:val="24"/>
                <w:szCs w:val="24"/>
                <w:lang w:val="ro-MD"/>
              </w:rPr>
              <w:t xml:space="preserve">repartizarea </w:t>
            </w:r>
            <w:r w:rsidR="000A2D2D" w:rsidRPr="00A1774A">
              <w:rPr>
                <w:rFonts w:ascii="Times New Roman" w:hAnsi="Times New Roman" w:cs="Times New Roman"/>
                <w:bCs/>
                <w:sz w:val="24"/>
                <w:szCs w:val="24"/>
                <w:lang w:val="ro-MD"/>
              </w:rPr>
              <w:t xml:space="preserve">distinctă pentru </w:t>
            </w:r>
            <w:r w:rsidR="000A2D2D" w:rsidRPr="00A1774A">
              <w:rPr>
                <w:rFonts w:ascii="Times New Roman" w:hAnsi="Times New Roman" w:cs="Times New Roman"/>
                <w:bCs/>
                <w:sz w:val="24"/>
                <w:szCs w:val="24"/>
                <w:lang w:val="ro-MD"/>
              </w:rPr>
              <w:t>Centrul</w:t>
            </w:r>
            <w:r w:rsidR="000A2D2D" w:rsidRPr="00A1774A">
              <w:rPr>
                <w:rFonts w:ascii="Times New Roman" w:hAnsi="Times New Roman" w:cs="Times New Roman"/>
                <w:bCs/>
                <w:sz w:val="24"/>
                <w:szCs w:val="24"/>
                <w:lang w:val="ro-MD"/>
              </w:rPr>
              <w:t xml:space="preserve"> </w:t>
            </w:r>
            <w:r w:rsidR="000A2D2D" w:rsidRPr="00A1774A">
              <w:rPr>
                <w:rFonts w:ascii="Times New Roman" w:hAnsi="Times New Roman" w:cs="Times New Roman"/>
                <w:bCs/>
                <w:sz w:val="24"/>
                <w:szCs w:val="24"/>
                <w:lang w:val="ro-MD"/>
              </w:rPr>
              <w:t>Universitar</w:t>
            </w:r>
            <w:r w:rsidRPr="00A1774A">
              <w:rPr>
                <w:rFonts w:ascii="Times New Roman" w:hAnsi="Times New Roman" w:cs="Times New Roman"/>
                <w:bCs/>
                <w:sz w:val="24"/>
                <w:szCs w:val="24"/>
                <w:lang w:val="ro-MD"/>
              </w:rPr>
              <w:t xml:space="preserve"> a locurilor cu finanțare de la bugetul de stat;</w:t>
            </w:r>
            <w:r w:rsidR="000A2D2D" w:rsidRPr="00A1774A">
              <w:rPr>
                <w:rFonts w:ascii="Times New Roman" w:hAnsi="Times New Roman" w:cs="Times New Roman"/>
                <w:bCs/>
                <w:sz w:val="24"/>
                <w:szCs w:val="24"/>
                <w:lang w:val="ro-MD"/>
              </w:rPr>
              <w:t xml:space="preserve"> </w:t>
            </w:r>
          </w:p>
          <w:p w14:paraId="679DB80F" w14:textId="27E14EEF" w:rsidR="001E6A80" w:rsidRPr="00A1774A" w:rsidRDefault="001E6A80" w:rsidP="00A1774A">
            <w:pPr>
              <w:pStyle w:val="Listparagraf"/>
              <w:numPr>
                <w:ilvl w:val="0"/>
                <w:numId w:val="27"/>
              </w:numPr>
              <w:spacing w:line="276" w:lineRule="auto"/>
              <w:ind w:left="0" w:firstLine="709"/>
              <w:jc w:val="both"/>
              <w:rPr>
                <w:rFonts w:ascii="Times New Roman" w:hAnsi="Times New Roman" w:cs="Times New Roman"/>
                <w:bCs/>
                <w:sz w:val="24"/>
                <w:szCs w:val="24"/>
                <w:lang w:val="ro-MD"/>
              </w:rPr>
            </w:pPr>
            <w:r w:rsidRPr="00A1774A">
              <w:rPr>
                <w:rFonts w:ascii="Times New Roman" w:hAnsi="Times New Roman" w:cs="Times New Roman"/>
                <w:bCs/>
                <w:sz w:val="24"/>
                <w:szCs w:val="24"/>
                <w:lang w:val="ro-MD"/>
              </w:rPr>
              <w:t>instituirea a patru funcții suplimentare de cercetător începând cu anul 2027.</w:t>
            </w:r>
          </w:p>
          <w:p w14:paraId="39C28848" w14:textId="5B124F9A" w:rsidR="000A2D2D" w:rsidRPr="00A1774A" w:rsidRDefault="001E6A80" w:rsidP="00A1774A">
            <w:pPr>
              <w:spacing w:line="276" w:lineRule="auto"/>
              <w:ind w:firstLine="709"/>
              <w:jc w:val="both"/>
              <w:rPr>
                <w:rFonts w:ascii="Times New Roman" w:hAnsi="Times New Roman" w:cs="Times New Roman"/>
                <w:bCs/>
                <w:sz w:val="24"/>
                <w:szCs w:val="24"/>
                <w:lang w:val="ro-MD"/>
              </w:rPr>
            </w:pPr>
            <w:r w:rsidRPr="00A1774A">
              <w:rPr>
                <w:rFonts w:ascii="Times New Roman" w:hAnsi="Times New Roman" w:cs="Times New Roman"/>
                <w:bCs/>
                <w:sz w:val="24"/>
                <w:szCs w:val="24"/>
                <w:lang w:val="ro-MD"/>
              </w:rPr>
              <w:t>Implementarea proiectului este de natură să contribuie la consolidarea învățământului superior în regiunea de sud, la creșterea atractivității studiilor universitare la Cahul și la dezvoltarea capacității instituționale de atragere a fondurilor naționale și internaționale.</w:t>
            </w:r>
          </w:p>
          <w:p w14:paraId="74BA05B6" w14:textId="77777777" w:rsidR="00E62FDD" w:rsidRDefault="000A2D2D" w:rsidP="00A1774A">
            <w:pPr>
              <w:spacing w:line="276" w:lineRule="auto"/>
              <w:ind w:firstLine="709"/>
              <w:jc w:val="both"/>
              <w:rPr>
                <w:rFonts w:ascii="Times New Roman" w:hAnsi="Times New Roman" w:cs="Times New Roman"/>
                <w:b/>
                <w:sz w:val="24"/>
                <w:szCs w:val="24"/>
                <w:lang w:val="ro-MD"/>
              </w:rPr>
            </w:pPr>
            <w:r w:rsidRPr="00A1774A">
              <w:rPr>
                <w:rFonts w:ascii="Times New Roman" w:hAnsi="Times New Roman" w:cs="Times New Roman"/>
                <w:b/>
                <w:sz w:val="24"/>
                <w:szCs w:val="24"/>
                <w:lang w:val="ro-MD"/>
              </w:rPr>
              <w:t xml:space="preserve">              </w:t>
            </w:r>
          </w:p>
          <w:p w14:paraId="26232179" w14:textId="77777777" w:rsidR="00E62FDD" w:rsidRDefault="00E62FDD" w:rsidP="00A1774A">
            <w:pPr>
              <w:spacing w:line="276" w:lineRule="auto"/>
              <w:ind w:firstLine="709"/>
              <w:jc w:val="both"/>
              <w:rPr>
                <w:rFonts w:ascii="Times New Roman" w:hAnsi="Times New Roman" w:cs="Times New Roman"/>
                <w:b/>
                <w:sz w:val="24"/>
                <w:szCs w:val="24"/>
                <w:lang w:val="ro-MD"/>
              </w:rPr>
            </w:pPr>
          </w:p>
          <w:p w14:paraId="50402601" w14:textId="1F79FE72" w:rsidR="000A2D2D" w:rsidRPr="00A1774A" w:rsidRDefault="000A2D2D" w:rsidP="00A1774A">
            <w:pPr>
              <w:spacing w:line="276" w:lineRule="auto"/>
              <w:ind w:firstLine="709"/>
              <w:jc w:val="both"/>
              <w:rPr>
                <w:rFonts w:ascii="Times New Roman" w:hAnsi="Times New Roman" w:cs="Times New Roman"/>
                <w:b/>
                <w:sz w:val="24"/>
                <w:szCs w:val="24"/>
                <w:lang w:val="ro-MD"/>
              </w:rPr>
            </w:pPr>
            <w:r w:rsidRPr="00A1774A">
              <w:rPr>
                <w:rFonts w:ascii="Times New Roman" w:hAnsi="Times New Roman" w:cs="Times New Roman"/>
                <w:b/>
                <w:sz w:val="24"/>
                <w:szCs w:val="24"/>
                <w:lang w:val="ro-MD"/>
              </w:rPr>
              <w:lastRenderedPageBreak/>
              <w:t xml:space="preserve">Rezultate scontate: </w:t>
            </w:r>
          </w:p>
          <w:p w14:paraId="5C62FF42" w14:textId="22899A7C" w:rsidR="008B1D23" w:rsidRPr="00E62FDD" w:rsidRDefault="00A83239" w:rsidP="00E62FDD">
            <w:pPr>
              <w:spacing w:line="276" w:lineRule="auto"/>
              <w:ind w:firstLine="709"/>
              <w:jc w:val="both"/>
              <w:rPr>
                <w:rFonts w:ascii="Times New Roman" w:hAnsi="Times New Roman" w:cs="Times New Roman"/>
                <w:b/>
                <w:bCs/>
                <w:sz w:val="24"/>
                <w:szCs w:val="24"/>
                <w:lang w:val="ro-MD"/>
              </w:rPr>
            </w:pPr>
            <w:r w:rsidRPr="00A1774A">
              <w:rPr>
                <w:rFonts w:ascii="Times New Roman" w:hAnsi="Times New Roman" w:cs="Times New Roman"/>
                <w:bCs/>
                <w:sz w:val="24"/>
                <w:szCs w:val="24"/>
                <w:lang w:val="ro-MD"/>
              </w:rPr>
              <w:t xml:space="preserve">Consolidarea rețelei de universități prin </w:t>
            </w:r>
            <w:r w:rsidR="000A2D2D" w:rsidRPr="00A1774A">
              <w:rPr>
                <w:rFonts w:ascii="Times New Roman" w:hAnsi="Times New Roman" w:cs="Times New Roman"/>
                <w:b/>
                <w:bCs/>
                <w:sz w:val="24"/>
                <w:szCs w:val="24"/>
                <w:lang w:val="ro-MD"/>
              </w:rPr>
              <w:t>integrarea</w:t>
            </w:r>
            <w:r w:rsidRPr="00A1774A">
              <w:rPr>
                <w:rFonts w:ascii="Times New Roman" w:hAnsi="Times New Roman" w:cs="Times New Roman"/>
                <w:b/>
                <w:bCs/>
                <w:sz w:val="24"/>
                <w:szCs w:val="24"/>
                <w:lang w:val="ro-MD"/>
              </w:rPr>
              <w:t xml:space="preserve"> unei universități mici </w:t>
            </w:r>
            <w:r w:rsidR="000A2D2D" w:rsidRPr="00A1774A">
              <w:rPr>
                <w:rFonts w:ascii="Times New Roman" w:hAnsi="Times New Roman" w:cs="Times New Roman"/>
                <w:b/>
                <w:bCs/>
                <w:sz w:val="24"/>
                <w:szCs w:val="24"/>
                <w:lang w:val="ro-MD"/>
              </w:rPr>
              <w:t>în cadrul uneia</w:t>
            </w:r>
            <w:r w:rsidRPr="00A1774A">
              <w:rPr>
                <w:rFonts w:ascii="Times New Roman" w:hAnsi="Times New Roman" w:cs="Times New Roman"/>
                <w:b/>
                <w:bCs/>
                <w:sz w:val="24"/>
                <w:szCs w:val="24"/>
                <w:lang w:val="ro-MD"/>
              </w:rPr>
              <w:t xml:space="preserve"> mar</w:t>
            </w:r>
            <w:r w:rsidR="000A2D2D" w:rsidRPr="00A1774A">
              <w:rPr>
                <w:rFonts w:ascii="Times New Roman" w:hAnsi="Times New Roman" w:cs="Times New Roman"/>
                <w:b/>
                <w:bCs/>
                <w:sz w:val="24"/>
                <w:szCs w:val="24"/>
                <w:lang w:val="ro-MD"/>
              </w:rPr>
              <w:t>i</w:t>
            </w:r>
            <w:r w:rsidRPr="00A1774A">
              <w:rPr>
                <w:rFonts w:ascii="Times New Roman" w:hAnsi="Times New Roman" w:cs="Times New Roman"/>
                <w:b/>
                <w:bCs/>
                <w:sz w:val="24"/>
                <w:szCs w:val="24"/>
                <w:lang w:val="ro-MD"/>
              </w:rPr>
              <w:t>,</w:t>
            </w:r>
            <w:r w:rsidR="00E62FDD">
              <w:rPr>
                <w:rFonts w:ascii="Times New Roman" w:hAnsi="Times New Roman" w:cs="Times New Roman"/>
                <w:b/>
                <w:bCs/>
                <w:sz w:val="24"/>
                <w:szCs w:val="24"/>
                <w:lang w:val="ro-MD"/>
              </w:rPr>
              <w:t xml:space="preserve"> </w:t>
            </w:r>
            <w:r w:rsidR="005909A5" w:rsidRPr="00A1774A">
              <w:rPr>
                <w:rFonts w:ascii="Times New Roman" w:hAnsi="Times New Roman" w:cs="Times New Roman"/>
                <w:bCs/>
                <w:sz w:val="24"/>
                <w:szCs w:val="24"/>
                <w:lang w:val="ro-MD"/>
              </w:rPr>
              <w:t xml:space="preserve">astfel </w:t>
            </w:r>
            <w:r w:rsidR="008B1D23" w:rsidRPr="00A1774A">
              <w:rPr>
                <w:rFonts w:ascii="Times New Roman" w:eastAsia="Times New Roman" w:hAnsi="Times New Roman" w:cs="Times New Roman"/>
                <w:b/>
                <w:color w:val="050505"/>
                <w:sz w:val="24"/>
                <w:szCs w:val="24"/>
                <w:lang w:val="ro-MD"/>
              </w:rPr>
              <w:t>studenții</w:t>
            </w:r>
            <w:r w:rsidR="008B1D23" w:rsidRPr="00A1774A">
              <w:rPr>
                <w:rFonts w:ascii="Times New Roman" w:eastAsia="Times New Roman" w:hAnsi="Times New Roman" w:cs="Times New Roman"/>
                <w:color w:val="050505"/>
                <w:sz w:val="24"/>
                <w:szCs w:val="24"/>
                <w:lang w:val="ro-MD"/>
              </w:rPr>
              <w:t xml:space="preserve">: </w:t>
            </w:r>
          </w:p>
          <w:p w14:paraId="678B0432" w14:textId="50671716" w:rsidR="008B1D23" w:rsidRPr="00A1774A" w:rsidRDefault="008B1D23" w:rsidP="00A1774A">
            <w:pPr>
              <w:spacing w:line="276" w:lineRule="auto"/>
              <w:ind w:firstLine="709"/>
              <w:jc w:val="both"/>
              <w:rPr>
                <w:rFonts w:ascii="Times New Roman" w:hAnsi="Times New Roman" w:cs="Times New Roman"/>
                <w:bCs/>
                <w:sz w:val="24"/>
                <w:szCs w:val="24"/>
                <w:lang w:val="ro-MD"/>
              </w:rPr>
            </w:pPr>
            <w:r w:rsidRPr="00A1774A">
              <w:rPr>
                <w:rFonts w:ascii="Times New Roman" w:eastAsia="Times New Roman" w:hAnsi="Times New Roman" w:cs="Times New Roman"/>
                <w:color w:val="050505"/>
                <w:sz w:val="24"/>
                <w:szCs w:val="24"/>
                <w:lang w:val="ro-MD"/>
              </w:rPr>
              <w:t xml:space="preserve">- vor obține o diplomă de la o instituție de învățământ superior </w:t>
            </w:r>
            <w:r w:rsidRPr="00A1774A">
              <w:rPr>
                <w:rFonts w:ascii="Times New Roman" w:eastAsia="Times New Roman" w:hAnsi="Times New Roman" w:cs="Times New Roman"/>
                <w:b/>
                <w:color w:val="050505"/>
                <w:sz w:val="24"/>
                <w:szCs w:val="24"/>
                <w:lang w:val="ro-MD"/>
              </w:rPr>
              <w:t>performantă, mai puternică, cunoscută pe plan național și internațional</w:t>
            </w:r>
            <w:r w:rsidRPr="00A1774A">
              <w:rPr>
                <w:rFonts w:ascii="Times New Roman" w:hAnsi="Times New Roman" w:cs="Times New Roman"/>
                <w:bCs/>
                <w:sz w:val="24"/>
                <w:szCs w:val="24"/>
                <w:lang w:val="ro-MD"/>
              </w:rPr>
              <w:t>;</w:t>
            </w:r>
          </w:p>
          <w:p w14:paraId="7C19A505" w14:textId="1DED7A04" w:rsidR="008B1D23" w:rsidRPr="00A1774A" w:rsidRDefault="008B1D23" w:rsidP="00A1774A">
            <w:pPr>
              <w:spacing w:line="276" w:lineRule="auto"/>
              <w:ind w:firstLine="709"/>
              <w:jc w:val="both"/>
              <w:rPr>
                <w:rFonts w:ascii="Times New Roman" w:hAnsi="Times New Roman" w:cs="Times New Roman"/>
                <w:bCs/>
                <w:sz w:val="24"/>
                <w:szCs w:val="24"/>
                <w:lang w:val="ro-MD"/>
              </w:rPr>
            </w:pPr>
            <w:r w:rsidRPr="00A1774A">
              <w:rPr>
                <w:rFonts w:ascii="Times New Roman" w:hAnsi="Times New Roman" w:cs="Times New Roman"/>
                <w:bCs/>
                <w:sz w:val="24"/>
                <w:szCs w:val="24"/>
                <w:lang w:val="ro-MD"/>
              </w:rPr>
              <w:t xml:space="preserve">- vor avea mai multe </w:t>
            </w:r>
            <w:r w:rsidRPr="00A1774A">
              <w:rPr>
                <w:rFonts w:ascii="Times New Roman" w:hAnsi="Times New Roman" w:cs="Times New Roman"/>
                <w:b/>
                <w:bCs/>
                <w:sz w:val="24"/>
                <w:szCs w:val="24"/>
                <w:lang w:val="ro-MD"/>
              </w:rPr>
              <w:t>oportunități de alegere a cursurilor</w:t>
            </w:r>
            <w:r w:rsidRPr="00A1774A">
              <w:rPr>
                <w:rFonts w:ascii="Times New Roman" w:hAnsi="Times New Roman" w:cs="Times New Roman"/>
                <w:bCs/>
                <w:sz w:val="24"/>
                <w:szCs w:val="24"/>
                <w:lang w:val="ro-MD"/>
              </w:rPr>
              <w:t xml:space="preserve"> și programelor de studii, pentru dezvoltarea lor profesională;</w:t>
            </w:r>
          </w:p>
          <w:p w14:paraId="16D39762" w14:textId="424F5110" w:rsidR="008B1D23" w:rsidRPr="00A1774A" w:rsidRDefault="008B1D23" w:rsidP="00A1774A">
            <w:pPr>
              <w:spacing w:line="276" w:lineRule="auto"/>
              <w:ind w:firstLine="709"/>
              <w:jc w:val="both"/>
              <w:rPr>
                <w:rFonts w:ascii="Times New Roman" w:hAnsi="Times New Roman" w:cs="Times New Roman"/>
                <w:bCs/>
                <w:sz w:val="24"/>
                <w:szCs w:val="24"/>
                <w:lang w:val="ro-MD"/>
              </w:rPr>
            </w:pPr>
            <w:r w:rsidRPr="00A1774A">
              <w:rPr>
                <w:rFonts w:ascii="Times New Roman" w:hAnsi="Times New Roman" w:cs="Times New Roman"/>
                <w:bCs/>
                <w:sz w:val="24"/>
                <w:szCs w:val="24"/>
                <w:lang w:val="ro-MD"/>
              </w:rPr>
              <w:t xml:space="preserve">- vor beneficia de </w:t>
            </w:r>
            <w:r w:rsidRPr="00A1774A">
              <w:rPr>
                <w:rFonts w:ascii="Times New Roman" w:hAnsi="Times New Roman" w:cs="Times New Roman"/>
                <w:b/>
                <w:bCs/>
                <w:sz w:val="24"/>
                <w:szCs w:val="24"/>
                <w:lang w:val="ro-MD"/>
              </w:rPr>
              <w:t>mai multe facilități</w:t>
            </w:r>
            <w:r w:rsidRPr="00A1774A">
              <w:rPr>
                <w:rFonts w:ascii="Times New Roman" w:hAnsi="Times New Roman" w:cs="Times New Roman"/>
                <w:bCs/>
                <w:sz w:val="24"/>
                <w:szCs w:val="24"/>
                <w:lang w:val="ro-MD"/>
              </w:rPr>
              <w:t>: laboratoare bine dotate cu echipamente moderne, cămine renovate, săli și terenuri de sport modernizate etc.</w:t>
            </w:r>
          </w:p>
          <w:p w14:paraId="3ACAC3DD" w14:textId="0C1FECAF" w:rsidR="008B1D23" w:rsidRPr="00A1774A" w:rsidRDefault="00A877FD" w:rsidP="00A1774A">
            <w:pPr>
              <w:spacing w:line="276" w:lineRule="auto"/>
              <w:ind w:firstLine="709"/>
              <w:jc w:val="both"/>
              <w:rPr>
                <w:rFonts w:ascii="Times New Roman" w:hAnsi="Times New Roman" w:cs="Times New Roman"/>
                <w:b/>
                <w:bCs/>
                <w:sz w:val="24"/>
                <w:szCs w:val="24"/>
                <w:lang w:val="ro-MD"/>
              </w:rPr>
            </w:pPr>
            <w:r w:rsidRPr="00A1774A">
              <w:rPr>
                <w:rFonts w:ascii="Times New Roman" w:hAnsi="Times New Roman" w:cs="Times New Roman"/>
                <w:bCs/>
                <w:sz w:val="24"/>
                <w:szCs w:val="24"/>
                <w:lang w:val="ro-MD"/>
              </w:rPr>
              <w:t xml:space="preserve">   </w:t>
            </w:r>
            <w:r w:rsidR="008B1D23" w:rsidRPr="00A1774A">
              <w:rPr>
                <w:rFonts w:ascii="Times New Roman" w:hAnsi="Times New Roman" w:cs="Times New Roman"/>
                <w:b/>
                <w:bCs/>
                <w:sz w:val="24"/>
                <w:szCs w:val="24"/>
                <w:lang w:val="ro-MD"/>
              </w:rPr>
              <w:t>cadrele didactice:</w:t>
            </w:r>
          </w:p>
          <w:p w14:paraId="08B8BCEE" w14:textId="77777777" w:rsidR="000A2D2D" w:rsidRPr="00A1774A" w:rsidRDefault="001A1885" w:rsidP="00A1774A">
            <w:pPr>
              <w:spacing w:line="276" w:lineRule="auto"/>
              <w:ind w:firstLine="709"/>
              <w:jc w:val="both"/>
              <w:rPr>
                <w:rFonts w:ascii="Times New Roman" w:hAnsi="Times New Roman" w:cs="Times New Roman"/>
                <w:bCs/>
                <w:sz w:val="24"/>
                <w:szCs w:val="24"/>
                <w:lang w:val="ro-MD"/>
              </w:rPr>
            </w:pPr>
            <w:r w:rsidRPr="00A1774A">
              <w:rPr>
                <w:rFonts w:ascii="Times New Roman" w:hAnsi="Times New Roman" w:cs="Times New Roman"/>
                <w:bCs/>
                <w:sz w:val="24"/>
                <w:szCs w:val="24"/>
                <w:lang w:val="ro-MD"/>
              </w:rPr>
              <w:t xml:space="preserve">- </w:t>
            </w:r>
            <w:r w:rsidR="000A2D2D" w:rsidRPr="00A1774A">
              <w:rPr>
                <w:rFonts w:ascii="Times New Roman" w:hAnsi="Times New Roman" w:cs="Times New Roman"/>
                <w:bCs/>
                <w:sz w:val="24"/>
                <w:szCs w:val="24"/>
                <w:lang w:val="ro-MD"/>
              </w:rPr>
              <w:t>vor fi membri ai unei comunități academice de elită, mai bine clasată internațional, mai stabilă, mai puternică, dar și mai bine remunerată.</w:t>
            </w:r>
          </w:p>
          <w:p w14:paraId="3234A6CA" w14:textId="77777777" w:rsidR="000A2D2D" w:rsidRPr="00A1774A" w:rsidRDefault="000A2D2D" w:rsidP="00A1774A">
            <w:pPr>
              <w:spacing w:line="276" w:lineRule="auto"/>
              <w:ind w:firstLine="709"/>
              <w:jc w:val="both"/>
              <w:rPr>
                <w:rFonts w:ascii="Times New Roman" w:hAnsi="Times New Roman" w:cs="Times New Roman"/>
                <w:bCs/>
                <w:sz w:val="24"/>
                <w:szCs w:val="24"/>
                <w:lang w:val="ro-MD"/>
              </w:rPr>
            </w:pPr>
            <w:r w:rsidRPr="00A1774A">
              <w:rPr>
                <w:rFonts w:ascii="Times New Roman" w:hAnsi="Times New Roman" w:cs="Times New Roman"/>
                <w:bCs/>
                <w:sz w:val="24"/>
                <w:szCs w:val="24"/>
                <w:lang w:val="ro-MD"/>
              </w:rPr>
              <w:t>- vor avea acces mai liber la infrastructura de cercetare și la rezultatele cercetării.</w:t>
            </w:r>
          </w:p>
          <w:p w14:paraId="28EF734B" w14:textId="77777777" w:rsidR="000A2D2D" w:rsidRPr="00A1774A" w:rsidRDefault="000A2D2D" w:rsidP="00A1774A">
            <w:pPr>
              <w:spacing w:line="276" w:lineRule="auto"/>
              <w:ind w:firstLine="709"/>
              <w:jc w:val="both"/>
              <w:rPr>
                <w:rFonts w:ascii="Times New Roman" w:hAnsi="Times New Roman" w:cs="Times New Roman"/>
                <w:bCs/>
                <w:sz w:val="24"/>
                <w:szCs w:val="24"/>
                <w:lang w:val="ro-MD"/>
              </w:rPr>
            </w:pPr>
            <w:r w:rsidRPr="00A1774A">
              <w:rPr>
                <w:rFonts w:ascii="Times New Roman" w:hAnsi="Times New Roman" w:cs="Times New Roman"/>
                <w:bCs/>
                <w:sz w:val="24"/>
                <w:szCs w:val="24"/>
                <w:lang w:val="ro-MD"/>
              </w:rPr>
              <w:t>- vor beneficia de mai multe resurse pentru ameliorarea și modernizarea programelor de studii oferite.</w:t>
            </w:r>
          </w:p>
          <w:p w14:paraId="45316804" w14:textId="3E2EECC7" w:rsidR="000A2D2D" w:rsidRPr="00A1774A" w:rsidRDefault="000A2D2D" w:rsidP="00A1774A">
            <w:pPr>
              <w:spacing w:line="276" w:lineRule="auto"/>
              <w:ind w:firstLine="709"/>
              <w:jc w:val="both"/>
              <w:rPr>
                <w:rFonts w:ascii="Times New Roman" w:hAnsi="Times New Roman" w:cs="Times New Roman"/>
                <w:bCs/>
                <w:sz w:val="24"/>
                <w:szCs w:val="24"/>
                <w:lang w:val="ro-MD"/>
              </w:rPr>
            </w:pPr>
            <w:r w:rsidRPr="00A1774A">
              <w:rPr>
                <w:rFonts w:ascii="Times New Roman" w:hAnsi="Times New Roman" w:cs="Times New Roman"/>
                <w:bCs/>
                <w:sz w:val="24"/>
                <w:szCs w:val="24"/>
                <w:lang w:val="ro-MD"/>
              </w:rPr>
              <w:t>- vor putea îmbina armonios activitatea didactică cu cea de cercetare etc.</w:t>
            </w:r>
          </w:p>
          <w:p w14:paraId="2EDF5FEE" w14:textId="624326B9" w:rsidR="005909A5" w:rsidRPr="00A1774A" w:rsidRDefault="005909A5" w:rsidP="00A1774A">
            <w:pPr>
              <w:spacing w:line="276" w:lineRule="auto"/>
              <w:ind w:firstLine="709"/>
              <w:jc w:val="both"/>
              <w:rPr>
                <w:rFonts w:ascii="Times New Roman" w:eastAsia="Calibri" w:hAnsi="Times New Roman" w:cs="Times New Roman"/>
                <w:b/>
                <w:sz w:val="24"/>
                <w:szCs w:val="24"/>
                <w:lang w:val="ro-MD" w:eastAsia="en-US"/>
              </w:rPr>
            </w:pPr>
            <w:r w:rsidRPr="00A1774A">
              <w:rPr>
                <w:rFonts w:ascii="Times New Roman" w:eastAsia="Calibri" w:hAnsi="Times New Roman" w:cs="Times New Roman"/>
                <w:b/>
                <w:sz w:val="24"/>
                <w:szCs w:val="24"/>
                <w:lang w:val="ro-MD" w:eastAsia="en-US"/>
              </w:rPr>
              <w:t>Proiectul</w:t>
            </w:r>
            <w:r w:rsidR="007E48C4" w:rsidRPr="00A1774A">
              <w:rPr>
                <w:rFonts w:ascii="Times New Roman" w:eastAsia="Calibri" w:hAnsi="Times New Roman" w:cs="Times New Roman"/>
                <w:b/>
                <w:sz w:val="24"/>
                <w:szCs w:val="24"/>
                <w:lang w:val="ro-MD" w:eastAsia="en-US"/>
              </w:rPr>
              <w:t xml:space="preserve"> de HG </w:t>
            </w:r>
            <w:r w:rsidRPr="00A1774A">
              <w:rPr>
                <w:rFonts w:ascii="Times New Roman" w:eastAsia="Calibri" w:hAnsi="Times New Roman" w:cs="Times New Roman"/>
                <w:b/>
                <w:sz w:val="24"/>
                <w:szCs w:val="24"/>
                <w:lang w:val="ro-MD" w:eastAsia="en-US"/>
              </w:rPr>
              <w:t xml:space="preserve"> presupune:</w:t>
            </w:r>
          </w:p>
          <w:p w14:paraId="4A6FE908" w14:textId="29D7FF28" w:rsidR="005909A5" w:rsidRPr="00A1774A" w:rsidRDefault="005909A5" w:rsidP="00A1774A">
            <w:pPr>
              <w:numPr>
                <w:ilvl w:val="0"/>
                <w:numId w:val="16"/>
              </w:numPr>
              <w:spacing w:line="276" w:lineRule="auto"/>
              <w:ind w:left="0" w:firstLine="709"/>
              <w:contextualSpacing/>
              <w:jc w:val="both"/>
              <w:rPr>
                <w:rFonts w:ascii="Times New Roman" w:eastAsia="Calibri" w:hAnsi="Times New Roman" w:cs="Times New Roman"/>
                <w:sz w:val="24"/>
                <w:szCs w:val="24"/>
                <w:lang w:val="ro-MD" w:eastAsia="en-US"/>
              </w:rPr>
            </w:pPr>
            <w:r w:rsidRPr="00A1774A">
              <w:rPr>
                <w:rFonts w:ascii="Times New Roman" w:eastAsia="Calibri" w:hAnsi="Times New Roman" w:cs="Times New Roman"/>
                <w:sz w:val="24"/>
                <w:szCs w:val="24"/>
                <w:lang w:val="ro-MD" w:eastAsia="en-US"/>
              </w:rPr>
              <w:t xml:space="preserve">transferul tuturor studenților de la </w:t>
            </w:r>
            <w:r w:rsidR="000A2D2D" w:rsidRPr="00A1774A">
              <w:rPr>
                <w:rFonts w:ascii="Times New Roman" w:eastAsia="Calibri" w:hAnsi="Times New Roman" w:cs="Times New Roman"/>
                <w:sz w:val="24"/>
                <w:szCs w:val="24"/>
                <w:lang w:val="ro-MD" w:eastAsia="en-US"/>
              </w:rPr>
              <w:t>Universit</w:t>
            </w:r>
            <w:r w:rsidR="000A2D2D" w:rsidRPr="00A1774A">
              <w:rPr>
                <w:rFonts w:ascii="Times New Roman" w:eastAsia="Calibri" w:hAnsi="Times New Roman" w:cs="Times New Roman"/>
                <w:sz w:val="24"/>
                <w:szCs w:val="24"/>
                <w:lang w:val="ro-MD" w:eastAsia="en-US"/>
              </w:rPr>
              <w:t>atea</w:t>
            </w:r>
            <w:r w:rsidR="000A2D2D" w:rsidRPr="00A1774A">
              <w:rPr>
                <w:rFonts w:ascii="Times New Roman" w:eastAsia="Calibri" w:hAnsi="Times New Roman" w:cs="Times New Roman"/>
                <w:sz w:val="24"/>
                <w:szCs w:val="24"/>
                <w:lang w:val="ro-MD" w:eastAsia="en-US"/>
              </w:rPr>
              <w:t xml:space="preserve"> de Stat „Bogdan Petriceicu Hașdeu” din Cahul </w:t>
            </w:r>
            <w:r w:rsidR="000A2D2D" w:rsidRPr="00A1774A">
              <w:rPr>
                <w:rFonts w:ascii="Times New Roman" w:eastAsia="Calibri" w:hAnsi="Times New Roman" w:cs="Times New Roman"/>
                <w:sz w:val="24"/>
                <w:szCs w:val="24"/>
                <w:lang w:val="ro-MD" w:eastAsia="en-US"/>
              </w:rPr>
              <w:t xml:space="preserve">la Universitatea Tehnică a Moldovei până la </w:t>
            </w:r>
            <w:r w:rsidR="000A2D2D" w:rsidRPr="00A1774A">
              <w:rPr>
                <w:rFonts w:ascii="Times New Roman" w:eastAsia="Calibri" w:hAnsi="Times New Roman" w:cs="Times New Roman"/>
                <w:sz w:val="24"/>
                <w:szCs w:val="24"/>
                <w:lang w:val="ro-MD" w:eastAsia="en-US"/>
              </w:rPr>
              <w:t>31 august 2026</w:t>
            </w:r>
            <w:r w:rsidRPr="00A1774A">
              <w:rPr>
                <w:rFonts w:ascii="Times New Roman" w:eastAsia="Calibri" w:hAnsi="Times New Roman" w:cs="Times New Roman"/>
                <w:sz w:val="24"/>
                <w:szCs w:val="24"/>
                <w:lang w:val="ro-MD" w:eastAsia="en-US"/>
              </w:rPr>
              <w:t>;</w:t>
            </w:r>
          </w:p>
          <w:p w14:paraId="424BA947" w14:textId="6F482501" w:rsidR="005909A5" w:rsidRPr="00A1774A" w:rsidRDefault="005909A5" w:rsidP="00A1774A">
            <w:pPr>
              <w:numPr>
                <w:ilvl w:val="0"/>
                <w:numId w:val="16"/>
              </w:numPr>
              <w:spacing w:line="276" w:lineRule="auto"/>
              <w:ind w:left="0" w:firstLine="709"/>
              <w:contextualSpacing/>
              <w:jc w:val="both"/>
              <w:rPr>
                <w:rFonts w:ascii="Times New Roman" w:eastAsia="Calibri" w:hAnsi="Times New Roman" w:cs="Times New Roman"/>
                <w:sz w:val="24"/>
                <w:szCs w:val="24"/>
                <w:lang w:val="ro-MD" w:eastAsia="en-US"/>
              </w:rPr>
            </w:pPr>
            <w:r w:rsidRPr="00A1774A">
              <w:rPr>
                <w:rFonts w:ascii="Times New Roman" w:eastAsia="Calibri" w:hAnsi="Times New Roman" w:cs="Times New Roman"/>
                <w:sz w:val="24"/>
                <w:szCs w:val="24"/>
                <w:lang w:val="ro-MD" w:eastAsia="en-US"/>
              </w:rPr>
              <w:t xml:space="preserve">studenții transferați vor finaliza </w:t>
            </w:r>
            <w:r w:rsidR="007E48C4" w:rsidRPr="00A1774A">
              <w:rPr>
                <w:rFonts w:ascii="Times New Roman" w:eastAsia="Calibri" w:hAnsi="Times New Roman" w:cs="Times New Roman"/>
                <w:sz w:val="24"/>
                <w:szCs w:val="24"/>
                <w:lang w:val="ro-MD" w:eastAsia="en-US"/>
              </w:rPr>
              <w:t xml:space="preserve">studiile </w:t>
            </w:r>
            <w:r w:rsidRPr="00A1774A">
              <w:rPr>
                <w:rFonts w:ascii="Times New Roman" w:eastAsia="Calibri" w:hAnsi="Times New Roman" w:cs="Times New Roman"/>
                <w:sz w:val="24"/>
                <w:szCs w:val="24"/>
                <w:lang w:val="ro-MD" w:eastAsia="en-US"/>
              </w:rPr>
              <w:t xml:space="preserve">la specialitățile la care au fost înmatriculați inițial și cu respectarea acelorași </w:t>
            </w:r>
            <w:r w:rsidR="000A2D2D" w:rsidRPr="00A1774A">
              <w:rPr>
                <w:rFonts w:ascii="Times New Roman" w:eastAsia="Calibri" w:hAnsi="Times New Roman" w:cs="Times New Roman"/>
                <w:sz w:val="24"/>
                <w:szCs w:val="24"/>
                <w:lang w:val="ro-MD" w:eastAsia="en-US"/>
              </w:rPr>
              <w:t xml:space="preserve">surse de finanțare și </w:t>
            </w:r>
            <w:r w:rsidRPr="00A1774A">
              <w:rPr>
                <w:rFonts w:ascii="Times New Roman" w:eastAsia="Calibri" w:hAnsi="Times New Roman" w:cs="Times New Roman"/>
                <w:sz w:val="24"/>
                <w:szCs w:val="24"/>
                <w:lang w:val="ro-MD" w:eastAsia="en-US"/>
              </w:rPr>
              <w:t>taxe de studii, stabilite anterior;</w:t>
            </w:r>
          </w:p>
          <w:p w14:paraId="6BA9ECAC" w14:textId="4990E56F" w:rsidR="005909A5" w:rsidRPr="00A1774A" w:rsidRDefault="005909A5" w:rsidP="00A1774A">
            <w:pPr>
              <w:numPr>
                <w:ilvl w:val="0"/>
                <w:numId w:val="16"/>
              </w:numPr>
              <w:shd w:val="clear" w:color="auto" w:fill="FFFFFF"/>
              <w:spacing w:line="276" w:lineRule="auto"/>
              <w:ind w:left="0" w:firstLine="709"/>
              <w:contextualSpacing/>
              <w:jc w:val="both"/>
              <w:rPr>
                <w:rFonts w:ascii="Times New Roman" w:eastAsia="Times New Roman" w:hAnsi="Times New Roman" w:cs="Times New Roman"/>
                <w:sz w:val="24"/>
                <w:szCs w:val="24"/>
                <w:lang w:val="ro-MD"/>
              </w:rPr>
            </w:pPr>
            <w:r w:rsidRPr="00A1774A">
              <w:rPr>
                <w:rFonts w:ascii="Times New Roman" w:eastAsia="Calibri" w:hAnsi="Times New Roman" w:cs="Times New Roman"/>
                <w:sz w:val="24"/>
                <w:szCs w:val="24"/>
                <w:lang w:val="ro-MD" w:eastAsia="en-US"/>
              </w:rPr>
              <w:t xml:space="preserve">transferul/reangajarea din/în funcție a personalului din universitatea </w:t>
            </w:r>
            <w:r w:rsidR="000A2D2D" w:rsidRPr="00A1774A">
              <w:rPr>
                <w:rFonts w:ascii="Times New Roman" w:eastAsia="Calibri" w:hAnsi="Times New Roman" w:cs="Times New Roman"/>
                <w:sz w:val="24"/>
                <w:szCs w:val="24"/>
                <w:lang w:val="ro-MD" w:eastAsia="en-US"/>
              </w:rPr>
              <w:t>integrată</w:t>
            </w:r>
            <w:r w:rsidRPr="00A1774A">
              <w:rPr>
                <w:rFonts w:ascii="Times New Roman" w:eastAsia="Calibri" w:hAnsi="Times New Roman" w:cs="Times New Roman"/>
                <w:sz w:val="24"/>
                <w:szCs w:val="24"/>
                <w:lang w:val="ro-MD" w:eastAsia="en-US"/>
              </w:rPr>
              <w:t xml:space="preserve"> se va realiza conform legislației muncii in vigoare</w:t>
            </w:r>
            <w:r w:rsidRPr="00A1774A">
              <w:rPr>
                <w:rFonts w:ascii="Times New Roman" w:eastAsia="Times New Roman" w:hAnsi="Times New Roman" w:cs="Times New Roman"/>
                <w:sz w:val="24"/>
                <w:szCs w:val="24"/>
                <w:lang w:val="ro-MD"/>
              </w:rPr>
              <w:t>.</w:t>
            </w:r>
          </w:p>
          <w:p w14:paraId="70E96131" w14:textId="6A6AE86C" w:rsidR="005909A5" w:rsidRPr="00A1774A" w:rsidRDefault="005909A5" w:rsidP="00A1774A">
            <w:pPr>
              <w:numPr>
                <w:ilvl w:val="0"/>
                <w:numId w:val="16"/>
              </w:numPr>
              <w:spacing w:line="276" w:lineRule="auto"/>
              <w:ind w:left="0" w:firstLine="709"/>
              <w:contextualSpacing/>
              <w:jc w:val="both"/>
              <w:rPr>
                <w:rFonts w:ascii="Times New Roman" w:eastAsia="Calibri" w:hAnsi="Times New Roman" w:cs="Times New Roman"/>
                <w:sz w:val="24"/>
                <w:szCs w:val="24"/>
                <w:lang w:val="ro-MD" w:eastAsia="en-US"/>
              </w:rPr>
            </w:pPr>
            <w:r w:rsidRPr="00A1774A">
              <w:rPr>
                <w:rFonts w:ascii="Times New Roman" w:eastAsia="Calibri" w:hAnsi="Times New Roman" w:cs="Times New Roman"/>
                <w:sz w:val="24"/>
                <w:szCs w:val="24"/>
                <w:lang w:val="ro-MD" w:eastAsia="en-US"/>
              </w:rPr>
              <w:t>alegerea organelor de conducere a instituției reorganizate va avea loc conform principiilor autonomiei universitare (art.79 din Codul Educației</w:t>
            </w:r>
            <w:r w:rsidRPr="00A1774A">
              <w:rPr>
                <w:rFonts w:ascii="Times New Roman" w:eastAsia="Calibri" w:hAnsi="Times New Roman" w:cs="Times New Roman"/>
                <w:sz w:val="24"/>
                <w:szCs w:val="24"/>
                <w:bdr w:val="none" w:sz="0" w:space="0" w:color="auto" w:frame="1"/>
                <w:shd w:val="clear" w:color="auto" w:fill="FFFFFF"/>
                <w:lang w:val="ro-MD" w:eastAsia="en-US"/>
              </w:rPr>
              <w:t>);</w:t>
            </w:r>
          </w:p>
          <w:p w14:paraId="62A2DD8C" w14:textId="41906227" w:rsidR="000A2D2D" w:rsidRPr="00A1774A" w:rsidRDefault="005909A5" w:rsidP="00A1774A">
            <w:pPr>
              <w:numPr>
                <w:ilvl w:val="0"/>
                <w:numId w:val="16"/>
              </w:numPr>
              <w:spacing w:line="276" w:lineRule="auto"/>
              <w:ind w:left="0" w:firstLine="709"/>
              <w:contextualSpacing/>
              <w:jc w:val="both"/>
              <w:rPr>
                <w:rFonts w:ascii="Times New Roman" w:eastAsia="Calibri" w:hAnsi="Times New Roman" w:cs="Times New Roman"/>
                <w:sz w:val="24"/>
                <w:szCs w:val="24"/>
                <w:lang w:val="ro-MD" w:eastAsia="en-US"/>
              </w:rPr>
            </w:pPr>
            <w:r w:rsidRPr="00A1774A">
              <w:rPr>
                <w:rFonts w:ascii="Times New Roman" w:eastAsia="Calibri" w:hAnsi="Times New Roman" w:cs="Times New Roman"/>
                <w:sz w:val="24"/>
                <w:szCs w:val="24"/>
                <w:lang w:val="ro-MD" w:eastAsia="en-US"/>
              </w:rPr>
              <w:t>activitatea comisiilor de transmitere a bunurilor etc.</w:t>
            </w:r>
          </w:p>
          <w:p w14:paraId="13644EFB" w14:textId="64DFD65C" w:rsidR="000A2D2D" w:rsidRPr="00A1774A" w:rsidRDefault="000A2D2D" w:rsidP="00A1774A">
            <w:pPr>
              <w:spacing w:line="276" w:lineRule="auto"/>
              <w:ind w:firstLine="709"/>
              <w:jc w:val="both"/>
              <w:rPr>
                <w:rFonts w:ascii="Times New Roman" w:hAnsi="Times New Roman" w:cs="Times New Roman"/>
                <w:b/>
                <w:bCs/>
                <w:sz w:val="24"/>
                <w:szCs w:val="24"/>
                <w:lang w:val="ro-MD"/>
              </w:rPr>
            </w:pPr>
            <w:r w:rsidRPr="00A1774A">
              <w:rPr>
                <w:rFonts w:ascii="Times New Roman" w:hAnsi="Times New Roman" w:cs="Times New Roman"/>
                <w:b/>
                <w:bCs/>
                <w:sz w:val="24"/>
                <w:szCs w:val="24"/>
                <w:lang w:val="ro-MD"/>
              </w:rPr>
              <w:t>Impactul:</w:t>
            </w:r>
          </w:p>
          <w:p w14:paraId="6D009A6F" w14:textId="74EA2A1A" w:rsidR="000A2D2D" w:rsidRPr="00A1774A" w:rsidRDefault="000A2D2D" w:rsidP="00A1774A">
            <w:pPr>
              <w:spacing w:line="276" w:lineRule="auto"/>
              <w:ind w:firstLine="709"/>
              <w:jc w:val="both"/>
              <w:rPr>
                <w:rFonts w:ascii="Times New Roman" w:hAnsi="Times New Roman" w:cs="Times New Roman"/>
                <w:sz w:val="24"/>
                <w:szCs w:val="24"/>
                <w:lang w:val="ro-MD"/>
              </w:rPr>
            </w:pPr>
            <w:r w:rsidRPr="00A1774A">
              <w:rPr>
                <w:rFonts w:ascii="Times New Roman" w:hAnsi="Times New Roman" w:cs="Times New Roman"/>
                <w:sz w:val="24"/>
                <w:szCs w:val="24"/>
                <w:lang w:val="ro-MD"/>
              </w:rPr>
              <w:t>Implementarea proiectului este de natură să contribuie la consolidarea învățământului superior în regiunea de sud, la creșterea atractivității studiilor universitare la Cahul și la dezvoltarea capacității instituționale de atragere a fondurilor naționale și internaționale.</w:t>
            </w:r>
          </w:p>
          <w:p w14:paraId="6521573C" w14:textId="6B27A04A" w:rsidR="005909A5" w:rsidRPr="00A1774A" w:rsidRDefault="007E48C4" w:rsidP="00A1774A">
            <w:pPr>
              <w:spacing w:line="276" w:lineRule="auto"/>
              <w:ind w:firstLine="709"/>
              <w:jc w:val="both"/>
              <w:rPr>
                <w:rFonts w:ascii="Times New Roman" w:hAnsi="Times New Roman" w:cs="Times New Roman"/>
                <w:bCs/>
                <w:sz w:val="24"/>
                <w:szCs w:val="24"/>
                <w:lang w:val="ro-MD"/>
              </w:rPr>
            </w:pPr>
            <w:r w:rsidRPr="00A1774A">
              <w:rPr>
                <w:rFonts w:ascii="Times New Roman" w:hAnsi="Times New Roman" w:cs="Times New Roman"/>
                <w:b/>
                <w:bCs/>
                <w:sz w:val="24"/>
                <w:szCs w:val="24"/>
                <w:lang w:val="ro-MD"/>
              </w:rPr>
              <w:t>În concluzie,</w:t>
            </w:r>
            <w:r w:rsidRPr="00A1774A">
              <w:rPr>
                <w:rFonts w:ascii="Times New Roman" w:hAnsi="Times New Roman" w:cs="Times New Roman"/>
                <w:bCs/>
                <w:sz w:val="24"/>
                <w:szCs w:val="24"/>
                <w:lang w:val="ro-MD"/>
              </w:rPr>
              <w:t xml:space="preserve"> esența modernizării universităților constă în </w:t>
            </w:r>
            <w:r w:rsidRPr="00A1774A">
              <w:rPr>
                <w:rFonts w:ascii="Times New Roman" w:hAnsi="Times New Roman" w:cs="Times New Roman"/>
                <w:b/>
                <w:bCs/>
                <w:sz w:val="24"/>
                <w:szCs w:val="24"/>
                <w:lang w:val="ro-MD"/>
              </w:rPr>
              <w:t>integrarea universităților în centrul sistemului de valori naționale</w:t>
            </w:r>
            <w:r w:rsidRPr="00A1774A">
              <w:rPr>
                <w:rFonts w:ascii="Times New Roman" w:hAnsi="Times New Roman" w:cs="Times New Roman"/>
                <w:bCs/>
                <w:sz w:val="24"/>
                <w:szCs w:val="24"/>
                <w:lang w:val="ro-MD"/>
              </w:rPr>
              <w:t>. În universități se formează viitorii profesori, viitorii judecători, viitorii ingineri, oameni de știință, administratori, specialiști în finanțe și în multe alte ramuri ale economiei naționale. Pentru ca tinerii noștri să aibă toate șansele să trăiască mai bine aici, la noi acasă, participând la construirea unei țari într-o lume tot mai competitivă, trebuie ca ei să plece de pe băncile universităților cu o formare de nivel mondial.</w:t>
            </w:r>
          </w:p>
        </w:tc>
      </w:tr>
      <w:tr w:rsidR="003D636E" w:rsidRPr="00A1774A" w14:paraId="36EF144F" w14:textId="77777777" w:rsidTr="00A877FD">
        <w:tc>
          <w:tcPr>
            <w:tcW w:w="9810" w:type="dxa"/>
            <w:shd w:val="clear" w:color="auto" w:fill="D9D9D9" w:themeFill="background1" w:themeFillShade="D9"/>
          </w:tcPr>
          <w:p w14:paraId="21AAF7BF" w14:textId="54FF42DE" w:rsidR="003D636E" w:rsidRPr="00A1774A" w:rsidRDefault="002A3C3C" w:rsidP="00A1774A">
            <w:pPr>
              <w:spacing w:line="276" w:lineRule="auto"/>
              <w:ind w:firstLine="709"/>
              <w:jc w:val="both"/>
              <w:rPr>
                <w:rFonts w:ascii="Times New Roman" w:hAnsi="Times New Roman" w:cs="Times New Roman"/>
                <w:b/>
                <w:sz w:val="24"/>
                <w:szCs w:val="24"/>
                <w:lang w:val="ro-MD"/>
              </w:rPr>
            </w:pPr>
            <w:r w:rsidRPr="00A1774A">
              <w:rPr>
                <w:rFonts w:ascii="Times New Roman" w:hAnsi="Times New Roman" w:cs="Times New Roman"/>
                <w:b/>
                <w:sz w:val="24"/>
                <w:szCs w:val="24"/>
                <w:lang w:val="ro-MD"/>
              </w:rPr>
              <w:lastRenderedPageBreak/>
              <w:t>5</w:t>
            </w:r>
            <w:r w:rsidR="003D636E" w:rsidRPr="00A1774A">
              <w:rPr>
                <w:rFonts w:ascii="Times New Roman" w:hAnsi="Times New Roman" w:cs="Times New Roman"/>
                <w:b/>
                <w:sz w:val="24"/>
                <w:szCs w:val="24"/>
                <w:lang w:val="ro-MD"/>
              </w:rPr>
              <w:t xml:space="preserve">. Fundamentarea </w:t>
            </w:r>
            <w:proofErr w:type="spellStart"/>
            <w:r w:rsidR="003D636E" w:rsidRPr="00A1774A">
              <w:rPr>
                <w:rFonts w:ascii="Times New Roman" w:hAnsi="Times New Roman" w:cs="Times New Roman"/>
                <w:b/>
                <w:sz w:val="24"/>
                <w:szCs w:val="24"/>
                <w:lang w:val="ro-MD"/>
              </w:rPr>
              <w:t>economico</w:t>
            </w:r>
            <w:proofErr w:type="spellEnd"/>
            <w:r w:rsidR="003D636E" w:rsidRPr="00A1774A">
              <w:rPr>
                <w:rFonts w:ascii="Times New Roman" w:hAnsi="Times New Roman" w:cs="Times New Roman"/>
                <w:b/>
                <w:sz w:val="24"/>
                <w:szCs w:val="24"/>
                <w:lang w:val="ro-MD"/>
              </w:rPr>
              <w:t>-financiară</w:t>
            </w:r>
          </w:p>
        </w:tc>
      </w:tr>
      <w:tr w:rsidR="003D636E" w:rsidRPr="00A1774A" w14:paraId="294D2AFE" w14:textId="77777777" w:rsidTr="00A877FD">
        <w:tc>
          <w:tcPr>
            <w:tcW w:w="9810" w:type="dxa"/>
            <w:shd w:val="clear" w:color="auto" w:fill="FFFFFF" w:themeFill="background1"/>
          </w:tcPr>
          <w:p w14:paraId="007313B9" w14:textId="622966D5" w:rsidR="00ED694E" w:rsidRPr="00A1774A" w:rsidRDefault="00ED694E" w:rsidP="00A1774A">
            <w:pPr>
              <w:spacing w:line="276" w:lineRule="auto"/>
              <w:ind w:firstLine="709"/>
              <w:jc w:val="both"/>
              <w:rPr>
                <w:rFonts w:ascii="Times New Roman" w:hAnsi="Times New Roman" w:cs="Times New Roman"/>
                <w:noProof/>
                <w:sz w:val="24"/>
                <w:szCs w:val="24"/>
                <w:lang w:val="ro-MD"/>
              </w:rPr>
            </w:pPr>
            <w:r w:rsidRPr="00A1774A">
              <w:rPr>
                <w:rFonts w:ascii="Times New Roman" w:hAnsi="Times New Roman" w:cs="Times New Roman"/>
                <w:noProof/>
                <w:sz w:val="24"/>
                <w:szCs w:val="24"/>
                <w:lang w:val="ro-MD"/>
              </w:rPr>
              <w:t xml:space="preserve">Implementarea prezentei hotărâri de Guvern </w:t>
            </w:r>
            <w:r w:rsidR="00AA71A5" w:rsidRPr="00A1774A">
              <w:rPr>
                <w:rFonts w:ascii="Times New Roman" w:hAnsi="Times New Roman" w:cs="Times New Roman"/>
                <w:noProof/>
                <w:sz w:val="24"/>
                <w:szCs w:val="24"/>
                <w:lang w:val="ro-MD"/>
              </w:rPr>
              <w:t xml:space="preserve">se realizează </w:t>
            </w:r>
            <w:r w:rsidRPr="00A1774A">
              <w:rPr>
                <w:rFonts w:ascii="Times New Roman" w:hAnsi="Times New Roman" w:cs="Times New Roman"/>
                <w:noProof/>
                <w:sz w:val="24"/>
                <w:szCs w:val="24"/>
                <w:lang w:val="ro-MD"/>
              </w:rPr>
              <w:t>din contul și în limita alocațiilor bugetare aprobate</w:t>
            </w:r>
            <w:r w:rsidR="00CD7DCF" w:rsidRPr="00A1774A">
              <w:rPr>
                <w:rFonts w:ascii="Times New Roman" w:hAnsi="Times New Roman" w:cs="Times New Roman"/>
                <w:sz w:val="24"/>
                <w:szCs w:val="24"/>
              </w:rPr>
              <w:t xml:space="preserve"> </w:t>
            </w:r>
            <w:r w:rsidR="00CD7DCF" w:rsidRPr="00A1774A">
              <w:rPr>
                <w:rFonts w:ascii="Times New Roman" w:hAnsi="Times New Roman" w:cs="Times New Roman"/>
                <w:noProof/>
                <w:sz w:val="24"/>
                <w:szCs w:val="24"/>
                <w:lang w:val="ro-MD"/>
              </w:rPr>
              <w:t>anual, la Programul/Subprogramul 8810 Învățământ superior</w:t>
            </w:r>
            <w:r w:rsidRPr="00A1774A">
              <w:rPr>
                <w:rFonts w:ascii="Times New Roman" w:hAnsi="Times New Roman" w:cs="Times New Roman"/>
                <w:noProof/>
                <w:sz w:val="24"/>
                <w:szCs w:val="24"/>
                <w:lang w:val="ro-MD"/>
              </w:rPr>
              <w:t xml:space="preserve">, inclusiv din contul veniturilor proprii ale persoanei juridice </w:t>
            </w:r>
            <w:r w:rsidR="00CD7DCF" w:rsidRPr="00A1774A">
              <w:rPr>
                <w:rFonts w:ascii="Times New Roman" w:hAnsi="Times New Roman" w:cs="Times New Roman"/>
                <w:noProof/>
                <w:sz w:val="24"/>
                <w:szCs w:val="24"/>
                <w:lang w:val="ro-MD"/>
              </w:rPr>
              <w:t xml:space="preserve">reorganizate și a celei </w:t>
            </w:r>
            <w:r w:rsidR="00C12BEA" w:rsidRPr="00A1774A">
              <w:rPr>
                <w:rFonts w:ascii="Times New Roman" w:hAnsi="Times New Roman" w:cs="Times New Roman"/>
                <w:noProof/>
                <w:sz w:val="24"/>
                <w:szCs w:val="24"/>
                <w:lang w:val="ro-MD"/>
              </w:rPr>
              <w:t>integrate</w:t>
            </w:r>
            <w:r w:rsidRPr="00A1774A">
              <w:rPr>
                <w:rFonts w:ascii="Times New Roman" w:hAnsi="Times New Roman" w:cs="Times New Roman"/>
                <w:noProof/>
                <w:sz w:val="24"/>
                <w:szCs w:val="24"/>
                <w:lang w:val="ro-MD"/>
              </w:rPr>
              <w:t xml:space="preserve">. </w:t>
            </w:r>
          </w:p>
          <w:p w14:paraId="0CEADDD7" w14:textId="7C18176C" w:rsidR="00615451" w:rsidRPr="00A1774A" w:rsidRDefault="008E409F" w:rsidP="00A1774A">
            <w:pPr>
              <w:spacing w:line="276" w:lineRule="auto"/>
              <w:ind w:firstLine="709"/>
              <w:jc w:val="both"/>
              <w:rPr>
                <w:rFonts w:ascii="Times New Roman" w:hAnsi="Times New Roman" w:cs="Times New Roman"/>
                <w:bCs/>
                <w:sz w:val="24"/>
                <w:szCs w:val="24"/>
                <w:lang w:val="ro-MD"/>
              </w:rPr>
            </w:pPr>
            <w:r w:rsidRPr="00A1774A">
              <w:rPr>
                <w:rFonts w:ascii="Times New Roman" w:hAnsi="Times New Roman" w:cs="Times New Roman"/>
                <w:noProof/>
                <w:sz w:val="24"/>
                <w:szCs w:val="24"/>
                <w:lang w:val="ro-MD"/>
              </w:rPr>
              <w:t xml:space="preserve">În caz de disponibilizare, cheltuielile de disponibilizare a salariaților persoanei juridice </w:t>
            </w:r>
            <w:r w:rsidR="00C12BEA" w:rsidRPr="00A1774A">
              <w:rPr>
                <w:rFonts w:ascii="Times New Roman" w:hAnsi="Times New Roman" w:cs="Times New Roman"/>
                <w:noProof/>
                <w:sz w:val="24"/>
                <w:szCs w:val="24"/>
                <w:lang w:val="ro-MD"/>
              </w:rPr>
              <w:t>integrate</w:t>
            </w:r>
            <w:r w:rsidRPr="00A1774A">
              <w:rPr>
                <w:rFonts w:ascii="Times New Roman" w:hAnsi="Times New Roman" w:cs="Times New Roman"/>
                <w:noProof/>
                <w:sz w:val="24"/>
                <w:szCs w:val="24"/>
                <w:lang w:val="ro-MD"/>
              </w:rPr>
              <w:t xml:space="preserve"> vor fi asigurate din contul și în limitele mijloacelor financiare ale acesteia.</w:t>
            </w:r>
          </w:p>
        </w:tc>
      </w:tr>
      <w:tr w:rsidR="003D636E" w:rsidRPr="00A1774A" w14:paraId="721F272C" w14:textId="77777777" w:rsidTr="00A877FD">
        <w:tc>
          <w:tcPr>
            <w:tcW w:w="9810" w:type="dxa"/>
            <w:shd w:val="clear" w:color="auto" w:fill="D9D9D9" w:themeFill="background1" w:themeFillShade="D9"/>
          </w:tcPr>
          <w:p w14:paraId="2B979AEC" w14:textId="453C39C2" w:rsidR="003D636E" w:rsidRPr="00A1774A" w:rsidRDefault="002A3C3C" w:rsidP="00A1774A">
            <w:pPr>
              <w:spacing w:line="276" w:lineRule="auto"/>
              <w:ind w:firstLine="709"/>
              <w:jc w:val="both"/>
              <w:rPr>
                <w:rFonts w:ascii="Times New Roman" w:hAnsi="Times New Roman" w:cs="Times New Roman"/>
                <w:b/>
                <w:sz w:val="24"/>
                <w:szCs w:val="24"/>
                <w:lang w:val="ro-MD"/>
              </w:rPr>
            </w:pPr>
            <w:r w:rsidRPr="00A1774A">
              <w:rPr>
                <w:rFonts w:ascii="Times New Roman" w:hAnsi="Times New Roman" w:cs="Times New Roman"/>
                <w:b/>
                <w:sz w:val="24"/>
                <w:szCs w:val="24"/>
                <w:lang w:val="ro-MD"/>
              </w:rPr>
              <w:t>6</w:t>
            </w:r>
            <w:r w:rsidR="003D636E" w:rsidRPr="00A1774A">
              <w:rPr>
                <w:rFonts w:ascii="Times New Roman" w:hAnsi="Times New Roman" w:cs="Times New Roman"/>
                <w:b/>
                <w:sz w:val="24"/>
                <w:szCs w:val="24"/>
                <w:lang w:val="ro-MD"/>
              </w:rPr>
              <w:t xml:space="preserve">. </w:t>
            </w:r>
            <w:r w:rsidR="00907FB0" w:rsidRPr="00A1774A">
              <w:rPr>
                <w:rFonts w:ascii="Times New Roman" w:hAnsi="Times New Roman" w:cs="Times New Roman"/>
                <w:b/>
                <w:sz w:val="24"/>
                <w:szCs w:val="24"/>
                <w:lang w:val="ro-MD"/>
              </w:rPr>
              <w:t>Modul de încorporare a actului în cadrul normativ în vigoare</w:t>
            </w:r>
          </w:p>
        </w:tc>
      </w:tr>
      <w:tr w:rsidR="003D636E" w:rsidRPr="00A1774A" w14:paraId="0CDD7BF2" w14:textId="77777777" w:rsidTr="00A877FD">
        <w:tc>
          <w:tcPr>
            <w:tcW w:w="9810" w:type="dxa"/>
            <w:shd w:val="clear" w:color="auto" w:fill="FFFFFF" w:themeFill="background1"/>
          </w:tcPr>
          <w:p w14:paraId="302EC237" w14:textId="31667BA0" w:rsidR="004C6111" w:rsidRPr="00A1774A" w:rsidRDefault="00A45C75" w:rsidP="00A1774A">
            <w:pPr>
              <w:spacing w:line="276" w:lineRule="auto"/>
              <w:ind w:firstLine="709"/>
              <w:jc w:val="both"/>
              <w:rPr>
                <w:rFonts w:ascii="Times New Roman" w:hAnsi="Times New Roman" w:cs="Times New Roman"/>
                <w:sz w:val="24"/>
                <w:szCs w:val="24"/>
                <w:lang w:val="ro-MD"/>
              </w:rPr>
            </w:pPr>
            <w:r w:rsidRPr="00A1774A">
              <w:rPr>
                <w:rFonts w:ascii="Times New Roman" w:hAnsi="Times New Roman" w:cs="Times New Roman"/>
                <w:bCs/>
                <w:sz w:val="24"/>
                <w:szCs w:val="24"/>
                <w:lang w:val="ro-MD"/>
              </w:rPr>
              <w:t xml:space="preserve">Proiectul se încorporează în sistemul actelor normative și nu necesita abrogarea unor acte normative. Totodată, urmează a fi introduse modificări în </w:t>
            </w:r>
            <w:r w:rsidR="00C12BEA" w:rsidRPr="00A1774A">
              <w:rPr>
                <w:rFonts w:ascii="Times New Roman" w:hAnsi="Times New Roman" w:cs="Times New Roman"/>
                <w:bCs/>
                <w:sz w:val="24"/>
                <w:szCs w:val="24"/>
                <w:lang w:val="ro-MD"/>
              </w:rPr>
              <w:t xml:space="preserve">compartimentul Instituții de învățământ superior din anexa nr.5 la Hotărârea Guvernului nr.146/2021 cu privire la organizarea și funcționarea Ministerului Educației și Cercetării (Monitorul Oficial al Republicii Moldova, 2021, nr. 206-208, art. 344), </w:t>
            </w:r>
            <w:r w:rsidR="00C12BEA" w:rsidRPr="00A1774A">
              <w:rPr>
                <w:rFonts w:ascii="Times New Roman" w:hAnsi="Times New Roman" w:cs="Times New Roman"/>
                <w:bCs/>
                <w:sz w:val="24"/>
                <w:szCs w:val="24"/>
                <w:lang w:val="ro-MD"/>
              </w:rPr>
              <w:t>unde</w:t>
            </w:r>
            <w:r w:rsidR="00C12BEA" w:rsidRPr="00A1774A">
              <w:rPr>
                <w:rFonts w:ascii="Times New Roman" w:hAnsi="Times New Roman" w:cs="Times New Roman"/>
                <w:bCs/>
                <w:sz w:val="24"/>
                <w:szCs w:val="24"/>
                <w:lang w:val="ro-MD"/>
              </w:rPr>
              <w:t xml:space="preserve"> poziția nr. 5 se</w:t>
            </w:r>
            <w:r w:rsidR="00C12BEA" w:rsidRPr="00A1774A">
              <w:rPr>
                <w:rFonts w:ascii="Times New Roman" w:hAnsi="Times New Roman" w:cs="Times New Roman"/>
                <w:bCs/>
                <w:sz w:val="24"/>
                <w:szCs w:val="24"/>
                <w:lang w:val="ro-MD"/>
              </w:rPr>
              <w:t xml:space="preserve"> va</w:t>
            </w:r>
            <w:r w:rsidR="00C12BEA" w:rsidRPr="00A1774A">
              <w:rPr>
                <w:rFonts w:ascii="Times New Roman" w:hAnsi="Times New Roman" w:cs="Times New Roman"/>
                <w:bCs/>
                <w:sz w:val="24"/>
                <w:szCs w:val="24"/>
                <w:lang w:val="ro-MD"/>
              </w:rPr>
              <w:t xml:space="preserve"> exclude.</w:t>
            </w:r>
          </w:p>
        </w:tc>
      </w:tr>
      <w:tr w:rsidR="00907FB0" w:rsidRPr="00A1774A" w14:paraId="0997D475" w14:textId="77777777" w:rsidTr="00A877FD">
        <w:tc>
          <w:tcPr>
            <w:tcW w:w="9810" w:type="dxa"/>
            <w:shd w:val="clear" w:color="auto" w:fill="D9D9D9" w:themeFill="background1" w:themeFillShade="D9"/>
          </w:tcPr>
          <w:p w14:paraId="516E253F" w14:textId="0BBC51F9" w:rsidR="00907FB0" w:rsidRPr="00A1774A" w:rsidRDefault="002A3C3C" w:rsidP="00A1774A">
            <w:pPr>
              <w:spacing w:line="276" w:lineRule="auto"/>
              <w:ind w:firstLine="709"/>
              <w:jc w:val="both"/>
              <w:rPr>
                <w:rFonts w:ascii="Times New Roman" w:hAnsi="Times New Roman" w:cs="Times New Roman"/>
                <w:b/>
                <w:sz w:val="24"/>
                <w:szCs w:val="24"/>
                <w:lang w:val="ro-MD"/>
              </w:rPr>
            </w:pPr>
            <w:r w:rsidRPr="00A1774A">
              <w:rPr>
                <w:rFonts w:ascii="Times New Roman" w:hAnsi="Times New Roman" w:cs="Times New Roman"/>
                <w:b/>
                <w:sz w:val="24"/>
                <w:szCs w:val="24"/>
                <w:lang w:val="ro-MD"/>
              </w:rPr>
              <w:t>7</w:t>
            </w:r>
            <w:r w:rsidR="00907FB0" w:rsidRPr="00A1774A">
              <w:rPr>
                <w:rFonts w:ascii="Times New Roman" w:hAnsi="Times New Roman" w:cs="Times New Roman"/>
                <w:b/>
                <w:sz w:val="24"/>
                <w:szCs w:val="24"/>
                <w:lang w:val="ro-MD"/>
              </w:rPr>
              <w:t>. Avizarea și consultarea publică a proiectului</w:t>
            </w:r>
          </w:p>
        </w:tc>
      </w:tr>
      <w:tr w:rsidR="00907FB0" w:rsidRPr="00A1774A" w14:paraId="3C19C3D5" w14:textId="77777777" w:rsidTr="00A877FD">
        <w:tc>
          <w:tcPr>
            <w:tcW w:w="9810" w:type="dxa"/>
          </w:tcPr>
          <w:p w14:paraId="20BE3591" w14:textId="3BB618FD" w:rsidR="00B41180" w:rsidRPr="00A1774A" w:rsidRDefault="000F623B" w:rsidP="00A1774A">
            <w:pPr>
              <w:spacing w:line="276" w:lineRule="auto"/>
              <w:ind w:firstLine="709"/>
              <w:jc w:val="both"/>
              <w:rPr>
                <w:rFonts w:ascii="Times New Roman" w:hAnsi="Times New Roman" w:cs="Times New Roman"/>
                <w:sz w:val="24"/>
                <w:szCs w:val="24"/>
                <w:lang w:val="ro-MD"/>
              </w:rPr>
            </w:pPr>
            <w:r w:rsidRPr="00A1774A">
              <w:rPr>
                <w:rFonts w:ascii="Times New Roman" w:hAnsi="Times New Roman" w:cs="Times New Roman"/>
                <w:sz w:val="24"/>
                <w:szCs w:val="24"/>
                <w:lang w:val="ro-MD"/>
              </w:rPr>
              <w:lastRenderedPageBreak/>
              <w:t>În scopul respectării prevederilor Legii nr. 239/2008 privind transparența în procesul decizional, pe pagina web oficială a Ministerului Educației și Cercetării www.mec.gov.md, compartimentul Transparența decizională a fost asigurată plasarea anunțului privind elaborarea proiectului</w:t>
            </w:r>
            <w:r w:rsidR="00FB22B8" w:rsidRPr="00A1774A">
              <w:rPr>
                <w:rFonts w:ascii="Times New Roman" w:hAnsi="Times New Roman" w:cs="Times New Roman"/>
                <w:sz w:val="24"/>
                <w:szCs w:val="24"/>
                <w:lang w:val="ro-MD"/>
              </w:rPr>
              <w:t>.</w:t>
            </w:r>
          </w:p>
        </w:tc>
      </w:tr>
      <w:tr w:rsidR="002A3C3C" w:rsidRPr="00A1774A" w14:paraId="0D807033" w14:textId="77777777" w:rsidTr="00A877FD">
        <w:tc>
          <w:tcPr>
            <w:tcW w:w="9810" w:type="dxa"/>
            <w:shd w:val="clear" w:color="auto" w:fill="D9D9D9" w:themeFill="background1" w:themeFillShade="D9"/>
          </w:tcPr>
          <w:p w14:paraId="15C6FA63" w14:textId="115DF1D3" w:rsidR="002A3C3C" w:rsidRPr="00A1774A" w:rsidRDefault="002A3C3C" w:rsidP="00A1774A">
            <w:pPr>
              <w:spacing w:line="276" w:lineRule="auto"/>
              <w:ind w:firstLine="709"/>
              <w:jc w:val="both"/>
              <w:rPr>
                <w:rFonts w:ascii="Times New Roman" w:hAnsi="Times New Roman" w:cs="Times New Roman"/>
                <w:b/>
                <w:sz w:val="24"/>
                <w:szCs w:val="24"/>
                <w:lang w:val="ro-MD"/>
              </w:rPr>
            </w:pPr>
            <w:r w:rsidRPr="00A1774A">
              <w:rPr>
                <w:rFonts w:ascii="Times New Roman" w:hAnsi="Times New Roman" w:cs="Times New Roman"/>
                <w:b/>
                <w:sz w:val="24"/>
                <w:szCs w:val="24"/>
                <w:lang w:val="ro-MD"/>
              </w:rPr>
              <w:t>8. Constatările expertizei anticorupție</w:t>
            </w:r>
          </w:p>
        </w:tc>
      </w:tr>
      <w:tr w:rsidR="002A3C3C" w:rsidRPr="00A1774A" w14:paraId="1CD514FA" w14:textId="77777777" w:rsidTr="00A877FD">
        <w:tc>
          <w:tcPr>
            <w:tcW w:w="9810" w:type="dxa"/>
          </w:tcPr>
          <w:p w14:paraId="739E594F" w14:textId="125B0B68" w:rsidR="00747D4C" w:rsidRPr="00A1774A" w:rsidRDefault="00F100B0" w:rsidP="00A1774A">
            <w:pPr>
              <w:autoSpaceDE w:val="0"/>
              <w:autoSpaceDN w:val="0"/>
              <w:adjustRightInd w:val="0"/>
              <w:spacing w:line="276" w:lineRule="auto"/>
              <w:ind w:firstLine="709"/>
              <w:jc w:val="both"/>
              <w:rPr>
                <w:rFonts w:ascii="Times New Roman" w:hAnsi="Times New Roman" w:cs="Times New Roman"/>
                <w:sz w:val="24"/>
                <w:szCs w:val="24"/>
                <w:lang w:val="ro-MD"/>
              </w:rPr>
            </w:pPr>
            <w:r w:rsidRPr="00A1774A">
              <w:rPr>
                <w:rFonts w:ascii="Times New Roman" w:hAnsi="Times New Roman" w:cs="Times New Roman"/>
                <w:sz w:val="24"/>
                <w:szCs w:val="24"/>
                <w:lang w:val="ro-MD"/>
              </w:rPr>
              <w:t xml:space="preserve">Proiectul </w:t>
            </w:r>
            <w:r w:rsidR="00E55CF7" w:rsidRPr="00A1774A">
              <w:rPr>
                <w:rFonts w:ascii="Times New Roman" w:hAnsi="Times New Roman" w:cs="Times New Roman"/>
                <w:sz w:val="24"/>
                <w:szCs w:val="24"/>
                <w:lang w:val="ro-MD"/>
              </w:rPr>
              <w:t xml:space="preserve">va fi </w:t>
            </w:r>
            <w:r w:rsidR="00DC3B76" w:rsidRPr="00A1774A">
              <w:rPr>
                <w:rFonts w:ascii="Times New Roman" w:hAnsi="Times New Roman" w:cs="Times New Roman"/>
                <w:sz w:val="24"/>
                <w:szCs w:val="24"/>
                <w:lang w:val="ro-MD"/>
              </w:rPr>
              <w:t xml:space="preserve"> </w:t>
            </w:r>
            <w:r w:rsidR="00A45C75" w:rsidRPr="00A1774A">
              <w:rPr>
                <w:rFonts w:ascii="Times New Roman" w:hAnsi="Times New Roman" w:cs="Times New Roman"/>
                <w:sz w:val="24"/>
                <w:szCs w:val="24"/>
                <w:lang w:val="ro-MD"/>
              </w:rPr>
              <w:t xml:space="preserve">supus </w:t>
            </w:r>
            <w:r w:rsidR="00E55CF7" w:rsidRPr="00A1774A">
              <w:rPr>
                <w:rFonts w:ascii="Times New Roman" w:hAnsi="Times New Roman" w:cs="Times New Roman"/>
                <w:sz w:val="24"/>
                <w:szCs w:val="24"/>
                <w:lang w:val="ro-MD"/>
              </w:rPr>
              <w:t xml:space="preserve">avizării de către ministere și </w:t>
            </w:r>
            <w:r w:rsidR="00A45C75" w:rsidRPr="00A1774A">
              <w:rPr>
                <w:rFonts w:ascii="Times New Roman" w:hAnsi="Times New Roman" w:cs="Times New Roman"/>
                <w:sz w:val="24"/>
                <w:szCs w:val="24"/>
                <w:lang w:val="ro-MD"/>
              </w:rPr>
              <w:t xml:space="preserve">expertizei anticorupție, </w:t>
            </w:r>
          </w:p>
        </w:tc>
      </w:tr>
      <w:tr w:rsidR="002A3C3C" w:rsidRPr="00A1774A" w14:paraId="418BF3F7" w14:textId="77777777" w:rsidTr="00A877FD">
        <w:tc>
          <w:tcPr>
            <w:tcW w:w="9810" w:type="dxa"/>
            <w:shd w:val="clear" w:color="auto" w:fill="D9D9D9" w:themeFill="background1" w:themeFillShade="D9"/>
          </w:tcPr>
          <w:p w14:paraId="70E5F8F0" w14:textId="5725231C" w:rsidR="002A3C3C" w:rsidRPr="00A1774A" w:rsidRDefault="002A3C3C" w:rsidP="00A1774A">
            <w:pPr>
              <w:spacing w:line="276" w:lineRule="auto"/>
              <w:ind w:firstLine="709"/>
              <w:jc w:val="both"/>
              <w:rPr>
                <w:rFonts w:ascii="Times New Roman" w:hAnsi="Times New Roman" w:cs="Times New Roman"/>
                <w:b/>
                <w:sz w:val="24"/>
                <w:szCs w:val="24"/>
                <w:lang w:val="ro-MD"/>
              </w:rPr>
            </w:pPr>
            <w:r w:rsidRPr="00A1774A">
              <w:rPr>
                <w:rFonts w:ascii="Times New Roman" w:hAnsi="Times New Roman" w:cs="Times New Roman"/>
                <w:b/>
                <w:sz w:val="24"/>
                <w:szCs w:val="24"/>
                <w:lang w:val="ro-MD"/>
              </w:rPr>
              <w:t>9. Constatările expertizei de compatibilitate cu legislația Uniunii Europene</w:t>
            </w:r>
          </w:p>
        </w:tc>
      </w:tr>
      <w:tr w:rsidR="002A3C3C" w:rsidRPr="00A1774A" w14:paraId="59249A1E" w14:textId="77777777" w:rsidTr="00A877FD">
        <w:tc>
          <w:tcPr>
            <w:tcW w:w="9810" w:type="dxa"/>
          </w:tcPr>
          <w:p w14:paraId="207C3C5E" w14:textId="3C4B82CC" w:rsidR="00B41180" w:rsidRPr="00A1774A" w:rsidRDefault="00A45C75" w:rsidP="00A1774A">
            <w:pPr>
              <w:spacing w:line="276" w:lineRule="auto"/>
              <w:ind w:firstLine="709"/>
              <w:jc w:val="both"/>
              <w:rPr>
                <w:rFonts w:ascii="Times New Roman" w:hAnsi="Times New Roman" w:cs="Times New Roman"/>
                <w:sz w:val="24"/>
                <w:szCs w:val="24"/>
                <w:lang w:val="ro-MD"/>
              </w:rPr>
            </w:pPr>
            <w:r w:rsidRPr="00A1774A">
              <w:rPr>
                <w:rFonts w:ascii="Times New Roman" w:hAnsi="Times New Roman" w:cs="Times New Roman"/>
                <w:sz w:val="24"/>
                <w:szCs w:val="24"/>
                <w:lang w:val="ro-MD"/>
              </w:rPr>
              <w:t>Nu necesită efectuarea expertizei de compatibilitate, dat fiind faptul că proiectul de hotărâre nu prezintă relevanță UE.</w:t>
            </w:r>
          </w:p>
        </w:tc>
      </w:tr>
      <w:tr w:rsidR="002A3C3C" w:rsidRPr="00A1774A" w14:paraId="799F8D0D" w14:textId="77777777" w:rsidTr="00A877FD">
        <w:tc>
          <w:tcPr>
            <w:tcW w:w="9810" w:type="dxa"/>
            <w:shd w:val="clear" w:color="auto" w:fill="D9D9D9" w:themeFill="background1" w:themeFillShade="D9"/>
          </w:tcPr>
          <w:p w14:paraId="135687AC" w14:textId="78DB5C48" w:rsidR="002A3C3C" w:rsidRPr="00A1774A" w:rsidRDefault="00B41180" w:rsidP="00A1774A">
            <w:pPr>
              <w:spacing w:line="276" w:lineRule="auto"/>
              <w:ind w:firstLine="709"/>
              <w:jc w:val="both"/>
              <w:rPr>
                <w:rFonts w:ascii="Times New Roman" w:hAnsi="Times New Roman" w:cs="Times New Roman"/>
                <w:b/>
                <w:sz w:val="24"/>
                <w:szCs w:val="24"/>
                <w:lang w:val="ro-MD"/>
              </w:rPr>
            </w:pPr>
            <w:r w:rsidRPr="00A1774A">
              <w:rPr>
                <w:rFonts w:ascii="Times New Roman" w:hAnsi="Times New Roman" w:cs="Times New Roman"/>
                <w:b/>
                <w:sz w:val="24"/>
                <w:szCs w:val="24"/>
                <w:lang w:val="ro-MD"/>
              </w:rPr>
              <w:t>10. Constatările expertizei juridice</w:t>
            </w:r>
          </w:p>
        </w:tc>
      </w:tr>
      <w:tr w:rsidR="002A3C3C" w:rsidRPr="00A1774A" w14:paraId="3987026B" w14:textId="77777777" w:rsidTr="00A877FD">
        <w:tc>
          <w:tcPr>
            <w:tcW w:w="9810" w:type="dxa"/>
          </w:tcPr>
          <w:p w14:paraId="1FF5F364" w14:textId="0A5BD5D2" w:rsidR="00810682" w:rsidRPr="00A1774A" w:rsidRDefault="000F623B" w:rsidP="00A1774A">
            <w:pPr>
              <w:spacing w:line="276" w:lineRule="auto"/>
              <w:ind w:firstLine="709"/>
              <w:jc w:val="both"/>
              <w:rPr>
                <w:rFonts w:ascii="Times New Roman" w:hAnsi="Times New Roman" w:cs="Times New Roman"/>
                <w:sz w:val="24"/>
                <w:szCs w:val="24"/>
                <w:lang w:val="ro-MD"/>
              </w:rPr>
            </w:pPr>
            <w:r w:rsidRPr="00A1774A">
              <w:rPr>
                <w:rFonts w:ascii="Times New Roman" w:hAnsi="Times New Roman" w:cs="Times New Roman"/>
                <w:sz w:val="24"/>
                <w:szCs w:val="24"/>
                <w:lang w:val="ro-MD"/>
              </w:rPr>
              <w:t xml:space="preserve">Proiectul </w:t>
            </w:r>
            <w:r w:rsidR="00E55CF7" w:rsidRPr="00A1774A">
              <w:rPr>
                <w:rFonts w:ascii="Times New Roman" w:hAnsi="Times New Roman" w:cs="Times New Roman"/>
                <w:sz w:val="24"/>
                <w:szCs w:val="24"/>
                <w:lang w:val="ro-MD"/>
              </w:rPr>
              <w:t>v</w:t>
            </w:r>
            <w:r w:rsidRPr="00A1774A">
              <w:rPr>
                <w:rFonts w:ascii="Times New Roman" w:hAnsi="Times New Roman" w:cs="Times New Roman"/>
                <w:sz w:val="24"/>
                <w:szCs w:val="24"/>
                <w:lang w:val="ro-MD"/>
              </w:rPr>
              <w:t>a f</w:t>
            </w:r>
            <w:r w:rsidR="0000482D" w:rsidRPr="00A1774A">
              <w:rPr>
                <w:rFonts w:ascii="Times New Roman" w:hAnsi="Times New Roman" w:cs="Times New Roman"/>
                <w:sz w:val="24"/>
                <w:szCs w:val="24"/>
                <w:lang w:val="ro-MD"/>
              </w:rPr>
              <w:t xml:space="preserve">i </w:t>
            </w:r>
            <w:r w:rsidRPr="00A1774A">
              <w:rPr>
                <w:rFonts w:ascii="Times New Roman" w:hAnsi="Times New Roman" w:cs="Times New Roman"/>
                <w:sz w:val="24"/>
                <w:szCs w:val="24"/>
                <w:lang w:val="ro-MD"/>
              </w:rPr>
              <w:t>expertizat, în conformitate cu legislația, de către Ministerul Justiției</w:t>
            </w:r>
            <w:r w:rsidR="00E55CF7" w:rsidRPr="00A1774A">
              <w:rPr>
                <w:rFonts w:ascii="Times New Roman" w:hAnsi="Times New Roman" w:cs="Times New Roman"/>
                <w:sz w:val="24"/>
                <w:szCs w:val="24"/>
                <w:lang w:val="ro-MD"/>
              </w:rPr>
              <w:t>.</w:t>
            </w:r>
          </w:p>
        </w:tc>
      </w:tr>
      <w:tr w:rsidR="002A3C3C" w:rsidRPr="00A1774A" w14:paraId="2AD2C8D8" w14:textId="77777777" w:rsidTr="00A877FD">
        <w:tc>
          <w:tcPr>
            <w:tcW w:w="9810" w:type="dxa"/>
            <w:shd w:val="clear" w:color="auto" w:fill="D9D9D9" w:themeFill="background1" w:themeFillShade="D9"/>
          </w:tcPr>
          <w:p w14:paraId="727FC5C3" w14:textId="5C8EB2E7" w:rsidR="002A3C3C" w:rsidRPr="00A1774A" w:rsidRDefault="00B41180" w:rsidP="00A1774A">
            <w:pPr>
              <w:spacing w:line="276" w:lineRule="auto"/>
              <w:ind w:firstLine="709"/>
              <w:jc w:val="both"/>
              <w:rPr>
                <w:rFonts w:ascii="Times New Roman" w:hAnsi="Times New Roman" w:cs="Times New Roman"/>
                <w:b/>
                <w:sz w:val="24"/>
                <w:szCs w:val="24"/>
                <w:lang w:val="ro-MD"/>
              </w:rPr>
            </w:pPr>
            <w:r w:rsidRPr="00A1774A">
              <w:rPr>
                <w:rFonts w:ascii="Times New Roman" w:hAnsi="Times New Roman" w:cs="Times New Roman"/>
                <w:b/>
                <w:sz w:val="24"/>
                <w:szCs w:val="24"/>
                <w:lang w:val="ro-MD"/>
              </w:rPr>
              <w:t>11.Constatările altor expertize</w:t>
            </w:r>
          </w:p>
        </w:tc>
      </w:tr>
      <w:tr w:rsidR="002A3C3C" w:rsidRPr="00A1774A" w14:paraId="1EB62C9D" w14:textId="77777777" w:rsidTr="00A877FD">
        <w:tc>
          <w:tcPr>
            <w:tcW w:w="9810" w:type="dxa"/>
          </w:tcPr>
          <w:p w14:paraId="25509022" w14:textId="509FB51B" w:rsidR="00B41180" w:rsidRPr="00A1774A" w:rsidRDefault="00B41180" w:rsidP="00A1774A">
            <w:pPr>
              <w:spacing w:line="276" w:lineRule="auto"/>
              <w:ind w:firstLine="709"/>
              <w:jc w:val="both"/>
              <w:rPr>
                <w:rFonts w:ascii="Times New Roman" w:hAnsi="Times New Roman" w:cs="Times New Roman"/>
                <w:sz w:val="24"/>
                <w:szCs w:val="24"/>
                <w:lang w:val="ro-MD"/>
              </w:rPr>
            </w:pPr>
            <w:r w:rsidRPr="00A1774A">
              <w:rPr>
                <w:rFonts w:ascii="Times New Roman" w:hAnsi="Times New Roman" w:cs="Times New Roman"/>
                <w:sz w:val="24"/>
                <w:szCs w:val="24"/>
                <w:lang w:val="ro-MD"/>
              </w:rPr>
              <w:t>Proiectul nu cade sub incidența altor expertize necesare a fi efectuate în condițiile Legii nr.100/2017.</w:t>
            </w:r>
          </w:p>
        </w:tc>
      </w:tr>
    </w:tbl>
    <w:p w14:paraId="42BE0E71" w14:textId="77777777" w:rsidR="00F97ACA" w:rsidRPr="00A1774A" w:rsidRDefault="00F97ACA" w:rsidP="00A1774A">
      <w:pPr>
        <w:spacing w:after="0"/>
        <w:ind w:firstLine="709"/>
        <w:jc w:val="both"/>
        <w:rPr>
          <w:rFonts w:ascii="Times New Roman" w:eastAsia="Times New Roman" w:hAnsi="Times New Roman" w:cs="Times New Roman"/>
          <w:b/>
          <w:sz w:val="24"/>
          <w:szCs w:val="24"/>
          <w:lang w:val="ro-MD"/>
        </w:rPr>
      </w:pPr>
      <w:bookmarkStart w:id="0" w:name="_Hlk25140639"/>
      <w:bookmarkStart w:id="1" w:name="_Hlk58310282"/>
    </w:p>
    <w:p w14:paraId="4B6EC4C7" w14:textId="77777777" w:rsidR="00747D4C" w:rsidRPr="00A1774A" w:rsidRDefault="00747D4C" w:rsidP="00A1774A">
      <w:pPr>
        <w:spacing w:after="0"/>
        <w:ind w:firstLine="709"/>
        <w:jc w:val="both"/>
        <w:rPr>
          <w:rFonts w:ascii="Times New Roman" w:eastAsia="Times New Roman" w:hAnsi="Times New Roman" w:cs="Times New Roman"/>
          <w:b/>
          <w:sz w:val="24"/>
          <w:szCs w:val="24"/>
          <w:lang w:val="ro-MD"/>
        </w:rPr>
      </w:pPr>
      <w:bookmarkStart w:id="2" w:name="_Hlk92784058"/>
    </w:p>
    <w:p w14:paraId="673E0846" w14:textId="77777777" w:rsidR="00E62FDD" w:rsidRDefault="00E62FDD" w:rsidP="00E62FDD">
      <w:pPr>
        <w:spacing w:after="0"/>
        <w:ind w:firstLine="709"/>
        <w:jc w:val="center"/>
        <w:rPr>
          <w:rFonts w:ascii="Times New Roman" w:eastAsia="Times New Roman" w:hAnsi="Times New Roman" w:cs="Times New Roman"/>
          <w:b/>
          <w:sz w:val="24"/>
          <w:szCs w:val="24"/>
          <w:lang w:val="ro-MD"/>
        </w:rPr>
      </w:pPr>
    </w:p>
    <w:p w14:paraId="7C91EED1" w14:textId="061B7AAE" w:rsidR="00F97ACA" w:rsidRPr="00A1774A" w:rsidRDefault="00F97ACA" w:rsidP="00E62FDD">
      <w:pPr>
        <w:spacing w:after="0"/>
        <w:ind w:firstLine="709"/>
        <w:jc w:val="center"/>
        <w:rPr>
          <w:rFonts w:ascii="Times New Roman" w:eastAsia="Times New Roman" w:hAnsi="Times New Roman" w:cs="Times New Roman"/>
          <w:b/>
          <w:sz w:val="24"/>
          <w:szCs w:val="24"/>
          <w:lang w:val="ro-MD"/>
        </w:rPr>
      </w:pPr>
      <w:r w:rsidRPr="00A1774A">
        <w:rPr>
          <w:rFonts w:ascii="Times New Roman" w:eastAsia="Times New Roman" w:hAnsi="Times New Roman" w:cs="Times New Roman"/>
          <w:b/>
          <w:sz w:val="24"/>
          <w:szCs w:val="24"/>
          <w:lang w:val="ro-MD"/>
        </w:rPr>
        <w:t xml:space="preserve">Ministru </w:t>
      </w:r>
      <w:r w:rsidRPr="00A1774A">
        <w:rPr>
          <w:rFonts w:ascii="Times New Roman" w:eastAsia="Times New Roman" w:hAnsi="Times New Roman" w:cs="Times New Roman"/>
          <w:b/>
          <w:sz w:val="24"/>
          <w:szCs w:val="24"/>
          <w:lang w:val="ro-MD"/>
        </w:rPr>
        <w:tab/>
      </w:r>
      <w:r w:rsidRPr="00A1774A">
        <w:rPr>
          <w:rFonts w:ascii="Times New Roman" w:eastAsia="Times New Roman" w:hAnsi="Times New Roman" w:cs="Times New Roman"/>
          <w:b/>
          <w:sz w:val="24"/>
          <w:szCs w:val="24"/>
          <w:lang w:val="ro-MD"/>
        </w:rPr>
        <w:tab/>
      </w:r>
      <w:r w:rsidRPr="00A1774A">
        <w:rPr>
          <w:rFonts w:ascii="Times New Roman" w:eastAsia="Times New Roman" w:hAnsi="Times New Roman" w:cs="Times New Roman"/>
          <w:b/>
          <w:sz w:val="24"/>
          <w:szCs w:val="24"/>
          <w:lang w:val="ro-MD"/>
        </w:rPr>
        <w:tab/>
      </w:r>
      <w:r w:rsidRPr="00A1774A">
        <w:rPr>
          <w:rFonts w:ascii="Times New Roman" w:eastAsia="Times New Roman" w:hAnsi="Times New Roman" w:cs="Times New Roman"/>
          <w:b/>
          <w:sz w:val="24"/>
          <w:szCs w:val="24"/>
          <w:lang w:val="ro-MD"/>
        </w:rPr>
        <w:tab/>
      </w:r>
      <w:r w:rsidRPr="00A1774A">
        <w:rPr>
          <w:rFonts w:ascii="Times New Roman" w:eastAsia="Times New Roman" w:hAnsi="Times New Roman" w:cs="Times New Roman"/>
          <w:b/>
          <w:sz w:val="24"/>
          <w:szCs w:val="24"/>
          <w:lang w:val="ro-MD"/>
        </w:rPr>
        <w:tab/>
      </w:r>
      <w:r w:rsidR="00F12890" w:rsidRPr="00A1774A">
        <w:rPr>
          <w:rFonts w:ascii="Times New Roman" w:hAnsi="Times New Roman" w:cs="Times New Roman"/>
          <w:b/>
          <w:sz w:val="24"/>
          <w:szCs w:val="24"/>
          <w:lang w:val="ro-MD"/>
        </w:rPr>
        <w:t>Dan PERCIUN</w:t>
      </w:r>
      <w:bookmarkEnd w:id="0"/>
    </w:p>
    <w:bookmarkEnd w:id="1"/>
    <w:bookmarkEnd w:id="2"/>
    <w:p w14:paraId="715328E0" w14:textId="77777777" w:rsidR="00E872FB" w:rsidRPr="00A1774A" w:rsidRDefault="00E872FB" w:rsidP="00A1774A">
      <w:pPr>
        <w:spacing w:after="0"/>
        <w:ind w:firstLine="709"/>
        <w:jc w:val="both"/>
        <w:rPr>
          <w:rFonts w:ascii="Times New Roman" w:hAnsi="Times New Roman" w:cs="Times New Roman"/>
          <w:sz w:val="24"/>
          <w:szCs w:val="24"/>
          <w:lang w:val="ro-MD" w:eastAsia="ro-RO"/>
        </w:rPr>
      </w:pPr>
    </w:p>
    <w:p w14:paraId="2D25D76A" w14:textId="77777777" w:rsidR="00A42292" w:rsidRPr="00A1774A" w:rsidRDefault="00A42292" w:rsidP="00A1774A">
      <w:pPr>
        <w:spacing w:after="0"/>
        <w:ind w:firstLine="709"/>
        <w:jc w:val="both"/>
        <w:rPr>
          <w:rFonts w:ascii="Times New Roman" w:hAnsi="Times New Roman" w:cs="Times New Roman"/>
          <w:sz w:val="24"/>
          <w:szCs w:val="24"/>
          <w:lang w:val="ro-MD" w:eastAsia="ro-RO"/>
        </w:rPr>
      </w:pPr>
    </w:p>
    <w:p w14:paraId="7AF5D78D" w14:textId="77777777" w:rsidR="00FD551E" w:rsidRDefault="00FD551E" w:rsidP="00A1774A">
      <w:pPr>
        <w:spacing w:after="0"/>
        <w:ind w:firstLine="709"/>
        <w:jc w:val="both"/>
        <w:rPr>
          <w:rFonts w:ascii="Times New Roman" w:hAnsi="Times New Roman" w:cs="Times New Roman"/>
          <w:sz w:val="24"/>
          <w:szCs w:val="24"/>
          <w:lang w:val="ro-MD" w:eastAsia="ro-RO"/>
        </w:rPr>
      </w:pPr>
    </w:p>
    <w:p w14:paraId="060837F5" w14:textId="77777777" w:rsidR="00E62FDD" w:rsidRDefault="00E62FDD" w:rsidP="00A1774A">
      <w:pPr>
        <w:spacing w:after="0"/>
        <w:ind w:firstLine="709"/>
        <w:jc w:val="both"/>
        <w:rPr>
          <w:rFonts w:ascii="Times New Roman" w:hAnsi="Times New Roman" w:cs="Times New Roman"/>
          <w:sz w:val="24"/>
          <w:szCs w:val="24"/>
          <w:lang w:val="ro-MD" w:eastAsia="ro-RO"/>
        </w:rPr>
      </w:pPr>
    </w:p>
    <w:p w14:paraId="283EACF6" w14:textId="77777777" w:rsidR="00E62FDD" w:rsidRDefault="00E62FDD" w:rsidP="00A1774A">
      <w:pPr>
        <w:spacing w:after="0"/>
        <w:ind w:firstLine="709"/>
        <w:jc w:val="both"/>
        <w:rPr>
          <w:rFonts w:ascii="Times New Roman" w:hAnsi="Times New Roman" w:cs="Times New Roman"/>
          <w:sz w:val="24"/>
          <w:szCs w:val="24"/>
          <w:lang w:val="ro-MD" w:eastAsia="ro-RO"/>
        </w:rPr>
      </w:pPr>
    </w:p>
    <w:p w14:paraId="0BADF5E6" w14:textId="77777777" w:rsidR="00E62FDD" w:rsidRDefault="00E62FDD" w:rsidP="00A1774A">
      <w:pPr>
        <w:spacing w:after="0"/>
        <w:ind w:firstLine="709"/>
        <w:jc w:val="both"/>
        <w:rPr>
          <w:rFonts w:ascii="Times New Roman" w:hAnsi="Times New Roman" w:cs="Times New Roman"/>
          <w:sz w:val="24"/>
          <w:szCs w:val="24"/>
          <w:lang w:val="ro-MD" w:eastAsia="ro-RO"/>
        </w:rPr>
      </w:pPr>
    </w:p>
    <w:p w14:paraId="62FA1EB1" w14:textId="77777777" w:rsidR="00E62FDD" w:rsidRDefault="00E62FDD" w:rsidP="00A1774A">
      <w:pPr>
        <w:spacing w:after="0"/>
        <w:ind w:firstLine="709"/>
        <w:jc w:val="both"/>
        <w:rPr>
          <w:rFonts w:ascii="Times New Roman" w:hAnsi="Times New Roman" w:cs="Times New Roman"/>
          <w:sz w:val="24"/>
          <w:szCs w:val="24"/>
          <w:lang w:val="ro-MD" w:eastAsia="ro-RO"/>
        </w:rPr>
      </w:pPr>
    </w:p>
    <w:p w14:paraId="16016CE2" w14:textId="77777777" w:rsidR="00E62FDD" w:rsidRDefault="00E62FDD" w:rsidP="00A1774A">
      <w:pPr>
        <w:spacing w:after="0"/>
        <w:ind w:firstLine="709"/>
        <w:jc w:val="both"/>
        <w:rPr>
          <w:rFonts w:ascii="Times New Roman" w:hAnsi="Times New Roman" w:cs="Times New Roman"/>
          <w:sz w:val="24"/>
          <w:szCs w:val="24"/>
          <w:lang w:val="ro-MD" w:eastAsia="ro-RO"/>
        </w:rPr>
      </w:pPr>
    </w:p>
    <w:p w14:paraId="4FC611E6" w14:textId="77777777" w:rsidR="00E62FDD" w:rsidRDefault="00E62FDD" w:rsidP="00A1774A">
      <w:pPr>
        <w:spacing w:after="0"/>
        <w:ind w:firstLine="709"/>
        <w:jc w:val="both"/>
        <w:rPr>
          <w:rFonts w:ascii="Times New Roman" w:hAnsi="Times New Roman" w:cs="Times New Roman"/>
          <w:sz w:val="24"/>
          <w:szCs w:val="24"/>
          <w:lang w:val="ro-MD" w:eastAsia="ro-RO"/>
        </w:rPr>
      </w:pPr>
    </w:p>
    <w:p w14:paraId="0D403BEB" w14:textId="77777777" w:rsidR="00E62FDD" w:rsidRDefault="00E62FDD" w:rsidP="00A1774A">
      <w:pPr>
        <w:spacing w:after="0"/>
        <w:ind w:firstLine="709"/>
        <w:jc w:val="both"/>
        <w:rPr>
          <w:rFonts w:ascii="Times New Roman" w:hAnsi="Times New Roman" w:cs="Times New Roman"/>
          <w:sz w:val="24"/>
          <w:szCs w:val="24"/>
          <w:lang w:val="ro-MD" w:eastAsia="ro-RO"/>
        </w:rPr>
      </w:pPr>
    </w:p>
    <w:p w14:paraId="71EC98E1" w14:textId="77777777" w:rsidR="00E62FDD" w:rsidRDefault="00E62FDD" w:rsidP="00A1774A">
      <w:pPr>
        <w:spacing w:after="0"/>
        <w:ind w:firstLine="709"/>
        <w:jc w:val="both"/>
        <w:rPr>
          <w:rFonts w:ascii="Times New Roman" w:hAnsi="Times New Roman" w:cs="Times New Roman"/>
          <w:sz w:val="24"/>
          <w:szCs w:val="24"/>
          <w:lang w:val="ro-MD" w:eastAsia="ro-RO"/>
        </w:rPr>
      </w:pPr>
    </w:p>
    <w:p w14:paraId="6E9161DA" w14:textId="77777777" w:rsidR="00E62FDD" w:rsidRDefault="00E62FDD" w:rsidP="00A1774A">
      <w:pPr>
        <w:spacing w:after="0"/>
        <w:ind w:firstLine="709"/>
        <w:jc w:val="both"/>
        <w:rPr>
          <w:rFonts w:ascii="Times New Roman" w:hAnsi="Times New Roman" w:cs="Times New Roman"/>
          <w:sz w:val="24"/>
          <w:szCs w:val="24"/>
          <w:lang w:val="ro-MD" w:eastAsia="ro-RO"/>
        </w:rPr>
      </w:pPr>
    </w:p>
    <w:p w14:paraId="42482BDF" w14:textId="77777777" w:rsidR="00E62FDD" w:rsidRDefault="00E62FDD" w:rsidP="00A1774A">
      <w:pPr>
        <w:spacing w:after="0"/>
        <w:ind w:firstLine="709"/>
        <w:jc w:val="both"/>
        <w:rPr>
          <w:rFonts w:ascii="Times New Roman" w:hAnsi="Times New Roman" w:cs="Times New Roman"/>
          <w:sz w:val="24"/>
          <w:szCs w:val="24"/>
          <w:lang w:val="ro-MD" w:eastAsia="ro-RO"/>
        </w:rPr>
      </w:pPr>
    </w:p>
    <w:p w14:paraId="6B52F75E" w14:textId="77777777" w:rsidR="00E62FDD" w:rsidRDefault="00E62FDD" w:rsidP="00A1774A">
      <w:pPr>
        <w:spacing w:after="0"/>
        <w:ind w:firstLine="709"/>
        <w:jc w:val="both"/>
        <w:rPr>
          <w:rFonts w:ascii="Times New Roman" w:hAnsi="Times New Roman" w:cs="Times New Roman"/>
          <w:sz w:val="24"/>
          <w:szCs w:val="24"/>
          <w:lang w:val="ro-MD" w:eastAsia="ro-RO"/>
        </w:rPr>
      </w:pPr>
    </w:p>
    <w:p w14:paraId="42E34902" w14:textId="77777777" w:rsidR="00E62FDD" w:rsidRDefault="00E62FDD" w:rsidP="00A1774A">
      <w:pPr>
        <w:spacing w:after="0"/>
        <w:ind w:firstLine="709"/>
        <w:jc w:val="both"/>
        <w:rPr>
          <w:rFonts w:ascii="Times New Roman" w:hAnsi="Times New Roman" w:cs="Times New Roman"/>
          <w:sz w:val="24"/>
          <w:szCs w:val="24"/>
          <w:lang w:val="ro-MD" w:eastAsia="ro-RO"/>
        </w:rPr>
      </w:pPr>
    </w:p>
    <w:p w14:paraId="285D0894" w14:textId="77777777" w:rsidR="00E62FDD" w:rsidRDefault="00E62FDD" w:rsidP="00A1774A">
      <w:pPr>
        <w:spacing w:after="0"/>
        <w:ind w:firstLine="709"/>
        <w:jc w:val="both"/>
        <w:rPr>
          <w:rFonts w:ascii="Times New Roman" w:hAnsi="Times New Roman" w:cs="Times New Roman"/>
          <w:sz w:val="24"/>
          <w:szCs w:val="24"/>
          <w:lang w:val="ro-MD" w:eastAsia="ro-RO"/>
        </w:rPr>
      </w:pPr>
    </w:p>
    <w:p w14:paraId="7DA20F9B" w14:textId="77777777" w:rsidR="00E62FDD" w:rsidRDefault="00E62FDD" w:rsidP="00A1774A">
      <w:pPr>
        <w:spacing w:after="0"/>
        <w:ind w:firstLine="709"/>
        <w:jc w:val="both"/>
        <w:rPr>
          <w:rFonts w:ascii="Times New Roman" w:hAnsi="Times New Roman" w:cs="Times New Roman"/>
          <w:sz w:val="24"/>
          <w:szCs w:val="24"/>
          <w:lang w:val="ro-MD" w:eastAsia="ro-RO"/>
        </w:rPr>
      </w:pPr>
    </w:p>
    <w:p w14:paraId="469A5CAE" w14:textId="77777777" w:rsidR="00E62FDD" w:rsidRDefault="00E62FDD" w:rsidP="00A1774A">
      <w:pPr>
        <w:spacing w:after="0"/>
        <w:ind w:firstLine="709"/>
        <w:jc w:val="both"/>
        <w:rPr>
          <w:rFonts w:ascii="Times New Roman" w:hAnsi="Times New Roman" w:cs="Times New Roman"/>
          <w:sz w:val="24"/>
          <w:szCs w:val="24"/>
          <w:lang w:val="ro-MD" w:eastAsia="ro-RO"/>
        </w:rPr>
      </w:pPr>
    </w:p>
    <w:p w14:paraId="4A53A450" w14:textId="77777777" w:rsidR="00E62FDD" w:rsidRDefault="00E62FDD" w:rsidP="00A1774A">
      <w:pPr>
        <w:spacing w:after="0"/>
        <w:ind w:firstLine="709"/>
        <w:jc w:val="both"/>
        <w:rPr>
          <w:rFonts w:ascii="Times New Roman" w:hAnsi="Times New Roman" w:cs="Times New Roman"/>
          <w:sz w:val="24"/>
          <w:szCs w:val="24"/>
          <w:lang w:val="ro-MD" w:eastAsia="ro-RO"/>
        </w:rPr>
      </w:pPr>
    </w:p>
    <w:p w14:paraId="1D7931E8" w14:textId="77777777" w:rsidR="00E62FDD" w:rsidRDefault="00E62FDD" w:rsidP="00A1774A">
      <w:pPr>
        <w:spacing w:after="0"/>
        <w:ind w:firstLine="709"/>
        <w:jc w:val="both"/>
        <w:rPr>
          <w:rFonts w:ascii="Times New Roman" w:hAnsi="Times New Roman" w:cs="Times New Roman"/>
          <w:sz w:val="24"/>
          <w:szCs w:val="24"/>
          <w:lang w:val="ro-MD" w:eastAsia="ro-RO"/>
        </w:rPr>
      </w:pPr>
    </w:p>
    <w:p w14:paraId="37408BCA" w14:textId="77777777" w:rsidR="00E62FDD" w:rsidRDefault="00E62FDD" w:rsidP="00A1774A">
      <w:pPr>
        <w:spacing w:after="0"/>
        <w:ind w:firstLine="709"/>
        <w:jc w:val="both"/>
        <w:rPr>
          <w:rFonts w:ascii="Times New Roman" w:hAnsi="Times New Roman" w:cs="Times New Roman"/>
          <w:sz w:val="24"/>
          <w:szCs w:val="24"/>
          <w:lang w:val="ro-MD" w:eastAsia="ro-RO"/>
        </w:rPr>
      </w:pPr>
    </w:p>
    <w:p w14:paraId="1E7798F1" w14:textId="77777777" w:rsidR="00E62FDD" w:rsidRDefault="00E62FDD" w:rsidP="00A1774A">
      <w:pPr>
        <w:spacing w:after="0"/>
        <w:ind w:firstLine="709"/>
        <w:jc w:val="both"/>
        <w:rPr>
          <w:rFonts w:ascii="Times New Roman" w:hAnsi="Times New Roman" w:cs="Times New Roman"/>
          <w:sz w:val="24"/>
          <w:szCs w:val="24"/>
          <w:lang w:val="ro-MD" w:eastAsia="ro-RO"/>
        </w:rPr>
      </w:pPr>
    </w:p>
    <w:p w14:paraId="5AC5B984" w14:textId="77777777" w:rsidR="00E62FDD" w:rsidRDefault="00E62FDD" w:rsidP="00A1774A">
      <w:pPr>
        <w:spacing w:after="0"/>
        <w:ind w:firstLine="709"/>
        <w:jc w:val="both"/>
        <w:rPr>
          <w:rFonts w:ascii="Times New Roman" w:hAnsi="Times New Roman" w:cs="Times New Roman"/>
          <w:sz w:val="24"/>
          <w:szCs w:val="24"/>
          <w:lang w:val="ro-MD" w:eastAsia="ro-RO"/>
        </w:rPr>
      </w:pPr>
    </w:p>
    <w:p w14:paraId="135D3FD1" w14:textId="77777777" w:rsidR="00E62FDD" w:rsidRDefault="00E62FDD" w:rsidP="00A1774A">
      <w:pPr>
        <w:spacing w:after="0"/>
        <w:ind w:firstLine="709"/>
        <w:jc w:val="both"/>
        <w:rPr>
          <w:rFonts w:ascii="Times New Roman" w:hAnsi="Times New Roman" w:cs="Times New Roman"/>
          <w:sz w:val="24"/>
          <w:szCs w:val="24"/>
          <w:lang w:val="ro-MD" w:eastAsia="ro-RO"/>
        </w:rPr>
      </w:pPr>
    </w:p>
    <w:p w14:paraId="13405EAD" w14:textId="77777777" w:rsidR="00E62FDD" w:rsidRDefault="00E62FDD" w:rsidP="00A1774A">
      <w:pPr>
        <w:spacing w:after="0"/>
        <w:ind w:firstLine="709"/>
        <w:jc w:val="both"/>
        <w:rPr>
          <w:rFonts w:ascii="Times New Roman" w:hAnsi="Times New Roman" w:cs="Times New Roman"/>
          <w:sz w:val="24"/>
          <w:szCs w:val="24"/>
          <w:lang w:val="ro-MD" w:eastAsia="ro-RO"/>
        </w:rPr>
      </w:pPr>
    </w:p>
    <w:p w14:paraId="776CBFDC" w14:textId="77777777" w:rsidR="00E62FDD" w:rsidRDefault="00E62FDD" w:rsidP="00A1774A">
      <w:pPr>
        <w:spacing w:after="0"/>
        <w:ind w:firstLine="709"/>
        <w:jc w:val="both"/>
        <w:rPr>
          <w:rFonts w:ascii="Times New Roman" w:hAnsi="Times New Roman" w:cs="Times New Roman"/>
          <w:sz w:val="24"/>
          <w:szCs w:val="24"/>
          <w:lang w:val="ro-MD" w:eastAsia="ro-RO"/>
        </w:rPr>
      </w:pPr>
    </w:p>
    <w:p w14:paraId="58001A27" w14:textId="77777777" w:rsidR="00E62FDD" w:rsidRDefault="00E62FDD" w:rsidP="00A1774A">
      <w:pPr>
        <w:spacing w:after="0"/>
        <w:ind w:firstLine="709"/>
        <w:jc w:val="both"/>
        <w:rPr>
          <w:rFonts w:ascii="Times New Roman" w:hAnsi="Times New Roman" w:cs="Times New Roman"/>
          <w:sz w:val="24"/>
          <w:szCs w:val="24"/>
          <w:lang w:val="ro-MD" w:eastAsia="ro-RO"/>
        </w:rPr>
      </w:pPr>
    </w:p>
    <w:p w14:paraId="49AC8556" w14:textId="77777777" w:rsidR="00E62FDD" w:rsidRDefault="00E62FDD" w:rsidP="00A1774A">
      <w:pPr>
        <w:spacing w:after="0"/>
        <w:ind w:firstLine="709"/>
        <w:jc w:val="both"/>
        <w:rPr>
          <w:rFonts w:ascii="Times New Roman" w:hAnsi="Times New Roman" w:cs="Times New Roman"/>
          <w:sz w:val="24"/>
          <w:szCs w:val="24"/>
          <w:lang w:val="ro-MD" w:eastAsia="ro-RO"/>
        </w:rPr>
      </w:pPr>
    </w:p>
    <w:p w14:paraId="37E9241F" w14:textId="77777777" w:rsidR="00E62FDD" w:rsidRPr="00A1774A" w:rsidRDefault="00E62FDD" w:rsidP="00A1774A">
      <w:pPr>
        <w:spacing w:after="0"/>
        <w:ind w:firstLine="709"/>
        <w:jc w:val="both"/>
        <w:rPr>
          <w:rFonts w:ascii="Times New Roman" w:hAnsi="Times New Roman" w:cs="Times New Roman"/>
          <w:sz w:val="24"/>
          <w:szCs w:val="24"/>
          <w:lang w:val="ro-MD" w:eastAsia="ro-RO"/>
        </w:rPr>
      </w:pPr>
    </w:p>
    <w:p w14:paraId="666579C3" w14:textId="73F60EF9" w:rsidR="00A877FD" w:rsidRPr="00E62FDD" w:rsidRDefault="00E872FB" w:rsidP="00A1774A">
      <w:pPr>
        <w:spacing w:after="0"/>
        <w:ind w:firstLine="709"/>
        <w:jc w:val="both"/>
        <w:rPr>
          <w:rFonts w:ascii="Times New Roman" w:hAnsi="Times New Roman" w:cs="Times New Roman"/>
          <w:b/>
          <w:sz w:val="16"/>
          <w:szCs w:val="16"/>
          <w:lang w:val="ro-MD"/>
        </w:rPr>
      </w:pPr>
      <w:r w:rsidRPr="00E62FDD">
        <w:rPr>
          <w:rFonts w:ascii="Times New Roman" w:hAnsi="Times New Roman" w:cs="Times New Roman"/>
          <w:sz w:val="16"/>
          <w:szCs w:val="16"/>
          <w:lang w:val="ro-MD" w:eastAsia="ro-RO"/>
        </w:rPr>
        <w:t xml:space="preserve">Doina </w:t>
      </w:r>
      <w:proofErr w:type="spellStart"/>
      <w:r w:rsidRPr="00E62FDD">
        <w:rPr>
          <w:rFonts w:ascii="Times New Roman" w:hAnsi="Times New Roman" w:cs="Times New Roman"/>
          <w:sz w:val="16"/>
          <w:szCs w:val="16"/>
          <w:lang w:val="ro-MD" w:eastAsia="ro-RO"/>
        </w:rPr>
        <w:t>Usaci</w:t>
      </w:r>
      <w:proofErr w:type="spellEnd"/>
      <w:r w:rsidRPr="00E62FDD">
        <w:rPr>
          <w:rFonts w:ascii="Times New Roman" w:hAnsi="Times New Roman" w:cs="Times New Roman"/>
          <w:sz w:val="16"/>
          <w:szCs w:val="16"/>
          <w:lang w:val="ro-MD" w:eastAsia="ro-RO"/>
        </w:rPr>
        <w:t>, Tel.: 022233213</w:t>
      </w:r>
      <w:r w:rsidR="00DC3B76" w:rsidRPr="00E62FDD">
        <w:rPr>
          <w:rFonts w:ascii="Times New Roman" w:hAnsi="Times New Roman" w:cs="Times New Roman"/>
          <w:sz w:val="16"/>
          <w:szCs w:val="16"/>
          <w:lang w:val="ro-MD" w:eastAsia="ro-RO"/>
        </w:rPr>
        <w:t xml:space="preserve"> </w:t>
      </w:r>
      <w:r w:rsidR="00F97ACA" w:rsidRPr="00E62FDD">
        <w:rPr>
          <w:rFonts w:ascii="Times New Roman" w:hAnsi="Times New Roman" w:cs="Times New Roman"/>
          <w:sz w:val="16"/>
          <w:szCs w:val="16"/>
          <w:lang w:val="ro-MD" w:eastAsia="ro-RO"/>
        </w:rPr>
        <w:t xml:space="preserve">Email: </w:t>
      </w:r>
      <w:hyperlink r:id="rId5" w:history="1">
        <w:r w:rsidRPr="00E62FDD">
          <w:rPr>
            <w:rStyle w:val="Hyperlink"/>
            <w:rFonts w:ascii="Times New Roman" w:hAnsi="Times New Roman" w:cs="Times New Roman"/>
            <w:sz w:val="16"/>
            <w:szCs w:val="16"/>
            <w:lang w:val="ro-MD"/>
          </w:rPr>
          <w:t>doina.usaci@mec.gov.md</w:t>
        </w:r>
      </w:hyperlink>
      <w:r w:rsidR="00F97ACA" w:rsidRPr="00E62FDD">
        <w:rPr>
          <w:rFonts w:ascii="Times New Roman" w:hAnsi="Times New Roman" w:cs="Times New Roman"/>
          <w:sz w:val="16"/>
          <w:szCs w:val="16"/>
          <w:lang w:val="ro-MD" w:eastAsia="ro-RO"/>
        </w:rPr>
        <w:t xml:space="preserve">  </w:t>
      </w:r>
    </w:p>
    <w:sectPr w:rsidR="00A877FD" w:rsidRPr="00E62FDD" w:rsidSect="00DC3B76">
      <w:pgSz w:w="11906" w:h="16838" w:code="9"/>
      <w:pgMar w:top="426" w:right="851"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49AA"/>
    <w:multiLevelType w:val="hybridMultilevel"/>
    <w:tmpl w:val="5748DFE4"/>
    <w:lvl w:ilvl="0" w:tplc="A8EE3930">
      <w:start w:val="1"/>
      <w:numFmt w:val="decimal"/>
      <w:lvlText w:val="(%1)"/>
      <w:lvlJc w:val="left"/>
      <w:pPr>
        <w:ind w:left="720" w:hanging="360"/>
      </w:pPr>
      <w:rPr>
        <w:rFonts w:asciiTheme="minorHAnsi" w:hAnsiTheme="minorHAnsi" w:cstheme="minorBidi" w:hint="default"/>
        <w:color w:val="000000"/>
        <w:sz w:val="28"/>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 w15:restartNumberingAfterBreak="0">
    <w:nsid w:val="04B96735"/>
    <w:multiLevelType w:val="hybridMultilevel"/>
    <w:tmpl w:val="76A063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E7F4157"/>
    <w:multiLevelType w:val="hybridMultilevel"/>
    <w:tmpl w:val="7FC895A4"/>
    <w:lvl w:ilvl="0" w:tplc="3A5C2FFC">
      <w:start w:val="1"/>
      <w:numFmt w:val="decimal"/>
      <w:lvlText w:val="%1."/>
      <w:lvlJc w:val="left"/>
      <w:pPr>
        <w:ind w:left="861" w:hanging="435"/>
      </w:pPr>
      <w:rPr>
        <w:rFonts w:ascii="Times New Roman" w:hAnsi="Times New Roman" w:cs="Times New Roman" w:hint="default"/>
        <w:b w:val="0"/>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12F028B6"/>
    <w:multiLevelType w:val="hybridMultilevel"/>
    <w:tmpl w:val="EEFA787E"/>
    <w:lvl w:ilvl="0" w:tplc="E8BAACE4">
      <w:numFmt w:val="bullet"/>
      <w:lvlText w:val="-"/>
      <w:lvlJc w:val="left"/>
      <w:pPr>
        <w:ind w:left="1429" w:hanging="360"/>
      </w:pPr>
      <w:rPr>
        <w:rFonts w:ascii="Times New Roman" w:eastAsia="Calibri" w:hAnsi="Times New Roman" w:cs="Times New Roman" w:hint="default"/>
      </w:rPr>
    </w:lvl>
    <w:lvl w:ilvl="1" w:tplc="08180003" w:tentative="1">
      <w:start w:val="1"/>
      <w:numFmt w:val="bullet"/>
      <w:lvlText w:val="o"/>
      <w:lvlJc w:val="left"/>
      <w:pPr>
        <w:ind w:left="2149" w:hanging="360"/>
      </w:pPr>
      <w:rPr>
        <w:rFonts w:ascii="Courier New" w:hAnsi="Courier New" w:cs="Courier New" w:hint="default"/>
      </w:rPr>
    </w:lvl>
    <w:lvl w:ilvl="2" w:tplc="08180005" w:tentative="1">
      <w:start w:val="1"/>
      <w:numFmt w:val="bullet"/>
      <w:lvlText w:val=""/>
      <w:lvlJc w:val="left"/>
      <w:pPr>
        <w:ind w:left="2869" w:hanging="360"/>
      </w:pPr>
      <w:rPr>
        <w:rFonts w:ascii="Wingdings" w:hAnsi="Wingdings" w:hint="default"/>
      </w:rPr>
    </w:lvl>
    <w:lvl w:ilvl="3" w:tplc="08180001" w:tentative="1">
      <w:start w:val="1"/>
      <w:numFmt w:val="bullet"/>
      <w:lvlText w:val=""/>
      <w:lvlJc w:val="left"/>
      <w:pPr>
        <w:ind w:left="3589" w:hanging="360"/>
      </w:pPr>
      <w:rPr>
        <w:rFonts w:ascii="Symbol" w:hAnsi="Symbol" w:hint="default"/>
      </w:rPr>
    </w:lvl>
    <w:lvl w:ilvl="4" w:tplc="08180003" w:tentative="1">
      <w:start w:val="1"/>
      <w:numFmt w:val="bullet"/>
      <w:lvlText w:val="o"/>
      <w:lvlJc w:val="left"/>
      <w:pPr>
        <w:ind w:left="4309" w:hanging="360"/>
      </w:pPr>
      <w:rPr>
        <w:rFonts w:ascii="Courier New" w:hAnsi="Courier New" w:cs="Courier New" w:hint="default"/>
      </w:rPr>
    </w:lvl>
    <w:lvl w:ilvl="5" w:tplc="08180005" w:tentative="1">
      <w:start w:val="1"/>
      <w:numFmt w:val="bullet"/>
      <w:lvlText w:val=""/>
      <w:lvlJc w:val="left"/>
      <w:pPr>
        <w:ind w:left="5029" w:hanging="360"/>
      </w:pPr>
      <w:rPr>
        <w:rFonts w:ascii="Wingdings" w:hAnsi="Wingdings" w:hint="default"/>
      </w:rPr>
    </w:lvl>
    <w:lvl w:ilvl="6" w:tplc="08180001" w:tentative="1">
      <w:start w:val="1"/>
      <w:numFmt w:val="bullet"/>
      <w:lvlText w:val=""/>
      <w:lvlJc w:val="left"/>
      <w:pPr>
        <w:ind w:left="5749" w:hanging="360"/>
      </w:pPr>
      <w:rPr>
        <w:rFonts w:ascii="Symbol" w:hAnsi="Symbol" w:hint="default"/>
      </w:rPr>
    </w:lvl>
    <w:lvl w:ilvl="7" w:tplc="08180003" w:tentative="1">
      <w:start w:val="1"/>
      <w:numFmt w:val="bullet"/>
      <w:lvlText w:val="o"/>
      <w:lvlJc w:val="left"/>
      <w:pPr>
        <w:ind w:left="6469" w:hanging="360"/>
      </w:pPr>
      <w:rPr>
        <w:rFonts w:ascii="Courier New" w:hAnsi="Courier New" w:cs="Courier New" w:hint="default"/>
      </w:rPr>
    </w:lvl>
    <w:lvl w:ilvl="8" w:tplc="08180005" w:tentative="1">
      <w:start w:val="1"/>
      <w:numFmt w:val="bullet"/>
      <w:lvlText w:val=""/>
      <w:lvlJc w:val="left"/>
      <w:pPr>
        <w:ind w:left="7189" w:hanging="360"/>
      </w:pPr>
      <w:rPr>
        <w:rFonts w:ascii="Wingdings" w:hAnsi="Wingdings" w:hint="default"/>
      </w:rPr>
    </w:lvl>
  </w:abstractNum>
  <w:abstractNum w:abstractNumId="4" w15:restartNumberingAfterBreak="0">
    <w:nsid w:val="1A607FF7"/>
    <w:multiLevelType w:val="hybridMultilevel"/>
    <w:tmpl w:val="E4BCBBE2"/>
    <w:lvl w:ilvl="0" w:tplc="E8BAACE4">
      <w:numFmt w:val="bullet"/>
      <w:lvlText w:val="-"/>
      <w:lvlJc w:val="left"/>
      <w:pPr>
        <w:ind w:left="1429" w:hanging="360"/>
      </w:pPr>
      <w:rPr>
        <w:rFonts w:ascii="Times New Roman" w:eastAsia="Calibri" w:hAnsi="Times New Roman" w:cs="Times New Roman" w:hint="default"/>
      </w:rPr>
    </w:lvl>
    <w:lvl w:ilvl="1" w:tplc="08180003" w:tentative="1">
      <w:start w:val="1"/>
      <w:numFmt w:val="bullet"/>
      <w:lvlText w:val="o"/>
      <w:lvlJc w:val="left"/>
      <w:pPr>
        <w:ind w:left="2149" w:hanging="360"/>
      </w:pPr>
      <w:rPr>
        <w:rFonts w:ascii="Courier New" w:hAnsi="Courier New" w:cs="Courier New" w:hint="default"/>
      </w:rPr>
    </w:lvl>
    <w:lvl w:ilvl="2" w:tplc="08180005" w:tentative="1">
      <w:start w:val="1"/>
      <w:numFmt w:val="bullet"/>
      <w:lvlText w:val=""/>
      <w:lvlJc w:val="left"/>
      <w:pPr>
        <w:ind w:left="2869" w:hanging="360"/>
      </w:pPr>
      <w:rPr>
        <w:rFonts w:ascii="Wingdings" w:hAnsi="Wingdings" w:hint="default"/>
      </w:rPr>
    </w:lvl>
    <w:lvl w:ilvl="3" w:tplc="08180001" w:tentative="1">
      <w:start w:val="1"/>
      <w:numFmt w:val="bullet"/>
      <w:lvlText w:val=""/>
      <w:lvlJc w:val="left"/>
      <w:pPr>
        <w:ind w:left="3589" w:hanging="360"/>
      </w:pPr>
      <w:rPr>
        <w:rFonts w:ascii="Symbol" w:hAnsi="Symbol" w:hint="default"/>
      </w:rPr>
    </w:lvl>
    <w:lvl w:ilvl="4" w:tplc="08180003" w:tentative="1">
      <w:start w:val="1"/>
      <w:numFmt w:val="bullet"/>
      <w:lvlText w:val="o"/>
      <w:lvlJc w:val="left"/>
      <w:pPr>
        <w:ind w:left="4309" w:hanging="360"/>
      </w:pPr>
      <w:rPr>
        <w:rFonts w:ascii="Courier New" w:hAnsi="Courier New" w:cs="Courier New" w:hint="default"/>
      </w:rPr>
    </w:lvl>
    <w:lvl w:ilvl="5" w:tplc="08180005" w:tentative="1">
      <w:start w:val="1"/>
      <w:numFmt w:val="bullet"/>
      <w:lvlText w:val=""/>
      <w:lvlJc w:val="left"/>
      <w:pPr>
        <w:ind w:left="5029" w:hanging="360"/>
      </w:pPr>
      <w:rPr>
        <w:rFonts w:ascii="Wingdings" w:hAnsi="Wingdings" w:hint="default"/>
      </w:rPr>
    </w:lvl>
    <w:lvl w:ilvl="6" w:tplc="08180001" w:tentative="1">
      <w:start w:val="1"/>
      <w:numFmt w:val="bullet"/>
      <w:lvlText w:val=""/>
      <w:lvlJc w:val="left"/>
      <w:pPr>
        <w:ind w:left="5749" w:hanging="360"/>
      </w:pPr>
      <w:rPr>
        <w:rFonts w:ascii="Symbol" w:hAnsi="Symbol" w:hint="default"/>
      </w:rPr>
    </w:lvl>
    <w:lvl w:ilvl="7" w:tplc="08180003" w:tentative="1">
      <w:start w:val="1"/>
      <w:numFmt w:val="bullet"/>
      <w:lvlText w:val="o"/>
      <w:lvlJc w:val="left"/>
      <w:pPr>
        <w:ind w:left="6469" w:hanging="360"/>
      </w:pPr>
      <w:rPr>
        <w:rFonts w:ascii="Courier New" w:hAnsi="Courier New" w:cs="Courier New" w:hint="default"/>
      </w:rPr>
    </w:lvl>
    <w:lvl w:ilvl="8" w:tplc="08180005" w:tentative="1">
      <w:start w:val="1"/>
      <w:numFmt w:val="bullet"/>
      <w:lvlText w:val=""/>
      <w:lvlJc w:val="left"/>
      <w:pPr>
        <w:ind w:left="7189" w:hanging="360"/>
      </w:pPr>
      <w:rPr>
        <w:rFonts w:ascii="Wingdings" w:hAnsi="Wingdings" w:hint="default"/>
      </w:rPr>
    </w:lvl>
  </w:abstractNum>
  <w:abstractNum w:abstractNumId="5" w15:restartNumberingAfterBreak="0">
    <w:nsid w:val="22A546D8"/>
    <w:multiLevelType w:val="hybridMultilevel"/>
    <w:tmpl w:val="3AB0FF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9247A9E"/>
    <w:multiLevelType w:val="hybridMultilevel"/>
    <w:tmpl w:val="9C0CF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1F1E05"/>
    <w:multiLevelType w:val="hybridMultilevel"/>
    <w:tmpl w:val="CADAB514"/>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8" w15:restartNumberingAfterBreak="0">
    <w:nsid w:val="2A257E06"/>
    <w:multiLevelType w:val="hybridMultilevel"/>
    <w:tmpl w:val="0D20F09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311B1516"/>
    <w:multiLevelType w:val="hybridMultilevel"/>
    <w:tmpl w:val="C9EAA7A6"/>
    <w:lvl w:ilvl="0" w:tplc="82440868">
      <w:start w:val="1"/>
      <w:numFmt w:val="lowerLetter"/>
      <w:lvlText w:val="%1)"/>
      <w:lvlJc w:val="left"/>
      <w:pPr>
        <w:ind w:left="689" w:hanging="360"/>
      </w:pPr>
      <w:rPr>
        <w:rFonts w:hint="default"/>
      </w:rPr>
    </w:lvl>
    <w:lvl w:ilvl="1" w:tplc="04190019" w:tentative="1">
      <w:start w:val="1"/>
      <w:numFmt w:val="lowerLetter"/>
      <w:lvlText w:val="%2."/>
      <w:lvlJc w:val="left"/>
      <w:pPr>
        <w:ind w:left="1409" w:hanging="360"/>
      </w:pPr>
    </w:lvl>
    <w:lvl w:ilvl="2" w:tplc="0419001B" w:tentative="1">
      <w:start w:val="1"/>
      <w:numFmt w:val="lowerRoman"/>
      <w:lvlText w:val="%3."/>
      <w:lvlJc w:val="right"/>
      <w:pPr>
        <w:ind w:left="2129" w:hanging="180"/>
      </w:pPr>
    </w:lvl>
    <w:lvl w:ilvl="3" w:tplc="0419000F" w:tentative="1">
      <w:start w:val="1"/>
      <w:numFmt w:val="decimal"/>
      <w:lvlText w:val="%4."/>
      <w:lvlJc w:val="left"/>
      <w:pPr>
        <w:ind w:left="2849" w:hanging="360"/>
      </w:pPr>
    </w:lvl>
    <w:lvl w:ilvl="4" w:tplc="04190019" w:tentative="1">
      <w:start w:val="1"/>
      <w:numFmt w:val="lowerLetter"/>
      <w:lvlText w:val="%5."/>
      <w:lvlJc w:val="left"/>
      <w:pPr>
        <w:ind w:left="3569" w:hanging="360"/>
      </w:pPr>
    </w:lvl>
    <w:lvl w:ilvl="5" w:tplc="0419001B" w:tentative="1">
      <w:start w:val="1"/>
      <w:numFmt w:val="lowerRoman"/>
      <w:lvlText w:val="%6."/>
      <w:lvlJc w:val="right"/>
      <w:pPr>
        <w:ind w:left="4289" w:hanging="180"/>
      </w:pPr>
    </w:lvl>
    <w:lvl w:ilvl="6" w:tplc="0419000F" w:tentative="1">
      <w:start w:val="1"/>
      <w:numFmt w:val="decimal"/>
      <w:lvlText w:val="%7."/>
      <w:lvlJc w:val="left"/>
      <w:pPr>
        <w:ind w:left="5009" w:hanging="360"/>
      </w:pPr>
    </w:lvl>
    <w:lvl w:ilvl="7" w:tplc="04190019" w:tentative="1">
      <w:start w:val="1"/>
      <w:numFmt w:val="lowerLetter"/>
      <w:lvlText w:val="%8."/>
      <w:lvlJc w:val="left"/>
      <w:pPr>
        <w:ind w:left="5729" w:hanging="360"/>
      </w:pPr>
    </w:lvl>
    <w:lvl w:ilvl="8" w:tplc="0419001B" w:tentative="1">
      <w:start w:val="1"/>
      <w:numFmt w:val="lowerRoman"/>
      <w:lvlText w:val="%9."/>
      <w:lvlJc w:val="right"/>
      <w:pPr>
        <w:ind w:left="6449" w:hanging="180"/>
      </w:pPr>
    </w:lvl>
  </w:abstractNum>
  <w:abstractNum w:abstractNumId="10" w15:restartNumberingAfterBreak="0">
    <w:nsid w:val="317C2CD3"/>
    <w:multiLevelType w:val="hybridMultilevel"/>
    <w:tmpl w:val="472E0E70"/>
    <w:lvl w:ilvl="0" w:tplc="4F028C52">
      <w:start w:val="1"/>
      <w:numFmt w:val="decimal"/>
      <w:lvlText w:val="%1."/>
      <w:lvlJc w:val="left"/>
      <w:pPr>
        <w:ind w:left="720" w:hanging="360"/>
      </w:pPr>
      <w:rPr>
        <w:rFonts w:hint="default"/>
        <w:b w:val="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17E6E0E"/>
    <w:multiLevelType w:val="hybridMultilevel"/>
    <w:tmpl w:val="DBCCAD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2B61ADB"/>
    <w:multiLevelType w:val="hybridMultilevel"/>
    <w:tmpl w:val="E3A48662"/>
    <w:lvl w:ilvl="0" w:tplc="88EE98CA">
      <w:start w:val="4"/>
      <w:numFmt w:val="lowerLetter"/>
      <w:lvlText w:val="%1)"/>
      <w:lvlJc w:val="left"/>
      <w:pPr>
        <w:ind w:left="689" w:hanging="360"/>
      </w:pPr>
      <w:rPr>
        <w:rFonts w:eastAsia="Calibri" w:hint="default"/>
      </w:rPr>
    </w:lvl>
    <w:lvl w:ilvl="1" w:tplc="04190019" w:tentative="1">
      <w:start w:val="1"/>
      <w:numFmt w:val="lowerLetter"/>
      <w:lvlText w:val="%2."/>
      <w:lvlJc w:val="left"/>
      <w:pPr>
        <w:ind w:left="1409" w:hanging="360"/>
      </w:pPr>
    </w:lvl>
    <w:lvl w:ilvl="2" w:tplc="0419001B" w:tentative="1">
      <w:start w:val="1"/>
      <w:numFmt w:val="lowerRoman"/>
      <w:lvlText w:val="%3."/>
      <w:lvlJc w:val="right"/>
      <w:pPr>
        <w:ind w:left="2129" w:hanging="180"/>
      </w:pPr>
    </w:lvl>
    <w:lvl w:ilvl="3" w:tplc="0419000F" w:tentative="1">
      <w:start w:val="1"/>
      <w:numFmt w:val="decimal"/>
      <w:lvlText w:val="%4."/>
      <w:lvlJc w:val="left"/>
      <w:pPr>
        <w:ind w:left="2849" w:hanging="360"/>
      </w:pPr>
    </w:lvl>
    <w:lvl w:ilvl="4" w:tplc="04190019" w:tentative="1">
      <w:start w:val="1"/>
      <w:numFmt w:val="lowerLetter"/>
      <w:lvlText w:val="%5."/>
      <w:lvlJc w:val="left"/>
      <w:pPr>
        <w:ind w:left="3569" w:hanging="360"/>
      </w:pPr>
    </w:lvl>
    <w:lvl w:ilvl="5" w:tplc="0419001B" w:tentative="1">
      <w:start w:val="1"/>
      <w:numFmt w:val="lowerRoman"/>
      <w:lvlText w:val="%6."/>
      <w:lvlJc w:val="right"/>
      <w:pPr>
        <w:ind w:left="4289" w:hanging="180"/>
      </w:pPr>
    </w:lvl>
    <w:lvl w:ilvl="6" w:tplc="0419000F" w:tentative="1">
      <w:start w:val="1"/>
      <w:numFmt w:val="decimal"/>
      <w:lvlText w:val="%7."/>
      <w:lvlJc w:val="left"/>
      <w:pPr>
        <w:ind w:left="5009" w:hanging="360"/>
      </w:pPr>
    </w:lvl>
    <w:lvl w:ilvl="7" w:tplc="04190019" w:tentative="1">
      <w:start w:val="1"/>
      <w:numFmt w:val="lowerLetter"/>
      <w:lvlText w:val="%8."/>
      <w:lvlJc w:val="left"/>
      <w:pPr>
        <w:ind w:left="5729" w:hanging="360"/>
      </w:pPr>
    </w:lvl>
    <w:lvl w:ilvl="8" w:tplc="0419001B" w:tentative="1">
      <w:start w:val="1"/>
      <w:numFmt w:val="lowerRoman"/>
      <w:lvlText w:val="%9."/>
      <w:lvlJc w:val="right"/>
      <w:pPr>
        <w:ind w:left="6449" w:hanging="180"/>
      </w:pPr>
    </w:lvl>
  </w:abstractNum>
  <w:abstractNum w:abstractNumId="13" w15:restartNumberingAfterBreak="0">
    <w:nsid w:val="44CB709B"/>
    <w:multiLevelType w:val="hybridMultilevel"/>
    <w:tmpl w:val="56A8FCBA"/>
    <w:lvl w:ilvl="0" w:tplc="E8BAACE4">
      <w:numFmt w:val="bullet"/>
      <w:lvlText w:val="-"/>
      <w:lvlJc w:val="left"/>
      <w:pPr>
        <w:ind w:left="720" w:hanging="360"/>
      </w:pPr>
      <w:rPr>
        <w:rFonts w:ascii="Times New Roman" w:eastAsia="Calibri"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4" w15:restartNumberingAfterBreak="0">
    <w:nsid w:val="4A737569"/>
    <w:multiLevelType w:val="hybridMultilevel"/>
    <w:tmpl w:val="0180DAAC"/>
    <w:lvl w:ilvl="0" w:tplc="5CCA2CD4">
      <w:start w:val="1"/>
      <w:numFmt w:val="bullet"/>
      <w:lvlText w:val="⁃"/>
      <w:lvlJc w:val="left"/>
      <w:pPr>
        <w:ind w:left="1470" w:hanging="360"/>
      </w:pPr>
      <w:rPr>
        <w:rFonts w:ascii="Times New Roman" w:hAnsi="Times New Roman" w:cs="Times New Roman" w:hint="default"/>
      </w:rPr>
    </w:lvl>
    <w:lvl w:ilvl="1" w:tplc="08180003" w:tentative="1">
      <w:start w:val="1"/>
      <w:numFmt w:val="bullet"/>
      <w:lvlText w:val="o"/>
      <w:lvlJc w:val="left"/>
      <w:pPr>
        <w:ind w:left="2190" w:hanging="360"/>
      </w:pPr>
      <w:rPr>
        <w:rFonts w:ascii="Courier New" w:hAnsi="Courier New" w:cs="Courier New" w:hint="default"/>
      </w:rPr>
    </w:lvl>
    <w:lvl w:ilvl="2" w:tplc="08180005" w:tentative="1">
      <w:start w:val="1"/>
      <w:numFmt w:val="bullet"/>
      <w:lvlText w:val=""/>
      <w:lvlJc w:val="left"/>
      <w:pPr>
        <w:ind w:left="2910" w:hanging="360"/>
      </w:pPr>
      <w:rPr>
        <w:rFonts w:ascii="Wingdings" w:hAnsi="Wingdings" w:hint="default"/>
      </w:rPr>
    </w:lvl>
    <w:lvl w:ilvl="3" w:tplc="08180001" w:tentative="1">
      <w:start w:val="1"/>
      <w:numFmt w:val="bullet"/>
      <w:lvlText w:val=""/>
      <w:lvlJc w:val="left"/>
      <w:pPr>
        <w:ind w:left="3630" w:hanging="360"/>
      </w:pPr>
      <w:rPr>
        <w:rFonts w:ascii="Symbol" w:hAnsi="Symbol" w:hint="default"/>
      </w:rPr>
    </w:lvl>
    <w:lvl w:ilvl="4" w:tplc="08180003" w:tentative="1">
      <w:start w:val="1"/>
      <w:numFmt w:val="bullet"/>
      <w:lvlText w:val="o"/>
      <w:lvlJc w:val="left"/>
      <w:pPr>
        <w:ind w:left="4350" w:hanging="360"/>
      </w:pPr>
      <w:rPr>
        <w:rFonts w:ascii="Courier New" w:hAnsi="Courier New" w:cs="Courier New" w:hint="default"/>
      </w:rPr>
    </w:lvl>
    <w:lvl w:ilvl="5" w:tplc="08180005" w:tentative="1">
      <w:start w:val="1"/>
      <w:numFmt w:val="bullet"/>
      <w:lvlText w:val=""/>
      <w:lvlJc w:val="left"/>
      <w:pPr>
        <w:ind w:left="5070" w:hanging="360"/>
      </w:pPr>
      <w:rPr>
        <w:rFonts w:ascii="Wingdings" w:hAnsi="Wingdings" w:hint="default"/>
      </w:rPr>
    </w:lvl>
    <w:lvl w:ilvl="6" w:tplc="08180001" w:tentative="1">
      <w:start w:val="1"/>
      <w:numFmt w:val="bullet"/>
      <w:lvlText w:val=""/>
      <w:lvlJc w:val="left"/>
      <w:pPr>
        <w:ind w:left="5790" w:hanging="360"/>
      </w:pPr>
      <w:rPr>
        <w:rFonts w:ascii="Symbol" w:hAnsi="Symbol" w:hint="default"/>
      </w:rPr>
    </w:lvl>
    <w:lvl w:ilvl="7" w:tplc="08180003" w:tentative="1">
      <w:start w:val="1"/>
      <w:numFmt w:val="bullet"/>
      <w:lvlText w:val="o"/>
      <w:lvlJc w:val="left"/>
      <w:pPr>
        <w:ind w:left="6510" w:hanging="360"/>
      </w:pPr>
      <w:rPr>
        <w:rFonts w:ascii="Courier New" w:hAnsi="Courier New" w:cs="Courier New" w:hint="default"/>
      </w:rPr>
    </w:lvl>
    <w:lvl w:ilvl="8" w:tplc="08180005" w:tentative="1">
      <w:start w:val="1"/>
      <w:numFmt w:val="bullet"/>
      <w:lvlText w:val=""/>
      <w:lvlJc w:val="left"/>
      <w:pPr>
        <w:ind w:left="7230" w:hanging="360"/>
      </w:pPr>
      <w:rPr>
        <w:rFonts w:ascii="Wingdings" w:hAnsi="Wingdings" w:hint="default"/>
      </w:rPr>
    </w:lvl>
  </w:abstractNum>
  <w:abstractNum w:abstractNumId="15" w15:restartNumberingAfterBreak="0">
    <w:nsid w:val="51491E6D"/>
    <w:multiLevelType w:val="hybridMultilevel"/>
    <w:tmpl w:val="F18C3E36"/>
    <w:lvl w:ilvl="0" w:tplc="373661B2">
      <w:numFmt w:val="bullet"/>
      <w:lvlText w:val="-"/>
      <w:lvlJc w:val="left"/>
      <w:pPr>
        <w:ind w:left="720" w:hanging="360"/>
      </w:pPr>
      <w:rPr>
        <w:rFonts w:ascii="Times New Roman" w:eastAsia="Times New Roman"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6" w15:restartNumberingAfterBreak="0">
    <w:nsid w:val="523F0C88"/>
    <w:multiLevelType w:val="hybridMultilevel"/>
    <w:tmpl w:val="F4840D52"/>
    <w:lvl w:ilvl="0" w:tplc="04190001">
      <w:start w:val="1"/>
      <w:numFmt w:val="bullet"/>
      <w:lvlText w:val=""/>
      <w:lvlJc w:val="left"/>
      <w:pPr>
        <w:ind w:left="1440" w:hanging="360"/>
      </w:pPr>
      <w:rPr>
        <w:rFonts w:ascii="Symbol" w:hAnsi="Symbol" w:hint="default"/>
      </w:rPr>
    </w:lvl>
    <w:lvl w:ilvl="1" w:tplc="E8BAACE4">
      <w:numFmt w:val="bullet"/>
      <w:lvlText w:val="-"/>
      <w:lvlJc w:val="left"/>
      <w:pPr>
        <w:ind w:left="2160" w:hanging="360"/>
      </w:pPr>
      <w:rPr>
        <w:rFonts w:ascii="Times New Roman" w:eastAsia="Calibri" w:hAnsi="Times New Roman" w:cs="Times New Roman"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54394338"/>
    <w:multiLevelType w:val="hybridMultilevel"/>
    <w:tmpl w:val="3BA232BC"/>
    <w:lvl w:ilvl="0" w:tplc="02DCED1E">
      <w:start w:val="1"/>
      <w:numFmt w:val="lowerLetter"/>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5E45F25"/>
    <w:multiLevelType w:val="hybridMultilevel"/>
    <w:tmpl w:val="B608C784"/>
    <w:lvl w:ilvl="0" w:tplc="95FA0E4C">
      <w:start w:val="1"/>
      <w:numFmt w:val="decimal"/>
      <w:lvlText w:val="%1."/>
      <w:lvlJc w:val="left"/>
      <w:pPr>
        <w:ind w:left="720" w:hanging="360"/>
      </w:pPr>
      <w:rPr>
        <w:rFonts w:ascii="Times New Roman" w:eastAsia="Calibri"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9DA3FA8"/>
    <w:multiLevelType w:val="hybridMultilevel"/>
    <w:tmpl w:val="98289CA6"/>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20" w15:restartNumberingAfterBreak="0">
    <w:nsid w:val="5ACC1BF5"/>
    <w:multiLevelType w:val="hybridMultilevel"/>
    <w:tmpl w:val="3BA232BC"/>
    <w:lvl w:ilvl="0" w:tplc="02DCED1E">
      <w:start w:val="1"/>
      <w:numFmt w:val="lowerLetter"/>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B1E5272"/>
    <w:multiLevelType w:val="hybridMultilevel"/>
    <w:tmpl w:val="3D60F0C2"/>
    <w:lvl w:ilvl="0" w:tplc="E8BAACE4">
      <w:numFmt w:val="bullet"/>
      <w:lvlText w:val="-"/>
      <w:lvlJc w:val="left"/>
      <w:pPr>
        <w:ind w:left="1429" w:hanging="360"/>
      </w:pPr>
      <w:rPr>
        <w:rFonts w:ascii="Times New Roman" w:eastAsia="Calibri" w:hAnsi="Times New Roman" w:cs="Times New Roman" w:hint="default"/>
      </w:rPr>
    </w:lvl>
    <w:lvl w:ilvl="1" w:tplc="08180003" w:tentative="1">
      <w:start w:val="1"/>
      <w:numFmt w:val="bullet"/>
      <w:lvlText w:val="o"/>
      <w:lvlJc w:val="left"/>
      <w:pPr>
        <w:ind w:left="2149" w:hanging="360"/>
      </w:pPr>
      <w:rPr>
        <w:rFonts w:ascii="Courier New" w:hAnsi="Courier New" w:cs="Courier New" w:hint="default"/>
      </w:rPr>
    </w:lvl>
    <w:lvl w:ilvl="2" w:tplc="08180005" w:tentative="1">
      <w:start w:val="1"/>
      <w:numFmt w:val="bullet"/>
      <w:lvlText w:val=""/>
      <w:lvlJc w:val="left"/>
      <w:pPr>
        <w:ind w:left="2869" w:hanging="360"/>
      </w:pPr>
      <w:rPr>
        <w:rFonts w:ascii="Wingdings" w:hAnsi="Wingdings" w:hint="default"/>
      </w:rPr>
    </w:lvl>
    <w:lvl w:ilvl="3" w:tplc="08180001" w:tentative="1">
      <w:start w:val="1"/>
      <w:numFmt w:val="bullet"/>
      <w:lvlText w:val=""/>
      <w:lvlJc w:val="left"/>
      <w:pPr>
        <w:ind w:left="3589" w:hanging="360"/>
      </w:pPr>
      <w:rPr>
        <w:rFonts w:ascii="Symbol" w:hAnsi="Symbol" w:hint="default"/>
      </w:rPr>
    </w:lvl>
    <w:lvl w:ilvl="4" w:tplc="08180003" w:tentative="1">
      <w:start w:val="1"/>
      <w:numFmt w:val="bullet"/>
      <w:lvlText w:val="o"/>
      <w:lvlJc w:val="left"/>
      <w:pPr>
        <w:ind w:left="4309" w:hanging="360"/>
      </w:pPr>
      <w:rPr>
        <w:rFonts w:ascii="Courier New" w:hAnsi="Courier New" w:cs="Courier New" w:hint="default"/>
      </w:rPr>
    </w:lvl>
    <w:lvl w:ilvl="5" w:tplc="08180005" w:tentative="1">
      <w:start w:val="1"/>
      <w:numFmt w:val="bullet"/>
      <w:lvlText w:val=""/>
      <w:lvlJc w:val="left"/>
      <w:pPr>
        <w:ind w:left="5029" w:hanging="360"/>
      </w:pPr>
      <w:rPr>
        <w:rFonts w:ascii="Wingdings" w:hAnsi="Wingdings" w:hint="default"/>
      </w:rPr>
    </w:lvl>
    <w:lvl w:ilvl="6" w:tplc="08180001" w:tentative="1">
      <w:start w:val="1"/>
      <w:numFmt w:val="bullet"/>
      <w:lvlText w:val=""/>
      <w:lvlJc w:val="left"/>
      <w:pPr>
        <w:ind w:left="5749" w:hanging="360"/>
      </w:pPr>
      <w:rPr>
        <w:rFonts w:ascii="Symbol" w:hAnsi="Symbol" w:hint="default"/>
      </w:rPr>
    </w:lvl>
    <w:lvl w:ilvl="7" w:tplc="08180003" w:tentative="1">
      <w:start w:val="1"/>
      <w:numFmt w:val="bullet"/>
      <w:lvlText w:val="o"/>
      <w:lvlJc w:val="left"/>
      <w:pPr>
        <w:ind w:left="6469" w:hanging="360"/>
      </w:pPr>
      <w:rPr>
        <w:rFonts w:ascii="Courier New" w:hAnsi="Courier New" w:cs="Courier New" w:hint="default"/>
      </w:rPr>
    </w:lvl>
    <w:lvl w:ilvl="8" w:tplc="08180005" w:tentative="1">
      <w:start w:val="1"/>
      <w:numFmt w:val="bullet"/>
      <w:lvlText w:val=""/>
      <w:lvlJc w:val="left"/>
      <w:pPr>
        <w:ind w:left="7189" w:hanging="360"/>
      </w:pPr>
      <w:rPr>
        <w:rFonts w:ascii="Wingdings" w:hAnsi="Wingdings" w:hint="default"/>
      </w:rPr>
    </w:lvl>
  </w:abstractNum>
  <w:abstractNum w:abstractNumId="22" w15:restartNumberingAfterBreak="0">
    <w:nsid w:val="6308003C"/>
    <w:multiLevelType w:val="hybridMultilevel"/>
    <w:tmpl w:val="6FF22BA6"/>
    <w:lvl w:ilvl="0" w:tplc="04090011">
      <w:start w:val="1"/>
      <w:numFmt w:val="decimal"/>
      <w:lvlText w:val="%1)"/>
      <w:lvlJc w:val="left"/>
      <w:pPr>
        <w:ind w:left="1470" w:hanging="360"/>
      </w:pPr>
    </w:lvl>
    <w:lvl w:ilvl="1" w:tplc="08180019" w:tentative="1">
      <w:start w:val="1"/>
      <w:numFmt w:val="lowerLetter"/>
      <w:lvlText w:val="%2."/>
      <w:lvlJc w:val="left"/>
      <w:pPr>
        <w:ind w:left="2190" w:hanging="360"/>
      </w:pPr>
    </w:lvl>
    <w:lvl w:ilvl="2" w:tplc="0818001B" w:tentative="1">
      <w:start w:val="1"/>
      <w:numFmt w:val="lowerRoman"/>
      <w:lvlText w:val="%3."/>
      <w:lvlJc w:val="right"/>
      <w:pPr>
        <w:ind w:left="2910" w:hanging="180"/>
      </w:pPr>
    </w:lvl>
    <w:lvl w:ilvl="3" w:tplc="0818000F" w:tentative="1">
      <w:start w:val="1"/>
      <w:numFmt w:val="decimal"/>
      <w:lvlText w:val="%4."/>
      <w:lvlJc w:val="left"/>
      <w:pPr>
        <w:ind w:left="3630" w:hanging="360"/>
      </w:pPr>
    </w:lvl>
    <w:lvl w:ilvl="4" w:tplc="08180019" w:tentative="1">
      <w:start w:val="1"/>
      <w:numFmt w:val="lowerLetter"/>
      <w:lvlText w:val="%5."/>
      <w:lvlJc w:val="left"/>
      <w:pPr>
        <w:ind w:left="4350" w:hanging="360"/>
      </w:pPr>
    </w:lvl>
    <w:lvl w:ilvl="5" w:tplc="0818001B" w:tentative="1">
      <w:start w:val="1"/>
      <w:numFmt w:val="lowerRoman"/>
      <w:lvlText w:val="%6."/>
      <w:lvlJc w:val="right"/>
      <w:pPr>
        <w:ind w:left="5070" w:hanging="180"/>
      </w:pPr>
    </w:lvl>
    <w:lvl w:ilvl="6" w:tplc="0818000F" w:tentative="1">
      <w:start w:val="1"/>
      <w:numFmt w:val="decimal"/>
      <w:lvlText w:val="%7."/>
      <w:lvlJc w:val="left"/>
      <w:pPr>
        <w:ind w:left="5790" w:hanging="360"/>
      </w:pPr>
    </w:lvl>
    <w:lvl w:ilvl="7" w:tplc="08180019" w:tentative="1">
      <w:start w:val="1"/>
      <w:numFmt w:val="lowerLetter"/>
      <w:lvlText w:val="%8."/>
      <w:lvlJc w:val="left"/>
      <w:pPr>
        <w:ind w:left="6510" w:hanging="360"/>
      </w:pPr>
    </w:lvl>
    <w:lvl w:ilvl="8" w:tplc="0818001B" w:tentative="1">
      <w:start w:val="1"/>
      <w:numFmt w:val="lowerRoman"/>
      <w:lvlText w:val="%9."/>
      <w:lvlJc w:val="right"/>
      <w:pPr>
        <w:ind w:left="7230" w:hanging="180"/>
      </w:pPr>
    </w:lvl>
  </w:abstractNum>
  <w:abstractNum w:abstractNumId="23" w15:restartNumberingAfterBreak="0">
    <w:nsid w:val="6E1609E4"/>
    <w:multiLevelType w:val="hybridMultilevel"/>
    <w:tmpl w:val="2B0261F8"/>
    <w:lvl w:ilvl="0" w:tplc="058E7626">
      <w:start w:val="1"/>
      <w:numFmt w:val="decimal"/>
      <w:lvlText w:val="%1."/>
      <w:lvlJc w:val="righ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4" w15:restartNumberingAfterBreak="0">
    <w:nsid w:val="6E7E16AE"/>
    <w:multiLevelType w:val="hybridMultilevel"/>
    <w:tmpl w:val="F4448D3E"/>
    <w:lvl w:ilvl="0" w:tplc="CC0466E6">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5" w15:restartNumberingAfterBreak="0">
    <w:nsid w:val="702D40CC"/>
    <w:multiLevelType w:val="hybridMultilevel"/>
    <w:tmpl w:val="05FCF602"/>
    <w:lvl w:ilvl="0" w:tplc="E8BAACE4">
      <w:numFmt w:val="bullet"/>
      <w:lvlText w:val="-"/>
      <w:lvlJc w:val="left"/>
      <w:pPr>
        <w:ind w:left="720" w:hanging="360"/>
      </w:pPr>
      <w:rPr>
        <w:rFonts w:ascii="Times New Roman" w:eastAsia="Calibri"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26" w15:restartNumberingAfterBreak="0">
    <w:nsid w:val="7C1D3B11"/>
    <w:multiLevelType w:val="hybridMultilevel"/>
    <w:tmpl w:val="F96EAE2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16980417">
    <w:abstractNumId w:val="23"/>
  </w:num>
  <w:num w:numId="2" w16cid:durableId="732461127">
    <w:abstractNumId w:val="0"/>
  </w:num>
  <w:num w:numId="3" w16cid:durableId="1393580792">
    <w:abstractNumId w:val="24"/>
  </w:num>
  <w:num w:numId="4" w16cid:durableId="1542784669">
    <w:abstractNumId w:val="22"/>
  </w:num>
  <w:num w:numId="5" w16cid:durableId="1505707829">
    <w:abstractNumId w:val="7"/>
  </w:num>
  <w:num w:numId="6" w16cid:durableId="540047484">
    <w:abstractNumId w:val="15"/>
  </w:num>
  <w:num w:numId="7" w16cid:durableId="1109396787">
    <w:abstractNumId w:val="14"/>
  </w:num>
  <w:num w:numId="8" w16cid:durableId="623120139">
    <w:abstractNumId w:val="6"/>
  </w:num>
  <w:num w:numId="9" w16cid:durableId="105656303">
    <w:abstractNumId w:val="16"/>
  </w:num>
  <w:num w:numId="10" w16cid:durableId="1808663920">
    <w:abstractNumId w:val="5"/>
  </w:num>
  <w:num w:numId="11" w16cid:durableId="2140998144">
    <w:abstractNumId w:val="1"/>
  </w:num>
  <w:num w:numId="12" w16cid:durableId="1878734926">
    <w:abstractNumId w:val="17"/>
  </w:num>
  <w:num w:numId="13" w16cid:durableId="421990768">
    <w:abstractNumId w:val="20"/>
  </w:num>
  <w:num w:numId="14" w16cid:durableId="1138761858">
    <w:abstractNumId w:val="11"/>
  </w:num>
  <w:num w:numId="15" w16cid:durableId="70590006">
    <w:abstractNumId w:val="26"/>
  </w:num>
  <w:num w:numId="16" w16cid:durableId="400375738">
    <w:abstractNumId w:val="9"/>
  </w:num>
  <w:num w:numId="17" w16cid:durableId="880435855">
    <w:abstractNumId w:val="12"/>
  </w:num>
  <w:num w:numId="18" w16cid:durableId="1204251386">
    <w:abstractNumId w:val="18"/>
  </w:num>
  <w:num w:numId="19" w16cid:durableId="1062872091">
    <w:abstractNumId w:val="10"/>
  </w:num>
  <w:num w:numId="20" w16cid:durableId="1743988612">
    <w:abstractNumId w:val="8"/>
  </w:num>
  <w:num w:numId="21" w16cid:durableId="1002389176">
    <w:abstractNumId w:val="2"/>
  </w:num>
  <w:num w:numId="22" w16cid:durableId="1947693726">
    <w:abstractNumId w:val="19"/>
  </w:num>
  <w:num w:numId="23" w16cid:durableId="1330449035">
    <w:abstractNumId w:val="4"/>
  </w:num>
  <w:num w:numId="24" w16cid:durableId="1550147872">
    <w:abstractNumId w:val="21"/>
  </w:num>
  <w:num w:numId="25" w16cid:durableId="835732511">
    <w:abstractNumId w:val="3"/>
  </w:num>
  <w:num w:numId="26" w16cid:durableId="1670210528">
    <w:abstractNumId w:val="13"/>
  </w:num>
  <w:num w:numId="27" w16cid:durableId="123647555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72A"/>
    <w:rsid w:val="000029C1"/>
    <w:rsid w:val="0000482D"/>
    <w:rsid w:val="0002723F"/>
    <w:rsid w:val="000364D0"/>
    <w:rsid w:val="00046119"/>
    <w:rsid w:val="00051E69"/>
    <w:rsid w:val="00057DB8"/>
    <w:rsid w:val="000608DF"/>
    <w:rsid w:val="00077A97"/>
    <w:rsid w:val="00092F30"/>
    <w:rsid w:val="00093B2A"/>
    <w:rsid w:val="000A2D2D"/>
    <w:rsid w:val="000A5D97"/>
    <w:rsid w:val="000B4065"/>
    <w:rsid w:val="000C3F41"/>
    <w:rsid w:val="000F1C03"/>
    <w:rsid w:val="000F3A15"/>
    <w:rsid w:val="000F623B"/>
    <w:rsid w:val="00103ACC"/>
    <w:rsid w:val="00106AB8"/>
    <w:rsid w:val="00111AB8"/>
    <w:rsid w:val="0013281D"/>
    <w:rsid w:val="00141AE1"/>
    <w:rsid w:val="00144853"/>
    <w:rsid w:val="001614AE"/>
    <w:rsid w:val="00161D3F"/>
    <w:rsid w:val="00165332"/>
    <w:rsid w:val="00173B61"/>
    <w:rsid w:val="00175213"/>
    <w:rsid w:val="001815A2"/>
    <w:rsid w:val="00183C96"/>
    <w:rsid w:val="00186980"/>
    <w:rsid w:val="001A1885"/>
    <w:rsid w:val="001D0221"/>
    <w:rsid w:val="001D6FB9"/>
    <w:rsid w:val="001E6A80"/>
    <w:rsid w:val="002045EA"/>
    <w:rsid w:val="00224E52"/>
    <w:rsid w:val="00237F7E"/>
    <w:rsid w:val="0026056B"/>
    <w:rsid w:val="00261352"/>
    <w:rsid w:val="00266EA8"/>
    <w:rsid w:val="00271C76"/>
    <w:rsid w:val="00282A50"/>
    <w:rsid w:val="002A3C3C"/>
    <w:rsid w:val="002D16FE"/>
    <w:rsid w:val="002D407F"/>
    <w:rsid w:val="002D5481"/>
    <w:rsid w:val="002D7217"/>
    <w:rsid w:val="00301DAF"/>
    <w:rsid w:val="00353470"/>
    <w:rsid w:val="00357E3C"/>
    <w:rsid w:val="00363A66"/>
    <w:rsid w:val="003707B6"/>
    <w:rsid w:val="003724D7"/>
    <w:rsid w:val="003735BF"/>
    <w:rsid w:val="003B134F"/>
    <w:rsid w:val="003C2201"/>
    <w:rsid w:val="003C57F0"/>
    <w:rsid w:val="003D636E"/>
    <w:rsid w:val="003E0EDC"/>
    <w:rsid w:val="003F37DC"/>
    <w:rsid w:val="003F5A25"/>
    <w:rsid w:val="00411F3C"/>
    <w:rsid w:val="00426AF8"/>
    <w:rsid w:val="00431A8C"/>
    <w:rsid w:val="00450651"/>
    <w:rsid w:val="00455087"/>
    <w:rsid w:val="004555A0"/>
    <w:rsid w:val="0048765C"/>
    <w:rsid w:val="00494D44"/>
    <w:rsid w:val="004B0B4F"/>
    <w:rsid w:val="004C6111"/>
    <w:rsid w:val="004E36E3"/>
    <w:rsid w:val="004E4E63"/>
    <w:rsid w:val="004E5DA1"/>
    <w:rsid w:val="004F2CA4"/>
    <w:rsid w:val="004F4D4C"/>
    <w:rsid w:val="00507539"/>
    <w:rsid w:val="005236CE"/>
    <w:rsid w:val="0052447C"/>
    <w:rsid w:val="0053439F"/>
    <w:rsid w:val="00546868"/>
    <w:rsid w:val="0055315B"/>
    <w:rsid w:val="00557C0D"/>
    <w:rsid w:val="0056437A"/>
    <w:rsid w:val="00565781"/>
    <w:rsid w:val="005816FB"/>
    <w:rsid w:val="00590746"/>
    <w:rsid w:val="005909A5"/>
    <w:rsid w:val="005B3355"/>
    <w:rsid w:val="005C5731"/>
    <w:rsid w:val="005D0596"/>
    <w:rsid w:val="005E1565"/>
    <w:rsid w:val="005E4FCF"/>
    <w:rsid w:val="00605D61"/>
    <w:rsid w:val="00615451"/>
    <w:rsid w:val="00624300"/>
    <w:rsid w:val="006412E0"/>
    <w:rsid w:val="00652796"/>
    <w:rsid w:val="00663108"/>
    <w:rsid w:val="00667163"/>
    <w:rsid w:val="00692689"/>
    <w:rsid w:val="006A1738"/>
    <w:rsid w:val="006C37CC"/>
    <w:rsid w:val="006D710F"/>
    <w:rsid w:val="006E390B"/>
    <w:rsid w:val="00701D71"/>
    <w:rsid w:val="0070624A"/>
    <w:rsid w:val="007360CA"/>
    <w:rsid w:val="00747D4C"/>
    <w:rsid w:val="00754180"/>
    <w:rsid w:val="00754D50"/>
    <w:rsid w:val="007601CF"/>
    <w:rsid w:val="0076468C"/>
    <w:rsid w:val="00770A48"/>
    <w:rsid w:val="007B3E6D"/>
    <w:rsid w:val="007D1D09"/>
    <w:rsid w:val="007D22AA"/>
    <w:rsid w:val="007E306C"/>
    <w:rsid w:val="007E48C4"/>
    <w:rsid w:val="007F300E"/>
    <w:rsid w:val="007F5162"/>
    <w:rsid w:val="00801390"/>
    <w:rsid w:val="00805FC9"/>
    <w:rsid w:val="00810682"/>
    <w:rsid w:val="008114DC"/>
    <w:rsid w:val="00824374"/>
    <w:rsid w:val="0084240D"/>
    <w:rsid w:val="00845A96"/>
    <w:rsid w:val="00850FC7"/>
    <w:rsid w:val="00851DD2"/>
    <w:rsid w:val="0086218D"/>
    <w:rsid w:val="008A12CB"/>
    <w:rsid w:val="008A3DD6"/>
    <w:rsid w:val="008A5EBC"/>
    <w:rsid w:val="008B1D23"/>
    <w:rsid w:val="008B6249"/>
    <w:rsid w:val="008C5AC4"/>
    <w:rsid w:val="008C6DA1"/>
    <w:rsid w:val="008C73B8"/>
    <w:rsid w:val="008D6984"/>
    <w:rsid w:val="008E409F"/>
    <w:rsid w:val="008F0E4C"/>
    <w:rsid w:val="009012A8"/>
    <w:rsid w:val="00907FB0"/>
    <w:rsid w:val="009143AA"/>
    <w:rsid w:val="0093542C"/>
    <w:rsid w:val="009474AA"/>
    <w:rsid w:val="00947B59"/>
    <w:rsid w:val="00954BC7"/>
    <w:rsid w:val="009560CB"/>
    <w:rsid w:val="00973609"/>
    <w:rsid w:val="00994496"/>
    <w:rsid w:val="009A3535"/>
    <w:rsid w:val="009D178B"/>
    <w:rsid w:val="009F2834"/>
    <w:rsid w:val="009F48C7"/>
    <w:rsid w:val="009F5DDA"/>
    <w:rsid w:val="00A04183"/>
    <w:rsid w:val="00A1774A"/>
    <w:rsid w:val="00A2310E"/>
    <w:rsid w:val="00A23EF7"/>
    <w:rsid w:val="00A42292"/>
    <w:rsid w:val="00A45C75"/>
    <w:rsid w:val="00A64CD5"/>
    <w:rsid w:val="00A67C4E"/>
    <w:rsid w:val="00A71D00"/>
    <w:rsid w:val="00A83239"/>
    <w:rsid w:val="00A877FD"/>
    <w:rsid w:val="00A97619"/>
    <w:rsid w:val="00AA22FF"/>
    <w:rsid w:val="00AA71A5"/>
    <w:rsid w:val="00AD45AF"/>
    <w:rsid w:val="00AE52F1"/>
    <w:rsid w:val="00B029FA"/>
    <w:rsid w:val="00B32C58"/>
    <w:rsid w:val="00B41180"/>
    <w:rsid w:val="00B50AFE"/>
    <w:rsid w:val="00B51A34"/>
    <w:rsid w:val="00B632F4"/>
    <w:rsid w:val="00B70FF7"/>
    <w:rsid w:val="00B75DC8"/>
    <w:rsid w:val="00B8383D"/>
    <w:rsid w:val="00BA064E"/>
    <w:rsid w:val="00BC168B"/>
    <w:rsid w:val="00BD3F9D"/>
    <w:rsid w:val="00BE263B"/>
    <w:rsid w:val="00BE2AE6"/>
    <w:rsid w:val="00BE38DB"/>
    <w:rsid w:val="00BE4ED9"/>
    <w:rsid w:val="00BE5534"/>
    <w:rsid w:val="00C114D1"/>
    <w:rsid w:val="00C12BEA"/>
    <w:rsid w:val="00C15AC1"/>
    <w:rsid w:val="00C22934"/>
    <w:rsid w:val="00C52659"/>
    <w:rsid w:val="00C85D28"/>
    <w:rsid w:val="00C85DB2"/>
    <w:rsid w:val="00CB30FE"/>
    <w:rsid w:val="00CC01D5"/>
    <w:rsid w:val="00CC0924"/>
    <w:rsid w:val="00CC1E54"/>
    <w:rsid w:val="00CC4972"/>
    <w:rsid w:val="00CC5392"/>
    <w:rsid w:val="00CC7BE1"/>
    <w:rsid w:val="00CD413D"/>
    <w:rsid w:val="00CD7DCF"/>
    <w:rsid w:val="00CE5524"/>
    <w:rsid w:val="00D031A1"/>
    <w:rsid w:val="00D22B87"/>
    <w:rsid w:val="00D269AE"/>
    <w:rsid w:val="00D27612"/>
    <w:rsid w:val="00D54203"/>
    <w:rsid w:val="00D55C61"/>
    <w:rsid w:val="00D565DA"/>
    <w:rsid w:val="00D92C9E"/>
    <w:rsid w:val="00D9362C"/>
    <w:rsid w:val="00D940FB"/>
    <w:rsid w:val="00DA572A"/>
    <w:rsid w:val="00DC3735"/>
    <w:rsid w:val="00DC3B76"/>
    <w:rsid w:val="00DC7AD5"/>
    <w:rsid w:val="00DD4DFC"/>
    <w:rsid w:val="00E01754"/>
    <w:rsid w:val="00E3292C"/>
    <w:rsid w:val="00E33C2B"/>
    <w:rsid w:val="00E35B8F"/>
    <w:rsid w:val="00E377F5"/>
    <w:rsid w:val="00E41CF2"/>
    <w:rsid w:val="00E5475B"/>
    <w:rsid w:val="00E55CF7"/>
    <w:rsid w:val="00E62FDD"/>
    <w:rsid w:val="00E66276"/>
    <w:rsid w:val="00E751B0"/>
    <w:rsid w:val="00E80EB8"/>
    <w:rsid w:val="00E872FB"/>
    <w:rsid w:val="00E92F19"/>
    <w:rsid w:val="00EA4E36"/>
    <w:rsid w:val="00EA58B7"/>
    <w:rsid w:val="00EB6ACF"/>
    <w:rsid w:val="00EC0DC1"/>
    <w:rsid w:val="00EC5E44"/>
    <w:rsid w:val="00ED3584"/>
    <w:rsid w:val="00ED694E"/>
    <w:rsid w:val="00ED7A74"/>
    <w:rsid w:val="00EE5CD0"/>
    <w:rsid w:val="00EF77D8"/>
    <w:rsid w:val="00EF7EE7"/>
    <w:rsid w:val="00F100B0"/>
    <w:rsid w:val="00F11D36"/>
    <w:rsid w:val="00F12890"/>
    <w:rsid w:val="00F24997"/>
    <w:rsid w:val="00F2593E"/>
    <w:rsid w:val="00F347C7"/>
    <w:rsid w:val="00F45244"/>
    <w:rsid w:val="00F51C93"/>
    <w:rsid w:val="00F60B6D"/>
    <w:rsid w:val="00F63225"/>
    <w:rsid w:val="00F67169"/>
    <w:rsid w:val="00F92275"/>
    <w:rsid w:val="00F96D31"/>
    <w:rsid w:val="00F97ACA"/>
    <w:rsid w:val="00FA5AA0"/>
    <w:rsid w:val="00FB22B8"/>
    <w:rsid w:val="00FB245D"/>
    <w:rsid w:val="00FC4591"/>
    <w:rsid w:val="00FD13B4"/>
    <w:rsid w:val="00FD551E"/>
    <w:rsid w:val="00FE3F29"/>
    <w:rsid w:val="00FF67E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32D15"/>
  <w15:docId w15:val="{5893470C-E0DB-488D-B116-0ED7A831F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1"/>
    <w:qFormat/>
    <w:rsid w:val="00DA572A"/>
    <w:pPr>
      <w:ind w:left="720"/>
      <w:contextualSpacing/>
    </w:pPr>
  </w:style>
  <w:style w:type="table" w:styleId="Tabelgril">
    <w:name w:val="Table Grid"/>
    <w:basedOn w:val="TabelNormal"/>
    <w:uiPriority w:val="59"/>
    <w:rsid w:val="00DA572A"/>
    <w:pPr>
      <w:spacing w:after="0" w:line="240" w:lineRule="auto"/>
    </w:pPr>
    <w:rPr>
      <w:sz w:val="28"/>
      <w:szCs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DA572A"/>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A572A"/>
    <w:rPr>
      <w:rFonts w:ascii="Tahoma" w:hAnsi="Tahoma" w:cs="Tahoma"/>
      <w:sz w:val="16"/>
      <w:szCs w:val="16"/>
      <w:lang w:val="ro-RO"/>
    </w:rPr>
  </w:style>
  <w:style w:type="character" w:styleId="Hyperlink">
    <w:name w:val="Hyperlink"/>
    <w:basedOn w:val="Fontdeparagrafimplicit"/>
    <w:unhideWhenUsed/>
    <w:rsid w:val="00907FB0"/>
    <w:rPr>
      <w:color w:val="0000FF"/>
      <w:u w:val="single"/>
    </w:rPr>
  </w:style>
  <w:style w:type="paragraph" w:styleId="NormalWeb">
    <w:name w:val="Normal (Web)"/>
    <w:basedOn w:val="Normal"/>
    <w:uiPriority w:val="99"/>
    <w:semiHidden/>
    <w:unhideWhenUsed/>
    <w:rsid w:val="00605D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
    <w:name w:val="rg"/>
    <w:basedOn w:val="Normal"/>
    <w:rsid w:val="0076468C"/>
    <w:pPr>
      <w:spacing w:before="100" w:beforeAutospacing="1" w:after="100" w:afterAutospacing="1" w:line="240" w:lineRule="auto"/>
    </w:pPr>
    <w:rPr>
      <w:rFonts w:ascii="Times New Roman" w:eastAsia="Times New Roman" w:hAnsi="Times New Roman" w:cs="Times New Roman"/>
      <w:sz w:val="24"/>
      <w:szCs w:val="24"/>
    </w:rPr>
  </w:style>
  <w:style w:type="paragraph" w:styleId="Indentcorptext">
    <w:name w:val="Body Text Indent"/>
    <w:basedOn w:val="Normal"/>
    <w:link w:val="IndentcorptextCaracter"/>
    <w:rsid w:val="00F97ACA"/>
    <w:pPr>
      <w:spacing w:after="120" w:line="240" w:lineRule="auto"/>
      <w:ind w:left="283"/>
    </w:pPr>
    <w:rPr>
      <w:rFonts w:ascii="Times New Roman" w:eastAsia="Times New Roman" w:hAnsi="Times New Roman" w:cs="Times New Roman"/>
      <w:sz w:val="24"/>
      <w:szCs w:val="24"/>
      <w:lang w:val="x-none" w:eastAsia="x-none"/>
    </w:rPr>
  </w:style>
  <w:style w:type="character" w:customStyle="1" w:styleId="IndentcorptextCaracter">
    <w:name w:val="Indent corp text Caracter"/>
    <w:basedOn w:val="Fontdeparagrafimplicit"/>
    <w:link w:val="Indentcorptext"/>
    <w:rsid w:val="00F97ACA"/>
    <w:rPr>
      <w:rFonts w:ascii="Times New Roman" w:eastAsia="Times New Roman" w:hAnsi="Times New Roman" w:cs="Times New Roman"/>
      <w:sz w:val="24"/>
      <w:szCs w:val="24"/>
      <w:lang w:val="x-none" w:eastAsia="x-none"/>
    </w:rPr>
  </w:style>
  <w:style w:type="paragraph" w:styleId="Revizuire">
    <w:name w:val="Revision"/>
    <w:hidden/>
    <w:uiPriority w:val="99"/>
    <w:semiHidden/>
    <w:rsid w:val="00F51C93"/>
    <w:pPr>
      <w:spacing w:after="0" w:line="240" w:lineRule="auto"/>
    </w:pPr>
  </w:style>
  <w:style w:type="character" w:styleId="Referincomentariu">
    <w:name w:val="annotation reference"/>
    <w:basedOn w:val="Fontdeparagrafimplicit"/>
    <w:uiPriority w:val="99"/>
    <w:semiHidden/>
    <w:unhideWhenUsed/>
    <w:rsid w:val="00092F30"/>
    <w:rPr>
      <w:sz w:val="16"/>
      <w:szCs w:val="16"/>
    </w:rPr>
  </w:style>
  <w:style w:type="paragraph" w:styleId="Textcomentariu">
    <w:name w:val="annotation text"/>
    <w:basedOn w:val="Normal"/>
    <w:link w:val="TextcomentariuCaracter"/>
    <w:uiPriority w:val="99"/>
    <w:semiHidden/>
    <w:unhideWhenUsed/>
    <w:rsid w:val="00092F30"/>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092F30"/>
    <w:rPr>
      <w:sz w:val="20"/>
      <w:szCs w:val="20"/>
    </w:rPr>
  </w:style>
  <w:style w:type="paragraph" w:styleId="SubiectComentariu">
    <w:name w:val="annotation subject"/>
    <w:basedOn w:val="Textcomentariu"/>
    <w:next w:val="Textcomentariu"/>
    <w:link w:val="SubiectComentariuCaracter"/>
    <w:uiPriority w:val="99"/>
    <w:semiHidden/>
    <w:unhideWhenUsed/>
    <w:rsid w:val="00092F30"/>
    <w:rPr>
      <w:b/>
      <w:bCs/>
    </w:rPr>
  </w:style>
  <w:style w:type="character" w:customStyle="1" w:styleId="SubiectComentariuCaracter">
    <w:name w:val="Subiect Comentariu Caracter"/>
    <w:basedOn w:val="TextcomentariuCaracter"/>
    <w:link w:val="SubiectComentariu"/>
    <w:uiPriority w:val="99"/>
    <w:semiHidden/>
    <w:rsid w:val="00092F30"/>
    <w:rPr>
      <w:b/>
      <w:bCs/>
      <w:sz w:val="20"/>
      <w:szCs w:val="20"/>
    </w:rPr>
  </w:style>
  <w:style w:type="character" w:customStyle="1" w:styleId="UnresolvedMention1">
    <w:name w:val="Unresolved Mention1"/>
    <w:basedOn w:val="Fontdeparagrafimplicit"/>
    <w:uiPriority w:val="99"/>
    <w:semiHidden/>
    <w:unhideWhenUsed/>
    <w:rsid w:val="00D031A1"/>
    <w:rPr>
      <w:color w:val="605E5C"/>
      <w:shd w:val="clear" w:color="auto" w:fill="E1DFDD"/>
    </w:rPr>
  </w:style>
  <w:style w:type="paragraph" w:styleId="Frspaiere">
    <w:name w:val="No Spacing"/>
    <w:uiPriority w:val="1"/>
    <w:qFormat/>
    <w:rsid w:val="00CC7BE1"/>
    <w:pPr>
      <w:spacing w:after="0" w:line="240" w:lineRule="auto"/>
    </w:pPr>
    <w:rPr>
      <w:rFonts w:eastAsiaTheme="minorHAnsi"/>
      <w:lang w:val="en-US" w:eastAsia="en-US"/>
    </w:rPr>
  </w:style>
  <w:style w:type="paragraph" w:customStyle="1" w:styleId="Default">
    <w:name w:val="Default"/>
    <w:rsid w:val="008C73B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eniuneNerezolvat1">
    <w:name w:val="Mențiune Nerezolvat1"/>
    <w:basedOn w:val="Fontdeparagrafimplicit"/>
    <w:uiPriority w:val="99"/>
    <w:semiHidden/>
    <w:unhideWhenUsed/>
    <w:rsid w:val="00093B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068551">
      <w:bodyDiv w:val="1"/>
      <w:marLeft w:val="0"/>
      <w:marRight w:val="0"/>
      <w:marTop w:val="0"/>
      <w:marBottom w:val="0"/>
      <w:divBdr>
        <w:top w:val="none" w:sz="0" w:space="0" w:color="auto"/>
        <w:left w:val="none" w:sz="0" w:space="0" w:color="auto"/>
        <w:bottom w:val="none" w:sz="0" w:space="0" w:color="auto"/>
        <w:right w:val="none" w:sz="0" w:space="0" w:color="auto"/>
      </w:divBdr>
    </w:div>
    <w:div w:id="210110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oina.usaci@mec.gov.m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2614</TotalTime>
  <Pages>8</Pages>
  <Words>4029</Words>
  <Characters>23370</Characters>
  <Application>Microsoft Office Word</Application>
  <DocSecurity>0</DocSecurity>
  <Lines>194</Lines>
  <Paragraphs>54</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diakov.net</Company>
  <LinksUpToDate>false</LinksUpToDate>
  <CharactersWithSpaces>27345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Erhan</dc:creator>
  <cp:lastModifiedBy>Utilizator</cp:lastModifiedBy>
  <cp:revision>92</cp:revision>
  <cp:lastPrinted>2025-12-26T08:25:00Z</cp:lastPrinted>
  <dcterms:created xsi:type="dcterms:W3CDTF">2023-09-21T13:27:00Z</dcterms:created>
  <dcterms:modified xsi:type="dcterms:W3CDTF">2025-12-26T09:11:00Z</dcterms:modified>
</cp:coreProperties>
</file>