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04AC" w:rsidRPr="00B8624D" w:rsidRDefault="002F04AC" w:rsidP="002F04AC">
      <w:pPr>
        <w:shd w:val="clear" w:color="auto" w:fill="FFFFFF"/>
        <w:spacing w:before="165" w:after="165"/>
        <w:jc w:val="right"/>
        <w:outlineLvl w:val="3"/>
        <w:rPr>
          <w:rFonts w:eastAsia="Times New Roman" w:cs="Times New Roman"/>
          <w:color w:val="333333"/>
          <w:kern w:val="0"/>
          <w:sz w:val="24"/>
          <w:szCs w:val="24"/>
          <w:lang w:val="ro-RO" w:eastAsia="ro-MD"/>
          <w14:ligatures w14:val="none"/>
        </w:rPr>
      </w:pPr>
      <w:r w:rsidRPr="00B8624D">
        <w:rPr>
          <w:rFonts w:eastAsia="Times New Roman" w:cs="Times New Roman"/>
          <w:color w:val="333333"/>
          <w:kern w:val="0"/>
          <w:sz w:val="24"/>
          <w:szCs w:val="24"/>
          <w:lang w:val="ro-RO" w:eastAsia="ro-MD"/>
          <w14:ligatures w14:val="none"/>
        </w:rPr>
        <w:t>proiect</w:t>
      </w:r>
    </w:p>
    <w:p w:rsidR="002F04AC" w:rsidRPr="00B8624D" w:rsidRDefault="002F04AC" w:rsidP="002F04AC">
      <w:pPr>
        <w:shd w:val="clear" w:color="auto" w:fill="FFFFFF"/>
        <w:spacing w:before="165" w:after="165"/>
        <w:jc w:val="center"/>
        <w:outlineLvl w:val="3"/>
        <w:rPr>
          <w:rFonts w:eastAsia="Times New Roman" w:cs="Times New Roman"/>
          <w:b/>
          <w:bCs/>
          <w:color w:val="333333"/>
          <w:kern w:val="0"/>
          <w:sz w:val="24"/>
          <w:szCs w:val="24"/>
          <w:lang w:val="ro-RO" w:eastAsia="ro-MD"/>
          <w14:ligatures w14:val="none"/>
        </w:rPr>
      </w:pPr>
      <w:r w:rsidRPr="00B8624D">
        <w:rPr>
          <w:rFonts w:eastAsia="Times New Roman" w:cs="Times New Roman"/>
          <w:b/>
          <w:bCs/>
          <w:color w:val="333333"/>
          <w:kern w:val="0"/>
          <w:sz w:val="24"/>
          <w:szCs w:val="24"/>
          <w:lang w:val="ro-RO" w:eastAsia="ro-MD"/>
          <w14:ligatures w14:val="none"/>
        </w:rPr>
        <w:t>GUVERNUL REPUBLICII MOLDOVA</w:t>
      </w:r>
    </w:p>
    <w:p w:rsidR="002F04AC" w:rsidRPr="00B8624D" w:rsidRDefault="002F04AC" w:rsidP="002F04AC">
      <w:pPr>
        <w:shd w:val="clear" w:color="auto" w:fill="FFFFFF"/>
        <w:spacing w:before="165" w:after="165"/>
        <w:jc w:val="center"/>
        <w:outlineLvl w:val="3"/>
        <w:rPr>
          <w:rFonts w:eastAsia="Times New Roman" w:cs="Times New Roman"/>
          <w:b/>
          <w:bCs/>
          <w:color w:val="333333"/>
          <w:kern w:val="0"/>
          <w:sz w:val="24"/>
          <w:szCs w:val="24"/>
          <w:lang w:val="ro-RO" w:eastAsia="ro-MD"/>
          <w14:ligatures w14:val="none"/>
        </w:rPr>
      </w:pPr>
      <w:r w:rsidRPr="00B8624D">
        <w:rPr>
          <w:rFonts w:eastAsia="Times New Roman" w:cs="Times New Roman"/>
          <w:b/>
          <w:bCs/>
          <w:color w:val="333333"/>
          <w:kern w:val="0"/>
          <w:sz w:val="24"/>
          <w:szCs w:val="24"/>
          <w:lang w:val="ro-RO" w:eastAsia="ro-MD"/>
          <w14:ligatures w14:val="none"/>
        </w:rPr>
        <w:t>HOTĂRÂRE nr.___</w:t>
      </w:r>
    </w:p>
    <w:p w:rsidR="002F04AC" w:rsidRPr="00B8624D" w:rsidRDefault="002F04AC" w:rsidP="002F04AC">
      <w:pPr>
        <w:shd w:val="clear" w:color="auto" w:fill="FFFFFF"/>
        <w:spacing w:before="165" w:after="165"/>
        <w:jc w:val="center"/>
        <w:outlineLvl w:val="3"/>
        <w:rPr>
          <w:rFonts w:eastAsia="Times New Roman" w:cs="Times New Roman"/>
          <w:b/>
          <w:bCs/>
          <w:color w:val="333333"/>
          <w:kern w:val="0"/>
          <w:sz w:val="24"/>
          <w:szCs w:val="24"/>
          <w:lang w:val="ro-RO" w:eastAsia="ro-MD"/>
          <w14:ligatures w14:val="none"/>
        </w:rPr>
      </w:pPr>
      <w:r w:rsidRPr="00B8624D">
        <w:rPr>
          <w:rFonts w:eastAsia="Times New Roman" w:cs="Times New Roman"/>
          <w:b/>
          <w:bCs/>
          <w:color w:val="333333"/>
          <w:kern w:val="0"/>
          <w:sz w:val="24"/>
          <w:szCs w:val="24"/>
          <w:lang w:val="ro-RO" w:eastAsia="ro-MD"/>
          <w14:ligatures w14:val="none"/>
        </w:rPr>
        <w:t>din _____________________202</w:t>
      </w:r>
      <w:r w:rsidRPr="00B8624D">
        <w:rPr>
          <w:rFonts w:eastAsia="Times New Roman" w:cs="Times New Roman"/>
          <w:b/>
          <w:bCs/>
          <w:color w:val="333333"/>
          <w:kern w:val="0"/>
          <w:sz w:val="24"/>
          <w:szCs w:val="24"/>
          <w:lang w:val="ro-RO" w:eastAsia="ro-MD"/>
          <w14:ligatures w14:val="none"/>
        </w:rPr>
        <w:t>5</w:t>
      </w:r>
    </w:p>
    <w:p w:rsidR="002F04AC" w:rsidRPr="00B8624D" w:rsidRDefault="002F04AC" w:rsidP="002F04AC">
      <w:pPr>
        <w:shd w:val="clear" w:color="auto" w:fill="FFFFFF"/>
        <w:spacing w:before="165" w:after="165"/>
        <w:jc w:val="center"/>
        <w:outlineLvl w:val="3"/>
        <w:rPr>
          <w:rFonts w:eastAsia="Times New Roman" w:cs="Times New Roman"/>
          <w:b/>
          <w:bCs/>
          <w:color w:val="333333"/>
          <w:kern w:val="0"/>
          <w:sz w:val="24"/>
          <w:szCs w:val="24"/>
          <w:lang w:val="ro-RO" w:eastAsia="ro-MD"/>
          <w14:ligatures w14:val="none"/>
        </w:rPr>
      </w:pPr>
      <w:r w:rsidRPr="00B8624D">
        <w:rPr>
          <w:rFonts w:eastAsia="Times New Roman" w:cs="Times New Roman"/>
          <w:b/>
          <w:bCs/>
          <w:color w:val="333333"/>
          <w:kern w:val="0"/>
          <w:sz w:val="24"/>
          <w:szCs w:val="24"/>
          <w:lang w:val="ro-RO" w:eastAsia="ro-MD"/>
          <w14:ligatures w14:val="none"/>
        </w:rPr>
        <w:t>Chișinău</w:t>
      </w:r>
    </w:p>
    <w:p w:rsidR="002F04AC" w:rsidRPr="00B8624D" w:rsidRDefault="002F04AC" w:rsidP="002F04AC">
      <w:pPr>
        <w:spacing w:after="0"/>
        <w:ind w:firstLine="851"/>
        <w:jc w:val="center"/>
        <w:rPr>
          <w:rFonts w:eastAsia="Times New Roman" w:cs="Times New Roman"/>
          <w:b/>
          <w:bCs/>
          <w:color w:val="333333"/>
          <w:kern w:val="0"/>
          <w:sz w:val="24"/>
          <w:szCs w:val="24"/>
          <w:lang w:val="ro-RO" w:eastAsia="ro-MD"/>
          <w14:ligatures w14:val="none"/>
        </w:rPr>
      </w:pPr>
      <w:r w:rsidRPr="00B8624D">
        <w:rPr>
          <w:rFonts w:eastAsia="Times New Roman" w:cs="Times New Roman"/>
          <w:b/>
          <w:bCs/>
          <w:color w:val="333333"/>
          <w:kern w:val="0"/>
          <w:sz w:val="24"/>
          <w:szCs w:val="24"/>
          <w:lang w:val="ro-RO" w:eastAsia="ro-MD"/>
          <w14:ligatures w14:val="none"/>
        </w:rPr>
        <w:t>cu privire la reorganizarea Instituți</w:t>
      </w:r>
      <w:r w:rsidR="00720FA5" w:rsidRPr="00B8624D">
        <w:rPr>
          <w:rFonts w:eastAsia="Times New Roman" w:cs="Times New Roman"/>
          <w:b/>
          <w:bCs/>
          <w:color w:val="333333"/>
          <w:kern w:val="0"/>
          <w:sz w:val="24"/>
          <w:szCs w:val="24"/>
          <w:lang w:val="ro-RO" w:eastAsia="ro-MD"/>
          <w14:ligatures w14:val="none"/>
        </w:rPr>
        <w:t>ei</w:t>
      </w:r>
      <w:r w:rsidRPr="00B8624D">
        <w:rPr>
          <w:rFonts w:eastAsia="Times New Roman" w:cs="Times New Roman"/>
          <w:b/>
          <w:bCs/>
          <w:color w:val="333333"/>
          <w:kern w:val="0"/>
          <w:sz w:val="24"/>
          <w:szCs w:val="24"/>
          <w:lang w:val="ro-RO" w:eastAsia="ro-MD"/>
          <w14:ligatures w14:val="none"/>
        </w:rPr>
        <w:t xml:space="preserve"> Public</w:t>
      </w:r>
      <w:r w:rsidR="00720FA5" w:rsidRPr="00B8624D">
        <w:rPr>
          <w:rFonts w:eastAsia="Times New Roman" w:cs="Times New Roman"/>
          <w:b/>
          <w:bCs/>
          <w:color w:val="333333"/>
          <w:kern w:val="0"/>
          <w:sz w:val="24"/>
          <w:szCs w:val="24"/>
          <w:lang w:val="ro-RO" w:eastAsia="ro-MD"/>
          <w14:ligatures w14:val="none"/>
        </w:rPr>
        <w:t>e</w:t>
      </w:r>
      <w:r w:rsidRPr="00B8624D">
        <w:rPr>
          <w:rFonts w:eastAsia="Times New Roman" w:cs="Times New Roman"/>
          <w:b/>
          <w:bCs/>
          <w:color w:val="333333"/>
          <w:kern w:val="0"/>
          <w:sz w:val="24"/>
          <w:szCs w:val="24"/>
          <w:lang w:val="ro-RO" w:eastAsia="ro-MD"/>
          <w14:ligatures w14:val="none"/>
        </w:rPr>
        <w:t xml:space="preserve"> Universitatea Tehnică a Moldovei</w:t>
      </w:r>
      <w:r w:rsidR="00720FA5" w:rsidRPr="00B8624D">
        <w:rPr>
          <w:rFonts w:eastAsia="Times New Roman" w:cs="Times New Roman"/>
          <w:b/>
          <w:bCs/>
          <w:color w:val="333333"/>
          <w:kern w:val="0"/>
          <w:sz w:val="24"/>
          <w:szCs w:val="24"/>
          <w:lang w:val="ro-RO" w:eastAsia="ro-MD"/>
          <w14:ligatures w14:val="none"/>
        </w:rPr>
        <w:t xml:space="preserve"> </w:t>
      </w:r>
      <w:r w:rsidR="00720FA5" w:rsidRPr="00B8624D">
        <w:rPr>
          <w:rFonts w:eastAsia="Times New Roman" w:cs="Times New Roman"/>
          <w:b/>
          <w:bCs/>
          <w:color w:val="333333"/>
          <w:kern w:val="0"/>
          <w:sz w:val="24"/>
          <w:szCs w:val="24"/>
          <w:lang w:val="ro-RO" w:eastAsia="ro-MD"/>
          <w14:ligatures w14:val="none"/>
        </w:rPr>
        <w:t>prin integrarea Instituției Publice Universitatea de Stat „Bogdan Petriceicu Hașdeu” din Cahul</w:t>
      </w:r>
      <w:r w:rsidRPr="00B8624D">
        <w:rPr>
          <w:rFonts w:eastAsia="Times New Roman" w:cs="Times New Roman"/>
          <w:b/>
          <w:bCs/>
          <w:color w:val="333333"/>
          <w:kern w:val="0"/>
          <w:sz w:val="24"/>
          <w:szCs w:val="24"/>
          <w:lang w:val="ro-RO" w:eastAsia="ro-MD"/>
          <w14:ligatures w14:val="none"/>
        </w:rPr>
        <w:t xml:space="preserve"> și </w:t>
      </w:r>
      <w:r w:rsidR="00B6697A" w:rsidRPr="00B8624D">
        <w:rPr>
          <w:rFonts w:eastAsia="Times New Roman" w:cs="Times New Roman"/>
          <w:b/>
          <w:bCs/>
          <w:color w:val="333333"/>
          <w:kern w:val="0"/>
          <w:sz w:val="24"/>
          <w:szCs w:val="24"/>
          <w:lang w:val="ro-RO" w:eastAsia="ro-MD"/>
          <w14:ligatures w14:val="none"/>
        </w:rPr>
        <w:t>instituirea</w:t>
      </w:r>
      <w:r w:rsidRPr="00B8624D">
        <w:rPr>
          <w:rFonts w:eastAsia="Times New Roman" w:cs="Times New Roman"/>
          <w:b/>
          <w:bCs/>
          <w:color w:val="333333"/>
          <w:kern w:val="0"/>
          <w:sz w:val="24"/>
          <w:szCs w:val="24"/>
          <w:lang w:val="ro-RO" w:eastAsia="ro-MD"/>
          <w14:ligatures w14:val="none"/>
        </w:rPr>
        <w:t xml:space="preserve"> Centrului Universitar „Bogdan Petriceicu Hașdeu”</w:t>
      </w:r>
      <w:r w:rsidR="00720FA5" w:rsidRPr="00B8624D">
        <w:rPr>
          <w:rFonts w:eastAsia="Times New Roman" w:cs="Times New Roman"/>
          <w:b/>
          <w:bCs/>
          <w:color w:val="333333"/>
          <w:kern w:val="0"/>
          <w:sz w:val="24"/>
          <w:szCs w:val="24"/>
          <w:lang w:val="ro-RO" w:eastAsia="ro-MD"/>
          <w14:ligatures w14:val="none"/>
        </w:rPr>
        <w:t xml:space="preserve"> din Cahul</w:t>
      </w:r>
    </w:p>
    <w:p w:rsidR="002F04AC" w:rsidRPr="00B8624D" w:rsidRDefault="002F04AC" w:rsidP="002F04AC">
      <w:pPr>
        <w:spacing w:after="0"/>
        <w:ind w:firstLine="851"/>
        <w:jc w:val="both"/>
        <w:rPr>
          <w:rFonts w:eastAsia="Times New Roman" w:cs="Times New Roman"/>
          <w:color w:val="333333"/>
          <w:kern w:val="0"/>
          <w:sz w:val="24"/>
          <w:szCs w:val="24"/>
          <w:lang w:val="ro-RO" w:eastAsia="ro-MD"/>
          <w14:ligatures w14:val="none"/>
        </w:rPr>
      </w:pPr>
    </w:p>
    <w:p w:rsidR="002F04AC" w:rsidRPr="002F04AC" w:rsidRDefault="002F04AC" w:rsidP="00C74671">
      <w:pPr>
        <w:spacing w:after="0"/>
        <w:ind w:firstLine="709"/>
        <w:jc w:val="both"/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</w:pPr>
      <w:r w:rsidRPr="002F04AC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În temeiul art. 7 lit. e) din Legea nr. 136/2017 cu privire la Guvern (Monitorul Oficial al Republicii Moldova, 2017, nr. 252, art. 412), cu modificările ulterioare, al art. 32 alin. (2) din Legea nr. 98/2012 privind administrația publică centrală de specialitate (Monitorul Oficial al Republicii Moldova, 2012, nr. 160-164, art. 537), cu modificările ulterioare, și al art. 82 alin. (2) și art. 139 lit. f) din Codul educației al Republicii Moldova nr. 152/2014 (Monitorul Oficial al Republicii Moldova, 2014, nr.319-324, art.634), cu modificările ulterioare, Guvernul HOTĂRĂȘTE:</w:t>
      </w:r>
    </w:p>
    <w:p w:rsidR="00D20CD2" w:rsidRPr="00B8624D" w:rsidRDefault="00D20CD2" w:rsidP="00C74671">
      <w:pPr>
        <w:pStyle w:val="Listparagraf"/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</w:pP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Instituți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a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Public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ă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Universitatea Tehnică a Moldovei 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se reorganizează 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prin integrarea Instituției Publice Universitatea de Stat „Bogdan Petriceicu Hașdeu” din Cahul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.</w:t>
      </w:r>
    </w:p>
    <w:p w:rsidR="003C7E8E" w:rsidRPr="00B8624D" w:rsidRDefault="003C7E8E" w:rsidP="00C74671">
      <w:pPr>
        <w:pStyle w:val="Listparagraf"/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</w:pP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Reorganizarea prin integrare instituțională produce efecte juridice echivalente fuziunii prin absorbție, în conformitate cu prevederile Codul</w:t>
      </w:r>
      <w:r w:rsidR="00500EBE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ui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civil al Republicii Moldova nr. 1107/2002, cu modificările ulterioare</w:t>
      </w:r>
    </w:p>
    <w:p w:rsidR="009A0611" w:rsidRPr="00B8624D" w:rsidRDefault="0004473F" w:rsidP="009A0611">
      <w:pPr>
        <w:pStyle w:val="Listparagraf"/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</w:pP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S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e 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instituie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Centrul Universitar „Bogdan Petriceicu Hașdeu”</w:t>
      </w:r>
      <w:r w:rsidR="00543E6F" w:rsidRPr="00B8624D">
        <w:rPr>
          <w:lang w:val="ro-RO"/>
        </w:rPr>
        <w:t xml:space="preserve"> </w:t>
      </w:r>
      <w:r w:rsidR="00543E6F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în cadrul Instituției Publice Universitatea Tehnică a Moldovei, 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cu sediul în municipiul Cahul (în continuare – Centrul Universitar)</w:t>
      </w:r>
      <w:r w:rsidR="00C74671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pentru </w:t>
      </w:r>
      <w:r w:rsidR="00C74671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susținerea dezvoltării educaționale, științifice și </w:t>
      </w:r>
      <w:proofErr w:type="spellStart"/>
      <w:r w:rsidR="00C74671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socio</w:t>
      </w:r>
      <w:proofErr w:type="spellEnd"/>
      <w:r w:rsidR="00C74671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-economice a regiunii de sud a Republicii Moldova, inclusiv prin adaptarea ofertei educaționale la necesitățile regionale.</w:t>
      </w:r>
    </w:p>
    <w:p w:rsidR="00D20CD2" w:rsidRPr="00B8624D" w:rsidRDefault="009A0611" w:rsidP="00D20CD2">
      <w:pPr>
        <w:pStyle w:val="Listparagraf"/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</w:pP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Centrul Universitar funcționează în condiții de autonomie universitară în cadrul Instituției Publice Universitatea Tehnică a Moldovei, în limitele principiului subsidiarității, prin structura și funcțiile decizionale specifice acestui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a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, în baza regulamentului propriu, aprobat de Senatul Instituției Publice Universitatea Tehnică a Moldovei, exercitând competențe proprii în domeniul activității academice, științifice, organizatorice și operaționale, în conformitate cu legislația în vigoare, carta universitară și regulamentele interne ale Instituției Publice Universitatea Tehnică a Moldovei.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</w:t>
      </w:r>
    </w:p>
    <w:p w:rsidR="00AF0A24" w:rsidRPr="00B8624D" w:rsidRDefault="00AF0A24" w:rsidP="00D20CD2">
      <w:pPr>
        <w:pStyle w:val="Listparagraf"/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</w:pP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Centrul Universitar participă</w:t>
      </w:r>
      <w:r w:rsidR="00EE4DE6" w:rsidRPr="00B8624D">
        <w:rPr>
          <w:lang w:val="ro-RO"/>
        </w:rPr>
        <w:t xml:space="preserve"> </w:t>
      </w:r>
      <w:r w:rsidR="00EE4DE6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în cadrul </w:t>
      </w:r>
      <w:r w:rsidR="008F7528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Instituți</w:t>
      </w:r>
      <w:r w:rsidR="008F7528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ei</w:t>
      </w:r>
      <w:r w:rsidR="008F7528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Public</w:t>
      </w:r>
      <w:r w:rsidR="008F7528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e</w:t>
      </w:r>
      <w:r w:rsidR="008F7528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Universitatea Tehnică a Moldovei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, prin mecanismele de guvernanță prevăzute de prezenta hotărâre și de Carta universitară, la procesul de elaborare a deciziilor strategice care vizează dezvoltarea sa</w:t>
      </w:r>
      <w:r w:rsidR="00EE4DE6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, implicit, la </w:t>
      </w:r>
      <w:r w:rsidR="00EE4DE6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iniți</w:t>
      </w:r>
      <w:r w:rsidR="00EE4DE6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erea</w:t>
      </w:r>
      <w:r w:rsidR="00EE4DE6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</w:t>
      </w:r>
      <w:r w:rsidR="00EE4DE6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și organizarea </w:t>
      </w:r>
      <w:r w:rsidR="00EE4DE6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programe</w:t>
      </w:r>
      <w:r w:rsidR="00EE4DE6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lor</w:t>
      </w:r>
      <w:r w:rsidR="00EE4DE6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de studii</w:t>
      </w:r>
      <w:r w:rsidR="00EE4DE6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,</w:t>
      </w:r>
      <w:r w:rsidR="00EE4DE6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inclusiv interdisciplinare, în vederea răspunderii la necesitățile pieței muncii regionale, cu respectarea standardelor naționale de asigurare a calității</w:t>
      </w:r>
      <w:r w:rsidR="00D20CD2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,</w:t>
      </w:r>
      <w:r w:rsidR="00D20CD2" w:rsidRPr="00B8624D">
        <w:rPr>
          <w:lang w:val="ro-RO"/>
        </w:rPr>
        <w:t xml:space="preserve"> </w:t>
      </w:r>
      <w:r w:rsidR="00D20CD2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precum și a procedurii prevăzute de art. 104 alin. 1 lit. (e) din Codul educației nr. 152/2014</w:t>
      </w:r>
      <w:r w:rsidR="00D20CD2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, cu modificările ulterioare.</w:t>
      </w:r>
    </w:p>
    <w:p w:rsidR="00CD2AAA" w:rsidRPr="00B8624D" w:rsidRDefault="008F7528" w:rsidP="00CD2AAA">
      <w:pPr>
        <w:pStyle w:val="Listparagraf"/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</w:pP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Instituția Publică Universitatea Tehnică a Moldovei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</w:t>
      </w:r>
      <w:r w:rsidR="00AF0A24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asigură vizibilitatea instituțională a Centrului Universitar în structura sa organizațională și în comunicarea publică oficială.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</w:t>
      </w:r>
    </w:p>
    <w:p w:rsidR="00AA674F" w:rsidRPr="00B8624D" w:rsidRDefault="00AF0A24" w:rsidP="00CD2AAA">
      <w:pPr>
        <w:pStyle w:val="Listparagraf"/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</w:pP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În s</w:t>
      </w:r>
      <w:r w:rsidR="00AA674F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istemul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organelor 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de conducere a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le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</w:t>
      </w:r>
      <w:r w:rsidR="00CD2AAA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Instituției Publice Universitatea Tehnică a Moldovei</w:t>
      </w:r>
      <w:r w:rsidR="00CD2AAA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se instituie funcția de prorector responsabil de Centrul Universitar, </w:t>
      </w:r>
      <w:r w:rsidR="00966E8C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numit de către Rectorul Instituției Publice Universitatea Tehnică a Moldovei</w:t>
      </w:r>
      <w:r w:rsidR="00966E8C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din rândul comunității academice a Centrului Universitar.</w:t>
      </w:r>
      <w:r w:rsidR="00CE63E2" w:rsidRPr="00B8624D">
        <w:rPr>
          <w:lang w:val="ro-RO"/>
        </w:rPr>
        <w:t xml:space="preserve"> </w:t>
      </w:r>
      <w:r w:rsidR="00CE63E2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Personalul Centrului Universitar beneficiază de acces egal la concursuri, promovare academică, granturi, funcții de conducere și mobilitate academică, în aceleași condiții ca și cadrele didactice ale </w:t>
      </w:r>
      <w:bookmarkStart w:id="0" w:name="_Hlk217318826"/>
      <w:r w:rsidR="008F7528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Instituți</w:t>
      </w:r>
      <w:r w:rsidR="008F7528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ei</w:t>
      </w:r>
      <w:r w:rsidR="008F7528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Public</w:t>
      </w:r>
      <w:r w:rsidR="008F7528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e</w:t>
      </w:r>
      <w:r w:rsidR="008F7528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Universitatea Tehnică a Moldovei</w:t>
      </w:r>
      <w:bookmarkEnd w:id="0"/>
      <w:r w:rsidR="00CE63E2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.</w:t>
      </w:r>
    </w:p>
    <w:p w:rsidR="00DA7553" w:rsidRPr="00B8624D" w:rsidRDefault="00AF0A24" w:rsidP="00DA7553">
      <w:pPr>
        <w:pStyle w:val="Listparagraf"/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</w:pP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lastRenderedPageBreak/>
        <w:t xml:space="preserve">Centrul Universitar este reprezentat prin cel puțin 10 membri în Senatul </w:t>
      </w:r>
      <w:r w:rsidR="008F7528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Instituției Publice Universitatea Tehnică a Moldovei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.</w:t>
      </w:r>
      <w:r w:rsidR="00AA674F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Anual, c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el puțin o ședință ordinară a Senatului </w:t>
      </w:r>
      <w:bookmarkStart w:id="1" w:name="_Hlk217317459"/>
      <w:r w:rsidR="00AA674F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Universității Tehnice a Moldovei</w:t>
      </w:r>
      <w:r w:rsidR="00AA674F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</w:t>
      </w:r>
      <w:bookmarkEnd w:id="1"/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se desfășoară la sediul Centrului Universitar din municipiul Cahul.</w:t>
      </w:r>
      <w:r w:rsidR="00AA674F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</w:t>
      </w:r>
      <w:r w:rsidR="008F7528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</w:t>
      </w:r>
    </w:p>
    <w:p w:rsidR="00A039EC" w:rsidRPr="00B8624D" w:rsidRDefault="00DA7553" w:rsidP="00A039EC">
      <w:pPr>
        <w:pStyle w:val="Listparagraf"/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</w:pP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Toate facultățile, programele de studii și structurile academice</w:t>
      </w:r>
      <w:r w:rsidR="00A23F6E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și științifice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existente la Instituția Publică Universitatea de Stat „Bogdan Petriceicu Hașdeu” din Cahul</w:t>
      </w:r>
      <w:r w:rsidR="00EE4DE6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, la 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data intrării în vigoare a prezentei hotărâri</w:t>
      </w:r>
      <w:r w:rsidR="00A23F6E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,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își continuă activitatea fără întrerupere.</w:t>
      </w:r>
    </w:p>
    <w:p w:rsidR="00A039EC" w:rsidRPr="00B8624D" w:rsidRDefault="002F04AC" w:rsidP="00A039EC">
      <w:pPr>
        <w:pStyle w:val="Listparagraf"/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</w:pP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Personalul salariat din Instituția Publică </w:t>
      </w:r>
      <w:r w:rsidR="00A23F6E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Universitatea de Stat „Bogdan Petriceicu Hașdeu” din Cahul 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va fi transferat, până la 1 septembrie 202</w:t>
      </w:r>
      <w:r w:rsidR="00A23F6E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6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, </w:t>
      </w:r>
      <w:r w:rsidR="00A039EC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la Instituția Publică Universitatea Tehnică a Moldovei</w:t>
      </w:r>
      <w:r w:rsidR="00A039EC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,</w:t>
      </w:r>
      <w:r w:rsidR="00A039EC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cu respectarea prevederilor legislației muncii</w:t>
      </w:r>
      <w:r w:rsidR="00A23F6E" w:rsidRPr="00B8624D">
        <w:rPr>
          <w:lang w:val="ro-RO"/>
        </w:rPr>
        <w:t xml:space="preserve"> </w:t>
      </w:r>
      <w:r w:rsidR="00A23F6E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și cu păstrarea drepturilor salariale și profesionale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,</w:t>
      </w:r>
      <w:r w:rsidR="00A039EC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precum și asigurarea garanțiilor conform prevederilor art. 1971 din Codul muncii.</w:t>
      </w:r>
      <w:r w:rsidR="00A039EC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În cazul imposibilității</w:t>
      </w:r>
      <w:r w:rsidR="0014439B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transferului unor salariați, </w:t>
      </w:r>
      <w:r w:rsidR="003C7E8E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decizia se va lua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în conformitate cu legislația muncii.</w:t>
      </w:r>
      <w:r w:rsidR="00A039EC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</w:t>
      </w:r>
    </w:p>
    <w:p w:rsidR="00CE63E2" w:rsidRPr="00B8624D" w:rsidRDefault="0014439B" w:rsidP="00A039EC">
      <w:pPr>
        <w:pStyle w:val="Listparagraf"/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</w:pP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În primii trei ani de la integrare, nu se efectuează reduceri de personal determinate exclusiv de procesul de reorganizare instituțională, cu excepția situațiilor prevăzute expres de legislație.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</w:t>
      </w:r>
    </w:p>
    <w:p w:rsidR="00B24545" w:rsidRPr="00B8624D" w:rsidRDefault="002F04AC" w:rsidP="00B24545">
      <w:pPr>
        <w:pStyle w:val="Listparagraf"/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</w:pP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Studenții înmatriculați la programele de studii superioare de licență, master și doctorat ai Instituției Publice </w:t>
      </w:r>
      <w:r w:rsidR="00501A9E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Universitatea de Stat „Bogdan Petriceicu Hașdeu” din Cahul 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vor fi transferați la Instituția Publică Universitatea </w:t>
      </w:r>
      <w:r w:rsidR="00501A9E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Tehnică a Moldovei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, la aceleași </w:t>
      </w:r>
      <w:r w:rsidR="008F7528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domenii/ 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programe de studii superioare</w:t>
      </w:r>
      <w:r w:rsidR="00501A9E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,</w:t>
      </w:r>
      <w:r w:rsidR="00501A9E" w:rsidRPr="00B8624D">
        <w:rPr>
          <w:rFonts w:cs="Times New Roman"/>
          <w:sz w:val="24"/>
          <w:szCs w:val="24"/>
          <w:lang w:val="ro-RO"/>
        </w:rPr>
        <w:t xml:space="preserve"> </w:t>
      </w:r>
      <w:r w:rsidR="00501A9E" w:rsidRPr="00B8624D">
        <w:rPr>
          <w:rFonts w:cs="Times New Roman"/>
          <w:sz w:val="24"/>
          <w:szCs w:val="24"/>
          <w:lang w:val="ro-RO"/>
        </w:rPr>
        <w:t>în aceleași condiții de finanțare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și cu taxele de studii, stabilite în anul de studii precedent. Transferul studenților de la instituția de învățământ superior </w:t>
      </w:r>
      <w:r w:rsidR="00501A9E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integrată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se va realiza până la </w:t>
      </w:r>
      <w:r w:rsidR="00501A9E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31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august 202</w:t>
      </w:r>
      <w:r w:rsidR="00501A9E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6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. Până la transferul studenților la instituția absorbantă nu se va percepe nicio taxă de studii pentru anul academic 202</w:t>
      </w:r>
      <w:r w:rsidR="00501A9E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6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-202</w:t>
      </w:r>
      <w:r w:rsidR="00501A9E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7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.</w:t>
      </w:r>
      <w:r w:rsidR="00501A9E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 </w:t>
      </w:r>
    </w:p>
    <w:p w:rsidR="00072FF5" w:rsidRPr="00B8624D" w:rsidRDefault="00B24545" w:rsidP="00072FF5">
      <w:pPr>
        <w:pStyle w:val="Listparagraf"/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</w:pP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Instituția Publică Universitatea Tehnică a Moldovei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va asigura integrarea studenților transferați din cadrul </w:t>
      </w:r>
      <w:r w:rsidR="00072FF5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Instituției Publice Universitatea de Stat „Bogdan Petriceicu Hașdeu” din Cahul 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prin oferirea accesului la serviciile de consiliere, cele sociale și de ghidare în carieră. </w:t>
      </w:r>
    </w:p>
    <w:p w:rsidR="000B551F" w:rsidRPr="00B8624D" w:rsidRDefault="00072FF5" w:rsidP="000B551F">
      <w:pPr>
        <w:pStyle w:val="Listparagraf"/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</w:pP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Se asigură alocarea anuală</w:t>
      </w:r>
      <w:r w:rsidR="00500EBE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,</w:t>
      </w:r>
      <w:r w:rsidR="00543E6F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pe parcursul a </w:t>
      </w:r>
      <w:r w:rsidR="00500EBE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patru</w:t>
      </w:r>
      <w:r w:rsidR="00543E6F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ani</w:t>
      </w:r>
      <w:r w:rsidR="00500EBE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,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a cel puțin 10 </w:t>
      </w:r>
      <w:proofErr w:type="spellStart"/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m</w:t>
      </w:r>
      <w:r w:rsidR="00720FA5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ln</w:t>
      </w:r>
      <w:proofErr w:type="spellEnd"/>
      <w:r w:rsidR="00720FA5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.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</w:t>
      </w:r>
      <w:r w:rsidR="000B551F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MD</w:t>
      </w:r>
      <w:r w:rsidR="00720FA5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L</w:t>
      </w:r>
      <w:r w:rsidR="000B551F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pentru investiții în infrastructura și dotările Centrului Universitar</w:t>
      </w:r>
      <w:r w:rsidR="008F7528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în cadrul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Instituți</w:t>
      </w:r>
      <w:r w:rsidR="008F7528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ei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Public</w:t>
      </w:r>
      <w:r w:rsidR="008F7528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e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Universitatea Tehnică a Moldovei</w:t>
      </w:r>
      <w:r w:rsidR="008F7528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din 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finanțarea complementară acordată de Ministerul Educației și Cercetării, precum și veniturile proprii ale </w:t>
      </w:r>
      <w:r w:rsidR="008F7528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Instituției Publice Universitatea Tehnică</w:t>
      </w:r>
      <w:r w:rsidR="000B551F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a Moldovei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.</w:t>
      </w:r>
      <w:r w:rsidR="008F7528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Centrul Universitar are buget distinct</w:t>
      </w:r>
      <w:r w:rsidR="000B551F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în cadrul bugetului </w:t>
      </w:r>
      <w:r w:rsidR="000B551F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Instituției Publice Universitatea Tehnică a Moldovei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, inclusiv pentru cheltuieli operaționale și de dezvoltare.</w:t>
      </w:r>
    </w:p>
    <w:p w:rsidR="0049266A" w:rsidRPr="00B8624D" w:rsidRDefault="0049266A" w:rsidP="003C7E8E">
      <w:pPr>
        <w:pStyle w:val="Listparagraf"/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</w:pP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Începând cu anul 2027, se instituie 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patru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funcții suplimentare de cercetător în cadrul Centrului Universitar, finanțate din surse bugetare și veniturile proprii ale Instituției Publice Universitatea Tehnică a Moldovei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.</w:t>
      </w:r>
    </w:p>
    <w:p w:rsidR="003C7E8E" w:rsidRPr="00B8624D" w:rsidRDefault="000B551F" w:rsidP="003C7E8E">
      <w:pPr>
        <w:pStyle w:val="Listparagraf"/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</w:pP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La r</w:t>
      </w:r>
      <w:r w:rsidR="00072FF5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epartizarea locurilor cu finanțare de la bugetul de stat 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pentru 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Instituți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a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Public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ă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Universitatea Tehnică a Moldovei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, Ministerul Educației și Cercetării va stabili, anal, o cotă</w:t>
      </w:r>
      <w:r w:rsidR="00720FA5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distinctă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</w:t>
      </w:r>
      <w:r w:rsidR="00072FF5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pentru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admiterea la domeniile generale de studii, la 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programele de studii autorizate</w:t>
      </w:r>
      <w:r w:rsidR="003C7E8E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provizoriu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/acreditate</w:t>
      </w:r>
      <w:r w:rsidR="00BB6CB7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,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organizate în cadrul </w:t>
      </w:r>
      <w:r w:rsidR="00072FF5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Centrul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ui </w:t>
      </w:r>
      <w:r w:rsidR="00072FF5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Universitar.</w:t>
      </w:r>
    </w:p>
    <w:p w:rsidR="003C7E8E" w:rsidRPr="00B8624D" w:rsidRDefault="003C7E8E" w:rsidP="003C7E8E">
      <w:pPr>
        <w:pStyle w:val="Listparagraf"/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</w:pP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Drepturile și obligațiile Universității de Stat „Bogdan Petriceicu Hașdeu” din Cahul, persoană juridică integrată, trec la Instituția Publică Universitatea Tehnică a Moldovei, inclusiv drepturile și obligațiile care țin de gestiunea patrimoniului (bunurilor) instituției integrate.</w:t>
      </w:r>
    </w:p>
    <w:p w:rsidR="003C7E8E" w:rsidRPr="00B8624D" w:rsidRDefault="003C7E8E" w:rsidP="003C7E8E">
      <w:pPr>
        <w:pStyle w:val="Listparagraf"/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</w:pP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Ministerul Educației și Cercetării, în comun cu instituțiile de învățământ superior reorganizate, va institui, în termen de 15 zile, o Comisie de transmitere a bunurilor și va asigura, în termen de 30 de zile, transmiterea bunurilor, în conformitate cu Regulamentul cu privire la modul de transmitere a bunurilor proprietate publică, aprobat prin Hotărârea Guvernului nr.901/2015.</w:t>
      </w:r>
    </w:p>
    <w:p w:rsidR="00323F31" w:rsidRPr="00B8624D" w:rsidRDefault="00D44BBF" w:rsidP="00323F31">
      <w:pPr>
        <w:pStyle w:val="Listparagraf"/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</w:pP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Bunurile imobile și infrastructura 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universității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integrate, 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Instituția Publică Universitatea de Stat „Bogdan Petriceicu Hașdeu” din Cahul se utilizează prioritar pentru activități educaționale, științifice și de cercetare ale Centrului Universitar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.</w:t>
      </w:r>
    </w:p>
    <w:p w:rsidR="00C94178" w:rsidRPr="00B8624D" w:rsidRDefault="00CD2AAA" w:rsidP="00C94178">
      <w:pPr>
        <w:pStyle w:val="Listparagraf"/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</w:pP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lastRenderedPageBreak/>
        <w:t xml:space="preserve">Ministerul Educației și Cercetării și </w:t>
      </w:r>
      <w:r w:rsidR="00323F31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Instituți</w:t>
      </w:r>
      <w:r w:rsidR="00323F31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a</w:t>
      </w:r>
      <w:r w:rsidR="00323F31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Public</w:t>
      </w:r>
      <w:r w:rsidR="00323F31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ă</w:t>
      </w:r>
      <w:r w:rsidR="00323F31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Universitatea Tehnică a Moldovei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</w:t>
      </w:r>
      <w:r w:rsidR="00C94178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vor 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consult</w:t>
      </w:r>
      <w:r w:rsidR="00C94178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a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Consiliul raional Cahul, Consiliul municipal Cahul și Primarul municipiului Cahul în procesul de elaborare și implementare a deciziilor de dezvoltare strategică a Centrului Universitar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.</w:t>
      </w:r>
    </w:p>
    <w:p w:rsidR="00C94178" w:rsidRPr="00B8624D" w:rsidRDefault="00C94178" w:rsidP="00C94178">
      <w:pPr>
        <w:pStyle w:val="Listparagraf"/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</w:pP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Instituția Publică Universitatea Tehnică a Moldovei va asigura ajustarea Cartei universitare și a regulamentelor interne, în vederea punerii în aplicare a prezentei hotărâri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.</w:t>
      </w:r>
    </w:p>
    <w:p w:rsidR="00C94178" w:rsidRPr="00B8624D" w:rsidRDefault="00C94178" w:rsidP="00C94178">
      <w:pPr>
        <w:pStyle w:val="Listparagraf"/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</w:pP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Ministerul Educației și Cercetării realizează evaluarea implementării prezentei hotărâri la 24 și 48 de luni de la intrarea în vigoare.</w:t>
      </w:r>
      <w:r w:rsidR="00500EBE" w:rsidRPr="00B8624D">
        <w:rPr>
          <w:lang w:val="ro-RO"/>
        </w:rPr>
        <w:t xml:space="preserve"> </w:t>
      </w:r>
      <w:r w:rsidR="00500EBE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Evaluările </w:t>
      </w:r>
      <w:r w:rsidR="00500EBE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respective</w:t>
      </w:r>
      <w:r w:rsidR="00500EBE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au caracter de monitorizare și îmbunătățire și nu pot fundamenta măsuri de restrângere sau desființare a Centrului Universitar.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În baza rezultatelor evaluărilor, Guvernul 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va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decide ajustarea modelului de funcționare a Centrului Universitar, în vederea realizării depline a misiunii sale regionale.</w:t>
      </w:r>
      <w:r w:rsidR="00543E6F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</w:t>
      </w:r>
    </w:p>
    <w:p w:rsidR="00C94178" w:rsidRPr="00B8624D" w:rsidRDefault="002F04AC" w:rsidP="00C94178">
      <w:pPr>
        <w:pStyle w:val="Listparagraf"/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</w:pP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În compartimentul Instituții de învățământ superior din anexa nr.5 la Hotărârea Guvernului nr.146/2021 cu privire la organizarea </w:t>
      </w:r>
      <w:r w:rsidR="00C94178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și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</w:t>
      </w:r>
      <w:r w:rsidR="00C94178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funcționarea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Ministerului Educației și Cercetării (Monitorul Oficial al Republicii Moldova, 2021, nr. 206-208, art. 344), cu modificările ulterioare, poziția nr. </w:t>
      </w:r>
      <w:r w:rsidR="00C94178"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5</w:t>
      </w: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 se exclude.</w:t>
      </w:r>
    </w:p>
    <w:p w:rsidR="00C94178" w:rsidRPr="00B8624D" w:rsidRDefault="002F04AC" w:rsidP="00C94178">
      <w:pPr>
        <w:pStyle w:val="Listparagraf"/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</w:pP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Controlul asupra executării prezentei hotărâri se pune în sarcina Ministerului Educației și Cercetării.</w:t>
      </w:r>
    </w:p>
    <w:p w:rsidR="00C94178" w:rsidRPr="00B8624D" w:rsidRDefault="00C94178" w:rsidP="00C94178">
      <w:pPr>
        <w:pStyle w:val="Listparagraf"/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</w:pPr>
      <w:r w:rsidRPr="00B8624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Prezenta hotărâre intră în vigoare la data publicării în Monitorul Oficial al Republicii Moldova.</w:t>
      </w:r>
    </w:p>
    <w:p w:rsidR="00C94178" w:rsidRPr="00B8624D" w:rsidRDefault="00C94178" w:rsidP="00C94178">
      <w:pPr>
        <w:spacing w:after="0"/>
        <w:ind w:left="851"/>
        <w:jc w:val="center"/>
        <w:rPr>
          <w:rFonts w:eastAsia="Times New Roman" w:cs="Times New Roman"/>
          <w:b/>
          <w:bCs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</w:pPr>
    </w:p>
    <w:p w:rsidR="00C94178" w:rsidRPr="00B8624D" w:rsidRDefault="00C94178" w:rsidP="00C94178">
      <w:pPr>
        <w:spacing w:after="0"/>
        <w:ind w:left="851"/>
        <w:jc w:val="center"/>
        <w:rPr>
          <w:rFonts w:eastAsia="Times New Roman" w:cs="Times New Roman"/>
          <w:b/>
          <w:bCs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</w:pPr>
    </w:p>
    <w:p w:rsidR="00C94178" w:rsidRPr="00B8624D" w:rsidRDefault="00C94178" w:rsidP="00C94178">
      <w:pPr>
        <w:spacing w:after="0"/>
        <w:ind w:left="851"/>
        <w:jc w:val="center"/>
        <w:rPr>
          <w:rFonts w:eastAsia="Times New Roman" w:cs="Times New Roman"/>
          <w:b/>
          <w:bCs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</w:pPr>
      <w:r w:rsidRPr="00B8624D">
        <w:rPr>
          <w:rFonts w:eastAsia="Times New Roman" w:cs="Times New Roman"/>
          <w:b/>
          <w:bCs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Prim-ministru </w:t>
      </w:r>
      <w:r w:rsidRPr="00B8624D">
        <w:rPr>
          <w:rFonts w:eastAsia="Times New Roman" w:cs="Times New Roman"/>
          <w:b/>
          <w:bCs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ab/>
      </w:r>
      <w:r w:rsidRPr="00B8624D">
        <w:rPr>
          <w:rFonts w:eastAsia="Times New Roman" w:cs="Times New Roman"/>
          <w:b/>
          <w:bCs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ab/>
      </w:r>
      <w:r w:rsidRPr="00B8624D">
        <w:rPr>
          <w:rFonts w:eastAsia="Times New Roman" w:cs="Times New Roman"/>
          <w:b/>
          <w:bCs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ab/>
      </w:r>
      <w:r w:rsidRPr="00B8624D">
        <w:rPr>
          <w:rFonts w:eastAsia="Times New Roman" w:cs="Times New Roman"/>
          <w:b/>
          <w:bCs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ab/>
      </w:r>
      <w:r w:rsidRPr="00B8624D">
        <w:rPr>
          <w:rFonts w:eastAsia="Times New Roman" w:cs="Times New Roman"/>
          <w:b/>
          <w:bCs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ab/>
        <w:t>Alexandru MUNTEANU</w:t>
      </w:r>
    </w:p>
    <w:p w:rsidR="00C94178" w:rsidRPr="00B8624D" w:rsidRDefault="00C94178" w:rsidP="00C94178">
      <w:pPr>
        <w:spacing w:after="0"/>
        <w:ind w:left="851"/>
        <w:jc w:val="center"/>
        <w:rPr>
          <w:rFonts w:eastAsia="Times New Roman" w:cs="Times New Roman"/>
          <w:b/>
          <w:bCs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</w:pPr>
    </w:p>
    <w:p w:rsidR="00C94178" w:rsidRPr="00B8624D" w:rsidRDefault="00C94178" w:rsidP="00C94178">
      <w:pPr>
        <w:spacing w:after="0"/>
        <w:ind w:left="851"/>
        <w:jc w:val="center"/>
        <w:rPr>
          <w:rFonts w:eastAsia="Times New Roman" w:cs="Times New Roman"/>
          <w:b/>
          <w:bCs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</w:pPr>
    </w:p>
    <w:p w:rsidR="00C94178" w:rsidRPr="00B8624D" w:rsidRDefault="00C94178" w:rsidP="00C94178">
      <w:pPr>
        <w:spacing w:after="0"/>
        <w:ind w:left="851"/>
        <w:rPr>
          <w:rFonts w:eastAsia="Times New Roman" w:cs="Times New Roman"/>
          <w:b/>
          <w:bCs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</w:pPr>
      <w:r w:rsidRPr="00B8624D">
        <w:rPr>
          <w:rFonts w:eastAsia="Times New Roman" w:cs="Times New Roman"/>
          <w:b/>
          <w:bCs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>Contrasemnează:</w:t>
      </w:r>
    </w:p>
    <w:p w:rsidR="00F12C76" w:rsidRPr="00B8624D" w:rsidRDefault="00C94178" w:rsidP="00C94178">
      <w:pPr>
        <w:spacing w:after="0"/>
        <w:ind w:left="851"/>
        <w:rPr>
          <w:rFonts w:cs="Times New Roman"/>
          <w:b/>
          <w:bCs/>
          <w:lang w:val="ro-RO"/>
        </w:rPr>
      </w:pPr>
      <w:r w:rsidRPr="00B8624D">
        <w:rPr>
          <w:rFonts w:eastAsia="Times New Roman" w:cs="Times New Roman"/>
          <w:b/>
          <w:bCs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 xml:space="preserve">Ministrul educației și cercetării </w:t>
      </w:r>
      <w:r w:rsidRPr="00B8624D">
        <w:rPr>
          <w:rFonts w:eastAsia="Times New Roman" w:cs="Times New Roman"/>
          <w:b/>
          <w:bCs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ab/>
        <w:t xml:space="preserve">    </w:t>
      </w:r>
      <w:r w:rsidRPr="00B8624D">
        <w:rPr>
          <w:rFonts w:eastAsia="Times New Roman" w:cs="Times New Roman"/>
          <w:b/>
          <w:bCs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ab/>
      </w:r>
      <w:r w:rsidRPr="00B8624D">
        <w:rPr>
          <w:rFonts w:eastAsia="Times New Roman" w:cs="Times New Roman"/>
          <w:b/>
          <w:bCs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ab/>
      </w:r>
      <w:r w:rsidRPr="00B8624D">
        <w:rPr>
          <w:rFonts w:eastAsia="Times New Roman" w:cs="Times New Roman"/>
          <w:b/>
          <w:bCs/>
          <w:color w:val="333333"/>
          <w:kern w:val="0"/>
          <w:sz w:val="24"/>
          <w:szCs w:val="24"/>
          <w:shd w:val="clear" w:color="auto" w:fill="FFFFFF"/>
          <w:lang w:val="ro-RO" w:eastAsia="ro-MD"/>
          <w14:ligatures w14:val="none"/>
        </w:rPr>
        <w:tab/>
        <w:t>Dan Perciun</w:t>
      </w:r>
    </w:p>
    <w:sectPr w:rsidR="00F12C76" w:rsidRPr="00B8624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2325"/>
    <w:multiLevelType w:val="multilevel"/>
    <w:tmpl w:val="CEBEFBE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46F90FB0"/>
    <w:multiLevelType w:val="hybridMultilevel"/>
    <w:tmpl w:val="404AE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444041">
    <w:abstractNumId w:val="0"/>
  </w:num>
  <w:num w:numId="2" w16cid:durableId="2079284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4AC"/>
    <w:rsid w:val="0004473F"/>
    <w:rsid w:val="00072FF5"/>
    <w:rsid w:val="000B551F"/>
    <w:rsid w:val="0014439B"/>
    <w:rsid w:val="00200BC1"/>
    <w:rsid w:val="002D780D"/>
    <w:rsid w:val="002F04AC"/>
    <w:rsid w:val="00323F31"/>
    <w:rsid w:val="003C7E8E"/>
    <w:rsid w:val="003F1F0F"/>
    <w:rsid w:val="0049266A"/>
    <w:rsid w:val="00500EBE"/>
    <w:rsid w:val="00501A9E"/>
    <w:rsid w:val="00543E6F"/>
    <w:rsid w:val="006C0B77"/>
    <w:rsid w:val="00720FA5"/>
    <w:rsid w:val="008242FF"/>
    <w:rsid w:val="00870751"/>
    <w:rsid w:val="008F7528"/>
    <w:rsid w:val="00914DB9"/>
    <w:rsid w:val="00922C48"/>
    <w:rsid w:val="00966E8C"/>
    <w:rsid w:val="009A0611"/>
    <w:rsid w:val="00A039EC"/>
    <w:rsid w:val="00A23F6E"/>
    <w:rsid w:val="00AA674F"/>
    <w:rsid w:val="00AF0A24"/>
    <w:rsid w:val="00B24545"/>
    <w:rsid w:val="00B6697A"/>
    <w:rsid w:val="00B8624D"/>
    <w:rsid w:val="00B915B7"/>
    <w:rsid w:val="00BB6CB7"/>
    <w:rsid w:val="00C74671"/>
    <w:rsid w:val="00C94178"/>
    <w:rsid w:val="00CD2AAA"/>
    <w:rsid w:val="00CE63E2"/>
    <w:rsid w:val="00D20CD2"/>
    <w:rsid w:val="00D44BBF"/>
    <w:rsid w:val="00DA7553"/>
    <w:rsid w:val="00DD13C7"/>
    <w:rsid w:val="00E44B88"/>
    <w:rsid w:val="00EA59DF"/>
    <w:rsid w:val="00EE4070"/>
    <w:rsid w:val="00EE4DE6"/>
    <w:rsid w:val="00F12C76"/>
    <w:rsid w:val="00F4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21E4"/>
  <w15:chartTrackingRefBased/>
  <w15:docId w15:val="{459B34D8-938E-4771-A0D0-F4195491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Titlu1">
    <w:name w:val="heading 1"/>
    <w:basedOn w:val="Normal"/>
    <w:next w:val="Normal"/>
    <w:link w:val="Titlu1Caracter"/>
    <w:uiPriority w:val="9"/>
    <w:qFormat/>
    <w:rsid w:val="002F0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F0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F04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F04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F04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F04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F04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F04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F04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F04A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F04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F04A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F04A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F04AC"/>
    <w:rPr>
      <w:rFonts w:eastAsiaTheme="majorEastAsia" w:cstheme="majorBidi"/>
      <w:color w:val="2E74B5" w:themeColor="accent1" w:themeShade="BF"/>
      <w:sz w:val="28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F04A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F04AC"/>
    <w:rPr>
      <w:rFonts w:eastAsiaTheme="majorEastAsia" w:cstheme="majorBidi"/>
      <w:color w:val="595959" w:themeColor="text1" w:themeTint="A6"/>
      <w:sz w:val="28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F04A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F04AC"/>
    <w:rPr>
      <w:rFonts w:eastAsiaTheme="majorEastAsia" w:cstheme="majorBidi"/>
      <w:color w:val="272727" w:themeColor="text1" w:themeTint="D8"/>
      <w:sz w:val="28"/>
    </w:rPr>
  </w:style>
  <w:style w:type="paragraph" w:styleId="Titlu">
    <w:name w:val="Title"/>
    <w:basedOn w:val="Normal"/>
    <w:next w:val="Normal"/>
    <w:link w:val="TitluCaracter"/>
    <w:uiPriority w:val="10"/>
    <w:qFormat/>
    <w:rsid w:val="002F04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F0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F04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F0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F0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F04AC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f">
    <w:name w:val="List Paragraph"/>
    <w:basedOn w:val="Normal"/>
    <w:uiPriority w:val="34"/>
    <w:qFormat/>
    <w:rsid w:val="002F04A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F04AC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F04A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F04A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Referireintens">
    <w:name w:val="Intense Reference"/>
    <w:basedOn w:val="Fontdeparagrafimplicit"/>
    <w:uiPriority w:val="32"/>
    <w:qFormat/>
    <w:rsid w:val="002F04A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1371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25</cp:revision>
  <cp:lastPrinted>2025-12-26T08:21:00Z</cp:lastPrinted>
  <dcterms:created xsi:type="dcterms:W3CDTF">2025-12-22T14:16:00Z</dcterms:created>
  <dcterms:modified xsi:type="dcterms:W3CDTF">2025-12-26T08:26:00Z</dcterms:modified>
</cp:coreProperties>
</file>