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8A1A" w14:textId="77777777" w:rsidR="008B4BE6" w:rsidRPr="00A32E6C" w:rsidRDefault="006933C3" w:rsidP="004D5D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jc w:val="center"/>
        <w:rPr>
          <w:sz w:val="24"/>
          <w:szCs w:val="24"/>
        </w:rPr>
      </w:pPr>
      <w:r w:rsidRPr="00A32E6C">
        <w:rPr>
          <w:b/>
          <w:sz w:val="24"/>
          <w:szCs w:val="24"/>
        </w:rPr>
        <w:t>NOTA</w:t>
      </w:r>
      <w:r w:rsidR="00032B46" w:rsidRPr="00A32E6C">
        <w:rPr>
          <w:b/>
          <w:sz w:val="24"/>
          <w:szCs w:val="24"/>
        </w:rPr>
        <w:t xml:space="preserve"> </w:t>
      </w:r>
      <w:r w:rsidRPr="00A32E6C">
        <w:rPr>
          <w:b/>
          <w:sz w:val="24"/>
          <w:szCs w:val="24"/>
        </w:rPr>
        <w:t>DE</w:t>
      </w:r>
      <w:r w:rsidR="00032B46" w:rsidRPr="00A32E6C">
        <w:rPr>
          <w:b/>
          <w:sz w:val="24"/>
          <w:szCs w:val="24"/>
        </w:rPr>
        <w:t xml:space="preserve"> </w:t>
      </w:r>
      <w:r w:rsidRPr="00A32E6C">
        <w:rPr>
          <w:b/>
          <w:sz w:val="24"/>
          <w:szCs w:val="24"/>
        </w:rPr>
        <w:t>FUNDAMENTARE</w:t>
      </w:r>
    </w:p>
    <w:p w14:paraId="4A240B3E" w14:textId="77777777" w:rsidR="008B4BE6" w:rsidRPr="00A32E6C" w:rsidRDefault="006933C3" w:rsidP="00E466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240" w:line="276" w:lineRule="auto"/>
        <w:ind w:firstLine="0"/>
        <w:jc w:val="center"/>
        <w:rPr>
          <w:sz w:val="24"/>
          <w:szCs w:val="24"/>
        </w:rPr>
      </w:pPr>
      <w:r w:rsidRPr="00A32E6C">
        <w:rPr>
          <w:b/>
          <w:sz w:val="24"/>
          <w:szCs w:val="24"/>
        </w:rPr>
        <w:t>la</w:t>
      </w:r>
      <w:r w:rsidR="00032B46" w:rsidRPr="00A32E6C">
        <w:rPr>
          <w:b/>
          <w:sz w:val="24"/>
          <w:szCs w:val="24"/>
        </w:rPr>
        <w:t xml:space="preserve"> </w:t>
      </w:r>
      <w:r w:rsidRPr="00A32E6C">
        <w:rPr>
          <w:b/>
          <w:sz w:val="24"/>
          <w:szCs w:val="24"/>
        </w:rPr>
        <w:t>proiectul</w:t>
      </w:r>
      <w:r w:rsidR="00032B46" w:rsidRPr="00A32E6C">
        <w:rPr>
          <w:b/>
          <w:sz w:val="24"/>
          <w:szCs w:val="24"/>
        </w:rPr>
        <w:t xml:space="preserve"> </w:t>
      </w:r>
      <w:r w:rsidR="00207FDD" w:rsidRPr="00A32E6C">
        <w:rPr>
          <w:b/>
          <w:sz w:val="24"/>
          <w:szCs w:val="24"/>
        </w:rPr>
        <w:t>de o</w:t>
      </w:r>
      <w:r w:rsidR="002A5110" w:rsidRPr="00A32E6C">
        <w:rPr>
          <w:b/>
          <w:sz w:val="24"/>
          <w:szCs w:val="24"/>
        </w:rPr>
        <w:t xml:space="preserve">rdin </w:t>
      </w:r>
      <w:r w:rsidR="0026389B" w:rsidRPr="00A32E6C">
        <w:rPr>
          <w:b/>
          <w:sz w:val="24"/>
          <w:szCs w:val="24"/>
        </w:rPr>
        <w:t xml:space="preserve">cu privire la aprobarea </w:t>
      </w:r>
      <w:r w:rsidR="00C1677A" w:rsidRPr="00A32E6C">
        <w:rPr>
          <w:b/>
          <w:sz w:val="24"/>
          <w:szCs w:val="24"/>
        </w:rPr>
        <w:t>Registrului de evidență</w:t>
      </w:r>
      <w:r w:rsidR="00017609" w:rsidRPr="00A32E6C">
        <w:rPr>
          <w:b/>
          <w:sz w:val="24"/>
          <w:szCs w:val="24"/>
        </w:rPr>
        <w:t xml:space="preserve"> </w:t>
      </w:r>
      <w:proofErr w:type="gramStart"/>
      <w:r w:rsidR="00017609" w:rsidRPr="00A32E6C">
        <w:rPr>
          <w:b/>
          <w:sz w:val="24"/>
          <w:szCs w:val="24"/>
        </w:rPr>
        <w:t>a</w:t>
      </w:r>
      <w:proofErr w:type="gramEnd"/>
      <w:r w:rsidR="00C1677A" w:rsidRPr="00A32E6C">
        <w:rPr>
          <w:b/>
          <w:sz w:val="24"/>
          <w:szCs w:val="24"/>
        </w:rPr>
        <w:t xml:space="preserve"> importului </w:t>
      </w:r>
      <w:r w:rsidR="00017609" w:rsidRPr="00A32E6C">
        <w:rPr>
          <w:b/>
          <w:sz w:val="24"/>
          <w:szCs w:val="24"/>
        </w:rPr>
        <w:t xml:space="preserve">de </w:t>
      </w:r>
      <w:r w:rsidR="00C1677A" w:rsidRPr="00A32E6C">
        <w:rPr>
          <w:b/>
          <w:sz w:val="24"/>
          <w:szCs w:val="24"/>
        </w:rPr>
        <w:t>produselor fertilizante</w:t>
      </w:r>
    </w:p>
    <w:tbl>
      <w:tblPr>
        <w:tblStyle w:val="af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9"/>
      </w:tblGrid>
      <w:tr w:rsidR="006D3EB7" w:rsidRPr="00A32E6C" w14:paraId="45D4D6D5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036D8" w14:textId="77777777" w:rsidR="00345CB9" w:rsidRPr="00A32E6C" w:rsidRDefault="0036135C" w:rsidP="003B585E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Denumirea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sau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numele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autorului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3417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i,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după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caz,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E94FA8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/al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participan</w:t>
            </w:r>
            <w:r w:rsidR="00863417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ilor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la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elaborarea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933C3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actului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56E53">
              <w:rPr>
                <w:rFonts w:ascii="Times New Roman" w:hAnsi="Times New Roman"/>
                <w:b/>
                <w:bCs/>
                <w:sz w:val="24"/>
                <w:szCs w:val="24"/>
              </w:rPr>
              <w:t>normative</w:t>
            </w:r>
          </w:p>
        </w:tc>
      </w:tr>
      <w:tr w:rsidR="006D3EB7" w:rsidRPr="00A32E6C" w14:paraId="4D16F1C7" w14:textId="77777777" w:rsidTr="006F6757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8578" w14:textId="77777777" w:rsidR="003B585E" w:rsidRPr="00A32E6C" w:rsidRDefault="00CB6208" w:rsidP="003B58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Proiect</w:t>
            </w:r>
            <w:r w:rsidR="00272099" w:rsidRPr="00A32E6C">
              <w:rPr>
                <w:rFonts w:ascii="Times New Roman" w:hAnsi="Times New Roman"/>
                <w:sz w:val="24"/>
                <w:szCs w:val="24"/>
              </w:rPr>
              <w:t>ul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585E" w:rsidRPr="00A32E6C">
              <w:rPr>
                <w:rFonts w:ascii="Times New Roman" w:hAnsi="Times New Roman"/>
                <w:sz w:val="24"/>
                <w:szCs w:val="24"/>
              </w:rPr>
              <w:t xml:space="preserve">de ordin cu privire la aprobarea </w:t>
            </w:r>
            <w:r w:rsidR="00C1677A" w:rsidRPr="00A32E6C">
              <w:rPr>
                <w:rFonts w:ascii="Times New Roman" w:hAnsi="Times New Roman"/>
                <w:sz w:val="24"/>
                <w:szCs w:val="24"/>
              </w:rPr>
              <w:t xml:space="preserve">Registrului de evidență </w:t>
            </w:r>
            <w:proofErr w:type="gramStart"/>
            <w:r w:rsidR="00C1677A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C1677A" w:rsidRPr="00A32E6C">
              <w:rPr>
                <w:rFonts w:ascii="Times New Roman" w:hAnsi="Times New Roman"/>
                <w:sz w:val="24"/>
                <w:szCs w:val="24"/>
              </w:rPr>
              <w:t xml:space="preserve"> importului </w:t>
            </w:r>
            <w:r w:rsidR="00017609" w:rsidRPr="00A32E6C">
              <w:rPr>
                <w:rFonts w:ascii="Times New Roman" w:hAnsi="Times New Roman"/>
                <w:sz w:val="24"/>
                <w:szCs w:val="24"/>
              </w:rPr>
              <w:t>de</w:t>
            </w:r>
            <w:r w:rsidR="00C1677A" w:rsidRPr="00A32E6C">
              <w:rPr>
                <w:rFonts w:ascii="Times New Roman" w:hAnsi="Times New Roman"/>
                <w:sz w:val="24"/>
                <w:szCs w:val="24"/>
              </w:rPr>
              <w:t xml:space="preserve"> produselor fertilizante </w:t>
            </w:r>
            <w:r w:rsidR="00303AF3" w:rsidRPr="00A32E6C">
              <w:rPr>
                <w:rFonts w:ascii="Times New Roman" w:hAnsi="Times New Roman"/>
                <w:sz w:val="24"/>
                <w:szCs w:val="24"/>
              </w:rPr>
              <w:t xml:space="preserve">(în continuare – Proiect de ordin) </w:t>
            </w:r>
            <w:r w:rsidR="00AE093A" w:rsidRPr="00A32E6C">
              <w:rPr>
                <w:rFonts w:ascii="Times New Roman" w:hAnsi="Times New Roman"/>
                <w:sz w:val="24"/>
                <w:szCs w:val="24"/>
              </w:rPr>
              <w:t xml:space="preserve">a fost </w:t>
            </w:r>
            <w:r w:rsidR="002A5110" w:rsidRPr="00A32E6C">
              <w:rPr>
                <w:rFonts w:ascii="Times New Roman" w:hAnsi="Times New Roman"/>
                <w:sz w:val="24"/>
                <w:szCs w:val="24"/>
              </w:rPr>
              <w:t>elaborat</w:t>
            </w:r>
            <w:r w:rsidR="00AE093A" w:rsidRPr="00A32E6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Ministerul Agriculturii și Industriei Alimentare</w:t>
            </w:r>
            <w:r w:rsidR="00303AF3" w:rsidRPr="00A32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0070923" w14:textId="77777777" w:rsidR="002029B0" w:rsidRPr="00A32E6C" w:rsidRDefault="002029B0" w:rsidP="003B585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884"/>
                <w:tab w:val="left" w:pos="1196"/>
              </w:tabs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Subdiviziunea</w:t>
            </w:r>
            <w:r w:rsidR="00313629" w:rsidRPr="00A32E6C">
              <w:rPr>
                <w:rFonts w:ascii="Times New Roman" w:hAnsi="Times New Roman"/>
                <w:sz w:val="24"/>
                <w:szCs w:val="24"/>
              </w:rPr>
              <w:t xml:space="preserve">: Direcția protecția </w:t>
            </w:r>
            <w:r w:rsidR="0026389B" w:rsidRPr="00A32E6C">
              <w:rPr>
                <w:rFonts w:ascii="Times New Roman" w:hAnsi="Times New Roman"/>
                <w:sz w:val="24"/>
                <w:szCs w:val="24"/>
              </w:rPr>
              <w:t>și sănătatea plantelor</w:t>
            </w:r>
            <w:r w:rsidR="002C7AC2" w:rsidRPr="00A32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8895DB" w14:textId="77777777" w:rsidR="00A63AAE" w:rsidRDefault="00313629" w:rsidP="003B585E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Persoana responsabil</w:t>
            </w:r>
            <w:r w:rsidR="00E01588" w:rsidRPr="00A32E6C">
              <w:rPr>
                <w:rFonts w:ascii="Times New Roman" w:hAnsi="Times New Roman"/>
                <w:sz w:val="24"/>
                <w:szCs w:val="24"/>
              </w:rPr>
              <w:t xml:space="preserve">ă </w:t>
            </w:r>
            <w:r w:rsidR="006717E3" w:rsidRPr="00A32E6C">
              <w:rPr>
                <w:rFonts w:ascii="Times New Roman" w:hAnsi="Times New Roman"/>
                <w:sz w:val="24"/>
                <w:szCs w:val="24"/>
              </w:rPr>
              <w:t>și datele de contact:</w:t>
            </w:r>
            <w:r w:rsidR="00E01588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17E3" w:rsidRPr="00A32E6C">
              <w:rPr>
                <w:rFonts w:ascii="Times New Roman" w:hAnsi="Times New Roman"/>
                <w:sz w:val="24"/>
                <w:szCs w:val="24"/>
              </w:rPr>
              <w:t xml:space="preserve">Bucor Nicolae – consultant principal, tel. (+373) 022 204 528, e-mail: </w:t>
            </w:r>
            <w:hyperlink r:id="rId11" w:history="1">
              <w:r w:rsidR="006717E3" w:rsidRPr="00A32E6C">
                <w:rPr>
                  <w:rStyle w:val="aff3"/>
                  <w:rFonts w:ascii="Times New Roman" w:hAnsi="Times New Roman"/>
                  <w:sz w:val="24"/>
                  <w:szCs w:val="24"/>
                </w:rPr>
                <w:t>nicolae.bucor@maia.gov.md</w:t>
              </w:r>
            </w:hyperlink>
            <w:r w:rsidR="006717E3" w:rsidRPr="00A32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F6548F" w14:textId="4AB9CA09" w:rsidR="00E259EF" w:rsidRPr="00E259EF" w:rsidRDefault="00E259EF" w:rsidP="003B585E">
            <w:pPr>
              <w:spacing w:line="276" w:lineRule="auto"/>
              <w:ind w:firstLine="0"/>
              <w:rPr>
                <w:rFonts w:ascii="Times New Roman" w:hAnsi="Times New Roman"/>
                <w:szCs w:val="24"/>
              </w:rPr>
            </w:pPr>
          </w:p>
        </w:tc>
      </w:tr>
      <w:tr w:rsidR="006D3EB7" w:rsidRPr="00A32E6C" w14:paraId="1458670B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347E" w14:textId="77777777" w:rsidR="00345CB9" w:rsidRPr="00A32E6C" w:rsidRDefault="006933C3" w:rsidP="003B585E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Condi</w:t>
            </w:r>
            <w:r w:rsidR="00863417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iile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ce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au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impus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elaborarea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proiectului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actului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normativ</w:t>
            </w:r>
          </w:p>
        </w:tc>
      </w:tr>
      <w:tr w:rsidR="006D3EB7" w:rsidRPr="00A32E6C" w14:paraId="2AB97CB2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5DD5A" w14:textId="77777777" w:rsidR="00345CB9" w:rsidRPr="00A32E6C" w:rsidRDefault="006933C3" w:rsidP="003B585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2.1.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Temeiul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legal</w:t>
            </w:r>
            <w:r w:rsidR="00825DC9" w:rsidRPr="00A32E6C">
              <w:rPr>
                <w:rFonts w:ascii="Times New Roman" w:hAnsi="Times New Roman"/>
                <w:sz w:val="24"/>
                <w:szCs w:val="24"/>
              </w:rPr>
              <w:t xml:space="preserve"> sau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,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după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caz</w:t>
            </w:r>
            <w:r w:rsidR="00825DC9" w:rsidRPr="00A32E6C">
              <w:rPr>
                <w:rFonts w:ascii="Times New Roman" w:hAnsi="Times New Roman"/>
                <w:sz w:val="24"/>
                <w:szCs w:val="24"/>
              </w:rPr>
              <w:t>,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sursa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proiectului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actului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normativ</w:t>
            </w:r>
          </w:p>
        </w:tc>
      </w:tr>
      <w:tr w:rsidR="00CB6208" w:rsidRPr="00A32E6C" w14:paraId="52AB9D48" w14:textId="77777777" w:rsidTr="006F6757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B6EC4" w14:textId="77777777" w:rsidR="00A63AAE" w:rsidRDefault="00CB6208" w:rsidP="001941C5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Proiectul de ordin este elaborat </w:t>
            </w:r>
            <w:r w:rsidR="00C1677A" w:rsidRPr="00A32E6C">
              <w:rPr>
                <w:rFonts w:ascii="Times New Roman" w:hAnsi="Times New Roman"/>
                <w:sz w:val="24"/>
                <w:szCs w:val="24"/>
              </w:rPr>
              <w:t>în temeiul art. 10 alin. (13) din Legea nr. 21/2025 privind punerea la dispoziție pe piață a produselor fertilizante (Monitorul Oficial al Republicii Moldova, 2025, nr. 154-156, art. 155)</w:t>
            </w:r>
            <w:r w:rsidR="00DC6DE1" w:rsidRPr="00A32E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11552" w:rsidRPr="00A32E6C">
              <w:rPr>
                <w:rFonts w:ascii="Times New Roman" w:hAnsi="Times New Roman"/>
                <w:sz w:val="24"/>
                <w:szCs w:val="24"/>
              </w:rPr>
              <w:t xml:space="preserve">este elaborat la inițiativa </w:t>
            </w:r>
            <w:r w:rsidR="00AB6F87" w:rsidRPr="00A32E6C">
              <w:rPr>
                <w:rFonts w:ascii="Times New Roman" w:hAnsi="Times New Roman"/>
                <w:sz w:val="24"/>
                <w:szCs w:val="24"/>
              </w:rPr>
              <w:t xml:space="preserve">Ministerului Agriculturii și Industriei Alimentare. </w:t>
            </w:r>
          </w:p>
          <w:p w14:paraId="28F17894" w14:textId="16E9E38E" w:rsidR="00E259EF" w:rsidRPr="00E259EF" w:rsidRDefault="00E259EF" w:rsidP="001941C5">
            <w:pPr>
              <w:spacing w:line="276" w:lineRule="auto"/>
              <w:ind w:firstLine="284"/>
              <w:rPr>
                <w:rFonts w:ascii="Times New Roman" w:hAnsi="Times New Roman"/>
                <w:szCs w:val="24"/>
              </w:rPr>
            </w:pPr>
          </w:p>
        </w:tc>
      </w:tr>
      <w:tr w:rsidR="006D3EB7" w:rsidRPr="00A32E6C" w14:paraId="348879F7" w14:textId="77777777" w:rsidTr="00B36CAA">
        <w:tc>
          <w:tcPr>
            <w:tcW w:w="9109" w:type="dxa"/>
            <w:tcBorders>
              <w:bottom w:val="single" w:sz="4" w:space="0" w:color="auto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B2FE" w14:textId="77777777" w:rsidR="00345CB9" w:rsidRPr="00A32E6C" w:rsidRDefault="006933C3" w:rsidP="003B585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2.2.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Descrierea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situa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ț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iei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actuale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ș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problemelor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care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impun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interven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ț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ia,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inclusiv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69" w:rsidRPr="00A32E6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cadrul</w:t>
            </w:r>
            <w:r w:rsidR="005C7769" w:rsidRPr="00A32E6C">
              <w:rPr>
                <w:rFonts w:ascii="Times New Roman" w:hAnsi="Times New Roman"/>
                <w:sz w:val="24"/>
                <w:szCs w:val="24"/>
              </w:rPr>
              <w:t>ui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normativ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aplicabil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ș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69" w:rsidRPr="00A32E6C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deficien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ț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el</w:t>
            </w:r>
            <w:r w:rsidR="005C7769" w:rsidRPr="00A32E6C">
              <w:rPr>
                <w:rFonts w:ascii="Times New Roman" w:hAnsi="Times New Roman"/>
                <w:sz w:val="24"/>
                <w:szCs w:val="24"/>
              </w:rPr>
              <w:t>or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/lacunel</w:t>
            </w:r>
            <w:r w:rsidR="005C7769" w:rsidRPr="00A32E6C">
              <w:rPr>
                <w:rFonts w:ascii="Times New Roman" w:hAnsi="Times New Roman"/>
                <w:sz w:val="24"/>
                <w:szCs w:val="24"/>
              </w:rPr>
              <w:t>or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normative</w:t>
            </w:r>
          </w:p>
        </w:tc>
      </w:tr>
      <w:tr w:rsidR="00452C6C" w:rsidRPr="00A32E6C" w14:paraId="38474998" w14:textId="77777777" w:rsidTr="00F91C07">
        <w:trPr>
          <w:trHeight w:val="693"/>
        </w:trPr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A9776" w14:textId="77777777" w:rsidR="00823E00" w:rsidRPr="00315B8A" w:rsidRDefault="008D161A" w:rsidP="00315B8A">
            <w:pPr>
              <w:spacing w:line="27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B8A">
              <w:rPr>
                <w:rFonts w:ascii="Times New Roman" w:hAnsi="Times New Roman"/>
                <w:sz w:val="24"/>
                <w:szCs w:val="24"/>
              </w:rPr>
              <w:t>Cadrul normativ care reglementează produsele fertilizante este Legea nr. 21/2025 privind punerea la dispoziție pe piață a produselor fertilizante (în continuare – Legea nr. 21/2025) care transpune parțial Regulamentul (UE) 2019/1009 al Parlamentului European și al Consiliului din 5 iunie 2019 de stabilire a normelor privind punerea la dispoziție pe piață a produselor fertilizante UE și de modificare a Regulamentelor (CE) nr. 1069/2009 și (CE) nr. 1107/2009 și de abrogare a Regulamentului (CE) nr. 2003/2003.</w:t>
            </w:r>
            <w:r w:rsidR="001613CE" w:rsidRPr="00315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B6727C" w14:textId="6A0A26AD" w:rsidR="00DA6A94" w:rsidRPr="00315B8A" w:rsidRDefault="008A34CB" w:rsidP="00315B8A">
            <w:pPr>
              <w:spacing w:line="27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B8A">
              <w:rPr>
                <w:rFonts w:ascii="Times New Roman" w:hAnsi="Times New Roman"/>
                <w:sz w:val="24"/>
                <w:szCs w:val="24"/>
              </w:rPr>
              <w:t xml:space="preserve">Actul </w:t>
            </w:r>
            <w:r w:rsidR="005C6C28" w:rsidRPr="00315B8A">
              <w:rPr>
                <w:rFonts w:ascii="Times New Roman" w:hAnsi="Times New Roman"/>
                <w:sz w:val="24"/>
                <w:szCs w:val="24"/>
              </w:rPr>
              <w:t>normative naționale c</w:t>
            </w:r>
            <w:r w:rsidR="004D0E05" w:rsidRPr="00315B8A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5C6C28" w:rsidRPr="00315B8A">
              <w:rPr>
                <w:rFonts w:ascii="Times New Roman" w:hAnsi="Times New Roman"/>
                <w:sz w:val="24"/>
                <w:szCs w:val="24"/>
              </w:rPr>
              <w:t>reglement</w:t>
            </w:r>
            <w:r w:rsidR="004D0E05" w:rsidRPr="00315B8A">
              <w:rPr>
                <w:rFonts w:ascii="Times New Roman" w:hAnsi="Times New Roman"/>
                <w:sz w:val="24"/>
                <w:szCs w:val="24"/>
              </w:rPr>
              <w:t>ează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C28" w:rsidRPr="00315B8A">
              <w:rPr>
                <w:rFonts w:ascii="Times New Roman" w:hAnsi="Times New Roman"/>
                <w:sz w:val="24"/>
                <w:szCs w:val="24"/>
              </w:rPr>
              <w:t xml:space="preserve">evidența importului a produselor fertilizante </w:t>
            </w:r>
            <w:r w:rsidR="00F478FD" w:rsidRPr="00315B8A">
              <w:rPr>
                <w:rFonts w:ascii="Times New Roman" w:hAnsi="Times New Roman"/>
                <w:sz w:val="24"/>
                <w:szCs w:val="24"/>
              </w:rPr>
              <w:t xml:space="preserve">este </w:t>
            </w:r>
            <w:r w:rsidR="005C6C28" w:rsidRPr="00315B8A">
              <w:rPr>
                <w:rFonts w:ascii="Times New Roman" w:hAnsi="Times New Roman"/>
                <w:sz w:val="24"/>
                <w:szCs w:val="24"/>
              </w:rPr>
              <w:t>Hotărârea Guvernului nr. 1045/2005 privind aprobarea Regulamentului cu privire la importul, stocarea, comercializarea și utilizarea produselor de uz fitosanitar și a fertilizanților</w:t>
            </w:r>
            <w:r w:rsidR="004D2246" w:rsidRPr="00315B8A">
              <w:rPr>
                <w:rFonts w:ascii="Times New Roman" w:hAnsi="Times New Roman"/>
                <w:sz w:val="24"/>
                <w:szCs w:val="24"/>
              </w:rPr>
              <w:t xml:space="preserve"> (în continuare – Hotărârea de Guvern nr. 1045/</w:t>
            </w:r>
            <w:r w:rsidR="00C878E0" w:rsidRPr="00315B8A">
              <w:rPr>
                <w:rFonts w:ascii="Times New Roman" w:hAnsi="Times New Roman"/>
                <w:sz w:val="24"/>
                <w:szCs w:val="24"/>
              </w:rPr>
              <w:t>2005</w:t>
            </w:r>
            <w:r w:rsidR="004D2246" w:rsidRPr="00315B8A">
              <w:rPr>
                <w:rFonts w:ascii="Times New Roman" w:hAnsi="Times New Roman"/>
                <w:sz w:val="24"/>
                <w:szCs w:val="24"/>
              </w:rPr>
              <w:t>)</w:t>
            </w:r>
            <w:r w:rsidR="00A1689D" w:rsidRPr="00315B8A">
              <w:rPr>
                <w:rFonts w:ascii="Times New Roman" w:hAnsi="Times New Roman"/>
                <w:sz w:val="24"/>
                <w:szCs w:val="24"/>
              </w:rPr>
              <w:t>, conform modelul specificat în anexa nr. 1.</w:t>
            </w:r>
            <w:r w:rsidR="00BF71F6" w:rsidRPr="00315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FD7CF2" w14:textId="285B0495" w:rsidR="00AF7E44" w:rsidRPr="00315B8A" w:rsidRDefault="00BF71F6" w:rsidP="00315B8A">
            <w:pPr>
              <w:spacing w:line="27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B8A">
              <w:rPr>
                <w:rFonts w:ascii="Times New Roman" w:hAnsi="Times New Roman"/>
                <w:sz w:val="24"/>
                <w:szCs w:val="24"/>
              </w:rPr>
              <w:t xml:space="preserve">Așa dar, anexa nr. 1 redă model de Registru de evidență </w:t>
            </w:r>
            <w:proofErr w:type="gramStart"/>
            <w:r w:rsidRPr="00315B8A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315B8A">
              <w:rPr>
                <w:rFonts w:ascii="Times New Roman" w:hAnsi="Times New Roman"/>
                <w:sz w:val="24"/>
                <w:szCs w:val="24"/>
              </w:rPr>
              <w:t xml:space="preserve"> importului, comercializării şi stocării produselor de uz fitosanitar şi a fertilizanţilor, ce a avut drept scop asigurarea evidenței cantitative stricte </w:t>
            </w:r>
            <w:r w:rsidR="00AF7E44" w:rsidRPr="00315B8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importului </w:t>
            </w:r>
            <w:r w:rsidR="00250365" w:rsidRPr="00315B8A">
              <w:rPr>
                <w:rFonts w:ascii="Times New Roman" w:hAnsi="Times New Roman"/>
                <w:sz w:val="24"/>
                <w:szCs w:val="24"/>
              </w:rPr>
              <w:t xml:space="preserve">(fluxului) 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de produse fitosanitare și fertilizante, urmărind soldul la începutul anului, intrările, ieșirile și soldul final. </w:t>
            </w:r>
            <w:r w:rsidR="00AF7E44" w:rsidRPr="00315B8A">
              <w:rPr>
                <w:rFonts w:ascii="Times New Roman" w:hAnsi="Times New Roman"/>
                <w:sz w:val="24"/>
                <w:szCs w:val="24"/>
              </w:rPr>
              <w:t>Astfel,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 model</w:t>
            </w:r>
            <w:r w:rsidR="00AF7E44" w:rsidRPr="00315B8A">
              <w:rPr>
                <w:rFonts w:ascii="Times New Roman" w:hAnsi="Times New Roman"/>
                <w:sz w:val="24"/>
                <w:szCs w:val="24"/>
              </w:rPr>
              <w:t>ul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 vechi </w:t>
            </w:r>
            <w:r w:rsidR="00AF7E44" w:rsidRPr="00315B8A">
              <w:rPr>
                <w:rFonts w:ascii="Times New Roman" w:hAnsi="Times New Roman"/>
                <w:sz w:val="24"/>
                <w:szCs w:val="24"/>
              </w:rPr>
              <w:t>de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 Registru</w:t>
            </w:r>
            <w:r w:rsidR="00E63B5B" w:rsidRPr="00315B8A">
              <w:rPr>
                <w:rFonts w:ascii="Times New Roman" w:hAnsi="Times New Roman"/>
                <w:sz w:val="24"/>
                <w:szCs w:val="24"/>
              </w:rPr>
              <w:t>lui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 de evidență punea </w:t>
            </w:r>
            <w:r w:rsidR="00823E00" w:rsidRPr="00315B8A">
              <w:rPr>
                <w:rFonts w:ascii="Times New Roman" w:hAnsi="Times New Roman"/>
                <w:sz w:val="24"/>
                <w:szCs w:val="24"/>
              </w:rPr>
              <w:t>accent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 pe trasabilitate</w:t>
            </w:r>
            <w:r w:rsidR="00823E00" w:rsidRPr="00315B8A">
              <w:rPr>
                <w:rFonts w:ascii="Times New Roman" w:hAnsi="Times New Roman"/>
                <w:sz w:val="24"/>
                <w:szCs w:val="24"/>
              </w:rPr>
              <w:t>a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3B5B" w:rsidRPr="00315B8A">
              <w:rPr>
                <w:rFonts w:ascii="Times New Roman" w:hAnsi="Times New Roman"/>
                <w:sz w:val="24"/>
                <w:szCs w:val="24"/>
              </w:rPr>
              <w:t xml:space="preserve">produselor fitosanitare și fertilizante și anume 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 xml:space="preserve">specificarea sursei de aprovizionare și a documentelor vamale și </w:t>
            </w:r>
            <w:r w:rsidR="00E63B5B" w:rsidRPr="00315B8A">
              <w:rPr>
                <w:rFonts w:ascii="Times New Roman" w:hAnsi="Times New Roman"/>
                <w:sz w:val="24"/>
                <w:szCs w:val="24"/>
              </w:rPr>
              <w:t xml:space="preserve">totodată, </w:t>
            </w:r>
            <w:r w:rsidRPr="00315B8A">
              <w:rPr>
                <w:rFonts w:ascii="Times New Roman" w:hAnsi="Times New Roman"/>
                <w:sz w:val="24"/>
                <w:szCs w:val="24"/>
              </w:rPr>
              <w:t>pe controlul periodic prin raportarea obligatorie a stocului la sfârșitul fiecărui trimestru</w:t>
            </w:r>
            <w:r w:rsidR="00C92B3F" w:rsidRPr="00315B8A">
              <w:rPr>
                <w:rFonts w:ascii="Times New Roman" w:hAnsi="Times New Roman"/>
                <w:sz w:val="24"/>
                <w:szCs w:val="24"/>
              </w:rPr>
              <w:t xml:space="preserve"> de produse fitosanitare și fertilizante</w:t>
            </w:r>
            <w:r w:rsidR="00E63B5B" w:rsidRPr="00315B8A">
              <w:rPr>
                <w:rFonts w:ascii="Times New Roman" w:hAnsi="Times New Roman"/>
                <w:sz w:val="24"/>
                <w:szCs w:val="24"/>
              </w:rPr>
              <w:t>, Agenţiei Naţionale pentru Siguranţa Alimentelor</w:t>
            </w:r>
            <w:r w:rsidR="00AF7E44" w:rsidRPr="00315B8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E500EC" w14:textId="7FC2F779" w:rsidR="00F40D4D" w:rsidRPr="00315B8A" w:rsidRDefault="001739F6" w:rsidP="00315B8A">
            <w:pPr>
              <w:spacing w:line="27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B8A">
              <w:rPr>
                <w:rFonts w:ascii="Times New Roman" w:hAnsi="Times New Roman"/>
                <w:sz w:val="24"/>
                <w:szCs w:val="24"/>
              </w:rPr>
              <w:t>Modelul Registrului de evidență aprobat prin Hotărârea de Guvern nr. 1045/2005</w:t>
            </w:r>
            <w:r w:rsidR="00823E00" w:rsidRPr="00315B8A">
              <w:rPr>
                <w:rFonts w:ascii="Times New Roman" w:hAnsi="Times New Roman"/>
                <w:sz w:val="24"/>
                <w:szCs w:val="24"/>
              </w:rPr>
              <w:t>,</w:t>
            </w:r>
            <w:r w:rsidR="00F40D4D" w:rsidRPr="00315B8A">
              <w:rPr>
                <w:rFonts w:ascii="Times New Roman" w:hAnsi="Times New Roman"/>
                <w:sz w:val="24"/>
                <w:szCs w:val="24"/>
              </w:rPr>
              <w:t xml:space="preserve"> reglementează o evidență comună a produselor fitosanitare și fertilizante într-un singur Registru de evidență.</w:t>
            </w:r>
          </w:p>
          <w:p w14:paraId="58A1FDC0" w14:textId="753BEEC6" w:rsidR="001739F6" w:rsidRDefault="00F40D4D" w:rsidP="00315B8A">
            <w:pPr>
              <w:spacing w:line="27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5B8A">
              <w:rPr>
                <w:rFonts w:ascii="Times New Roman" w:hAnsi="Times New Roman"/>
                <w:sz w:val="24"/>
                <w:szCs w:val="24"/>
              </w:rPr>
              <w:t>Astfel, Registru de evidență existen</w:t>
            </w:r>
            <w:r w:rsidR="001739F6" w:rsidRPr="00315B8A">
              <w:rPr>
                <w:rFonts w:ascii="Times New Roman" w:hAnsi="Times New Roman"/>
                <w:sz w:val="24"/>
                <w:szCs w:val="24"/>
              </w:rPr>
              <w:t xml:space="preserve"> nu corespunde noilor prevederi ale Legii nr. 21/2025 și anume nu este adaptat la noile categorii de produse și la cerințele de conformitate specifice </w:t>
            </w:r>
            <w:r w:rsidR="001739F6" w:rsidRPr="00315B8A">
              <w:rPr>
                <w:rFonts w:ascii="Times New Roman" w:hAnsi="Times New Roman"/>
                <w:sz w:val="24"/>
                <w:szCs w:val="24"/>
              </w:rPr>
              <w:lastRenderedPageBreak/>
              <w:t>produselor fertilizante UE și a produselor fertilizante MD din altă țară, iar frecvența de raportare trimestrială impusă de Hotărârea de Guvern nr. 1045/2005 este diferită de cerința Legii nr. 21/2025.</w:t>
            </w:r>
          </w:p>
          <w:p w14:paraId="17441C71" w14:textId="15D9C54B" w:rsidR="004C3379" w:rsidRDefault="004C3379" w:rsidP="00315B8A">
            <w:pPr>
              <w:spacing w:line="27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79">
              <w:rPr>
                <w:rFonts w:ascii="Times New Roman" w:hAnsi="Times New Roman"/>
                <w:sz w:val="24"/>
                <w:szCs w:val="24"/>
              </w:rPr>
              <w:t>Totodată, Legea nr. 21/2025 stabilește cerințe specifice doar pentru produsele fertilizante și o raportare la cererea autorității, o dată la 6 luni, necesitând un nou instrument de evidență.</w:t>
            </w:r>
          </w:p>
          <w:p w14:paraId="73241801" w14:textId="77777777" w:rsidR="00747075" w:rsidRDefault="004C3379" w:rsidP="00101110">
            <w:pPr>
              <w:spacing w:line="276" w:lineRule="auto"/>
              <w:ind w:firstLine="2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C3379">
              <w:rPr>
                <w:rFonts w:ascii="Times New Roman" w:hAnsi="Times New Roman"/>
                <w:sz w:val="24"/>
                <w:szCs w:val="24"/>
              </w:rPr>
              <w:t>În acest context, adoptarea proiectul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ordin cu privire la aprobarea Registrului de evidență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importului de produse fertilizante este important și necesar pentru a ajuta la evidența produselor fertilizante pentru operatorii economici care desfășoară activitatea de import</w:t>
            </w:r>
            <w:r w:rsidR="00864271">
              <w:rPr>
                <w:rFonts w:ascii="Times New Roman" w:hAnsi="Times New Roman"/>
                <w:sz w:val="24"/>
                <w:szCs w:val="24"/>
              </w:rPr>
              <w:t xml:space="preserve"> și/sau comercializare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produselor fertilizante. </w:t>
            </w:r>
          </w:p>
          <w:p w14:paraId="016C7168" w14:textId="49AC541F" w:rsidR="00E259EF" w:rsidRPr="00315B8A" w:rsidRDefault="00E259EF" w:rsidP="00101110">
            <w:pPr>
              <w:spacing w:line="276" w:lineRule="auto"/>
              <w:ind w:firstLine="284"/>
              <w:contextualSpacing/>
              <w:rPr>
                <w:rFonts w:ascii="Times New Roman" w:eastAsia="Times New Roman" w:hAnsi="Times New Roman"/>
              </w:rPr>
            </w:pPr>
          </w:p>
        </w:tc>
      </w:tr>
      <w:tr w:rsidR="006D3EB7" w:rsidRPr="00A32E6C" w14:paraId="094824A4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2982" w14:textId="77777777" w:rsidR="00345CB9" w:rsidRPr="00A32E6C" w:rsidRDefault="006933C3" w:rsidP="003B585E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Obiectivele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urmărite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63417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ș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solu</w:t>
            </w:r>
            <w:r w:rsidR="00863417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iile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propuse</w:t>
            </w:r>
          </w:p>
        </w:tc>
      </w:tr>
      <w:tr w:rsidR="006D3EB7" w:rsidRPr="00A32E6C" w14:paraId="676D647D" w14:textId="77777777" w:rsidTr="006F6757">
        <w:tc>
          <w:tcPr>
            <w:tcW w:w="91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254D6" w14:textId="77777777" w:rsidR="008E74E3" w:rsidRPr="00A32E6C" w:rsidRDefault="00D927DB" w:rsidP="003B585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3.1.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Principalele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prevederi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ale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proiectului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ș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eviden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ț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ierea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elementelor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noi</w:t>
            </w:r>
          </w:p>
        </w:tc>
      </w:tr>
      <w:tr w:rsidR="00327464" w:rsidRPr="00A32E6C" w14:paraId="6CA8A2D5" w14:textId="77777777" w:rsidTr="00327464">
        <w:tc>
          <w:tcPr>
            <w:tcW w:w="9109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50BF0" w14:textId="77777777" w:rsidR="00381728" w:rsidRDefault="00365B94" w:rsidP="00364B64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Principala prevedere a </w:t>
            </w:r>
            <w:r w:rsidR="00CD72DB" w:rsidRPr="00A32E6C">
              <w:rPr>
                <w:rFonts w:ascii="Times New Roman" w:hAnsi="Times New Roman"/>
                <w:sz w:val="24"/>
                <w:szCs w:val="24"/>
              </w:rPr>
              <w:t>P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roiectului de ordin</w:t>
            </w:r>
            <w:r w:rsidR="00CD72DB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constituie</w:t>
            </w:r>
            <w:r w:rsidR="0038172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E97F20B" w14:textId="09B24A03" w:rsidR="00365B94" w:rsidRDefault="00381728" w:rsidP="00364B64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4E1E">
              <w:rPr>
                <w:rFonts w:ascii="Times New Roman" w:hAnsi="Times New Roman"/>
                <w:sz w:val="24"/>
                <w:szCs w:val="24"/>
              </w:rPr>
              <w:t>A</w:t>
            </w:r>
            <w:r w:rsidR="00365B94" w:rsidRPr="00A32E6C">
              <w:rPr>
                <w:rFonts w:ascii="Times New Roman" w:hAnsi="Times New Roman"/>
                <w:sz w:val="24"/>
                <w:szCs w:val="24"/>
              </w:rPr>
              <w:t xml:space="preserve">probarea </w:t>
            </w:r>
            <w:r w:rsidR="008175CD">
              <w:rPr>
                <w:rFonts w:ascii="Times New Roman" w:hAnsi="Times New Roman"/>
                <w:sz w:val="24"/>
                <w:szCs w:val="24"/>
              </w:rPr>
              <w:t xml:space="preserve">modelului </w:t>
            </w:r>
            <w:r w:rsidR="00365B94" w:rsidRPr="00A32E6C">
              <w:rPr>
                <w:rFonts w:ascii="Times New Roman" w:hAnsi="Times New Roman"/>
                <w:sz w:val="24"/>
                <w:szCs w:val="24"/>
              </w:rPr>
              <w:t xml:space="preserve">Registrului de evidență </w:t>
            </w:r>
            <w:proofErr w:type="gramStart"/>
            <w:r w:rsidR="00365B94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365B94" w:rsidRPr="00A32E6C">
              <w:rPr>
                <w:rFonts w:ascii="Times New Roman" w:hAnsi="Times New Roman"/>
                <w:sz w:val="24"/>
                <w:szCs w:val="24"/>
              </w:rPr>
              <w:t xml:space="preserve"> importului de produse fertilizante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62D7380" w14:textId="77777777" w:rsidR="003825DB" w:rsidRDefault="00381728" w:rsidP="00364B64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94E1E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probarea </w:t>
            </w:r>
            <w:r w:rsidRPr="00381728">
              <w:rPr>
                <w:rFonts w:ascii="Times New Roman" w:hAnsi="Times New Roman"/>
                <w:sz w:val="24"/>
                <w:szCs w:val="24"/>
              </w:rPr>
              <w:t xml:space="preserve">Ghidul privind modul de completare a Registrului de evidență </w:t>
            </w:r>
            <w:proofErr w:type="gramStart"/>
            <w:r w:rsidRPr="00381728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381728">
              <w:rPr>
                <w:rFonts w:ascii="Times New Roman" w:hAnsi="Times New Roman"/>
                <w:sz w:val="24"/>
                <w:szCs w:val="24"/>
              </w:rPr>
              <w:t xml:space="preserve"> importului de produse fertilizante</w:t>
            </w:r>
            <w:r w:rsidR="007D588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B4D7BA" w14:textId="77777777" w:rsidR="004F7977" w:rsidRPr="004F7977" w:rsidRDefault="004F7977" w:rsidP="00364B64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4F797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A5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Stabilirea modului de completare a Registrului de evidență </w:t>
            </w:r>
            <w:proofErr w:type="gramStart"/>
            <w:r w:rsidRPr="00BA51FE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BA5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importului de produse fertilizante pe suport de hârtie sau în format electronic.</w:t>
            </w:r>
          </w:p>
          <w:p w14:paraId="3C95E716" w14:textId="39DE6BC3" w:rsidR="002D67FC" w:rsidRDefault="00364B64" w:rsidP="000752A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365B94" w:rsidRPr="00A32E6C">
              <w:rPr>
                <w:rFonts w:ascii="Times New Roman" w:hAnsi="Times New Roman"/>
                <w:sz w:val="24"/>
                <w:szCs w:val="24"/>
              </w:rPr>
              <w:t xml:space="preserve">lementul principal al Proiectului de ordin este aprobarea </w:t>
            </w:r>
            <w:r w:rsidR="00D64CB7">
              <w:rPr>
                <w:rFonts w:ascii="Times New Roman" w:hAnsi="Times New Roman"/>
                <w:sz w:val="24"/>
                <w:szCs w:val="24"/>
              </w:rPr>
              <w:t xml:space="preserve">modelului de </w:t>
            </w:r>
            <w:r w:rsidR="00365B94" w:rsidRPr="00A32E6C">
              <w:rPr>
                <w:rFonts w:ascii="Times New Roman" w:hAnsi="Times New Roman"/>
                <w:sz w:val="24"/>
                <w:szCs w:val="24"/>
              </w:rPr>
              <w:t xml:space="preserve">Registru de evidență </w:t>
            </w:r>
            <w:proofErr w:type="gramStart"/>
            <w:r w:rsidR="00365B94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365B94" w:rsidRPr="00A32E6C">
              <w:rPr>
                <w:rFonts w:ascii="Times New Roman" w:hAnsi="Times New Roman"/>
                <w:sz w:val="24"/>
                <w:szCs w:val="24"/>
              </w:rPr>
              <w:t xml:space="preserve"> importului de produse fertilizante, reprezentând o modernizare semnificativă a cadrului </w:t>
            </w:r>
            <w:r w:rsidR="00BB1D8E" w:rsidRPr="00A32E6C">
              <w:rPr>
                <w:rFonts w:ascii="Times New Roman" w:hAnsi="Times New Roman"/>
                <w:sz w:val="24"/>
                <w:szCs w:val="24"/>
              </w:rPr>
              <w:t>normativ</w:t>
            </w:r>
            <w:r w:rsidR="0001510A">
              <w:rPr>
                <w:rFonts w:ascii="Times New Roman" w:hAnsi="Times New Roman"/>
                <w:sz w:val="24"/>
                <w:szCs w:val="24"/>
              </w:rPr>
              <w:t xml:space="preserve"> secundar. Faptul dat </w:t>
            </w:r>
            <w:r w:rsidR="00365B94" w:rsidRPr="00A32E6C">
              <w:rPr>
                <w:rFonts w:ascii="Times New Roman" w:hAnsi="Times New Roman"/>
                <w:sz w:val="24"/>
                <w:szCs w:val="24"/>
              </w:rPr>
              <w:t>contribuie la protejarea sănătății publice și a mediului, asigurând o mai bună protecție a consumatorilor. Astfel, se va reduce semnificativ riscul pentru sănătatea umană și mediu, prin asigurarea trasabilității produselor fertilizante, prevenind, de asemenea, importul produselor fertilizante neautorizate, neconforme și periculoase pe teritoriul Republicii Moldova.</w:t>
            </w:r>
          </w:p>
          <w:p w14:paraId="5DCF16C0" w14:textId="77777777" w:rsidR="00A63AAE" w:rsidRPr="00E259EF" w:rsidRDefault="00A63AAE" w:rsidP="000752AE">
            <w:pPr>
              <w:spacing w:line="276" w:lineRule="auto"/>
              <w:ind w:firstLine="284"/>
              <w:rPr>
                <w:rFonts w:ascii="Times New Roman" w:hAnsi="Times New Roman"/>
                <w:szCs w:val="24"/>
              </w:rPr>
            </w:pPr>
          </w:p>
        </w:tc>
      </w:tr>
      <w:tr w:rsidR="006D3EB7" w:rsidRPr="00A32E6C" w14:paraId="507AB7C7" w14:textId="77777777" w:rsidTr="006F6757">
        <w:tc>
          <w:tcPr>
            <w:tcW w:w="91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BB27A" w14:textId="77777777" w:rsidR="008E74E3" w:rsidRPr="00A32E6C" w:rsidRDefault="00D927DB" w:rsidP="003B585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3.2.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Op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ț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iunile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alternative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analizate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ș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motivele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F7F" w:rsidRPr="00A32E6C">
              <w:rPr>
                <w:rFonts w:ascii="Times New Roman" w:hAnsi="Times New Roman"/>
                <w:sz w:val="24"/>
                <w:szCs w:val="24"/>
              </w:rPr>
              <w:t>pentru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4F7F" w:rsidRPr="00A32E6C">
              <w:rPr>
                <w:rFonts w:ascii="Times New Roman" w:hAnsi="Times New Roman"/>
                <w:sz w:val="24"/>
                <w:szCs w:val="24"/>
              </w:rPr>
              <w:t>care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acestea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nu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au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fost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luate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în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considerare</w:t>
            </w:r>
          </w:p>
        </w:tc>
      </w:tr>
      <w:tr w:rsidR="006D3EB7" w:rsidRPr="00A32E6C" w14:paraId="2374A6CE" w14:textId="77777777" w:rsidTr="002C7AC2">
        <w:trPr>
          <w:trHeight w:val="835"/>
        </w:trPr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935BF" w14:textId="77777777" w:rsidR="009E265C" w:rsidRPr="00A32E6C" w:rsidRDefault="009E265C" w:rsidP="009E265C">
            <w:pPr>
              <w:pStyle w:val="af5"/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32E6C">
              <w:rPr>
                <w:rFonts w:ascii="Times New Roman" w:hAnsi="Times New Roman"/>
                <w:color w:val="000000" w:themeColor="text1"/>
                <w:lang w:val="en-US"/>
              </w:rPr>
              <w:t>În procesul de elaborare a proiectului de ordin, opțiuni alternative nu au fost analizate.</w:t>
            </w:r>
          </w:p>
          <w:p w14:paraId="23BF9BCF" w14:textId="77777777" w:rsidR="009E265C" w:rsidRPr="00A32E6C" w:rsidRDefault="009E265C" w:rsidP="00364B64">
            <w:pPr>
              <w:pStyle w:val="af5"/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32E6C">
              <w:rPr>
                <w:rFonts w:ascii="Times New Roman" w:hAnsi="Times New Roman"/>
                <w:color w:val="000000" w:themeColor="text1"/>
                <w:lang w:val="en-US"/>
              </w:rPr>
              <w:t>Această abordare este justificată de caracterul strict tehnic și de implementare a Proiectului de ordin, care urmărește să pună în aplicare o obligație legală deja stabilită prin Legea nr. 21/2025. Lipsa intervenției ar fi generat o lacună normativă și ar fi făcut inoperantă prevederea legală primară. Prin urmare, elaborarea registru</w:t>
            </w:r>
            <w:r w:rsidR="00970B3D" w:rsidRPr="00A32E6C">
              <w:rPr>
                <w:rFonts w:ascii="Times New Roman" w:hAnsi="Times New Roman"/>
                <w:color w:val="000000" w:themeColor="text1"/>
                <w:lang w:val="en-US"/>
              </w:rPr>
              <w:t>lui</w:t>
            </w:r>
            <w:r w:rsidR="00CD72DB" w:rsidRPr="00A32E6C">
              <w:rPr>
                <w:rFonts w:ascii="Times New Roman" w:hAnsi="Times New Roman"/>
                <w:color w:val="000000" w:themeColor="text1"/>
                <w:lang w:val="en-US"/>
              </w:rPr>
              <w:t xml:space="preserve"> de evidenț</w:t>
            </w:r>
            <w:r w:rsidR="00970B3D" w:rsidRPr="00A32E6C">
              <w:rPr>
                <w:rFonts w:ascii="Times New Roman" w:hAnsi="Times New Roman"/>
                <w:color w:val="000000" w:themeColor="text1"/>
                <w:lang w:val="en-US"/>
              </w:rPr>
              <w:t xml:space="preserve">ă </w:t>
            </w:r>
            <w:proofErr w:type="gramStart"/>
            <w:r w:rsidR="00970B3D" w:rsidRPr="00A32E6C">
              <w:rPr>
                <w:rFonts w:ascii="Times New Roman" w:hAnsi="Times New Roman"/>
                <w:color w:val="000000" w:themeColor="text1"/>
                <w:lang w:val="en-US"/>
              </w:rPr>
              <w:t>a</w:t>
            </w:r>
            <w:proofErr w:type="gramEnd"/>
            <w:r w:rsidR="00970B3D" w:rsidRPr="00A32E6C">
              <w:rPr>
                <w:rFonts w:ascii="Times New Roman" w:hAnsi="Times New Roman"/>
                <w:color w:val="000000" w:themeColor="text1"/>
                <w:lang w:val="en-US"/>
              </w:rPr>
              <w:t xml:space="preserve"> importului de produse fertilizante</w:t>
            </w:r>
            <w:r w:rsidRPr="00A32E6C">
              <w:rPr>
                <w:rFonts w:ascii="Times New Roman" w:hAnsi="Times New Roman"/>
                <w:color w:val="000000" w:themeColor="text1"/>
                <w:lang w:val="en-US"/>
              </w:rPr>
              <w:t xml:space="preserve"> este considerată cea mai eficientă opțiune pentru a oferi un cadru legal clar și a asigura trasabilitatea produselor</w:t>
            </w:r>
            <w:r w:rsidR="005D4A41" w:rsidRPr="00A32E6C">
              <w:rPr>
                <w:rFonts w:ascii="Times New Roman" w:hAnsi="Times New Roman"/>
                <w:color w:val="000000" w:themeColor="text1"/>
                <w:lang w:val="en-US"/>
              </w:rPr>
              <w:t xml:space="preserve"> fertilizante</w:t>
            </w:r>
            <w:r w:rsidRPr="00A32E6C">
              <w:rPr>
                <w:rFonts w:ascii="Times New Roman" w:hAnsi="Times New Roman"/>
                <w:color w:val="000000" w:themeColor="text1"/>
                <w:lang w:val="en-US"/>
              </w:rPr>
              <w:t>.</w:t>
            </w:r>
          </w:p>
          <w:p w14:paraId="08C90941" w14:textId="77777777" w:rsidR="008B0672" w:rsidRPr="00E259EF" w:rsidRDefault="008B0672" w:rsidP="000A1E78">
            <w:pPr>
              <w:pStyle w:val="af5"/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</w:p>
        </w:tc>
      </w:tr>
      <w:tr w:rsidR="006D3EB7" w:rsidRPr="00A32E6C" w14:paraId="44F31E3D" w14:textId="77777777" w:rsidTr="006F6757">
        <w:trPr>
          <w:trHeight w:val="381"/>
        </w:trPr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FFC69" w14:textId="77777777" w:rsidR="008E74E3" w:rsidRPr="00A32E6C" w:rsidRDefault="006933C3" w:rsidP="003B585E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Analiza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impactului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de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reglementare</w:t>
            </w:r>
            <w:r w:rsidR="00032B46"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D3EB7" w:rsidRPr="00A32E6C" w14:paraId="36149933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BD8AF" w14:textId="77777777" w:rsidR="008E74E3" w:rsidRPr="00A32E6C" w:rsidRDefault="006933C3" w:rsidP="003B585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4.1.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Impactul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asupra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sectorului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public</w:t>
            </w:r>
          </w:p>
        </w:tc>
      </w:tr>
      <w:tr w:rsidR="008B3F76" w:rsidRPr="00A32E6C" w14:paraId="3A4EF4EC" w14:textId="77777777" w:rsidTr="006731D9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61B62" w14:textId="77777777" w:rsidR="00E40A3C" w:rsidRPr="00F937E1" w:rsidRDefault="00E40A3C" w:rsidP="0014350D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937E1">
              <w:rPr>
                <w:rFonts w:ascii="Times New Roman" w:hAnsi="Times New Roman"/>
                <w:sz w:val="24"/>
                <w:szCs w:val="24"/>
              </w:rPr>
              <w:t>Aprobarea proiectului de ordin va avea un impact pozitiv asupra sectorului public, contribuind la asigurarea unui cadru legislativ eficient pentru gestionarea, monitorizarea a produselor fertilizante UE</w:t>
            </w:r>
            <w:r w:rsidR="00C56E53" w:rsidRPr="00F937E1">
              <w:rPr>
                <w:rFonts w:ascii="Times New Roman" w:hAnsi="Times New Roman"/>
                <w:sz w:val="24"/>
                <w:szCs w:val="24"/>
              </w:rPr>
              <w:t xml:space="preserve"> și a produselor fertilizante MD din altă țară</w:t>
            </w:r>
            <w:r w:rsidRPr="00F937E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6D3A74" w14:textId="41723DB7" w:rsidR="00A92F8F" w:rsidRPr="00F937E1" w:rsidRDefault="00BB00C8" w:rsidP="00123793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937E1">
              <w:rPr>
                <w:rFonts w:ascii="Times New Roman" w:hAnsi="Times New Roman"/>
                <w:sz w:val="24"/>
                <w:szCs w:val="24"/>
              </w:rPr>
              <w:t>Astfel, a</w:t>
            </w:r>
            <w:r w:rsidR="00A92F8F" w:rsidRPr="00F937E1">
              <w:rPr>
                <w:rFonts w:ascii="Times New Roman" w:hAnsi="Times New Roman"/>
                <w:sz w:val="24"/>
                <w:szCs w:val="24"/>
              </w:rPr>
              <w:t>nexa nr. 1,</w:t>
            </w:r>
            <w:r w:rsidR="00B922E3" w:rsidRPr="00F937E1">
              <w:rPr>
                <w:rFonts w:ascii="Times New Roman" w:hAnsi="Times New Roman"/>
                <w:sz w:val="24"/>
                <w:szCs w:val="24"/>
              </w:rPr>
              <w:t xml:space="preserve"> din</w:t>
            </w:r>
            <w:r w:rsidR="00A92F8F" w:rsidRPr="00F937E1">
              <w:rPr>
                <w:rFonts w:ascii="Times New Roman" w:hAnsi="Times New Roman"/>
                <w:sz w:val="24"/>
                <w:szCs w:val="24"/>
              </w:rPr>
              <w:t xml:space="preserve"> Proiectul de Ordin, stabilește modelul Registrului de evidență </w:t>
            </w:r>
            <w:proofErr w:type="gramStart"/>
            <w:r w:rsidR="00A92F8F" w:rsidRPr="00F937E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A92F8F" w:rsidRPr="00F937E1">
              <w:rPr>
                <w:rFonts w:ascii="Times New Roman" w:hAnsi="Times New Roman"/>
                <w:sz w:val="24"/>
                <w:szCs w:val="24"/>
              </w:rPr>
              <w:t xml:space="preserve"> importului de produse fertilizante</w:t>
            </w:r>
            <w:r w:rsidR="00184BCE" w:rsidRPr="00F937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3E96" w:rsidRPr="00F937E1">
              <w:rPr>
                <w:rFonts w:ascii="Times New Roman" w:hAnsi="Times New Roman"/>
                <w:sz w:val="24"/>
                <w:szCs w:val="24"/>
              </w:rPr>
              <w:t xml:space="preserve">și </w:t>
            </w:r>
            <w:r w:rsidR="00184BCE" w:rsidRPr="00F937E1">
              <w:rPr>
                <w:rFonts w:ascii="Times New Roman" w:hAnsi="Times New Roman"/>
                <w:sz w:val="24"/>
                <w:szCs w:val="24"/>
              </w:rPr>
              <w:t xml:space="preserve">este </w:t>
            </w:r>
            <w:r w:rsidR="00A92F8F" w:rsidRPr="00F937E1">
              <w:rPr>
                <w:rFonts w:ascii="Times New Roman" w:hAnsi="Times New Roman"/>
                <w:sz w:val="24"/>
                <w:szCs w:val="24"/>
              </w:rPr>
              <w:t xml:space="preserve">structurat </w:t>
            </w:r>
            <w:r w:rsidR="00184BCE" w:rsidRPr="00F937E1">
              <w:rPr>
                <w:rFonts w:ascii="Times New Roman" w:hAnsi="Times New Roman"/>
                <w:sz w:val="24"/>
                <w:szCs w:val="24"/>
              </w:rPr>
              <w:t>după cum urmează</w:t>
            </w:r>
            <w:r w:rsidR="00A92F8F" w:rsidRPr="00F937E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CDB755" w14:textId="53F89C15" w:rsidR="00A92F8F" w:rsidRPr="00F937E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937E1">
              <w:rPr>
                <w:rFonts w:ascii="Times New Roman" w:hAnsi="Times New Roman"/>
                <w:i/>
                <w:sz w:val="24"/>
                <w:szCs w:val="24"/>
              </w:rPr>
              <w:t>Coloana 1</w:t>
            </w:r>
            <w:r w:rsidR="00C003DA" w:rsidRPr="00F937E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F937E1">
              <w:rPr>
                <w:rFonts w:ascii="Times New Roman" w:hAnsi="Times New Roman"/>
                <w:i/>
                <w:sz w:val="24"/>
                <w:szCs w:val="24"/>
              </w:rPr>
              <w:t>Nr. ord</w:t>
            </w:r>
            <w:r w:rsidRPr="00F937E1">
              <w:rPr>
                <w:rFonts w:ascii="Times New Roman" w:hAnsi="Times New Roman"/>
                <w:sz w:val="24"/>
                <w:szCs w:val="24"/>
              </w:rPr>
              <w:t>.</w:t>
            </w:r>
            <w:r w:rsidR="007B1B08" w:rsidRPr="00F937E1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F937E1">
              <w:rPr>
                <w:rFonts w:ascii="Times New Roman" w:hAnsi="Times New Roman"/>
                <w:sz w:val="24"/>
                <w:szCs w:val="24"/>
              </w:rPr>
              <w:t>e înscrie numărul de ordine al fiecărei înregistrări/operațiuni, impunând înregistrarea separată a fiecărui produs fertilizant importat.</w:t>
            </w:r>
          </w:p>
          <w:p w14:paraId="60D5D38A" w14:textId="5D5787F1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F937E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Coloana 2</w:t>
            </w:r>
            <w:r w:rsidR="007B1B08" w:rsidRPr="00F937E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F937E1">
              <w:rPr>
                <w:rFonts w:ascii="Times New Roman" w:hAnsi="Times New Roman"/>
                <w:i/>
                <w:sz w:val="24"/>
                <w:szCs w:val="24"/>
              </w:rPr>
              <w:t xml:space="preserve"> Data completării (zi/lună/an)</w:t>
            </w:r>
            <w:r w:rsidR="007B1B08" w:rsidRPr="00F937E1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F937E1">
              <w:rPr>
                <w:rFonts w:ascii="Times New Roman" w:hAnsi="Times New Roman"/>
                <w:sz w:val="24"/>
                <w:szCs w:val="24"/>
              </w:rPr>
              <w:t>e înscrie data (ziua, luna, anul) la care Registrul de evidență a fost efectiv completat.</w:t>
            </w:r>
          </w:p>
          <w:p w14:paraId="1C352FFB" w14:textId="4016089B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Coloana 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>3.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 Data importului (zi/lună/an)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înscrie data (ziua, luna, anul) la care produsul fertilizant a fost importat pe teritoriul Republicii Moldova.</w:t>
            </w:r>
          </w:p>
          <w:p w14:paraId="3817BA6B" w14:textId="2970AE00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Coloanele 4 și 5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 Tipul produsului fertilizant (UE / MD)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-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bifează tipul produsului fertilizant importat, distinctiv între produs fertilizant UE și produs fertilizant MD din altă țară.</w:t>
            </w:r>
          </w:p>
          <w:p w14:paraId="01AA91A7" w14:textId="51BCD56B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6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 Denumirea comercial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>ă –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înscrie denumirea comercială a produsului, așa cum este specificată pe etichetă sau prospect.</w:t>
            </w:r>
          </w:p>
          <w:p w14:paraId="66801870" w14:textId="519E6B28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7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Denumirea comună a produsului fertilizant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înscrie denumirea generică a produsului fertilizant, conform prevederilor din Lista de identificare.</w:t>
            </w:r>
          </w:p>
          <w:p w14:paraId="647462CC" w14:textId="340966C8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8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Țara de origine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– se înscrie 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țara de origine a produsului fertilizant importat.</w:t>
            </w:r>
          </w:p>
          <w:p w14:paraId="59C3EB2E" w14:textId="7B504329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9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Producătorul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-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înscrie operatorul economic</w:t>
            </w:r>
            <w:r w:rsidR="007D687D">
              <w:rPr>
                <w:rFonts w:ascii="Times New Roman" w:hAnsi="Times New Roman"/>
                <w:sz w:val="24"/>
                <w:szCs w:val="24"/>
              </w:rPr>
              <w:t xml:space="preserve"> sau entitatea economică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 xml:space="preserve"> responsabil</w:t>
            </w:r>
            <w:r w:rsidR="007D687D">
              <w:rPr>
                <w:rFonts w:ascii="Times New Roman" w:hAnsi="Times New Roman"/>
                <w:sz w:val="24"/>
                <w:szCs w:val="24"/>
              </w:rPr>
              <w:t>ă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 xml:space="preserve"> de fabricația produsului fertilizant.</w:t>
            </w:r>
          </w:p>
          <w:p w14:paraId="3010BCB3" w14:textId="1B73186A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10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 Cantitatea importată, (kg/l)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înscrie volumul total de produs fertilizant importat, exprimat în kilograme (kg) sau litri (l).</w:t>
            </w:r>
          </w:p>
          <w:p w14:paraId="7E9731A9" w14:textId="472BDABB" w:rsidR="00A92F8F" w:rsidRPr="00245E81" w:rsidRDefault="00A92F8F" w:rsidP="007B1B0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11</w:t>
            </w:r>
            <w:r w:rsidR="007B1B08" w:rsidRPr="00245E8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 Cantitatea comercializată, (kg/l)</w:t>
            </w:r>
            <w:r w:rsidR="007B1B08" w:rsidRPr="00245E8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B00C8" w:rsidRPr="00245E81">
              <w:rPr>
                <w:rFonts w:ascii="Times New Roman" w:hAnsi="Times New Roman"/>
                <w:sz w:val="24"/>
                <w:szCs w:val="24"/>
              </w:rPr>
              <w:t>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înscrie volumul de produs fertilizant comercializat</w:t>
            </w:r>
            <w:r w:rsidR="006B00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exprimat în kilograme sau litri.</w:t>
            </w:r>
          </w:p>
          <w:p w14:paraId="6A810D1D" w14:textId="21D2FE2F" w:rsidR="00A92F8F" w:rsidRPr="00245E81" w:rsidRDefault="00A92F8F" w:rsidP="00BB00C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12</w:t>
            </w:r>
            <w:r w:rsidR="00BB00C8" w:rsidRPr="00245E8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 Operatorii economici cărora le-au fost furnizate produselor fertilizante (cumpărătorii)</w:t>
            </w:r>
            <w:r w:rsidR="00123793" w:rsidRPr="00245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00C8" w:rsidRPr="00245E81">
              <w:rPr>
                <w:rFonts w:ascii="Times New Roman" w:hAnsi="Times New Roman"/>
                <w:sz w:val="24"/>
                <w:szCs w:val="24"/>
              </w:rPr>
              <w:t xml:space="preserve">– se </w:t>
            </w:r>
            <w:r w:rsidR="00123793" w:rsidRPr="00245E81">
              <w:rPr>
                <w:rFonts w:ascii="Times New Roman" w:hAnsi="Times New Roman"/>
                <w:sz w:val="24"/>
                <w:szCs w:val="24"/>
              </w:rPr>
              <w:t>înscrie</w:t>
            </w:r>
            <w:r w:rsidR="00BB00C8" w:rsidRPr="00245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 xml:space="preserve">operatorul economic care </w:t>
            </w:r>
            <w:proofErr w:type="gramStart"/>
            <w:r w:rsidRPr="00245E8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245E81">
              <w:rPr>
                <w:rFonts w:ascii="Times New Roman" w:hAnsi="Times New Roman"/>
                <w:sz w:val="24"/>
                <w:szCs w:val="24"/>
              </w:rPr>
              <w:t xml:space="preserve"> achiziționat produsul fertilizant din lotul importat.</w:t>
            </w:r>
          </w:p>
          <w:p w14:paraId="3E0E8871" w14:textId="2DBA0CDA" w:rsidR="00A92F8F" w:rsidRPr="00245E81" w:rsidRDefault="00A92F8F" w:rsidP="00BB00C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1</w:t>
            </w:r>
            <w:r w:rsidR="00BB00C8" w:rsidRPr="00245E81">
              <w:rPr>
                <w:rFonts w:ascii="Times New Roman" w:hAnsi="Times New Roman"/>
                <w:i/>
                <w:sz w:val="24"/>
                <w:szCs w:val="24"/>
              </w:rPr>
              <w:t xml:space="preserve">3. </w:t>
            </w: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Stocul produselor fertilizante (kg/l)</w:t>
            </w:r>
            <w:r w:rsidR="00BB00C8" w:rsidRPr="00245E81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înscrie diferența dintre cantitatea importată și cea comercializată (stocul rămas), exprimată în kilograme sau litri.</w:t>
            </w:r>
          </w:p>
          <w:p w14:paraId="30081FCE" w14:textId="0B34B470" w:rsidR="00A92F8F" w:rsidRPr="00245E81" w:rsidRDefault="00A92F8F" w:rsidP="00BB00C8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i/>
                <w:sz w:val="24"/>
                <w:szCs w:val="24"/>
              </w:rPr>
              <w:t>Coloana 14: Observații</w:t>
            </w:r>
            <w:r w:rsidR="00BB00C8" w:rsidRPr="00245E81">
              <w:rPr>
                <w:rFonts w:ascii="Times New Roman" w:hAnsi="Times New Roman"/>
                <w:sz w:val="24"/>
                <w:szCs w:val="24"/>
              </w:rPr>
              <w:t xml:space="preserve"> – s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e înscriu note explicative esențiale, incluzând rezultatele controlului, măsuri de restricție sau neconformități constatate.</w:t>
            </w:r>
          </w:p>
          <w:p w14:paraId="02185318" w14:textId="4AA58EA9" w:rsidR="009B4290" w:rsidRPr="00245E81" w:rsidRDefault="009B4290" w:rsidP="009B4290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 xml:space="preserve">Totodată, Registru de evidență </w:t>
            </w:r>
            <w:proofErr w:type="gramStart"/>
            <w:r w:rsidRPr="00245E8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245E81">
              <w:rPr>
                <w:rFonts w:ascii="Times New Roman" w:hAnsi="Times New Roman"/>
                <w:sz w:val="24"/>
                <w:szCs w:val="24"/>
              </w:rPr>
              <w:t xml:space="preserve"> importului de produse fertilizante va sprijini autoritatea de supraveghere a peției (ANSA) la îmbunătățirea capacității acestora de a monitoriza și controla sectorul și anume:</w:t>
            </w:r>
          </w:p>
          <w:p w14:paraId="0CE5544D" w14:textId="2A292B69" w:rsidR="00B922E3" w:rsidRPr="00245E81" w:rsidRDefault="009B4290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- va asigura</w:t>
            </w:r>
            <w:r w:rsidR="00B922E3" w:rsidRPr="00245E81">
              <w:rPr>
                <w:rFonts w:ascii="Times New Roman" w:hAnsi="Times New Roman"/>
                <w:sz w:val="24"/>
                <w:szCs w:val="24"/>
              </w:rPr>
              <w:t xml:space="preserve"> identificarea unică a fiecărei tranzacții de import și 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facilitarea</w:t>
            </w:r>
            <w:r w:rsidR="00B922E3" w:rsidRPr="00245E81">
              <w:rPr>
                <w:rFonts w:ascii="Times New Roman" w:hAnsi="Times New Roman"/>
                <w:sz w:val="24"/>
                <w:szCs w:val="24"/>
              </w:rPr>
              <w:t xml:space="preserve"> referenți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 xml:space="preserve">erii rapide </w:t>
            </w:r>
            <w:r w:rsidR="00B922E3" w:rsidRPr="00245E81">
              <w:rPr>
                <w:rFonts w:ascii="Times New Roman" w:hAnsi="Times New Roman"/>
                <w:sz w:val="24"/>
                <w:szCs w:val="24"/>
              </w:rPr>
              <w:t>în cadrul inspecțiilor sau al solicitărilor de informații</w:t>
            </w:r>
            <w:r w:rsidR="0077716B" w:rsidRPr="00245E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E42D9B9" w14:textId="0ACB213F" w:rsidR="00B922E3" w:rsidRPr="00245E81" w:rsidRDefault="009B4290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-</w:t>
            </w:r>
            <w:r w:rsidR="003410C0" w:rsidRPr="00245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716B" w:rsidRPr="00245E81">
              <w:rPr>
                <w:rFonts w:ascii="Times New Roman" w:hAnsi="Times New Roman"/>
                <w:sz w:val="24"/>
                <w:szCs w:val="24"/>
              </w:rPr>
              <w:t>va permite verificarea respectării termenului de</w:t>
            </w:r>
            <w:r w:rsidR="00B922E3" w:rsidRPr="00245E81">
              <w:rPr>
                <w:rFonts w:ascii="Times New Roman" w:hAnsi="Times New Roman"/>
                <w:sz w:val="24"/>
                <w:szCs w:val="24"/>
              </w:rPr>
              <w:t xml:space="preserve"> completare </w:t>
            </w:r>
            <w:r w:rsidR="00510B63" w:rsidRPr="00245E81">
              <w:rPr>
                <w:rFonts w:ascii="Times New Roman" w:hAnsi="Times New Roman"/>
                <w:sz w:val="24"/>
                <w:szCs w:val="24"/>
              </w:rPr>
              <w:t xml:space="preserve">a Registrului de evidență </w:t>
            </w:r>
            <w:r w:rsidR="00B922E3" w:rsidRPr="00245E81">
              <w:rPr>
                <w:rFonts w:ascii="Times New Roman" w:hAnsi="Times New Roman"/>
                <w:sz w:val="24"/>
                <w:szCs w:val="24"/>
              </w:rPr>
              <w:t>(într-o zi lucrătoare după acțiunea de import sau comercializare)</w:t>
            </w:r>
            <w:r w:rsidR="0077716B" w:rsidRPr="00245E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4BF766" w14:textId="57EDBE44" w:rsidR="00B922E3" w:rsidRPr="00245E81" w:rsidRDefault="0077716B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 xml:space="preserve">- va stabili </w:t>
            </w:r>
            <w:r w:rsidR="00B922E3" w:rsidRPr="00245E81">
              <w:rPr>
                <w:rFonts w:ascii="Times New Roman" w:hAnsi="Times New Roman"/>
                <w:sz w:val="24"/>
                <w:szCs w:val="24"/>
              </w:rPr>
              <w:t xml:space="preserve">momentul introducerii 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pe teritorii Republicii Moldova</w:t>
            </w:r>
            <w:r w:rsidR="0082255E" w:rsidRPr="00245E81">
              <w:rPr>
                <w:rFonts w:ascii="Times New Roman" w:hAnsi="Times New Roman"/>
                <w:sz w:val="24"/>
                <w:szCs w:val="24"/>
              </w:rPr>
              <w:t xml:space="preserve"> a produselor fertilizante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03475B4" w14:textId="1E777EDE" w:rsidR="00B922E3" w:rsidRPr="00245E81" w:rsidRDefault="00273E96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- va determina ce tip de produs fertilizant a fost importat (produs fertilizant UE sau produs fertilizant MD din altă țară);</w:t>
            </w:r>
          </w:p>
          <w:p w14:paraId="6E472D28" w14:textId="39FD1D35" w:rsidR="00B62EBE" w:rsidRPr="00245E81" w:rsidRDefault="00273E96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- va a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>sigur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a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 identificarea produsului </w:t>
            </w:r>
            <w:r w:rsidR="0082255E" w:rsidRPr="00245E81">
              <w:rPr>
                <w:rFonts w:ascii="Times New Roman" w:hAnsi="Times New Roman"/>
                <w:sz w:val="24"/>
                <w:szCs w:val="24"/>
              </w:rPr>
              <w:t xml:space="preserve">fertilizant 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pe piață, </w:t>
            </w:r>
            <w:r w:rsidR="0082255E" w:rsidRPr="00245E81">
              <w:rPr>
                <w:rFonts w:ascii="Times New Roman" w:hAnsi="Times New Roman"/>
                <w:sz w:val="24"/>
                <w:szCs w:val="24"/>
              </w:rPr>
              <w:t>prin cunoașterea denumirii comercialel a produslui fertilizant</w:t>
            </w:r>
            <w:r w:rsidR="00957159" w:rsidRPr="00245E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78A301F" w14:textId="45350F2E" w:rsidR="00B62EBE" w:rsidRPr="00245E81" w:rsidRDefault="00510B63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- va stabili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>țara de origine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 a produsului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 xml:space="preserve"> fertilizant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45E81">
              <w:rPr>
                <w:rFonts w:ascii="Times New Roman" w:hAnsi="Times New Roman"/>
                <w:sz w:val="24"/>
                <w:szCs w:val="24"/>
              </w:rPr>
              <w:t xml:space="preserve">care este 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fundamentală pentru trasabilitate și pentru inițierea acțiunilor de retragere a produsului </w:t>
            </w:r>
            <w:r w:rsidR="007D687D">
              <w:rPr>
                <w:rFonts w:ascii="Times New Roman" w:hAnsi="Times New Roman"/>
                <w:sz w:val="24"/>
                <w:szCs w:val="24"/>
              </w:rPr>
              <w:t xml:space="preserve">fertilizant 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>în cazul identificării unei neconformități</w:t>
            </w:r>
            <w:r w:rsidR="00957159" w:rsidRPr="00245E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EDC015" w14:textId="114D46F6" w:rsidR="00B62EBE" w:rsidRPr="00245E81" w:rsidRDefault="000C61AE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- va orferi</w:t>
            </w:r>
            <w:r w:rsidR="001B2238" w:rsidRPr="00245E81">
              <w:rPr>
                <w:rFonts w:ascii="Times New Roman" w:hAnsi="Times New Roman"/>
                <w:sz w:val="24"/>
                <w:szCs w:val="24"/>
              </w:rPr>
              <w:t xml:space="preserve"> informații privind cantitatea de produs fertilizant importat pe teritoriul </w:t>
            </w:r>
            <w:r w:rsidR="007D687D">
              <w:rPr>
                <w:rFonts w:ascii="Times New Roman" w:hAnsi="Times New Roman"/>
                <w:sz w:val="24"/>
                <w:szCs w:val="24"/>
              </w:rPr>
              <w:t>Republicii Moldova</w:t>
            </w:r>
            <w:r w:rsidR="00957159" w:rsidRPr="00245E8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351074B" w14:textId="5FF066C5" w:rsidR="001B2238" w:rsidRPr="00245E81" w:rsidRDefault="001B2238" w:rsidP="00B62EB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 xml:space="preserve">- va facilita obținerea datelor privind cantitatea </w:t>
            </w:r>
            <w:r w:rsidR="00957159" w:rsidRPr="00245E81">
              <w:rPr>
                <w:rFonts w:ascii="Times New Roman" w:hAnsi="Times New Roman"/>
                <w:sz w:val="24"/>
                <w:szCs w:val="24"/>
              </w:rPr>
              <w:t>de produs fertilizant comercializătă pe teritoriul Republicii Moldova;</w:t>
            </w:r>
          </w:p>
          <w:p w14:paraId="5C54F864" w14:textId="24E3ADC5" w:rsidR="00957159" w:rsidRPr="00245E81" w:rsidRDefault="00957159" w:rsidP="00B62EB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- va asigura identificarea operatorului economic ce a procurat produsul fertilizant;</w:t>
            </w:r>
          </w:p>
          <w:p w14:paraId="7F0D6B32" w14:textId="64DBAFE8" w:rsidR="00B62EBE" w:rsidRPr="00245E81" w:rsidRDefault="00957159" w:rsidP="00521BD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521BDC" w:rsidRPr="00245E81">
              <w:rPr>
                <w:rFonts w:ascii="Times New Roman" w:hAnsi="Times New Roman"/>
                <w:sz w:val="24"/>
                <w:szCs w:val="24"/>
              </w:rPr>
              <w:t>va p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ermite verificarea fizică a stocurilor </w:t>
            </w:r>
            <w:r w:rsidR="00521BDC" w:rsidRPr="00245E81">
              <w:rPr>
                <w:rFonts w:ascii="Times New Roman" w:hAnsi="Times New Roman"/>
                <w:sz w:val="24"/>
                <w:szCs w:val="24"/>
              </w:rPr>
              <w:t xml:space="preserve">de produse fertilizante </w:t>
            </w:r>
            <w:proofErr w:type="gramStart"/>
            <w:r w:rsidR="00521BDC" w:rsidRPr="00245E8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521BDC" w:rsidRPr="00245E81">
              <w:rPr>
                <w:rFonts w:ascii="Times New Roman" w:hAnsi="Times New Roman"/>
                <w:sz w:val="24"/>
                <w:szCs w:val="24"/>
              </w:rPr>
              <w:t xml:space="preserve"> operatorului economic care a desfășurat activitatea de import a produselor fertilizante</w:t>
            </w:r>
            <w:r w:rsidR="00B62EBE" w:rsidRPr="00245E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889A5C2" w14:textId="77777777" w:rsidR="00A7445A" w:rsidRPr="00F937E1" w:rsidRDefault="00B922E3" w:rsidP="00184BC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>În plus, cerințele prevăzute în proiectul de ordin va facilita o mai bună coordonare între instituțiile implicate în supravegherea acestui sector, asigurându-se astfel o gestionare riguroasă și transparentă a produselor fertilizante. Prevederile date va permite un control mai eficient asupra produselor fertilizante importate și aflate pe piață, contribuind la protejarea sănătății publice și a mediului.</w:t>
            </w:r>
          </w:p>
          <w:p w14:paraId="610C9221" w14:textId="4158AD18" w:rsidR="003410C0" w:rsidRPr="00E259EF" w:rsidRDefault="003410C0" w:rsidP="00184BCE">
            <w:pPr>
              <w:spacing w:line="276" w:lineRule="auto"/>
              <w:ind w:firstLine="284"/>
              <w:rPr>
                <w:rFonts w:ascii="Times New Roman" w:hAnsi="Times New Roman"/>
                <w:szCs w:val="24"/>
              </w:rPr>
            </w:pPr>
          </w:p>
        </w:tc>
      </w:tr>
      <w:tr w:rsidR="006D3EB7" w:rsidRPr="00A32E6C" w14:paraId="42E99CF4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6E205" w14:textId="77777777" w:rsidR="0016331B" w:rsidRPr="00A32E6C" w:rsidRDefault="006933C3" w:rsidP="003B585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Impactul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financiar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417" w:rsidRPr="00A32E6C">
              <w:rPr>
                <w:rFonts w:ascii="Times New Roman" w:hAnsi="Times New Roman"/>
                <w:sz w:val="24"/>
                <w:szCs w:val="24"/>
              </w:rPr>
              <w:t>ș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argumentarea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costurilor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estimative</w:t>
            </w:r>
          </w:p>
        </w:tc>
      </w:tr>
      <w:tr w:rsidR="008B3F76" w:rsidRPr="00A32E6C" w14:paraId="48B088BD" w14:textId="77777777" w:rsidTr="00865626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70CE5" w14:textId="77777777" w:rsidR="00CD467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Implementarea proiectului de Ordin nu implică cheltuieli financiare și alocarea de mijloace financiare suplimentare din bugetul de stat.</w:t>
            </w:r>
          </w:p>
          <w:p w14:paraId="628F09FD" w14:textId="6D0D6856" w:rsidR="007E76DD" w:rsidRPr="00A32E6C" w:rsidRDefault="007E76DD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Întrucât relațiile de comunicare dintre </w:t>
            </w:r>
            <w:r w:rsidR="003D52BC">
              <w:rPr>
                <w:rFonts w:ascii="Times New Roman" w:hAnsi="Times New Roman"/>
                <w:sz w:val="24"/>
                <w:szCs w:val="24"/>
              </w:rPr>
              <w:t xml:space="preserve">Agenția Națională pentru Siguranța Alimentelor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și importatori </w:t>
            </w:r>
            <w:r w:rsidR="003D52BC">
              <w:rPr>
                <w:rFonts w:ascii="Times New Roman" w:hAnsi="Times New Roman"/>
                <w:sz w:val="24"/>
                <w:szCs w:val="24"/>
              </w:rPr>
              <w:t xml:space="preserve">de produse fertilizante </w:t>
            </w:r>
            <w:r>
              <w:rPr>
                <w:rFonts w:ascii="Times New Roman" w:hAnsi="Times New Roman"/>
                <w:sz w:val="24"/>
                <w:szCs w:val="24"/>
              </w:rPr>
              <w:t>se realizează odată la semestru și nu trimestrial</w:t>
            </w:r>
            <w:r w:rsidR="002F67C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astfel cum a fost prevăzut prin H</w:t>
            </w:r>
            <w:r w:rsidR="003D52BC">
              <w:rPr>
                <w:rFonts w:ascii="Times New Roman" w:hAnsi="Times New Roman"/>
                <w:sz w:val="24"/>
                <w:szCs w:val="24"/>
              </w:rPr>
              <w:t xml:space="preserve">otărârea de 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3D52BC">
              <w:rPr>
                <w:rFonts w:ascii="Times New Roman" w:hAnsi="Times New Roman"/>
                <w:sz w:val="24"/>
                <w:szCs w:val="24"/>
              </w:rPr>
              <w:t>uvern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nr. 1045/2005</w:t>
            </w:r>
            <w:r w:rsidR="002F67C9">
              <w:rPr>
                <w:rFonts w:ascii="Times New Roman" w:hAnsi="Times New Roman"/>
                <w:sz w:val="24"/>
                <w:szCs w:val="24"/>
              </w:rPr>
              <w:t>, costurile administrative și ale mediului de afaceri vor fi semnificativ mai mici pen</w:t>
            </w:r>
            <w:r w:rsidR="007D6DE7">
              <w:rPr>
                <w:rFonts w:ascii="Times New Roman" w:hAnsi="Times New Roman"/>
                <w:sz w:val="24"/>
                <w:szCs w:val="24"/>
              </w:rPr>
              <w:t>tru timpul acordat de comunicare, înjumătățindu-se pe parcursul unui an.</w:t>
            </w:r>
          </w:p>
          <w:p w14:paraId="35F665EA" w14:textId="77777777" w:rsidR="009744F1" w:rsidRPr="00E259EF" w:rsidRDefault="009744F1" w:rsidP="00562E0A">
            <w:pPr>
              <w:spacing w:line="276" w:lineRule="auto"/>
              <w:ind w:firstLine="284"/>
              <w:rPr>
                <w:rFonts w:ascii="Times New Roman" w:hAnsi="Times New Roman"/>
                <w:szCs w:val="24"/>
              </w:rPr>
            </w:pPr>
          </w:p>
        </w:tc>
      </w:tr>
      <w:tr w:rsidR="006D3EB7" w:rsidRPr="00A32E6C" w14:paraId="7751A521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A67C" w14:textId="77777777" w:rsidR="0016331B" w:rsidRPr="00A32E6C" w:rsidRDefault="006933C3" w:rsidP="003B585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4.3.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Impactul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asupra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sectorului</w:t>
            </w:r>
            <w:r w:rsidR="00032B46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2822" w:rsidRPr="00A32E6C">
              <w:rPr>
                <w:rFonts w:ascii="Times New Roman" w:hAnsi="Times New Roman"/>
                <w:sz w:val="24"/>
                <w:szCs w:val="24"/>
              </w:rPr>
              <w:t>privat</w:t>
            </w:r>
          </w:p>
        </w:tc>
      </w:tr>
      <w:tr w:rsidR="00CD467C" w:rsidRPr="00A32E6C" w14:paraId="6E041F85" w14:textId="77777777" w:rsidTr="000966D2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8EB23" w14:textId="77777777" w:rsidR="0011005A" w:rsidRDefault="0011005A" w:rsidP="00A63AA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Sectorul privat, în special importatorii de produse fertilizante, reprezintă grupul cel mai vizat de prevederile Proiectului de ordin. Deoarece</w:t>
            </w:r>
            <w:r w:rsidR="004F64E3">
              <w:rPr>
                <w:rFonts w:ascii="Times New Roman" w:hAnsi="Times New Roman"/>
                <w:sz w:val="24"/>
                <w:szCs w:val="24"/>
              </w:rPr>
              <w:t>,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Republica Moldova nu dispune de platforme de producere autohtonă, economia agricolă depinde integral de importul de îngrășăminte minerale</w:t>
            </w:r>
            <w:r w:rsidR="008B6F1C">
              <w:rPr>
                <w:rFonts w:ascii="Times New Roman" w:hAnsi="Times New Roman"/>
                <w:sz w:val="24"/>
                <w:szCs w:val="24"/>
              </w:rPr>
              <w:t xml:space="preserve"> și organice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. Conform datelor Biroului Național de Statistică, importurile anuale de îngrășăminte minerale depășesc </w:t>
            </w:r>
            <w:r w:rsidR="00D23E9B" w:rsidRPr="00A32E6C">
              <w:rPr>
                <w:rFonts w:ascii="Times New Roman" w:hAnsi="Times New Roman"/>
                <w:sz w:val="24"/>
                <w:szCs w:val="24"/>
              </w:rPr>
              <w:t>de circa 120,8 mil USD</w:t>
            </w:r>
            <w:r w:rsidR="0066295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A152D7" w14:textId="77777777" w:rsidR="0066295F" w:rsidRPr="00A32E6C" w:rsidRDefault="0066295F" w:rsidP="0066295F">
            <w:pPr>
              <w:spacing w:line="276" w:lineRule="auto"/>
              <w:ind w:firstLine="426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În</w:t>
            </w:r>
            <w:r w:rsidRPr="00A32E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perioada </w:t>
            </w:r>
            <w:r w:rsidR="00364B6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anilor </w:t>
            </w:r>
            <w:r w:rsidRPr="00A32E6C">
              <w:rPr>
                <w:rFonts w:ascii="Times New Roman" w:hAnsi="Times New Roman"/>
                <w:sz w:val="24"/>
                <w:szCs w:val="24"/>
                <w:lang w:val="ro-RO"/>
              </w:rPr>
              <w:t>2021 – 2024, Republica Moldova a importat produse fertilizante azotoase și cu azot, fosfor și potasiu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(tab.</w:t>
            </w:r>
            <w:r w:rsidR="0036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nr. 1).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În pofida acestor volume</w:t>
            </w:r>
            <w:r w:rsidRPr="00A32E6C">
              <w:rPr>
                <w:rFonts w:ascii="Times New Roman" w:hAnsi="Times New Roman"/>
                <w:sz w:val="24"/>
                <w:szCs w:val="24"/>
                <w:lang w:val="ro-RO"/>
              </w:rPr>
              <w:t>, Republica Moldova continuă să fie țara cu cele mai mici rat</w:t>
            </w:r>
            <w:r w:rsidR="00364B64">
              <w:rPr>
                <w:rFonts w:ascii="Times New Roman" w:hAnsi="Times New Roman"/>
                <w:sz w:val="24"/>
                <w:szCs w:val="24"/>
                <w:lang w:val="ro-RO"/>
              </w:rPr>
              <w:t>e de utilizare a produselor fertilizante</w:t>
            </w:r>
            <w:r w:rsidRPr="00A32E6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la unitatea de suprafață de teren prelucrat în scopuri agricole. </w:t>
            </w:r>
          </w:p>
          <w:p w14:paraId="502B19AC" w14:textId="31218B38" w:rsidR="000A7990" w:rsidRDefault="0011005A" w:rsidP="007819E9">
            <w:pPr>
              <w:spacing w:after="240"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Tabelul nr. 1. </w:t>
            </w:r>
            <w:r w:rsidRPr="00A32E6C">
              <w:rPr>
                <w:rFonts w:ascii="Times New Roman" w:hAnsi="Times New Roman"/>
                <w:i/>
                <w:sz w:val="24"/>
                <w:szCs w:val="24"/>
              </w:rPr>
              <w:t xml:space="preserve">Importurile de îngrășăminte în Republica Moldova în anii 2021 - 2023, </w:t>
            </w:r>
            <w:r w:rsidR="007819E9">
              <w:rPr>
                <w:rFonts w:ascii="Times New Roman" w:hAnsi="Times New Roman"/>
                <w:i/>
                <w:sz w:val="24"/>
                <w:szCs w:val="24"/>
              </w:rPr>
              <w:t>tone (t).</w:t>
            </w:r>
          </w:p>
          <w:tbl>
            <w:tblPr>
              <w:tblW w:w="9345" w:type="dxa"/>
              <w:jc w:val="center"/>
              <w:tblLook w:val="04A0" w:firstRow="1" w:lastRow="0" w:firstColumn="1" w:lastColumn="0" w:noHBand="0" w:noVBand="1"/>
            </w:tblPr>
            <w:tblGrid>
              <w:gridCol w:w="570"/>
              <w:gridCol w:w="990"/>
              <w:gridCol w:w="842"/>
              <w:gridCol w:w="817"/>
              <w:gridCol w:w="808"/>
              <w:gridCol w:w="882"/>
              <w:gridCol w:w="808"/>
              <w:gridCol w:w="817"/>
              <w:gridCol w:w="808"/>
              <w:gridCol w:w="817"/>
              <w:gridCol w:w="734"/>
            </w:tblGrid>
            <w:tr w:rsidR="00AF1DE2" w:rsidRPr="00245E81" w14:paraId="6A497A66" w14:textId="77777777" w:rsidTr="007819E9">
              <w:trPr>
                <w:trHeight w:val="288"/>
                <w:jc w:val="center"/>
              </w:trPr>
              <w:tc>
                <w:tcPr>
                  <w:tcW w:w="5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A92F0" w14:textId="77777777" w:rsidR="0011005A" w:rsidRPr="00245E81" w:rsidRDefault="0011005A" w:rsidP="00E259EF">
                  <w:pPr>
                    <w:shd w:val="clear" w:color="auto" w:fill="FFFFFF" w:themeFill="background1"/>
                    <w:ind w:firstLine="0"/>
                    <w:contextualSpacing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Cod NCM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3FE05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Denumirea mărfii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58D0B6B" w14:textId="5BCDF6F7" w:rsidR="00E259EF" w:rsidRDefault="00E259EF" w:rsidP="0011005A">
                  <w:pPr>
                    <w:shd w:val="clear" w:color="auto" w:fill="FFFFFF" w:themeFill="background1"/>
                    <w:contextualSpacing/>
                    <w:jc w:val="center"/>
                    <w:rPr>
                      <w:rFonts w:eastAsia="Calibri"/>
                      <w:b/>
                      <w:bCs/>
                      <w:color w:val="FFFFFF" w:themeColor="background1"/>
                      <w:lang w:val="ro-RO"/>
                    </w:rPr>
                  </w:pPr>
                </w:p>
                <w:p w14:paraId="44561D36" w14:textId="04C06FC8" w:rsidR="0011005A" w:rsidRPr="00245E81" w:rsidRDefault="00E259EF" w:rsidP="00E259EF">
                  <w:pPr>
                    <w:shd w:val="clear" w:color="auto" w:fill="FFFFFF" w:themeFill="background1"/>
                    <w:ind w:firstLine="0"/>
                    <w:contextualSpacing/>
                    <w:rPr>
                      <w:rFonts w:eastAsia="Calibri"/>
                      <w:b/>
                      <w:bCs/>
                      <w:lang w:val="ro-RO"/>
                    </w:rPr>
                  </w:pPr>
                  <w:r>
                    <w:rPr>
                      <w:rFonts w:eastAsia="Calibri"/>
                      <w:b/>
                      <w:bCs/>
                      <w:lang w:val="ro-RO"/>
                    </w:rPr>
                    <w:t>U</w:t>
                  </w:r>
                  <w:r w:rsidR="0011005A" w:rsidRPr="00245E81">
                    <w:rPr>
                      <w:rFonts w:eastAsia="Calibri"/>
                      <w:b/>
                      <w:bCs/>
                      <w:lang w:val="ro-RO"/>
                    </w:rPr>
                    <w:t>nitatea demăsură</w:t>
                  </w:r>
                </w:p>
              </w:tc>
              <w:tc>
                <w:tcPr>
                  <w:tcW w:w="6937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AB7237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Anul</w:t>
                  </w:r>
                </w:p>
              </w:tc>
            </w:tr>
            <w:tr w:rsidR="00533DB0" w:rsidRPr="00245E81" w14:paraId="6FE3BB95" w14:textId="77777777" w:rsidTr="007819E9">
              <w:trPr>
                <w:trHeight w:val="288"/>
                <w:jc w:val="center"/>
              </w:trPr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E993C4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D69194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</w:p>
              </w:tc>
              <w:tc>
                <w:tcPr>
                  <w:tcW w:w="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9BD0A0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</w:p>
              </w:tc>
              <w:tc>
                <w:tcPr>
                  <w:tcW w:w="19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C9F7F9D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2021</w:t>
                  </w:r>
                </w:p>
              </w:tc>
              <w:tc>
                <w:tcPr>
                  <w:tcW w:w="17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EF7CAE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2022</w:t>
                  </w:r>
                </w:p>
              </w:tc>
              <w:tc>
                <w:tcPr>
                  <w:tcW w:w="175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78F0676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2023</w:t>
                  </w:r>
                </w:p>
              </w:tc>
              <w:tc>
                <w:tcPr>
                  <w:tcW w:w="15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4F7C23F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2024</w:t>
                  </w:r>
                </w:p>
              </w:tc>
            </w:tr>
            <w:tr w:rsidR="00CD1D0F" w:rsidRPr="00245E81" w14:paraId="707AD0C6" w14:textId="77777777" w:rsidTr="007819E9">
              <w:trPr>
                <w:trHeight w:val="586"/>
                <w:jc w:val="center"/>
              </w:trPr>
              <w:tc>
                <w:tcPr>
                  <w:tcW w:w="5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A03506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</w:p>
              </w:tc>
              <w:tc>
                <w:tcPr>
                  <w:tcW w:w="9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1EDE41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</w:p>
              </w:tc>
              <w:tc>
                <w:tcPr>
                  <w:tcW w:w="860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412A7F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81D88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Cantitatea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1CA9E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mii dolari SUA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6CB90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Cantitatea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DC4E0C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mii dolari SUA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AAEA37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Cantitatea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E8213C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mii dolari SUA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FF228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Cantitatea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9CFF0" w14:textId="77777777" w:rsidR="0011005A" w:rsidRPr="00245E81" w:rsidRDefault="0011005A" w:rsidP="0011005A">
                  <w:pPr>
                    <w:shd w:val="clear" w:color="auto" w:fill="FFFFFF" w:themeFill="background1"/>
                    <w:ind w:firstLine="0"/>
                    <w:contextualSpacing/>
                    <w:jc w:val="center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mii dolari SUA</w:t>
                  </w:r>
                </w:p>
              </w:tc>
            </w:tr>
            <w:tr w:rsidR="00CD1D0F" w:rsidRPr="00245E81" w14:paraId="3127AACF" w14:textId="77777777" w:rsidTr="007819E9">
              <w:trPr>
                <w:trHeight w:val="288"/>
                <w:jc w:val="center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A82AAD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3101</w:t>
                  </w:r>
                </w:p>
              </w:tc>
              <w:tc>
                <w:tcPr>
                  <w:tcW w:w="9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79FFB1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Îngrășăminte de origine animală sau vegetală</w:t>
                  </w:r>
                </w:p>
              </w:tc>
              <w:tc>
                <w:tcPr>
                  <w:tcW w:w="8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32920" w14:textId="55C2FFBB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t,</w:t>
                  </w:r>
                </w:p>
              </w:tc>
              <w:tc>
                <w:tcPr>
                  <w:tcW w:w="9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DAC55" w14:textId="1437DD61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color w:val="000000"/>
                    </w:rPr>
                    <w:t>473,9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A90E85" w14:textId="63D2A46D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1.148,1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9EF5C2" w14:textId="22C157FA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448,9</w:t>
                  </w:r>
                </w:p>
              </w:tc>
              <w:tc>
                <w:tcPr>
                  <w:tcW w:w="8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6ED78" w14:textId="22FAC756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1.169,4</w:t>
                  </w:r>
                </w:p>
              </w:tc>
              <w:tc>
                <w:tcPr>
                  <w:tcW w:w="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10CDD7" w14:textId="09BDEAA3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716,7</w:t>
                  </w:r>
                </w:p>
              </w:tc>
              <w:tc>
                <w:tcPr>
                  <w:tcW w:w="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B58240" w14:textId="55DF3220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888,5</w:t>
                  </w:r>
                </w:p>
              </w:tc>
              <w:tc>
                <w:tcPr>
                  <w:tcW w:w="8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2C696" w14:textId="51CE1E86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729,04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95390" w14:textId="6B75CFA5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1.143,1</w:t>
                  </w:r>
                </w:p>
              </w:tc>
            </w:tr>
            <w:tr w:rsidR="00CD1D0F" w:rsidRPr="00245E81" w14:paraId="73C4D8DA" w14:textId="77777777" w:rsidTr="007819E9">
              <w:trPr>
                <w:trHeight w:val="531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9D08577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3102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9CFDE6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Îngrășăminte minerale sau chimice azotate: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C527F6" w14:textId="34D97EBA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t azot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9AE62E" w14:textId="75807E23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color w:val="000000"/>
                      <w:lang w:val="ro-RO"/>
                    </w:rPr>
                    <w:t>39.628,1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D3612" w14:textId="21ABEC66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34.335,8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9035B2" w14:textId="6E58E98F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35.048,3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8A989" w14:textId="5B98B77B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70.564,2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3CA544" w14:textId="0CC3CCE4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54.918,4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9CF9E4" w14:textId="4A2EA3EF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74</w:t>
                  </w:r>
                  <w:r w:rsidR="00533DB0">
                    <w:rPr>
                      <w:rFonts w:eastAsia="Calibri"/>
                      <w:bCs/>
                      <w:color w:val="000000"/>
                      <w:lang w:val="ro-RO"/>
                    </w:rPr>
                    <w:t>.940</w:t>
                  </w:r>
                  <w:r w:rsidR="00CD1D0F">
                    <w:rPr>
                      <w:rFonts w:eastAsia="Calibri"/>
                      <w:bCs/>
                      <w:color w:val="000000"/>
                      <w:lang w:val="ro-RO"/>
                    </w:rPr>
                    <w:t>,5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B9803" w14:textId="27E22CEF" w:rsidR="00467957" w:rsidRPr="00245E81" w:rsidRDefault="00AF1DE2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>
                    <w:rPr>
                      <w:rFonts w:eastAsia="Calibri"/>
                      <w:bCs/>
                      <w:color w:val="000000"/>
                      <w:lang w:val="ro-RO"/>
                    </w:rPr>
                    <w:t>42.501,6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73926B" w14:textId="1275E691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42.534,6</w:t>
                  </w:r>
                </w:p>
              </w:tc>
            </w:tr>
            <w:tr w:rsidR="00CD1D0F" w:rsidRPr="00245E81" w14:paraId="2CE3F216" w14:textId="77777777" w:rsidTr="007819E9">
              <w:trPr>
                <w:trHeight w:val="641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0160F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3103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B28D3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 xml:space="preserve">Îngrășăminte minerale sau </w:t>
                  </w:r>
                  <w:r w:rsidRPr="00245E81">
                    <w:rPr>
                      <w:rFonts w:eastAsia="Calibri"/>
                      <w:bCs/>
                      <w:lang w:val="ro-RO"/>
                    </w:rPr>
                    <w:lastRenderedPageBreak/>
                    <w:t>chimice fosfatice: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F9E54B" w14:textId="3B53CD3C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lastRenderedPageBreak/>
                    <w:t>t pentoxid de fosfor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DE4263" w14:textId="280FCF2D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13,6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5CF7E" w14:textId="501B0238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40,0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15F49C" w14:textId="640507B0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182,4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5C45D" w14:textId="37310B5E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599,4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AE665" w14:textId="6F8DD3A3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556,7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459CE4" w14:textId="2EFD00CA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711,7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A09564" w14:textId="3B140080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252,54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010DE" w14:textId="09641468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394,5</w:t>
                  </w:r>
                </w:p>
              </w:tc>
            </w:tr>
            <w:tr w:rsidR="00CD1D0F" w:rsidRPr="00245E81" w14:paraId="284E7F54" w14:textId="77777777" w:rsidTr="007819E9">
              <w:trPr>
                <w:trHeight w:val="614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AFCE0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3104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53F0C5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Îngrășăminte minerale sau chimice potasice: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4895C6" w14:textId="48B621E8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t oxid potasiu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6AF75" w14:textId="018BB011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415,2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A6163D" w14:textId="5F6F8E74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338,5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AFEA04" w14:textId="3004C4C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96,6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B17CB6" w14:textId="55B8EC94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285,5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A231D" w14:textId="3258CDF2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114,8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F1F6F0" w14:textId="13E19123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309,4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B2223" w14:textId="4F89A57C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172,81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798776" w14:textId="6E9E619B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453,4</w:t>
                  </w:r>
                </w:p>
              </w:tc>
            </w:tr>
            <w:tr w:rsidR="00CD1D0F" w:rsidRPr="00245E81" w14:paraId="5FF8F92C" w14:textId="77777777" w:rsidTr="007819E9">
              <w:trPr>
                <w:trHeight w:val="28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777B9A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3105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CDA4BB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Îngrășăminte minerale sau chimice, care conțin doua sau trei dintre elemente fertilizante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354EFC" w14:textId="703611A6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lang w:val="ro-RO"/>
                    </w:rPr>
                    <w:t>t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23E419" w14:textId="7DED62E4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106.264,6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F28905" w14:textId="4D137629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53.408,9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7F5AE9" w14:textId="41FDD7F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82.692,7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CF6B2A" w14:textId="7EA8F0A9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66.382,9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F383E" w14:textId="32258792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93.493,9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DAAD1" w14:textId="7A53D153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57</w:t>
                  </w:r>
                  <w:r w:rsidR="00CD1D0F">
                    <w:rPr>
                      <w:rFonts w:eastAsia="Calibri"/>
                      <w:bCs/>
                      <w:color w:val="000000"/>
                      <w:lang w:val="ro-RO"/>
                    </w:rPr>
                    <w:t>.</w:t>
                  </w: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439,8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EFD59" w14:textId="682BC135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83.652,24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A2EF9" w14:textId="719FF055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Cs/>
                      <w:color w:val="000000"/>
                      <w:lang w:val="ro-RO"/>
                    </w:rPr>
                    <w:t>45.800,3</w:t>
                  </w:r>
                </w:p>
              </w:tc>
            </w:tr>
            <w:tr w:rsidR="00CD1D0F" w:rsidRPr="00166545" w14:paraId="0DF7FA9B" w14:textId="77777777" w:rsidTr="007819E9">
              <w:trPr>
                <w:trHeight w:val="288"/>
                <w:jc w:val="center"/>
              </w:trPr>
              <w:tc>
                <w:tcPr>
                  <w:tcW w:w="5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7BEA58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bCs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bCs/>
                      <w:lang w:val="ro-RO"/>
                    </w:rPr>
                    <w:t>Total</w:t>
                  </w:r>
                </w:p>
              </w:tc>
              <w:tc>
                <w:tcPr>
                  <w:tcW w:w="9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5DA183F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lang w:val="ro-RO"/>
                    </w:rPr>
                  </w:pPr>
                  <w:r w:rsidRPr="00245E81">
                    <w:rPr>
                      <w:rFonts w:eastAsia="Calibri"/>
                      <w:lang w:val="ro-RO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E1007A" w14:textId="654FFD52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lang w:val="ro-RO"/>
                    </w:rPr>
                  </w:pPr>
                  <w:r w:rsidRPr="00245E81">
                    <w:rPr>
                      <w:rFonts w:eastAsia="Calibri"/>
                      <w:lang w:val="ro-RO"/>
                    </w:rPr>
                    <w:t>t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C2F20" w14:textId="48AF3AEA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lang w:val="ro-RO"/>
                    </w:rPr>
                    <w:t>146.795</w:t>
                  </w:r>
                  <w:r w:rsidR="007819E9" w:rsidRPr="00245E81">
                    <w:rPr>
                      <w:rFonts w:eastAsia="Calibri"/>
                      <w:b/>
                      <w:lang w:val="ro-RO"/>
                    </w:rPr>
                    <w:t>,4</w:t>
                  </w:r>
                </w:p>
              </w:tc>
              <w:tc>
                <w:tcPr>
                  <w:tcW w:w="9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89A32" w14:textId="77777777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lang w:val="ro-RO"/>
                    </w:rPr>
                    <w:t>89.271,27</w:t>
                  </w:r>
                </w:p>
              </w:tc>
              <w:tc>
                <w:tcPr>
                  <w:tcW w:w="8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103326" w14:textId="4252F81F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color w:val="000000"/>
                      <w:lang w:val="ro-RO"/>
                    </w:rPr>
                    <w:t>118.468,87</w:t>
                  </w:r>
                </w:p>
              </w:tc>
              <w:tc>
                <w:tcPr>
                  <w:tcW w:w="8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787217B" w14:textId="1FD3E42B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color w:val="000000"/>
                      <w:lang w:val="ro-RO"/>
                    </w:rPr>
                    <w:t>139.001,4</w:t>
                  </w:r>
                </w:p>
              </w:tc>
              <w:tc>
                <w:tcPr>
                  <w:tcW w:w="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1C3C15" w14:textId="1EE4FFB1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color w:val="000000"/>
                      <w:lang w:val="ro-RO"/>
                    </w:rPr>
                    <w:t>149.800,5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39C7A6" w14:textId="57D2CA20" w:rsidR="00467957" w:rsidRPr="00245E81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 w:rsidRPr="00245E81">
                    <w:rPr>
                      <w:rFonts w:eastAsia="Calibri"/>
                      <w:b/>
                      <w:color w:val="000000"/>
                      <w:lang w:val="ro-RO"/>
                    </w:rPr>
                    <w:t>13</w:t>
                  </w:r>
                  <w:r w:rsidR="00F14D7F">
                    <w:rPr>
                      <w:rFonts w:eastAsia="Calibri"/>
                      <w:b/>
                      <w:color w:val="000000"/>
                      <w:lang w:val="ro-RO"/>
                    </w:rPr>
                    <w:t>4</w:t>
                  </w:r>
                  <w:r w:rsidR="00AF1DE2">
                    <w:rPr>
                      <w:rFonts w:eastAsia="Calibri"/>
                      <w:b/>
                      <w:color w:val="000000"/>
                      <w:lang w:val="ro-RO"/>
                    </w:rPr>
                    <w:t>.</w:t>
                  </w:r>
                  <w:r w:rsidR="00CD1D0F">
                    <w:rPr>
                      <w:rFonts w:eastAsia="Calibri"/>
                      <w:b/>
                      <w:color w:val="000000"/>
                      <w:lang w:val="ro-RO"/>
                    </w:rPr>
                    <w:t>290,0</w:t>
                  </w:r>
                </w:p>
              </w:tc>
              <w:tc>
                <w:tcPr>
                  <w:tcW w:w="8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CF2DD" w14:textId="30EB983E" w:rsidR="00467957" w:rsidRPr="00245E81" w:rsidRDefault="00AF1DE2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>
                    <w:rPr>
                      <w:b/>
                      <w:color w:val="000000"/>
                    </w:rPr>
                    <w:t>127.308,2</w:t>
                  </w:r>
                </w:p>
              </w:tc>
              <w:tc>
                <w:tcPr>
                  <w:tcW w:w="7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DCDAC" w14:textId="29D4EF17" w:rsidR="00467957" w:rsidRPr="007819E9" w:rsidRDefault="00467957" w:rsidP="00467957">
                  <w:pPr>
                    <w:shd w:val="clear" w:color="auto" w:fill="FFFFFF" w:themeFill="background1"/>
                    <w:ind w:firstLine="0"/>
                    <w:contextualSpacing/>
                    <w:jc w:val="left"/>
                    <w:rPr>
                      <w:rFonts w:eastAsia="Calibri"/>
                      <w:b/>
                      <w:lang w:val="ro-RO"/>
                    </w:rPr>
                  </w:pPr>
                  <w:r w:rsidRPr="00245E81">
                    <w:rPr>
                      <w:b/>
                      <w:color w:val="000000"/>
                    </w:rPr>
                    <w:t>90.32</w:t>
                  </w:r>
                  <w:bookmarkStart w:id="0" w:name="_GoBack"/>
                  <w:bookmarkEnd w:id="0"/>
                  <w:r w:rsidRPr="00245E81">
                    <w:rPr>
                      <w:b/>
                      <w:color w:val="000000"/>
                    </w:rPr>
                    <w:t>5,9</w:t>
                  </w:r>
                </w:p>
              </w:tc>
            </w:tr>
          </w:tbl>
          <w:p w14:paraId="4F560234" w14:textId="2D1AD2F9" w:rsidR="00F13FFD" w:rsidRPr="00245E81" w:rsidRDefault="00F13FFD" w:rsidP="00364B64">
            <w:pPr>
              <w:spacing w:before="240"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245E81">
              <w:rPr>
                <w:rFonts w:ascii="Times New Roman" w:hAnsi="Times New Roman"/>
                <w:sz w:val="24"/>
                <w:szCs w:val="24"/>
              </w:rPr>
              <w:t xml:space="preserve">Întrucât prevederile Legale </w:t>
            </w:r>
            <w:r w:rsidR="008B2A5D" w:rsidRPr="00245E81">
              <w:rPr>
                <w:rFonts w:ascii="Times New Roman" w:hAnsi="Times New Roman"/>
                <w:sz w:val="24"/>
                <w:szCs w:val="24"/>
              </w:rPr>
              <w:t xml:space="preserve">noi </w:t>
            </w:r>
            <w:r w:rsidR="000446FF" w:rsidRPr="00245E81">
              <w:rPr>
                <w:rFonts w:ascii="Times New Roman" w:hAnsi="Times New Roman"/>
                <w:sz w:val="24"/>
                <w:szCs w:val="24"/>
              </w:rPr>
              <w:t>relaxează condițiile de plasare pe piață ale produselor fertilizante</w:t>
            </w:r>
            <w:r w:rsidR="002A6476" w:rsidRPr="00245E81">
              <w:rPr>
                <w:rFonts w:ascii="Times New Roman" w:hAnsi="Times New Roman"/>
                <w:sz w:val="24"/>
                <w:szCs w:val="24"/>
              </w:rPr>
              <w:t xml:space="preserve">, pentru </w:t>
            </w:r>
            <w:proofErr w:type="gramStart"/>
            <w:r w:rsidR="002A6476" w:rsidRPr="00245E8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2A6476" w:rsidRPr="00245E81">
              <w:rPr>
                <w:rFonts w:ascii="Times New Roman" w:hAnsi="Times New Roman"/>
                <w:sz w:val="24"/>
                <w:szCs w:val="24"/>
              </w:rPr>
              <w:t xml:space="preserve"> asigura și garanta intervenția echilibrată a autorităților este binevenită ducerea și păstrarea evidenților produselor importate</w:t>
            </w:r>
            <w:r w:rsidR="003861EB" w:rsidRPr="00245E81">
              <w:rPr>
                <w:rFonts w:ascii="Times New Roman" w:hAnsi="Times New Roman"/>
                <w:sz w:val="24"/>
                <w:szCs w:val="24"/>
              </w:rPr>
              <w:t>. În aces sens, registrele de evidență ar trebui să fie actualizate conform noilor actualizări normative și a realități economice și științifice.</w:t>
            </w:r>
          </w:p>
          <w:p w14:paraId="7D55CBD8" w14:textId="1A5F2688" w:rsidR="00364B64" w:rsidRPr="00882F40" w:rsidRDefault="00364B64" w:rsidP="00882F40">
            <w:pPr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Totoodată, prin aprobarea Registrului de evidență, 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se impune operatorilor economici care desfășoară activitatea de import o sarcină administrativă de conformare, necesară pentru asigurarea trasabilității produselor fertilizante UE și a produselor fertilizante MD din altă țară.</w:t>
            </w:r>
          </w:p>
          <w:p w14:paraId="5F7A1EDE" w14:textId="77777777" w:rsidR="00364B64" w:rsidRPr="00882F40" w:rsidRDefault="00364B64" w:rsidP="00364B64">
            <w:pPr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Așa dar, operatorii economici care au desfașurat sau desfășoară activitatea de import a produselor fertilizante vor avea următoarele obligații:</w:t>
            </w:r>
          </w:p>
          <w:p w14:paraId="6AFF1F29" w14:textId="77777777" w:rsidR="00364B64" w:rsidRPr="00882F40" w:rsidRDefault="00364B64" w:rsidP="00364B64">
            <w:pPr>
              <w:pStyle w:val="afb"/>
              <w:spacing w:line="276" w:lineRule="auto"/>
              <w:ind w:left="284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>- s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ă țină evidența importului de produse fertilizante într-un registru, întocmit într-un singur exemplar.</w:t>
            </w:r>
          </w:p>
          <w:p w14:paraId="585B530A" w14:textId="77777777" w:rsidR="00364B64" w:rsidRPr="00882F40" w:rsidRDefault="00364B64" w:rsidP="00364B64">
            <w:pPr>
              <w:pStyle w:val="afb"/>
              <w:spacing w:before="240" w:line="276" w:lineRule="auto"/>
              <w:ind w:left="284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>- s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ă completeze Registrul de evidență într-o zi lucrătoare după desfășurarea acțiunii de import sau de comercializare a produsului fertilizant.</w:t>
            </w:r>
          </w:p>
          <w:p w14:paraId="428D9D3F" w14:textId="77777777" w:rsidR="00364B64" w:rsidRPr="00882F40" w:rsidRDefault="00364B64" w:rsidP="00364B64">
            <w:pPr>
              <w:pStyle w:val="afb"/>
              <w:spacing w:before="240" w:line="276" w:lineRule="auto"/>
              <w:ind w:left="284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>- s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ă păstreze Registrul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 xml:space="preserve"> de evidență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în original, pe suport de hârtie sau în format electronic securizat.</w:t>
            </w:r>
          </w:p>
          <w:p w14:paraId="4DD641F8" w14:textId="77777777" w:rsidR="00364B64" w:rsidRPr="00882F40" w:rsidRDefault="00364B64" w:rsidP="00364B64">
            <w:pPr>
              <w:spacing w:line="276" w:lineRule="auto"/>
              <w:ind w:left="284"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</w:pP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>- s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ă asigure că datele înscrise sunt complete și corecte, neadmițând ștersături, corec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>tări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neautorizate, cuvinte radiate sau înscrieri cu creionul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 xml:space="preserve">, totodată, 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orice modificare operată se consemnează și se confirmă prin semnătu</w:t>
            </w:r>
            <w:r w:rsidRPr="00882F40">
              <w:rPr>
                <w:rFonts w:ascii="Times New Roman" w:hAnsi="Times New Roman"/>
                <w:color w:val="000000" w:themeColor="text1"/>
                <w:sz w:val="24"/>
                <w:szCs w:val="24"/>
                <w:lang w:val="ro-MD" w:eastAsia="ru-RU"/>
              </w:rPr>
              <w:t xml:space="preserve">ă. </w:t>
            </w:r>
          </w:p>
          <w:p w14:paraId="2FAD96E5" w14:textId="77777777" w:rsidR="00364B64" w:rsidRPr="008175CD" w:rsidRDefault="00364B64" w:rsidP="00364B64">
            <w:pPr>
              <w:spacing w:line="276" w:lineRule="auto"/>
              <w:ind w:left="28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>- v</w:t>
            </w:r>
            <w:r w:rsidRPr="008175CD">
              <w:rPr>
                <w:rFonts w:ascii="Times New Roman" w:hAnsi="Times New Roman"/>
                <w:sz w:val="24"/>
                <w:szCs w:val="24"/>
                <w:lang w:eastAsia="ru-RU"/>
              </w:rPr>
              <w:t>or prezenta informații din</w:t>
            </w:r>
            <w:r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Registru de evidență</w:t>
            </w:r>
            <w:r w:rsidRPr="008175CD">
              <w:rPr>
                <w:rFonts w:ascii="Times New Roman" w:hAnsi="Times New Roman"/>
                <w:sz w:val="24"/>
                <w:szCs w:val="24"/>
                <w:lang w:eastAsia="ru-RU"/>
              </w:rPr>
              <w:t>, la cererea autorității de supraveghere a pieței (ANSA), o dată la 6 luni.</w:t>
            </w:r>
          </w:p>
          <w:p w14:paraId="1F8EF843" w14:textId="77777777" w:rsidR="00D34DD1" w:rsidRDefault="00F376EA" w:rsidP="00364B64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Este important de menționat că, a</w:t>
            </w:r>
            <w:r w:rsidR="00D23E9B" w:rsidRPr="00A32E6C">
              <w:rPr>
                <w:rFonts w:ascii="Times New Roman" w:hAnsi="Times New Roman"/>
                <w:sz w:val="24"/>
                <w:szCs w:val="24"/>
              </w:rPr>
              <w:t>probarea modelului de</w:t>
            </w:r>
            <w:r w:rsidR="0011005A" w:rsidRPr="00A32E6C">
              <w:rPr>
                <w:rFonts w:ascii="Times New Roman" w:hAnsi="Times New Roman"/>
                <w:sz w:val="24"/>
                <w:szCs w:val="24"/>
              </w:rPr>
              <w:t xml:space="preserve"> Registrului</w:t>
            </w:r>
            <w:r w:rsidR="00D23E9B" w:rsidRPr="00A32E6C">
              <w:rPr>
                <w:rFonts w:ascii="Times New Roman" w:hAnsi="Times New Roman"/>
                <w:sz w:val="24"/>
                <w:szCs w:val="24"/>
              </w:rPr>
              <w:t xml:space="preserve"> de evidență </w:t>
            </w:r>
            <w:proofErr w:type="gramStart"/>
            <w:r w:rsidR="00D23E9B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D23E9B" w:rsidRPr="00A32E6C">
              <w:rPr>
                <w:rFonts w:ascii="Times New Roman" w:hAnsi="Times New Roman"/>
                <w:sz w:val="24"/>
                <w:szCs w:val="24"/>
              </w:rPr>
              <w:t xml:space="preserve"> importului de produse fertilizante</w:t>
            </w:r>
            <w:r w:rsidR="0011005A" w:rsidRPr="00A32E6C">
              <w:rPr>
                <w:rFonts w:ascii="Times New Roman" w:hAnsi="Times New Roman"/>
                <w:sz w:val="24"/>
                <w:szCs w:val="24"/>
              </w:rPr>
              <w:t xml:space="preserve"> nu implică cheltuieli financiare suplimentare din bugetul de stat</w:t>
            </w:r>
            <w:r w:rsidR="00A63AA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8293D4" w14:textId="6FC48F13" w:rsidR="00A32E6C" w:rsidRPr="00A32E6C" w:rsidRDefault="00AA4E1A" w:rsidP="00364B64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Importatorii vor avea posibilitatea </w:t>
            </w:r>
            <w:r w:rsidR="00DD67D6">
              <w:rPr>
                <w:rFonts w:ascii="Times New Roman" w:hAnsi="Times New Roman"/>
                <w:sz w:val="24"/>
                <w:szCs w:val="24"/>
              </w:rPr>
              <w:t xml:space="preserve">să relaționeze cu ANSA </w:t>
            </w:r>
            <w:r w:rsidR="00EF569F">
              <w:rPr>
                <w:rFonts w:ascii="Times New Roman" w:hAnsi="Times New Roman"/>
                <w:sz w:val="24"/>
                <w:szCs w:val="24"/>
              </w:rPr>
              <w:t xml:space="preserve">prin reducerea numărului de contacte </w:t>
            </w:r>
            <w:r w:rsidR="00FF2F3D">
              <w:rPr>
                <w:rFonts w:ascii="Times New Roman" w:hAnsi="Times New Roman"/>
                <w:sz w:val="24"/>
                <w:szCs w:val="24"/>
              </w:rPr>
              <w:t>de la 4 ori pe an până la 2</w:t>
            </w:r>
            <w:r w:rsidR="00882F40">
              <w:rPr>
                <w:rFonts w:ascii="Times New Roman" w:hAnsi="Times New Roman"/>
                <w:sz w:val="24"/>
                <w:szCs w:val="24"/>
              </w:rPr>
              <w:t xml:space="preserve"> ori</w:t>
            </w:r>
            <w:r w:rsidR="00FF2F3D">
              <w:rPr>
                <w:rFonts w:ascii="Times New Roman" w:hAnsi="Times New Roman"/>
                <w:sz w:val="24"/>
                <w:szCs w:val="24"/>
              </w:rPr>
              <w:t>, care la fel se fac doar la solicitarea ANSA.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96DEE2D" w14:textId="77777777" w:rsidR="0011005A" w:rsidRPr="00A32E6C" w:rsidRDefault="0011005A" w:rsidP="00A32E6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Pe termen lung, aprobarea </w:t>
            </w:r>
            <w:r w:rsidR="00D23E9B" w:rsidRPr="00A32E6C">
              <w:rPr>
                <w:rFonts w:ascii="Times New Roman" w:hAnsi="Times New Roman"/>
                <w:sz w:val="24"/>
                <w:szCs w:val="24"/>
              </w:rPr>
              <w:t xml:space="preserve">Registrului de evidență </w:t>
            </w:r>
            <w:proofErr w:type="gramStart"/>
            <w:r w:rsidR="00D23E9B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D23E9B" w:rsidRPr="00A32E6C">
              <w:rPr>
                <w:rFonts w:ascii="Times New Roman" w:hAnsi="Times New Roman"/>
                <w:sz w:val="24"/>
                <w:szCs w:val="24"/>
              </w:rPr>
              <w:t xml:space="preserve"> importului de produse fertilizante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contribuie la crearea unui mediu de afaceri mai echitabil și sigur</w:t>
            </w:r>
            <w:r w:rsidR="00D23E9B" w:rsidRPr="00A32E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Registrul </w:t>
            </w:r>
            <w:r w:rsidR="00E70436">
              <w:rPr>
                <w:rFonts w:ascii="Times New Roman" w:hAnsi="Times New Roman"/>
                <w:sz w:val="24"/>
                <w:szCs w:val="24"/>
              </w:rPr>
              <w:t xml:space="preserve">evidență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este esențial pentru prevenirea importului produselor fertilizante neautorizate, neconforme și periculoase.</w:t>
            </w:r>
            <w:r w:rsidR="00D23E9B" w:rsidRPr="00A32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AAE">
              <w:rPr>
                <w:rFonts w:ascii="Times New Roman" w:hAnsi="Times New Roman"/>
                <w:sz w:val="24"/>
                <w:szCs w:val="24"/>
              </w:rPr>
              <w:t>Astfel, se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protejează piața de concurența neloială și de riscul reputațional asociat produselor de calitate slabă sau ilicite.</w:t>
            </w:r>
          </w:p>
          <w:p w14:paraId="2B9CB840" w14:textId="77777777" w:rsidR="00EA2591" w:rsidRDefault="00EA2591" w:rsidP="001941C5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Totodată, p</w:t>
            </w:r>
            <w:r w:rsidR="0011005A" w:rsidRPr="00A32E6C">
              <w:rPr>
                <w:rFonts w:ascii="Times New Roman" w:hAnsi="Times New Roman"/>
                <w:sz w:val="24"/>
                <w:szCs w:val="24"/>
              </w:rPr>
              <w:t>rin creșterea standardelor de monitorizare, se asigură o mai bună protecție a consumatorilor (</w:t>
            </w:r>
            <w:r w:rsidR="00A32E6C" w:rsidRPr="00A32E6C">
              <w:rPr>
                <w:rFonts w:ascii="Times New Roman" w:hAnsi="Times New Roman"/>
                <w:sz w:val="24"/>
                <w:szCs w:val="24"/>
              </w:rPr>
              <w:t>agricultorilor</w:t>
            </w:r>
            <w:r w:rsidR="0011005A" w:rsidRPr="00A32E6C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9571D1A" w14:textId="0865272E" w:rsidR="00E259EF" w:rsidRPr="00E259EF" w:rsidRDefault="00E259EF" w:rsidP="001941C5">
            <w:pPr>
              <w:spacing w:line="276" w:lineRule="auto"/>
              <w:ind w:firstLine="284"/>
              <w:rPr>
                <w:rFonts w:ascii="Times New Roman" w:hAnsi="Times New Roman"/>
                <w:szCs w:val="24"/>
              </w:rPr>
            </w:pPr>
          </w:p>
        </w:tc>
      </w:tr>
      <w:tr w:rsidR="00CD467C" w:rsidRPr="00A32E6C" w14:paraId="66652ED1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A308C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lastRenderedPageBreak/>
              <w:t>4.4. Impactul social</w:t>
            </w:r>
          </w:p>
        </w:tc>
      </w:tr>
      <w:tr w:rsidR="00CD467C" w:rsidRPr="00A32E6C" w14:paraId="200FC217" w14:textId="77777777" w:rsidTr="000966D2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FE76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Promovarea proiectului de ordin va avea un impact pozitiv asupra diverselor grupuri de persoane, </w:t>
            </w: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inclusiv populația generală, lucrătorii din sectorul agricol, comunitățile rurale și consumatorii. </w:t>
            </w:r>
          </w:p>
          <w:p w14:paraId="774BDC57" w14:textId="77777777" w:rsidR="00272988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Prin aprobarea </w:t>
            </w:r>
            <w:r w:rsidR="00272988" w:rsidRPr="00A32E6C">
              <w:rPr>
                <w:rFonts w:ascii="Times New Roman" w:hAnsi="Times New Roman"/>
                <w:sz w:val="24"/>
                <w:szCs w:val="24"/>
              </w:rPr>
              <w:t xml:space="preserve">Registrului de evidență </w:t>
            </w:r>
            <w:proofErr w:type="gramStart"/>
            <w:r w:rsidR="00272988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272988" w:rsidRPr="00A32E6C">
              <w:rPr>
                <w:rFonts w:ascii="Times New Roman" w:hAnsi="Times New Roman"/>
                <w:sz w:val="24"/>
                <w:szCs w:val="24"/>
              </w:rPr>
              <w:t xml:space="preserve"> importului de produse fertilizante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, se va reduce riscul ca produsele </w:t>
            </w:r>
            <w:r w:rsidR="00272988" w:rsidRPr="00A32E6C">
              <w:rPr>
                <w:rFonts w:ascii="Times New Roman" w:hAnsi="Times New Roman"/>
                <w:sz w:val="24"/>
                <w:szCs w:val="24"/>
              </w:rPr>
              <w:t>fertilizante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neautorizate să </w:t>
            </w:r>
            <w:r w:rsidR="00272988" w:rsidRPr="00A32E6C">
              <w:rPr>
                <w:rFonts w:ascii="Times New Roman" w:hAnsi="Times New Roman"/>
                <w:sz w:val="24"/>
                <w:szCs w:val="24"/>
              </w:rPr>
              <w:t>fie importate și comercializate pe teritoriul Republicii Moldova</w:t>
            </w:r>
            <w:r w:rsidR="00F874B5" w:rsidRPr="00A32E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70436">
              <w:rPr>
                <w:rFonts w:ascii="Times New Roman" w:hAnsi="Times New Roman"/>
                <w:sz w:val="24"/>
                <w:szCs w:val="24"/>
              </w:rPr>
              <w:t>Urmare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, există un impact pozitiv asupra sănătății publice, prin diminuarea expunerii populației la reziduuri periculoase din produse f</w:t>
            </w:r>
            <w:r w:rsidR="00272988" w:rsidRPr="00A32E6C">
              <w:rPr>
                <w:rFonts w:ascii="Times New Roman" w:hAnsi="Times New Roman"/>
                <w:sz w:val="24"/>
                <w:szCs w:val="24"/>
              </w:rPr>
              <w:t>ertilizante</w:t>
            </w:r>
            <w:r w:rsidR="00F874B5" w:rsidRPr="00A32E6C">
              <w:rPr>
                <w:rFonts w:ascii="Times New Roman" w:hAnsi="Times New Roman"/>
                <w:sz w:val="24"/>
                <w:szCs w:val="24"/>
              </w:rPr>
              <w:t xml:space="preserve"> și asigurarea trasabilității a produselor fertilizante. </w:t>
            </w:r>
          </w:p>
          <w:p w14:paraId="3450EFE4" w14:textId="77777777" w:rsidR="00CD467C" w:rsidRPr="00E259EF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CD467C" w:rsidRPr="00A32E6C" w14:paraId="64DC009F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5B20B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4.4.1. Impactul asupra datelor cu caracter personal</w:t>
            </w:r>
          </w:p>
        </w:tc>
      </w:tr>
      <w:tr w:rsidR="00CD467C" w:rsidRPr="00A32E6C" w14:paraId="25A81995" w14:textId="77777777" w:rsidTr="00865626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CF8B" w14:textId="77777777" w:rsidR="00595827" w:rsidRPr="00A32E6C" w:rsidRDefault="00595827" w:rsidP="00E70436">
            <w:pPr>
              <w:spacing w:line="276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Aprobarea Proiectului de ordin va implica colectarea și procesarea unor date cu caracter personal, care sunt necesare pentru monitorizarea trasabilității și conformității produselor fertilizante.</w:t>
            </w:r>
          </w:p>
          <w:p w14:paraId="0AF6E409" w14:textId="77777777" w:rsidR="00E70436" w:rsidRDefault="00E70436" w:rsidP="00E70436">
            <w:pPr>
              <w:spacing w:line="276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Operatorii economici care desfășoară activitatea de import a produselor fertilizante la cererea autorității de supraveghere a pieții </w:t>
            </w:r>
            <w:r w:rsidR="00BA4E49" w:rsidRPr="00A3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vor fi obligați să furnizeze informații detaliate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despre cantitatea de produse fertilizinate importate și/sau comercializate, specificând cumpărătorul.</w:t>
            </w:r>
          </w:p>
          <w:p w14:paraId="3C96ED42" w14:textId="77777777" w:rsidR="004245C4" w:rsidRDefault="00E70436" w:rsidP="00821BBE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Autoritatea de supraveghere a pieții (ANSA)</w:t>
            </w:r>
            <w:r w:rsidR="00BA4E49" w:rsidRPr="00A32E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vor prelucra date </w:t>
            </w:r>
            <w:r w:rsidR="00821BBE">
              <w:rPr>
                <w:rFonts w:ascii="Times New Roman" w:hAnsi="Times New Roman"/>
                <w:sz w:val="24"/>
                <w:szCs w:val="24"/>
                <w:lang w:eastAsia="ru-RU"/>
              </w:rPr>
              <w:t>î</w:t>
            </w:r>
            <w:r w:rsidR="002F5D20" w:rsidRPr="00A32E6C">
              <w:rPr>
                <w:rFonts w:ascii="Times New Roman" w:hAnsi="Times New Roman"/>
                <w:sz w:val="24"/>
                <w:szCs w:val="24"/>
                <w:lang w:eastAsia="ru-RU"/>
              </w:rPr>
              <w:t>n confo</w:t>
            </w:r>
            <w:r w:rsidR="00821BBE">
              <w:rPr>
                <w:rFonts w:ascii="Times New Roman" w:hAnsi="Times New Roman"/>
                <w:sz w:val="24"/>
                <w:szCs w:val="24"/>
                <w:lang w:eastAsia="ru-RU"/>
              </w:rPr>
              <w:t>rmitateprevederile Legii</w:t>
            </w:r>
            <w:r w:rsidR="002F5D20" w:rsidRPr="00A32E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privind protecția datelor cu caracter personal</w:t>
            </w:r>
            <w:r w:rsidR="00EA259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0518DB77" w14:textId="77777777" w:rsidR="00EA2591" w:rsidRPr="00E259EF" w:rsidRDefault="00EA2591" w:rsidP="002F5D20">
            <w:pPr>
              <w:spacing w:line="276" w:lineRule="auto"/>
              <w:ind w:firstLine="284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D467C" w:rsidRPr="00A32E6C" w14:paraId="7E3B2240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A2931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4.4.2. Impactul asupra echității și egalității de gen</w:t>
            </w:r>
          </w:p>
        </w:tc>
      </w:tr>
      <w:tr w:rsidR="00CD467C" w:rsidRPr="00A32E6C" w14:paraId="4F683C1A" w14:textId="77777777" w:rsidTr="00013313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EF34" w14:textId="77777777" w:rsidR="00CD467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Evaluarea impactului asupra echității și egalității de gen nu a fost efectuată, având în vedere că proiectul nu are prevederi care să producă efecte diferite asupra femeilor, bărbaților sau minorităților de gen și nu influențează semnificativ alte aspecte sociale relevante.</w:t>
            </w:r>
          </w:p>
          <w:p w14:paraId="6EEE84C4" w14:textId="77777777" w:rsidR="00EA2591" w:rsidRPr="00A32E6C" w:rsidRDefault="00EA2591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7C" w:rsidRPr="00A32E6C" w14:paraId="7F5F2D88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696AC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4.5. Impactul asupra mediului</w:t>
            </w:r>
          </w:p>
        </w:tc>
      </w:tr>
      <w:tr w:rsidR="00CD467C" w:rsidRPr="00A32E6C" w14:paraId="54795320" w14:textId="77777777" w:rsidTr="00690AA1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ADBA" w14:textId="77777777" w:rsidR="00DA49B4" w:rsidRPr="00A32E6C" w:rsidRDefault="00DA49B4" w:rsidP="00CD467C">
            <w:pPr>
              <w:pStyle w:val="af5"/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A32E6C">
              <w:rPr>
                <w:rFonts w:ascii="Times New Roman" w:hAnsi="Times New Roman"/>
                <w:color w:val="000000" w:themeColor="text1"/>
                <w:lang w:val="en-US"/>
              </w:rPr>
              <w:t xml:space="preserve">Produsele fertilizante sunt utilizate în agricultură pentru a furniza plantelor nutrienți esențiali, care participă la creșterea productivității culturilor. </w:t>
            </w:r>
          </w:p>
          <w:p w14:paraId="41AF5AAA" w14:textId="6CC16670" w:rsidR="00821BBE" w:rsidRPr="00821BBE" w:rsidRDefault="008F07DC" w:rsidP="00821BBE">
            <w:pPr>
              <w:pStyle w:val="af5"/>
              <w:spacing w:line="276" w:lineRule="auto"/>
              <w:ind w:firstLine="284"/>
              <w:rPr>
                <w:rFonts w:ascii="Times New Roman" w:hAnsi="Times New Roman"/>
                <w:shd w:val="clear" w:color="auto" w:fill="FFFFFF"/>
                <w:lang w:val="ro-MD"/>
              </w:rPr>
            </w:pPr>
            <w:r w:rsidRPr="00821BBE">
              <w:rPr>
                <w:rFonts w:ascii="Times New Roman" w:hAnsi="Times New Roman"/>
                <w:lang w:val="en-US"/>
              </w:rPr>
              <w:t xml:space="preserve">Proiectul de ordin are drept obiectiv evidența produselor fertilizante importate </w:t>
            </w:r>
            <w:r w:rsidR="00346D2A" w:rsidRPr="00821BBE">
              <w:rPr>
                <w:rFonts w:ascii="Times New Roman" w:hAnsi="Times New Roman"/>
                <w:lang w:val="en-US"/>
              </w:rPr>
              <w:t>în Republica Moldova într-un registru de evidență, care va asigura trasabilitatea produselor fertilizante</w:t>
            </w:r>
            <w:r w:rsidR="00821BBE" w:rsidRPr="00821BBE">
              <w:rPr>
                <w:rFonts w:ascii="Times New Roman" w:hAnsi="Times New Roman"/>
                <w:lang w:val="en-US"/>
              </w:rPr>
              <w:t>.</w:t>
            </w:r>
            <w:r w:rsidR="00821BBE" w:rsidRPr="008175C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Scopul Registrului</w:t>
            </w:r>
            <w:r w:rsidR="00821BBE">
              <w:rPr>
                <w:rFonts w:ascii="Times New Roman" w:hAnsi="Times New Roman"/>
                <w:shd w:val="clear" w:color="auto" w:fill="FFFFFF"/>
                <w:lang w:val="ro-MD"/>
              </w:rPr>
              <w:t xml:space="preserve"> de evidență</w:t>
            </w:r>
            <w:r w:rsidR="00821BBE" w:rsidRPr="008175C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este monitorizarea introducerii în țară a produselor fertilizante UE și a produselor fertilizante MD din altă țară, prevenind importul produselor fertilizante neautorizate și periculoase. Măsurile de protecție a mediului vor sprijini biodiversitatea și vor contribui la protejarea sănătății plantelor și </w:t>
            </w:r>
            <w:proofErr w:type="gramStart"/>
            <w:r w:rsidR="00821BBE" w:rsidRPr="008175CD">
              <w:rPr>
                <w:rFonts w:ascii="Times New Roman" w:hAnsi="Times New Roman"/>
                <w:shd w:val="clear" w:color="auto" w:fill="FFFFFF"/>
                <w:lang w:val="en-US"/>
              </w:rPr>
              <w:t>a</w:t>
            </w:r>
            <w:proofErr w:type="gramEnd"/>
            <w:r w:rsidR="00821BBE" w:rsidRPr="008175C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animalelor.</w:t>
            </w:r>
          </w:p>
          <w:p w14:paraId="7F35F808" w14:textId="77777777" w:rsidR="00EA2591" w:rsidRPr="00A32E6C" w:rsidRDefault="00EA2591" w:rsidP="00821BBE">
            <w:pPr>
              <w:pStyle w:val="af5"/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lang w:val="en-US"/>
              </w:rPr>
            </w:pPr>
          </w:p>
        </w:tc>
      </w:tr>
      <w:tr w:rsidR="00CD467C" w:rsidRPr="00A32E6C" w14:paraId="62DC33E6" w14:textId="77777777" w:rsidTr="006F6757">
        <w:tc>
          <w:tcPr>
            <w:tcW w:w="9109" w:type="dxa"/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6D528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4.6. Alte impacturi și informații relevante</w:t>
            </w:r>
          </w:p>
        </w:tc>
      </w:tr>
      <w:tr w:rsidR="00CD467C" w:rsidRPr="00A32E6C" w14:paraId="1DD6B3A8" w14:textId="77777777" w:rsidTr="006F6757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FECA0" w14:textId="77777777" w:rsidR="00CD467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Nu este aplicabil </w:t>
            </w:r>
          </w:p>
          <w:p w14:paraId="41E58972" w14:textId="77777777" w:rsidR="00EA2591" w:rsidRPr="00A32E6C" w:rsidRDefault="00EA2591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7C" w:rsidRPr="00A32E6C" w14:paraId="15C7C1C9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F452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5. Compatibilitatea proiectului actului normativ cu legislația UE </w:t>
            </w:r>
          </w:p>
        </w:tc>
      </w:tr>
      <w:tr w:rsidR="00CD467C" w:rsidRPr="00A32E6C" w14:paraId="6B7C79ED" w14:textId="77777777" w:rsidTr="004724AE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20740" w14:textId="77777777" w:rsidR="00CD467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Nu este aplicabil. Proiectul de ordin nu transpune prevederile legislației Uniunii Europene</w:t>
            </w:r>
            <w:r w:rsidR="00EA25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BCE3CF" w14:textId="77777777" w:rsidR="00EA2591" w:rsidRPr="00A32E6C" w:rsidRDefault="00EA2591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7C" w:rsidRPr="00A32E6C" w14:paraId="3F2F9E6E" w14:textId="77777777" w:rsidTr="000B6992">
        <w:tc>
          <w:tcPr>
            <w:tcW w:w="91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E715C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5.1. Măsuri normative necesare pentru transpunerea actelor juridice ale UE în legislația națională</w:t>
            </w:r>
          </w:p>
        </w:tc>
      </w:tr>
      <w:tr w:rsidR="00CD467C" w:rsidRPr="00A32E6C" w14:paraId="2E1674A7" w14:textId="77777777" w:rsidTr="00642A89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DAACB" w14:textId="77777777" w:rsidR="00CD467C" w:rsidRDefault="00CD467C" w:rsidP="00CD467C">
            <w:pPr>
              <w:pStyle w:val="af5"/>
              <w:spacing w:line="276" w:lineRule="auto"/>
              <w:ind w:firstLine="284"/>
              <w:rPr>
                <w:rFonts w:ascii="Times New Roman" w:hAnsi="Times New Roman"/>
              </w:rPr>
            </w:pPr>
            <w:r w:rsidRPr="00A32E6C">
              <w:rPr>
                <w:rFonts w:ascii="Times New Roman" w:hAnsi="Times New Roman"/>
              </w:rPr>
              <w:t>Nu este aplicabil</w:t>
            </w:r>
            <w:r w:rsidR="00EA2591">
              <w:rPr>
                <w:rFonts w:ascii="Times New Roman" w:hAnsi="Times New Roman"/>
                <w:lang w:val="ro-RO"/>
              </w:rPr>
              <w:t>.</w:t>
            </w:r>
            <w:r w:rsidRPr="00A32E6C">
              <w:rPr>
                <w:rFonts w:ascii="Times New Roman" w:hAnsi="Times New Roman"/>
              </w:rPr>
              <w:t xml:space="preserve"> </w:t>
            </w:r>
          </w:p>
          <w:p w14:paraId="72EDF680" w14:textId="77777777" w:rsidR="00EA2591" w:rsidRPr="00A32E6C" w:rsidRDefault="00EA2591" w:rsidP="00CD467C">
            <w:pPr>
              <w:pStyle w:val="af5"/>
              <w:spacing w:line="276" w:lineRule="auto"/>
              <w:ind w:firstLine="284"/>
              <w:rPr>
                <w:rFonts w:ascii="Times New Roman" w:hAnsi="Times New Roman"/>
              </w:rPr>
            </w:pPr>
          </w:p>
        </w:tc>
      </w:tr>
      <w:tr w:rsidR="00CD467C" w:rsidRPr="00A32E6C" w14:paraId="6370E30A" w14:textId="77777777" w:rsidTr="000B6992">
        <w:tc>
          <w:tcPr>
            <w:tcW w:w="9109" w:type="dxa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F0BA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5.2. Măsuri normative care urmăresc crearea cadrului juridic intern necesar pentru implementarea legislației UE</w:t>
            </w:r>
          </w:p>
        </w:tc>
      </w:tr>
      <w:tr w:rsidR="00CD467C" w:rsidRPr="00A32E6C" w14:paraId="32F0316B" w14:textId="77777777" w:rsidTr="006F6757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2DDCE" w14:textId="77777777" w:rsidR="00CD467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Nu este aplicabil</w:t>
            </w:r>
            <w:r w:rsidR="00EA259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AC42C9C" w14:textId="77777777" w:rsidR="00EA2591" w:rsidRPr="00A32E6C" w:rsidRDefault="00EA2591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7C" w:rsidRPr="00A32E6C" w14:paraId="1CB6F02B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9A0E" w14:textId="77777777" w:rsidR="00CD467C" w:rsidRPr="00A32E6C" w:rsidRDefault="00CD467C" w:rsidP="00CD467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Avizarea și consultarea publică a proiectului actului </w:t>
            </w:r>
            <w:r w:rsidR="001941C5">
              <w:rPr>
                <w:rFonts w:ascii="Times New Roman" w:hAnsi="Times New Roman"/>
                <w:b/>
                <w:bCs/>
                <w:sz w:val="24"/>
                <w:szCs w:val="24"/>
              </w:rPr>
              <w:t>normative</w:t>
            </w:r>
          </w:p>
        </w:tc>
      </w:tr>
      <w:tr w:rsidR="00CD467C" w:rsidRPr="00A32E6C" w14:paraId="5B989644" w14:textId="77777777" w:rsidTr="006F6757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8565F" w14:textId="77777777" w:rsidR="00A909BB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În scopul respectării prevederilor Legii nr. 239/2008 privind transparența în procesul decizional, Ministerul a publicat anunțul de inițiere pe marginea procesului de elaborare a Proiectului de Ordin cu privire la aprobarea </w:t>
            </w:r>
            <w:r w:rsidR="00EB5EEE"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Registrului de evidență a importului de produse fertilizante</w:t>
            </w: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F82D39"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2" w:history="1">
              <w:r w:rsidR="00F82D39" w:rsidRPr="00A32E6C">
                <w:rPr>
                  <w:rStyle w:val="aff3"/>
                  <w:rFonts w:ascii="Times New Roman" w:hAnsi="Times New Roman"/>
                  <w:sz w:val="24"/>
                  <w:szCs w:val="24"/>
                </w:rPr>
                <w:t>https://particip.gov.md/ro/document/stages/anunt-privind-initierea-elaborarii-proiectului-de-ordin-cu-privire-la-aprobarea-modelului-registrului-de-evidenta-a-importului-de-produse-fertilizante/15258</w:t>
              </w:r>
            </w:hyperlink>
            <w:r w:rsidR="00A909BB"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3864F8D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Proiectul de Odin va fi transmis la avizare la următoare Autorități și Instituții Publice:</w:t>
            </w:r>
          </w:p>
          <w:p w14:paraId="02A6DAA6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Ministerul Dezvoltării Economice și Digitalizării (Instituția Publică Institutul de Standardizare din Moldova);</w:t>
            </w:r>
          </w:p>
          <w:p w14:paraId="561EC0AF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Ministerul Sănătății (Agenția Națională pentru Sănătate Publică);</w:t>
            </w:r>
          </w:p>
          <w:p w14:paraId="74D2E41F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Ministerul Mediului;</w:t>
            </w:r>
          </w:p>
          <w:p w14:paraId="59867557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Ministerul Muncii și Protecției Sociale;</w:t>
            </w:r>
          </w:p>
          <w:p w14:paraId="16508305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Ministerul Afacerilor Externe;</w:t>
            </w:r>
          </w:p>
          <w:p w14:paraId="29BF0653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Ministerul Afacerilor Interne;</w:t>
            </w:r>
          </w:p>
          <w:p w14:paraId="206257C6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Ministerul Finațelor;</w:t>
            </w:r>
          </w:p>
          <w:p w14:paraId="77CE148D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Ministerul Educației și Cercetării;</w:t>
            </w:r>
          </w:p>
          <w:p w14:paraId="37F76C52" w14:textId="77777777" w:rsidR="00CD467C" w:rsidRPr="00A32E6C" w:rsidRDefault="00CD467C" w:rsidP="00CD467C">
            <w:pPr>
              <w:pStyle w:val="afb"/>
              <w:numPr>
                <w:ilvl w:val="0"/>
                <w:numId w:val="6"/>
              </w:numPr>
              <w:spacing w:line="276" w:lineRule="auto"/>
              <w:ind w:right="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Agenția Națională pentru Siguranța Alimentelor (Instituția Publică Centru Național Sănătatea Animalelor, Plantelor și Siguranța Alimentelor).</w:t>
            </w:r>
          </w:p>
          <w:p w14:paraId="7CABD985" w14:textId="77777777" w:rsidR="007D5A16" w:rsidRDefault="00CD467C" w:rsidP="001941C5">
            <w:pPr>
              <w:spacing w:line="276" w:lineRule="auto"/>
              <w:ind w:firstLine="284"/>
              <w:rPr>
                <w:rStyle w:val="aff3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</w:pP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Ministerul </w:t>
            </w:r>
            <w:r w:rsidR="00EB5EEE"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va publica anunțul privind consultarea publică a </w:t>
            </w: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Proiectul de Ordin </w:t>
            </w:r>
            <w:r w:rsidR="00EB5EEE"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 privire la aprobarea Registrului de evidență a importului de produse fertilizante</w:t>
            </w:r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care va fi plasat pe pagina oficială a Ministerului Agriculturii și Industriei Alimentare, la adresa </w:t>
            </w:r>
            <w:hyperlink r:id="rId13" w:history="1">
              <w:r w:rsidRPr="00A32E6C">
                <w:rPr>
                  <w:rStyle w:val="aff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www.maia.gov.md</w:t>
              </w:r>
            </w:hyperlink>
            <w:r w:rsidRPr="00A32E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la compartimentul „Transparență decizională” rubrica - „Proiecte de documente și portalul guvernamental” – </w:t>
            </w:r>
            <w:hyperlink r:id="rId14" w:history="1">
              <w:r w:rsidRPr="00A32E6C">
                <w:rPr>
                  <w:rStyle w:val="aff3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www.particip.gov.md</w:t>
              </w:r>
            </w:hyperlink>
            <w:r w:rsidRPr="00A32E6C">
              <w:rPr>
                <w:rStyle w:val="aff3"/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  <w:p w14:paraId="2A034C73" w14:textId="36552CFE" w:rsidR="00E259EF" w:rsidRPr="00A32E6C" w:rsidRDefault="00E259EF" w:rsidP="001941C5">
            <w:pPr>
              <w:spacing w:line="276" w:lineRule="auto"/>
              <w:ind w:firstLine="28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D467C" w:rsidRPr="00A32E6C" w14:paraId="5C56ADD6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9B47" w14:textId="77777777" w:rsidR="00CD467C" w:rsidRPr="00A32E6C" w:rsidRDefault="00CD467C" w:rsidP="00CD467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7. Concluziile expertizelor</w:t>
            </w:r>
          </w:p>
        </w:tc>
      </w:tr>
      <w:tr w:rsidR="00CD467C" w:rsidRPr="00A32E6C" w14:paraId="13ECF470" w14:textId="77777777" w:rsidTr="006F6757">
        <w:tc>
          <w:tcPr>
            <w:tcW w:w="9109" w:type="dxa"/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7C9AE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Conform art. 36 alin. (5) din Legea nr. 100/2017 cu privire la acte normative, expertiza anticorupție va fi efectuată de către autorii proiectului.</w:t>
            </w:r>
          </w:p>
          <w:p w14:paraId="36E0D102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Totodată, în conformitate cu art. 37 alin (1) din Legea nr. 100/2017, proiectul de ordin va fi supus expertizei juridice de către Ministerul Justiției.</w:t>
            </w:r>
          </w:p>
          <w:p w14:paraId="69BF076D" w14:textId="77777777" w:rsidR="007D5A16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Concluziile expertizelor v</w:t>
            </w:r>
            <w:r w:rsidR="009A6B30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fi incluse în sinteza obiecțiilor.</w:t>
            </w:r>
          </w:p>
          <w:p w14:paraId="608CC84C" w14:textId="77777777" w:rsidR="00CD467C" w:rsidRPr="00A32E6C" w:rsidRDefault="00CD467C" w:rsidP="007D5A16">
            <w:pPr>
              <w:spacing w:line="27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7C" w:rsidRPr="00A32E6C" w14:paraId="770A554C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2497" w14:textId="77777777" w:rsidR="00CD467C" w:rsidRPr="00A32E6C" w:rsidRDefault="00CD467C" w:rsidP="00CD467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Modul de încorporare </w:t>
            </w:r>
            <w:proofErr w:type="gramStart"/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actului în cadrul normativ existent</w:t>
            </w:r>
          </w:p>
        </w:tc>
      </w:tr>
      <w:tr w:rsidR="00CD467C" w:rsidRPr="00A32E6C" w14:paraId="1957FF5F" w14:textId="77777777" w:rsidTr="008C1033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73766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Proiectul de ordin se emite pentru aprobarea </w:t>
            </w:r>
            <w:r w:rsidR="00F22CCA" w:rsidRPr="00A32E6C">
              <w:rPr>
                <w:rFonts w:ascii="Times New Roman" w:hAnsi="Times New Roman"/>
                <w:sz w:val="24"/>
                <w:szCs w:val="24"/>
              </w:rPr>
              <w:t xml:space="preserve">registrului de evidență </w:t>
            </w:r>
            <w:proofErr w:type="gramStart"/>
            <w:r w:rsidR="00F22CCA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F22CCA" w:rsidRPr="00A32E6C">
              <w:rPr>
                <w:rFonts w:ascii="Times New Roman" w:hAnsi="Times New Roman"/>
                <w:sz w:val="24"/>
                <w:szCs w:val="24"/>
              </w:rPr>
              <w:t xml:space="preserve"> importului </w:t>
            </w:r>
            <w:r w:rsidR="009C46D7" w:rsidRPr="00A32E6C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="00F22CCA" w:rsidRPr="00A32E6C">
              <w:rPr>
                <w:rFonts w:ascii="Times New Roman" w:hAnsi="Times New Roman"/>
                <w:sz w:val="24"/>
                <w:szCs w:val="24"/>
              </w:rPr>
              <w:t>produse fertilizante,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conform prevederilor art.</w:t>
            </w:r>
            <w:r w:rsidR="009C46D7" w:rsidRPr="00A32E6C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 alin. (</w:t>
            </w:r>
            <w:r w:rsidR="009C46D7" w:rsidRPr="00A32E6C">
              <w:rPr>
                <w:rFonts w:ascii="Times New Roman" w:hAnsi="Times New Roman"/>
                <w:sz w:val="24"/>
                <w:szCs w:val="24"/>
              </w:rPr>
              <w:t>13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) din Legea nr. </w:t>
            </w:r>
            <w:r w:rsidR="009C46D7" w:rsidRPr="00A32E6C">
              <w:rPr>
                <w:rFonts w:ascii="Times New Roman" w:hAnsi="Times New Roman"/>
                <w:sz w:val="24"/>
                <w:szCs w:val="24"/>
              </w:rPr>
              <w:t>21/2025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12952863" w14:textId="77777777" w:rsidR="00CD467C" w:rsidRPr="00A32E6C" w:rsidRDefault="00CD467C" w:rsidP="004C1021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Totodată, implementarea prevederilor proiectului de ordin nu necesită modificarea altor acte normative ci se concentrează la </w:t>
            </w:r>
            <w:r w:rsidR="00F91C07" w:rsidRPr="00A32E6C">
              <w:rPr>
                <w:rFonts w:ascii="Times New Roman" w:hAnsi="Times New Roman"/>
                <w:sz w:val="24"/>
                <w:szCs w:val="24"/>
              </w:rPr>
              <w:t>aprobarea</w:t>
            </w:r>
            <w:r w:rsidR="004C1021" w:rsidRPr="00A32E6C">
              <w:rPr>
                <w:rFonts w:ascii="Times New Roman" w:hAnsi="Times New Roman"/>
                <w:sz w:val="24"/>
                <w:szCs w:val="24"/>
              </w:rPr>
              <w:t xml:space="preserve"> Registrului de evidență </w:t>
            </w:r>
            <w:proofErr w:type="gramStart"/>
            <w:r w:rsidR="004C1021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4C1021" w:rsidRPr="00A32E6C">
              <w:rPr>
                <w:rFonts w:ascii="Times New Roman" w:hAnsi="Times New Roman"/>
                <w:sz w:val="24"/>
                <w:szCs w:val="24"/>
              </w:rPr>
              <w:t xml:space="preserve"> importului de produse fertilizante. </w:t>
            </w:r>
            <w:r w:rsidRPr="00A32E6C">
              <w:rPr>
                <w:rFonts w:ascii="Times New Roman" w:hAnsi="Times New Roman"/>
                <w:sz w:val="24"/>
                <w:szCs w:val="24"/>
              </w:rPr>
              <w:t>Proiectul de ordin a fost elaborat în corespundere cu dispozițiile legale și este în concordanță cu cadrul juridic existent.</w:t>
            </w:r>
          </w:p>
          <w:p w14:paraId="7F3B19C1" w14:textId="77777777" w:rsidR="00CD467C" w:rsidRPr="00A32E6C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467C" w:rsidRPr="00A32E6C" w14:paraId="12318130" w14:textId="77777777" w:rsidTr="006F6757">
        <w:tc>
          <w:tcPr>
            <w:tcW w:w="9109" w:type="dxa"/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C9589" w14:textId="77777777" w:rsidR="00CD467C" w:rsidRPr="00A32E6C" w:rsidRDefault="00CD467C" w:rsidP="00CD467C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E6C">
              <w:rPr>
                <w:rFonts w:ascii="Times New Roman" w:hAnsi="Times New Roman"/>
                <w:b/>
                <w:bCs/>
                <w:sz w:val="24"/>
                <w:szCs w:val="24"/>
              </w:rPr>
              <w:t>9. Măsurile necesare pentru implementarea prevederilor proiectului actului normative</w:t>
            </w:r>
          </w:p>
        </w:tc>
      </w:tr>
      <w:tr w:rsidR="00CD467C" w:rsidRPr="00A32E6C" w14:paraId="5A7082DD" w14:textId="77777777" w:rsidTr="006F6757">
        <w:tc>
          <w:tcPr>
            <w:tcW w:w="91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5CECE" w14:textId="77777777" w:rsidR="00CD467C" w:rsidRPr="00821BBE" w:rsidRDefault="00CD467C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821BBE">
              <w:rPr>
                <w:rFonts w:ascii="Times New Roman" w:hAnsi="Times New Roman"/>
                <w:sz w:val="24"/>
                <w:szCs w:val="24"/>
              </w:rPr>
              <w:t xml:space="preserve">Emiterea proiectului de ordin va implica colaborarea mai multor autorități, fiecare având responsabilități clare. </w:t>
            </w:r>
            <w:r w:rsidR="00821BBE" w:rsidRPr="00821BBE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Prezentul ordin intră în vigoare la data publicării în Monitorul Oficial al Republicii Moldova.</w:t>
            </w:r>
          </w:p>
          <w:p w14:paraId="7B4B696F" w14:textId="77777777" w:rsidR="00CD467C" w:rsidRPr="00A32E6C" w:rsidRDefault="000872BD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>În acest sens, a</w:t>
            </w:r>
            <w:r w:rsidR="00CD467C" w:rsidRPr="00A32E6C">
              <w:rPr>
                <w:rFonts w:ascii="Times New Roman" w:hAnsi="Times New Roman"/>
                <w:sz w:val="24"/>
                <w:szCs w:val="24"/>
              </w:rPr>
              <w:t>utoritatea competentă de elaborare a politicilor (Ministerul Agriculturii și Industriei Alimentare) va coordona procesul de aprobare acestui Proiect de ordin.</w:t>
            </w:r>
          </w:p>
          <w:p w14:paraId="1718B4CC" w14:textId="77777777" w:rsidR="006C2E79" w:rsidRDefault="000B7739" w:rsidP="006C2E79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A32E6C">
              <w:rPr>
                <w:rFonts w:ascii="Times New Roman" w:hAnsi="Times New Roman"/>
                <w:sz w:val="24"/>
                <w:szCs w:val="24"/>
              </w:rPr>
              <w:t xml:space="preserve">Autoritatea de supraveghere a pieței </w:t>
            </w:r>
            <w:r w:rsidR="00CD467C" w:rsidRPr="00A32E6C">
              <w:rPr>
                <w:rFonts w:ascii="Times New Roman" w:hAnsi="Times New Roman"/>
                <w:sz w:val="24"/>
                <w:szCs w:val="24"/>
              </w:rPr>
              <w:t xml:space="preserve">(Agenția Națională pentru Siguranța Alimentelor) va fi responsabilă de monitorizarea </w:t>
            </w:r>
            <w:r w:rsidR="007A7122" w:rsidRPr="00A32E6C">
              <w:rPr>
                <w:rFonts w:ascii="Times New Roman" w:hAnsi="Times New Roman"/>
                <w:sz w:val="24"/>
                <w:szCs w:val="24"/>
              </w:rPr>
              <w:t>introducerii în țară a produselor fertilizante</w:t>
            </w:r>
            <w:r w:rsidR="00E84907" w:rsidRPr="00A32E6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DCB81F" w14:textId="77777777" w:rsidR="00821BBE" w:rsidRPr="006C2E79" w:rsidRDefault="006C2E79" w:rsidP="006C2E79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6C2E79">
              <w:rPr>
                <w:rFonts w:ascii="Times New Roman" w:hAnsi="Times New Roman"/>
                <w:sz w:val="24"/>
                <w:szCs w:val="24"/>
              </w:rPr>
              <w:t>Operatorii economici care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esfășoară activitatea de import, </w:t>
            </w:r>
            <w:r w:rsidRPr="006C2E79">
              <w:rPr>
                <w:rFonts w:ascii="Times New Roman" w:hAnsi="Times New Roman"/>
                <w:sz w:val="24"/>
                <w:szCs w:val="24"/>
              </w:rPr>
              <w:t xml:space="preserve">vor </w:t>
            </w:r>
            <w:r w:rsidRPr="006C2E79">
              <w:rPr>
                <w:rFonts w:ascii="Times New Roman" w:hAnsi="Times New Roman"/>
                <w:sz w:val="24"/>
                <w:szCs w:val="24"/>
                <w:lang w:val="ro-MD" w:eastAsia="ru-RU"/>
              </w:rPr>
              <w:t>completa</w:t>
            </w:r>
            <w:r w:rsidRPr="00BA51F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Registrul de evidenț</w:t>
            </w:r>
            <w:r w:rsidRPr="006C2E7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ă </w:t>
            </w:r>
            <w:proofErr w:type="gramStart"/>
            <w:r w:rsidRPr="006C2E79">
              <w:rPr>
                <w:rFonts w:ascii="Times New Roman" w:hAnsi="Times New Roman"/>
                <w:sz w:val="24"/>
                <w:szCs w:val="24"/>
                <w:lang w:val="ro-MD" w:eastAsia="ru-RU"/>
              </w:rPr>
              <w:t>a</w:t>
            </w:r>
            <w:proofErr w:type="gramEnd"/>
            <w:r w:rsidRPr="006C2E79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importului de produse fertilizante </w:t>
            </w:r>
            <w:r w:rsidRPr="00BA51FE">
              <w:rPr>
                <w:rFonts w:ascii="Times New Roman" w:hAnsi="Times New Roman"/>
                <w:sz w:val="24"/>
                <w:szCs w:val="24"/>
                <w:lang w:eastAsia="ru-RU"/>
              </w:rPr>
              <w:t>într-o zi lucrătoare după desfășurarea acțiunii de import sau de comercializare a produsului fertilizant.</w:t>
            </w:r>
          </w:p>
          <w:p w14:paraId="13905814" w14:textId="77777777" w:rsidR="00510D48" w:rsidRPr="00A32E6C" w:rsidRDefault="00821BBE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Operatorii economici cade desfășoară activitatea de import a produselor fertilizante</w:t>
            </w:r>
            <w:r w:rsidR="00A42FDE" w:rsidRPr="00A32E6C">
              <w:rPr>
                <w:rFonts w:ascii="Times New Roman" w:hAnsi="Times New Roman"/>
                <w:sz w:val="24"/>
                <w:szCs w:val="24"/>
              </w:rPr>
              <w:t xml:space="preserve">, la cererea Agenției Naționale pentru Siguranța Alimentelor, </w:t>
            </w:r>
            <w:r w:rsidR="007D5A16" w:rsidRPr="00A32E6C">
              <w:rPr>
                <w:rFonts w:ascii="Times New Roman" w:hAnsi="Times New Roman"/>
                <w:sz w:val="24"/>
                <w:szCs w:val="24"/>
              </w:rPr>
              <w:t xml:space="preserve">vor prezenta informații din registrul de evidență </w:t>
            </w:r>
            <w:proofErr w:type="gramStart"/>
            <w:r w:rsidR="007D5A16" w:rsidRPr="00A32E6C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="007D5A16" w:rsidRPr="00A32E6C">
              <w:rPr>
                <w:rFonts w:ascii="Times New Roman" w:hAnsi="Times New Roman"/>
                <w:sz w:val="24"/>
                <w:szCs w:val="24"/>
              </w:rPr>
              <w:t xml:space="preserve"> importului de produse fertilizante, o dată la 6 luni.</w:t>
            </w:r>
          </w:p>
          <w:p w14:paraId="238FB070" w14:textId="77777777" w:rsidR="007D5A16" w:rsidRPr="00A32E6C" w:rsidRDefault="007D5A16" w:rsidP="00CD467C">
            <w:pPr>
              <w:spacing w:line="276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95951BF" w14:textId="0B7CDF36" w:rsidR="00F055CA" w:rsidRDefault="00F055CA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jc w:val="left"/>
        <w:rPr>
          <w:sz w:val="24"/>
          <w:szCs w:val="24"/>
        </w:rPr>
      </w:pPr>
    </w:p>
    <w:p w14:paraId="508BC1F4" w14:textId="1C9C9558" w:rsidR="005D39C5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jc w:val="left"/>
        <w:rPr>
          <w:sz w:val="24"/>
          <w:szCs w:val="24"/>
        </w:rPr>
      </w:pPr>
    </w:p>
    <w:p w14:paraId="3E1A136E" w14:textId="77777777" w:rsidR="005D39C5" w:rsidRPr="00A32E6C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jc w:val="left"/>
        <w:rPr>
          <w:sz w:val="24"/>
          <w:szCs w:val="24"/>
        </w:rPr>
      </w:pPr>
    </w:p>
    <w:p w14:paraId="62A1D0B8" w14:textId="77777777" w:rsidR="009255CD" w:rsidRPr="00A32E6C" w:rsidRDefault="009255CD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b/>
          <w:sz w:val="24"/>
          <w:szCs w:val="24"/>
        </w:rPr>
      </w:pPr>
      <w:r w:rsidRPr="00A32E6C">
        <w:rPr>
          <w:b/>
          <w:sz w:val="24"/>
          <w:szCs w:val="24"/>
        </w:rPr>
        <w:t xml:space="preserve">Secretar de Stat </w:t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  <w:t>Vasile ȘARBAN</w:t>
      </w:r>
    </w:p>
    <w:p w14:paraId="74D115DB" w14:textId="09684139" w:rsidR="00F055CA" w:rsidRDefault="00F055CA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b/>
          <w:sz w:val="24"/>
          <w:szCs w:val="24"/>
        </w:rPr>
      </w:pPr>
    </w:p>
    <w:p w14:paraId="7F9AEE83" w14:textId="75BD0A61" w:rsidR="005D39C5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b/>
          <w:sz w:val="24"/>
          <w:szCs w:val="24"/>
        </w:rPr>
      </w:pPr>
    </w:p>
    <w:p w14:paraId="70440F91" w14:textId="77777777" w:rsidR="005D39C5" w:rsidRPr="00A32E6C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b/>
          <w:sz w:val="24"/>
          <w:szCs w:val="24"/>
        </w:rPr>
      </w:pPr>
    </w:p>
    <w:p w14:paraId="14406BCC" w14:textId="77777777" w:rsidR="00C755C1" w:rsidRPr="001941C5" w:rsidRDefault="009255CD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b/>
          <w:sz w:val="24"/>
          <w:szCs w:val="24"/>
        </w:rPr>
      </w:pPr>
      <w:r w:rsidRPr="00A32E6C">
        <w:rPr>
          <w:b/>
          <w:sz w:val="24"/>
          <w:szCs w:val="24"/>
        </w:rPr>
        <w:t xml:space="preserve">Coordonat: </w:t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</w:r>
      <w:r w:rsidRPr="00A32E6C">
        <w:rPr>
          <w:b/>
          <w:sz w:val="24"/>
          <w:szCs w:val="24"/>
        </w:rPr>
        <w:tab/>
        <w:t>Ghenadie RUSU</w:t>
      </w:r>
    </w:p>
    <w:p w14:paraId="067420B1" w14:textId="7E160FE7" w:rsidR="00C755C1" w:rsidRDefault="00C755C1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</w:p>
    <w:p w14:paraId="2F6D1637" w14:textId="06FA1B38" w:rsidR="005D39C5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</w:p>
    <w:p w14:paraId="43F2E1A6" w14:textId="57C780E2" w:rsidR="005D39C5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</w:p>
    <w:p w14:paraId="1BA8474E" w14:textId="21C42FB7" w:rsidR="005D39C5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</w:p>
    <w:p w14:paraId="0CC1BD06" w14:textId="7F7D35D7" w:rsidR="005D39C5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</w:p>
    <w:p w14:paraId="01876ED2" w14:textId="43B32F8D" w:rsidR="005D39C5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</w:p>
    <w:p w14:paraId="1EA688E5" w14:textId="77777777" w:rsidR="005D39C5" w:rsidRPr="00A32E6C" w:rsidRDefault="005D39C5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</w:p>
    <w:p w14:paraId="3016E6E4" w14:textId="77777777" w:rsidR="00E466EF" w:rsidRPr="00A32E6C" w:rsidRDefault="004F782C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  <w:r w:rsidRPr="00A32E6C">
        <w:rPr>
          <w:szCs w:val="24"/>
        </w:rPr>
        <w:t xml:space="preserve">Ex.: </w:t>
      </w:r>
      <w:r w:rsidR="00C755C1" w:rsidRPr="00A32E6C">
        <w:rPr>
          <w:szCs w:val="24"/>
        </w:rPr>
        <w:t>Nicolae Bucor</w:t>
      </w:r>
      <w:r w:rsidR="008A5342" w:rsidRPr="00A32E6C">
        <w:rPr>
          <w:szCs w:val="24"/>
        </w:rPr>
        <w:t xml:space="preserve"> </w:t>
      </w:r>
    </w:p>
    <w:p w14:paraId="79A48254" w14:textId="77777777" w:rsidR="004F782C" w:rsidRPr="00AE1E3E" w:rsidRDefault="00E466EF" w:rsidP="00A82D1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line="276" w:lineRule="auto"/>
        <w:ind w:firstLine="0"/>
        <w:rPr>
          <w:szCs w:val="24"/>
        </w:rPr>
      </w:pPr>
      <w:r w:rsidRPr="00A32E6C">
        <w:rPr>
          <w:szCs w:val="24"/>
        </w:rPr>
        <w:t>T</w:t>
      </w:r>
      <w:r w:rsidR="008A5342" w:rsidRPr="00A32E6C">
        <w:rPr>
          <w:szCs w:val="24"/>
        </w:rPr>
        <w:t>el. 022-204-528</w:t>
      </w:r>
    </w:p>
    <w:sectPr w:rsidR="004F782C" w:rsidRPr="00AE1E3E" w:rsidSect="00297FC3">
      <w:headerReference w:type="default" r:id="rId15"/>
      <w:pgSz w:w="11907" w:h="16840"/>
      <w:pgMar w:top="1134" w:right="964" w:bottom="1134" w:left="181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10079" w14:textId="77777777" w:rsidR="00EE65DB" w:rsidRDefault="00EE65DB">
      <w:r>
        <w:separator/>
      </w:r>
    </w:p>
  </w:endnote>
  <w:endnote w:type="continuationSeparator" w:id="0">
    <w:p w14:paraId="10D3E9EB" w14:textId="77777777" w:rsidR="00EE65DB" w:rsidRDefault="00EE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D6BD8" w14:textId="77777777" w:rsidR="00EE65DB" w:rsidRDefault="00EE65DB">
      <w:r>
        <w:separator/>
      </w:r>
    </w:p>
  </w:footnote>
  <w:footnote w:type="continuationSeparator" w:id="0">
    <w:p w14:paraId="2D16F3DA" w14:textId="77777777" w:rsidR="00EE65DB" w:rsidRDefault="00EE6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AC49" w14:textId="77777777" w:rsidR="00DC6DE1" w:rsidRPr="00F37ED4" w:rsidRDefault="00DC6DE1" w:rsidP="009D4C0F">
    <w:pPr>
      <w:pStyle w:val="af6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C7D4B"/>
    <w:multiLevelType w:val="multilevel"/>
    <w:tmpl w:val="0B6ED4FA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56E2C"/>
    <w:multiLevelType w:val="multilevel"/>
    <w:tmpl w:val="CE40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0D36B1"/>
    <w:multiLevelType w:val="hybridMultilevel"/>
    <w:tmpl w:val="BB32FEBA"/>
    <w:lvl w:ilvl="0" w:tplc="5BFC3A5C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A03794"/>
    <w:multiLevelType w:val="multilevel"/>
    <w:tmpl w:val="C8EE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D0ED2"/>
    <w:multiLevelType w:val="hybridMultilevel"/>
    <w:tmpl w:val="89F26AFA"/>
    <w:lvl w:ilvl="0" w:tplc="021E9F6C">
      <w:start w:val="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6851D9A"/>
    <w:multiLevelType w:val="hybridMultilevel"/>
    <w:tmpl w:val="AECEAD54"/>
    <w:lvl w:ilvl="0" w:tplc="5BFC3A5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E749F"/>
    <w:multiLevelType w:val="hybridMultilevel"/>
    <w:tmpl w:val="A2BC7870"/>
    <w:lvl w:ilvl="0" w:tplc="5BFC3A5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5CDE"/>
    <w:multiLevelType w:val="multilevel"/>
    <w:tmpl w:val="7B643AE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C25CCB"/>
    <w:multiLevelType w:val="hybridMultilevel"/>
    <w:tmpl w:val="16FACCA6"/>
    <w:lvl w:ilvl="0" w:tplc="D488FF4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4644E"/>
    <w:multiLevelType w:val="hybridMultilevel"/>
    <w:tmpl w:val="4694F430"/>
    <w:lvl w:ilvl="0" w:tplc="DA466760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4"/>
  </w:num>
  <w:num w:numId="1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hideSpellingErrors/>
  <w:proofState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3759"/>
    <w:rsid w:val="00003BB6"/>
    <w:rsid w:val="00003FA3"/>
    <w:rsid w:val="00004DD3"/>
    <w:rsid w:val="00005A25"/>
    <w:rsid w:val="00010E6C"/>
    <w:rsid w:val="00012A35"/>
    <w:rsid w:val="00013313"/>
    <w:rsid w:val="00013460"/>
    <w:rsid w:val="00013804"/>
    <w:rsid w:val="00013AC9"/>
    <w:rsid w:val="00013B47"/>
    <w:rsid w:val="00013BE9"/>
    <w:rsid w:val="0001483F"/>
    <w:rsid w:val="00014A11"/>
    <w:rsid w:val="00014B21"/>
    <w:rsid w:val="0001510A"/>
    <w:rsid w:val="00016E28"/>
    <w:rsid w:val="0001747F"/>
    <w:rsid w:val="00017609"/>
    <w:rsid w:val="00023C59"/>
    <w:rsid w:val="0002435C"/>
    <w:rsid w:val="00025CD3"/>
    <w:rsid w:val="00031329"/>
    <w:rsid w:val="00031CD6"/>
    <w:rsid w:val="000324E2"/>
    <w:rsid w:val="00032B46"/>
    <w:rsid w:val="0003417C"/>
    <w:rsid w:val="0003667A"/>
    <w:rsid w:val="00040DFB"/>
    <w:rsid w:val="00040E94"/>
    <w:rsid w:val="00041686"/>
    <w:rsid w:val="0004289C"/>
    <w:rsid w:val="00042E9E"/>
    <w:rsid w:val="000438C6"/>
    <w:rsid w:val="00043AC7"/>
    <w:rsid w:val="0004454E"/>
    <w:rsid w:val="000446FF"/>
    <w:rsid w:val="00044D19"/>
    <w:rsid w:val="00044DBD"/>
    <w:rsid w:val="00045C9B"/>
    <w:rsid w:val="00046BB4"/>
    <w:rsid w:val="00050D9E"/>
    <w:rsid w:val="00052045"/>
    <w:rsid w:val="00053492"/>
    <w:rsid w:val="0005463C"/>
    <w:rsid w:val="00054810"/>
    <w:rsid w:val="0006284D"/>
    <w:rsid w:val="00063D37"/>
    <w:rsid w:val="00064399"/>
    <w:rsid w:val="000653CC"/>
    <w:rsid w:val="00066843"/>
    <w:rsid w:val="00066FC8"/>
    <w:rsid w:val="000713DA"/>
    <w:rsid w:val="00071EAA"/>
    <w:rsid w:val="0007236F"/>
    <w:rsid w:val="000745BD"/>
    <w:rsid w:val="000746D2"/>
    <w:rsid w:val="000752AE"/>
    <w:rsid w:val="00075910"/>
    <w:rsid w:val="00075A5F"/>
    <w:rsid w:val="00077A98"/>
    <w:rsid w:val="00080E40"/>
    <w:rsid w:val="00081267"/>
    <w:rsid w:val="0008226B"/>
    <w:rsid w:val="000823D2"/>
    <w:rsid w:val="000835DA"/>
    <w:rsid w:val="00083B41"/>
    <w:rsid w:val="0008442F"/>
    <w:rsid w:val="000847CF"/>
    <w:rsid w:val="00085029"/>
    <w:rsid w:val="00087122"/>
    <w:rsid w:val="000872BD"/>
    <w:rsid w:val="000875D3"/>
    <w:rsid w:val="00090527"/>
    <w:rsid w:val="00090D2D"/>
    <w:rsid w:val="00092FD5"/>
    <w:rsid w:val="000966D2"/>
    <w:rsid w:val="000968DA"/>
    <w:rsid w:val="00096A62"/>
    <w:rsid w:val="00097326"/>
    <w:rsid w:val="000A1E78"/>
    <w:rsid w:val="000A319F"/>
    <w:rsid w:val="000A6BA5"/>
    <w:rsid w:val="000A6E95"/>
    <w:rsid w:val="000A7990"/>
    <w:rsid w:val="000A7BD5"/>
    <w:rsid w:val="000B0EFC"/>
    <w:rsid w:val="000B3D87"/>
    <w:rsid w:val="000B50EE"/>
    <w:rsid w:val="000B52D3"/>
    <w:rsid w:val="000B6992"/>
    <w:rsid w:val="000B7384"/>
    <w:rsid w:val="000B7739"/>
    <w:rsid w:val="000B7C1D"/>
    <w:rsid w:val="000C041B"/>
    <w:rsid w:val="000C1E4B"/>
    <w:rsid w:val="000C1EEC"/>
    <w:rsid w:val="000C2AB4"/>
    <w:rsid w:val="000C2E18"/>
    <w:rsid w:val="000C38A3"/>
    <w:rsid w:val="000C61AE"/>
    <w:rsid w:val="000D1CFF"/>
    <w:rsid w:val="000D5C74"/>
    <w:rsid w:val="000D6F10"/>
    <w:rsid w:val="000E0978"/>
    <w:rsid w:val="000E1D40"/>
    <w:rsid w:val="000E2800"/>
    <w:rsid w:val="000E6D77"/>
    <w:rsid w:val="000E7CE9"/>
    <w:rsid w:val="000F08DC"/>
    <w:rsid w:val="000F1EB4"/>
    <w:rsid w:val="000F24B1"/>
    <w:rsid w:val="000F3DA8"/>
    <w:rsid w:val="000F497A"/>
    <w:rsid w:val="000F4F79"/>
    <w:rsid w:val="00100249"/>
    <w:rsid w:val="00100862"/>
    <w:rsid w:val="00101110"/>
    <w:rsid w:val="0010171D"/>
    <w:rsid w:val="0010249B"/>
    <w:rsid w:val="00102AD8"/>
    <w:rsid w:val="0011005A"/>
    <w:rsid w:val="00113956"/>
    <w:rsid w:val="00113D5B"/>
    <w:rsid w:val="00116035"/>
    <w:rsid w:val="001211EA"/>
    <w:rsid w:val="00121CB6"/>
    <w:rsid w:val="00121CF7"/>
    <w:rsid w:val="00122E60"/>
    <w:rsid w:val="00123793"/>
    <w:rsid w:val="001244CD"/>
    <w:rsid w:val="00124E81"/>
    <w:rsid w:val="00124F83"/>
    <w:rsid w:val="00127A17"/>
    <w:rsid w:val="00130E4A"/>
    <w:rsid w:val="00131B7A"/>
    <w:rsid w:val="001355FE"/>
    <w:rsid w:val="00137277"/>
    <w:rsid w:val="001410D0"/>
    <w:rsid w:val="001414D5"/>
    <w:rsid w:val="00143389"/>
    <w:rsid w:val="0014350D"/>
    <w:rsid w:val="00143CC4"/>
    <w:rsid w:val="00147966"/>
    <w:rsid w:val="00150ECE"/>
    <w:rsid w:val="0015146D"/>
    <w:rsid w:val="00153B9F"/>
    <w:rsid w:val="00156A6C"/>
    <w:rsid w:val="00157D40"/>
    <w:rsid w:val="001613CE"/>
    <w:rsid w:val="00162BE7"/>
    <w:rsid w:val="0016331B"/>
    <w:rsid w:val="00166545"/>
    <w:rsid w:val="001667A6"/>
    <w:rsid w:val="00167991"/>
    <w:rsid w:val="0017006C"/>
    <w:rsid w:val="00171177"/>
    <w:rsid w:val="001713BA"/>
    <w:rsid w:val="001739F6"/>
    <w:rsid w:val="00174E20"/>
    <w:rsid w:val="00174EE8"/>
    <w:rsid w:val="00175675"/>
    <w:rsid w:val="00182948"/>
    <w:rsid w:val="001834FE"/>
    <w:rsid w:val="00184334"/>
    <w:rsid w:val="00184BCE"/>
    <w:rsid w:val="00185315"/>
    <w:rsid w:val="00185AC8"/>
    <w:rsid w:val="00187628"/>
    <w:rsid w:val="00190E9C"/>
    <w:rsid w:val="00191428"/>
    <w:rsid w:val="00193B74"/>
    <w:rsid w:val="001941C5"/>
    <w:rsid w:val="00195854"/>
    <w:rsid w:val="001A22E7"/>
    <w:rsid w:val="001A25C3"/>
    <w:rsid w:val="001A366E"/>
    <w:rsid w:val="001A37C7"/>
    <w:rsid w:val="001A500D"/>
    <w:rsid w:val="001A52DF"/>
    <w:rsid w:val="001A538A"/>
    <w:rsid w:val="001B207A"/>
    <w:rsid w:val="001B2238"/>
    <w:rsid w:val="001B228E"/>
    <w:rsid w:val="001B29B1"/>
    <w:rsid w:val="001B2B7F"/>
    <w:rsid w:val="001B3BE4"/>
    <w:rsid w:val="001B4565"/>
    <w:rsid w:val="001B5818"/>
    <w:rsid w:val="001B66A4"/>
    <w:rsid w:val="001B6E6E"/>
    <w:rsid w:val="001C02A4"/>
    <w:rsid w:val="001C1B1D"/>
    <w:rsid w:val="001C3F21"/>
    <w:rsid w:val="001C4EEE"/>
    <w:rsid w:val="001C5AD7"/>
    <w:rsid w:val="001C7FA0"/>
    <w:rsid w:val="001D0610"/>
    <w:rsid w:val="001D2FA2"/>
    <w:rsid w:val="001D4787"/>
    <w:rsid w:val="001D4A97"/>
    <w:rsid w:val="001D7207"/>
    <w:rsid w:val="001D75BC"/>
    <w:rsid w:val="001D7C2E"/>
    <w:rsid w:val="001E04D1"/>
    <w:rsid w:val="001E10B3"/>
    <w:rsid w:val="001E1CC7"/>
    <w:rsid w:val="001E32A5"/>
    <w:rsid w:val="001E4497"/>
    <w:rsid w:val="001E5AE0"/>
    <w:rsid w:val="001E621A"/>
    <w:rsid w:val="001E6333"/>
    <w:rsid w:val="001F0570"/>
    <w:rsid w:val="001F101F"/>
    <w:rsid w:val="001F2097"/>
    <w:rsid w:val="001F7C68"/>
    <w:rsid w:val="002000EB"/>
    <w:rsid w:val="00200223"/>
    <w:rsid w:val="00200516"/>
    <w:rsid w:val="002029B0"/>
    <w:rsid w:val="002041E2"/>
    <w:rsid w:val="00205100"/>
    <w:rsid w:val="0020794F"/>
    <w:rsid w:val="00207FDD"/>
    <w:rsid w:val="00210079"/>
    <w:rsid w:val="00212EB8"/>
    <w:rsid w:val="00215DB0"/>
    <w:rsid w:val="002162C7"/>
    <w:rsid w:val="002164C9"/>
    <w:rsid w:val="0021689D"/>
    <w:rsid w:val="002170A5"/>
    <w:rsid w:val="002215B7"/>
    <w:rsid w:val="0022345B"/>
    <w:rsid w:val="00225316"/>
    <w:rsid w:val="00230761"/>
    <w:rsid w:val="0023194D"/>
    <w:rsid w:val="00233873"/>
    <w:rsid w:val="00233C89"/>
    <w:rsid w:val="00233F6B"/>
    <w:rsid w:val="00236E65"/>
    <w:rsid w:val="002372B8"/>
    <w:rsid w:val="00240AC0"/>
    <w:rsid w:val="00241B4B"/>
    <w:rsid w:val="00241E07"/>
    <w:rsid w:val="002428D1"/>
    <w:rsid w:val="002453BD"/>
    <w:rsid w:val="00245E81"/>
    <w:rsid w:val="00246486"/>
    <w:rsid w:val="0024705D"/>
    <w:rsid w:val="00250365"/>
    <w:rsid w:val="00257353"/>
    <w:rsid w:val="002611A8"/>
    <w:rsid w:val="0026389B"/>
    <w:rsid w:val="00266911"/>
    <w:rsid w:val="002709D3"/>
    <w:rsid w:val="002711A7"/>
    <w:rsid w:val="00272099"/>
    <w:rsid w:val="002721D2"/>
    <w:rsid w:val="00272988"/>
    <w:rsid w:val="00272AB2"/>
    <w:rsid w:val="00273E96"/>
    <w:rsid w:val="0027425A"/>
    <w:rsid w:val="0027496C"/>
    <w:rsid w:val="00276535"/>
    <w:rsid w:val="002771C4"/>
    <w:rsid w:val="0028093A"/>
    <w:rsid w:val="00281710"/>
    <w:rsid w:val="00281C80"/>
    <w:rsid w:val="002862A4"/>
    <w:rsid w:val="0028642C"/>
    <w:rsid w:val="0028643A"/>
    <w:rsid w:val="00286661"/>
    <w:rsid w:val="00286B6B"/>
    <w:rsid w:val="00290132"/>
    <w:rsid w:val="00290F48"/>
    <w:rsid w:val="002920CD"/>
    <w:rsid w:val="00292563"/>
    <w:rsid w:val="00294BEE"/>
    <w:rsid w:val="002950E0"/>
    <w:rsid w:val="002954C4"/>
    <w:rsid w:val="00295F60"/>
    <w:rsid w:val="00296200"/>
    <w:rsid w:val="00297D98"/>
    <w:rsid w:val="00297FC3"/>
    <w:rsid w:val="002A5110"/>
    <w:rsid w:val="002A625E"/>
    <w:rsid w:val="002A6476"/>
    <w:rsid w:val="002B07BD"/>
    <w:rsid w:val="002B3BA3"/>
    <w:rsid w:val="002B5444"/>
    <w:rsid w:val="002B547F"/>
    <w:rsid w:val="002B5847"/>
    <w:rsid w:val="002B6DCE"/>
    <w:rsid w:val="002C0248"/>
    <w:rsid w:val="002C0517"/>
    <w:rsid w:val="002C0E81"/>
    <w:rsid w:val="002C1686"/>
    <w:rsid w:val="002C21E9"/>
    <w:rsid w:val="002C222F"/>
    <w:rsid w:val="002C33CC"/>
    <w:rsid w:val="002C356B"/>
    <w:rsid w:val="002C63F8"/>
    <w:rsid w:val="002C7AC2"/>
    <w:rsid w:val="002D23B4"/>
    <w:rsid w:val="002D258A"/>
    <w:rsid w:val="002D25C6"/>
    <w:rsid w:val="002D369B"/>
    <w:rsid w:val="002D38C5"/>
    <w:rsid w:val="002D3915"/>
    <w:rsid w:val="002D3A35"/>
    <w:rsid w:val="002D67FC"/>
    <w:rsid w:val="002D6DF3"/>
    <w:rsid w:val="002E0588"/>
    <w:rsid w:val="002E1B2D"/>
    <w:rsid w:val="002E1DE4"/>
    <w:rsid w:val="002E222F"/>
    <w:rsid w:val="002E4217"/>
    <w:rsid w:val="002E505B"/>
    <w:rsid w:val="002E6116"/>
    <w:rsid w:val="002F300F"/>
    <w:rsid w:val="002F30F7"/>
    <w:rsid w:val="002F3DAA"/>
    <w:rsid w:val="002F4BFF"/>
    <w:rsid w:val="002F55B3"/>
    <w:rsid w:val="002F5D20"/>
    <w:rsid w:val="002F5F1E"/>
    <w:rsid w:val="002F620B"/>
    <w:rsid w:val="002F67C9"/>
    <w:rsid w:val="002F682C"/>
    <w:rsid w:val="002F7FB5"/>
    <w:rsid w:val="00301D7D"/>
    <w:rsid w:val="003027C4"/>
    <w:rsid w:val="00303AF3"/>
    <w:rsid w:val="00303DD0"/>
    <w:rsid w:val="00307136"/>
    <w:rsid w:val="003111CC"/>
    <w:rsid w:val="00313629"/>
    <w:rsid w:val="00313D10"/>
    <w:rsid w:val="003149F8"/>
    <w:rsid w:val="0031555D"/>
    <w:rsid w:val="00315655"/>
    <w:rsid w:val="00315B32"/>
    <w:rsid w:val="00315B8A"/>
    <w:rsid w:val="00315BDC"/>
    <w:rsid w:val="00317517"/>
    <w:rsid w:val="00320441"/>
    <w:rsid w:val="00324559"/>
    <w:rsid w:val="003258B3"/>
    <w:rsid w:val="0032618D"/>
    <w:rsid w:val="0032655C"/>
    <w:rsid w:val="00326934"/>
    <w:rsid w:val="00326D53"/>
    <w:rsid w:val="003273FE"/>
    <w:rsid w:val="00327464"/>
    <w:rsid w:val="00327C88"/>
    <w:rsid w:val="0033155F"/>
    <w:rsid w:val="0033244D"/>
    <w:rsid w:val="00334280"/>
    <w:rsid w:val="00334C0F"/>
    <w:rsid w:val="003358FF"/>
    <w:rsid w:val="00337EB3"/>
    <w:rsid w:val="003410C0"/>
    <w:rsid w:val="00341358"/>
    <w:rsid w:val="0034180B"/>
    <w:rsid w:val="00342D17"/>
    <w:rsid w:val="003436AC"/>
    <w:rsid w:val="003458E5"/>
    <w:rsid w:val="00345CB9"/>
    <w:rsid w:val="00346D2A"/>
    <w:rsid w:val="003477FE"/>
    <w:rsid w:val="00347ADC"/>
    <w:rsid w:val="00347B79"/>
    <w:rsid w:val="003504C6"/>
    <w:rsid w:val="003509A8"/>
    <w:rsid w:val="003513C1"/>
    <w:rsid w:val="00351471"/>
    <w:rsid w:val="00354545"/>
    <w:rsid w:val="00355B6B"/>
    <w:rsid w:val="003574C9"/>
    <w:rsid w:val="003574FE"/>
    <w:rsid w:val="0036002C"/>
    <w:rsid w:val="00360D9F"/>
    <w:rsid w:val="0036135C"/>
    <w:rsid w:val="00361573"/>
    <w:rsid w:val="00362D0C"/>
    <w:rsid w:val="00363E70"/>
    <w:rsid w:val="003645B2"/>
    <w:rsid w:val="00364B64"/>
    <w:rsid w:val="0036518F"/>
    <w:rsid w:val="00365B94"/>
    <w:rsid w:val="003672AF"/>
    <w:rsid w:val="0036768D"/>
    <w:rsid w:val="00370992"/>
    <w:rsid w:val="00371057"/>
    <w:rsid w:val="003713F3"/>
    <w:rsid w:val="00374362"/>
    <w:rsid w:val="00374A02"/>
    <w:rsid w:val="0037568A"/>
    <w:rsid w:val="003759B9"/>
    <w:rsid w:val="00376827"/>
    <w:rsid w:val="00376BD1"/>
    <w:rsid w:val="00377B12"/>
    <w:rsid w:val="00380147"/>
    <w:rsid w:val="0038164B"/>
    <w:rsid w:val="00381728"/>
    <w:rsid w:val="00381C7D"/>
    <w:rsid w:val="00382520"/>
    <w:rsid w:val="003825DB"/>
    <w:rsid w:val="00385C9B"/>
    <w:rsid w:val="003861EB"/>
    <w:rsid w:val="00386436"/>
    <w:rsid w:val="003872BA"/>
    <w:rsid w:val="00387D77"/>
    <w:rsid w:val="003922EF"/>
    <w:rsid w:val="003924E6"/>
    <w:rsid w:val="003947D4"/>
    <w:rsid w:val="00394A57"/>
    <w:rsid w:val="00395218"/>
    <w:rsid w:val="003971E5"/>
    <w:rsid w:val="00397415"/>
    <w:rsid w:val="003A07D8"/>
    <w:rsid w:val="003A190D"/>
    <w:rsid w:val="003A2B92"/>
    <w:rsid w:val="003A2CB2"/>
    <w:rsid w:val="003A3D91"/>
    <w:rsid w:val="003A4636"/>
    <w:rsid w:val="003A4D1C"/>
    <w:rsid w:val="003A5532"/>
    <w:rsid w:val="003A5871"/>
    <w:rsid w:val="003A67C1"/>
    <w:rsid w:val="003A6E61"/>
    <w:rsid w:val="003B0993"/>
    <w:rsid w:val="003B257A"/>
    <w:rsid w:val="003B4F5D"/>
    <w:rsid w:val="003B585E"/>
    <w:rsid w:val="003B6A16"/>
    <w:rsid w:val="003B7521"/>
    <w:rsid w:val="003C0316"/>
    <w:rsid w:val="003C0C4D"/>
    <w:rsid w:val="003C0D89"/>
    <w:rsid w:val="003C11CC"/>
    <w:rsid w:val="003C18B8"/>
    <w:rsid w:val="003C1EC2"/>
    <w:rsid w:val="003C1FCE"/>
    <w:rsid w:val="003C3DB4"/>
    <w:rsid w:val="003C3EB9"/>
    <w:rsid w:val="003C46DB"/>
    <w:rsid w:val="003C480E"/>
    <w:rsid w:val="003C5C67"/>
    <w:rsid w:val="003D09B5"/>
    <w:rsid w:val="003D32AF"/>
    <w:rsid w:val="003D52BC"/>
    <w:rsid w:val="003D5E8B"/>
    <w:rsid w:val="003D7F6B"/>
    <w:rsid w:val="003E3748"/>
    <w:rsid w:val="003E4C29"/>
    <w:rsid w:val="003E4DA7"/>
    <w:rsid w:val="003E535C"/>
    <w:rsid w:val="003E5846"/>
    <w:rsid w:val="003E7609"/>
    <w:rsid w:val="003F0CD8"/>
    <w:rsid w:val="003F3513"/>
    <w:rsid w:val="003F5ABB"/>
    <w:rsid w:val="0040011D"/>
    <w:rsid w:val="00400F80"/>
    <w:rsid w:val="0040250D"/>
    <w:rsid w:val="00405019"/>
    <w:rsid w:val="00406A7B"/>
    <w:rsid w:val="00406BA9"/>
    <w:rsid w:val="004074AC"/>
    <w:rsid w:val="00410C9A"/>
    <w:rsid w:val="00411650"/>
    <w:rsid w:val="00412B58"/>
    <w:rsid w:val="004138D0"/>
    <w:rsid w:val="00414E8E"/>
    <w:rsid w:val="00415B99"/>
    <w:rsid w:val="00416AE4"/>
    <w:rsid w:val="0042038D"/>
    <w:rsid w:val="00421AB5"/>
    <w:rsid w:val="0042286C"/>
    <w:rsid w:val="00422E09"/>
    <w:rsid w:val="00422EBA"/>
    <w:rsid w:val="00424212"/>
    <w:rsid w:val="004245C4"/>
    <w:rsid w:val="00424CF9"/>
    <w:rsid w:val="00424F16"/>
    <w:rsid w:val="00425A01"/>
    <w:rsid w:val="00426771"/>
    <w:rsid w:val="004269B7"/>
    <w:rsid w:val="0043208D"/>
    <w:rsid w:val="004326C3"/>
    <w:rsid w:val="00432AF5"/>
    <w:rsid w:val="004332C4"/>
    <w:rsid w:val="004333B4"/>
    <w:rsid w:val="00434203"/>
    <w:rsid w:val="00434DA1"/>
    <w:rsid w:val="00435C43"/>
    <w:rsid w:val="00440B26"/>
    <w:rsid w:val="00442E1B"/>
    <w:rsid w:val="00443031"/>
    <w:rsid w:val="00444110"/>
    <w:rsid w:val="004448C8"/>
    <w:rsid w:val="00451715"/>
    <w:rsid w:val="00452756"/>
    <w:rsid w:val="00452AB8"/>
    <w:rsid w:val="00452C3E"/>
    <w:rsid w:val="00452C6C"/>
    <w:rsid w:val="00453145"/>
    <w:rsid w:val="0045451B"/>
    <w:rsid w:val="004569BF"/>
    <w:rsid w:val="00460EE2"/>
    <w:rsid w:val="00464294"/>
    <w:rsid w:val="00467957"/>
    <w:rsid w:val="0047108D"/>
    <w:rsid w:val="004723BA"/>
    <w:rsid w:val="004724AE"/>
    <w:rsid w:val="004735CE"/>
    <w:rsid w:val="004745B6"/>
    <w:rsid w:val="00474658"/>
    <w:rsid w:val="00474B32"/>
    <w:rsid w:val="0047797E"/>
    <w:rsid w:val="00483198"/>
    <w:rsid w:val="0048347B"/>
    <w:rsid w:val="004905FA"/>
    <w:rsid w:val="00496919"/>
    <w:rsid w:val="00497F06"/>
    <w:rsid w:val="004A241D"/>
    <w:rsid w:val="004A3618"/>
    <w:rsid w:val="004A3757"/>
    <w:rsid w:val="004A4F80"/>
    <w:rsid w:val="004A6727"/>
    <w:rsid w:val="004A73A3"/>
    <w:rsid w:val="004A7E42"/>
    <w:rsid w:val="004B0BAB"/>
    <w:rsid w:val="004B1283"/>
    <w:rsid w:val="004B1E68"/>
    <w:rsid w:val="004B2EED"/>
    <w:rsid w:val="004B45C5"/>
    <w:rsid w:val="004B6DAB"/>
    <w:rsid w:val="004C1021"/>
    <w:rsid w:val="004C2657"/>
    <w:rsid w:val="004C3379"/>
    <w:rsid w:val="004C3621"/>
    <w:rsid w:val="004C4677"/>
    <w:rsid w:val="004C6034"/>
    <w:rsid w:val="004D0E05"/>
    <w:rsid w:val="004D2246"/>
    <w:rsid w:val="004D3941"/>
    <w:rsid w:val="004D3ABE"/>
    <w:rsid w:val="004D4085"/>
    <w:rsid w:val="004D53AC"/>
    <w:rsid w:val="004D5D55"/>
    <w:rsid w:val="004D65C4"/>
    <w:rsid w:val="004E0410"/>
    <w:rsid w:val="004E2421"/>
    <w:rsid w:val="004E384C"/>
    <w:rsid w:val="004E4AC1"/>
    <w:rsid w:val="004E603B"/>
    <w:rsid w:val="004E6489"/>
    <w:rsid w:val="004E6662"/>
    <w:rsid w:val="004F0037"/>
    <w:rsid w:val="004F0698"/>
    <w:rsid w:val="004F0E16"/>
    <w:rsid w:val="004F17A2"/>
    <w:rsid w:val="004F3562"/>
    <w:rsid w:val="004F3AF4"/>
    <w:rsid w:val="004F568A"/>
    <w:rsid w:val="004F64E3"/>
    <w:rsid w:val="004F782C"/>
    <w:rsid w:val="004F7977"/>
    <w:rsid w:val="005020EC"/>
    <w:rsid w:val="00502182"/>
    <w:rsid w:val="00510B63"/>
    <w:rsid w:val="00510D48"/>
    <w:rsid w:val="00511175"/>
    <w:rsid w:val="00513D99"/>
    <w:rsid w:val="005146A7"/>
    <w:rsid w:val="00514BB6"/>
    <w:rsid w:val="00514D50"/>
    <w:rsid w:val="005159A6"/>
    <w:rsid w:val="00516555"/>
    <w:rsid w:val="00517242"/>
    <w:rsid w:val="00517499"/>
    <w:rsid w:val="00517C6D"/>
    <w:rsid w:val="00521BDC"/>
    <w:rsid w:val="005256CF"/>
    <w:rsid w:val="00531F44"/>
    <w:rsid w:val="00532EAB"/>
    <w:rsid w:val="00533DB0"/>
    <w:rsid w:val="00535F9B"/>
    <w:rsid w:val="00540B93"/>
    <w:rsid w:val="005419F0"/>
    <w:rsid w:val="00542C43"/>
    <w:rsid w:val="005448A5"/>
    <w:rsid w:val="00544ABC"/>
    <w:rsid w:val="00547724"/>
    <w:rsid w:val="00551299"/>
    <w:rsid w:val="005535FB"/>
    <w:rsid w:val="005549FF"/>
    <w:rsid w:val="00554A83"/>
    <w:rsid w:val="005552D7"/>
    <w:rsid w:val="00555DF5"/>
    <w:rsid w:val="00556A10"/>
    <w:rsid w:val="00557C38"/>
    <w:rsid w:val="00562E0A"/>
    <w:rsid w:val="00562EFB"/>
    <w:rsid w:val="00564072"/>
    <w:rsid w:val="005661F0"/>
    <w:rsid w:val="00566BD1"/>
    <w:rsid w:val="00567086"/>
    <w:rsid w:val="00567BFC"/>
    <w:rsid w:val="00572006"/>
    <w:rsid w:val="00573E74"/>
    <w:rsid w:val="005747DB"/>
    <w:rsid w:val="005760D3"/>
    <w:rsid w:val="005765C8"/>
    <w:rsid w:val="00576E7E"/>
    <w:rsid w:val="0057790F"/>
    <w:rsid w:val="00581A35"/>
    <w:rsid w:val="00582470"/>
    <w:rsid w:val="005852CD"/>
    <w:rsid w:val="005853C1"/>
    <w:rsid w:val="0059080E"/>
    <w:rsid w:val="0059232E"/>
    <w:rsid w:val="00592394"/>
    <w:rsid w:val="00594DE5"/>
    <w:rsid w:val="00595827"/>
    <w:rsid w:val="00596C5A"/>
    <w:rsid w:val="00597B00"/>
    <w:rsid w:val="005A0995"/>
    <w:rsid w:val="005A109E"/>
    <w:rsid w:val="005A12D7"/>
    <w:rsid w:val="005A1D37"/>
    <w:rsid w:val="005A29D6"/>
    <w:rsid w:val="005A492E"/>
    <w:rsid w:val="005A4CD6"/>
    <w:rsid w:val="005A6E14"/>
    <w:rsid w:val="005B0C92"/>
    <w:rsid w:val="005B0F91"/>
    <w:rsid w:val="005B3A69"/>
    <w:rsid w:val="005B471A"/>
    <w:rsid w:val="005B74FB"/>
    <w:rsid w:val="005B7992"/>
    <w:rsid w:val="005B7DCA"/>
    <w:rsid w:val="005B7E20"/>
    <w:rsid w:val="005C07A1"/>
    <w:rsid w:val="005C0BD5"/>
    <w:rsid w:val="005C1510"/>
    <w:rsid w:val="005C1D42"/>
    <w:rsid w:val="005C412B"/>
    <w:rsid w:val="005C4835"/>
    <w:rsid w:val="005C5A53"/>
    <w:rsid w:val="005C694E"/>
    <w:rsid w:val="005C6C28"/>
    <w:rsid w:val="005C7188"/>
    <w:rsid w:val="005C7769"/>
    <w:rsid w:val="005C77AF"/>
    <w:rsid w:val="005C79D7"/>
    <w:rsid w:val="005D0035"/>
    <w:rsid w:val="005D2550"/>
    <w:rsid w:val="005D345E"/>
    <w:rsid w:val="005D39C5"/>
    <w:rsid w:val="005D4A17"/>
    <w:rsid w:val="005D4A41"/>
    <w:rsid w:val="005D5D40"/>
    <w:rsid w:val="005D5F1D"/>
    <w:rsid w:val="005E0778"/>
    <w:rsid w:val="005E37E8"/>
    <w:rsid w:val="005E5C38"/>
    <w:rsid w:val="005E5E17"/>
    <w:rsid w:val="005E65C0"/>
    <w:rsid w:val="005F025F"/>
    <w:rsid w:val="005F0F53"/>
    <w:rsid w:val="005F358D"/>
    <w:rsid w:val="005F584A"/>
    <w:rsid w:val="005F678E"/>
    <w:rsid w:val="005F7698"/>
    <w:rsid w:val="006013DC"/>
    <w:rsid w:val="00603EB2"/>
    <w:rsid w:val="0060625D"/>
    <w:rsid w:val="00606562"/>
    <w:rsid w:val="00606965"/>
    <w:rsid w:val="00611085"/>
    <w:rsid w:val="00611552"/>
    <w:rsid w:val="0061172B"/>
    <w:rsid w:val="00611BAA"/>
    <w:rsid w:val="00612D18"/>
    <w:rsid w:val="006136BC"/>
    <w:rsid w:val="00613747"/>
    <w:rsid w:val="00613ABB"/>
    <w:rsid w:val="00615BB7"/>
    <w:rsid w:val="00616064"/>
    <w:rsid w:val="00616A16"/>
    <w:rsid w:val="00621954"/>
    <w:rsid w:val="00623273"/>
    <w:rsid w:val="00623361"/>
    <w:rsid w:val="00624BA9"/>
    <w:rsid w:val="0062575C"/>
    <w:rsid w:val="00627CCA"/>
    <w:rsid w:val="006318A5"/>
    <w:rsid w:val="006339EB"/>
    <w:rsid w:val="006369A3"/>
    <w:rsid w:val="00636B9A"/>
    <w:rsid w:val="00637F6B"/>
    <w:rsid w:val="00641805"/>
    <w:rsid w:val="00641FBF"/>
    <w:rsid w:val="00642A89"/>
    <w:rsid w:val="00642BF5"/>
    <w:rsid w:val="00643739"/>
    <w:rsid w:val="0064401E"/>
    <w:rsid w:val="006440EE"/>
    <w:rsid w:val="00646E73"/>
    <w:rsid w:val="00647868"/>
    <w:rsid w:val="006505CA"/>
    <w:rsid w:val="00651D4C"/>
    <w:rsid w:val="00654966"/>
    <w:rsid w:val="00654C63"/>
    <w:rsid w:val="0065587E"/>
    <w:rsid w:val="006559E3"/>
    <w:rsid w:val="00657021"/>
    <w:rsid w:val="00657577"/>
    <w:rsid w:val="006577F1"/>
    <w:rsid w:val="00657FA3"/>
    <w:rsid w:val="006604BE"/>
    <w:rsid w:val="00660F11"/>
    <w:rsid w:val="0066295F"/>
    <w:rsid w:val="006660B2"/>
    <w:rsid w:val="006665CB"/>
    <w:rsid w:val="0067056E"/>
    <w:rsid w:val="006717E3"/>
    <w:rsid w:val="006731D9"/>
    <w:rsid w:val="006739CA"/>
    <w:rsid w:val="006754BB"/>
    <w:rsid w:val="0068258E"/>
    <w:rsid w:val="0068307E"/>
    <w:rsid w:val="00683091"/>
    <w:rsid w:val="00683BCA"/>
    <w:rsid w:val="0068466E"/>
    <w:rsid w:val="006855AC"/>
    <w:rsid w:val="00687869"/>
    <w:rsid w:val="006901A6"/>
    <w:rsid w:val="006903B5"/>
    <w:rsid w:val="00690AA1"/>
    <w:rsid w:val="00690F5A"/>
    <w:rsid w:val="00691790"/>
    <w:rsid w:val="006933C3"/>
    <w:rsid w:val="00693CFF"/>
    <w:rsid w:val="006956E6"/>
    <w:rsid w:val="006958EE"/>
    <w:rsid w:val="00697045"/>
    <w:rsid w:val="006A27BD"/>
    <w:rsid w:val="006A337B"/>
    <w:rsid w:val="006A3D5D"/>
    <w:rsid w:val="006A49B3"/>
    <w:rsid w:val="006A4E08"/>
    <w:rsid w:val="006A57D6"/>
    <w:rsid w:val="006A58BC"/>
    <w:rsid w:val="006B000F"/>
    <w:rsid w:val="006B0C29"/>
    <w:rsid w:val="006C2BC5"/>
    <w:rsid w:val="006C2E79"/>
    <w:rsid w:val="006C3928"/>
    <w:rsid w:val="006C40C7"/>
    <w:rsid w:val="006C69E5"/>
    <w:rsid w:val="006D1E35"/>
    <w:rsid w:val="006D3EB7"/>
    <w:rsid w:val="006D5B0F"/>
    <w:rsid w:val="006D63A6"/>
    <w:rsid w:val="006D7B49"/>
    <w:rsid w:val="006E015A"/>
    <w:rsid w:val="006E0A2E"/>
    <w:rsid w:val="006E1269"/>
    <w:rsid w:val="006E279D"/>
    <w:rsid w:val="006E39A6"/>
    <w:rsid w:val="006E3B3E"/>
    <w:rsid w:val="006E4C31"/>
    <w:rsid w:val="006E7D38"/>
    <w:rsid w:val="006F0870"/>
    <w:rsid w:val="006F43CA"/>
    <w:rsid w:val="006F6757"/>
    <w:rsid w:val="006F6EB8"/>
    <w:rsid w:val="006F7EF4"/>
    <w:rsid w:val="007026DD"/>
    <w:rsid w:val="00702770"/>
    <w:rsid w:val="00703FCE"/>
    <w:rsid w:val="00707AE5"/>
    <w:rsid w:val="00707B68"/>
    <w:rsid w:val="00710308"/>
    <w:rsid w:val="007126C4"/>
    <w:rsid w:val="00712853"/>
    <w:rsid w:val="007133FA"/>
    <w:rsid w:val="007165F5"/>
    <w:rsid w:val="007168A0"/>
    <w:rsid w:val="007207F8"/>
    <w:rsid w:val="0072448C"/>
    <w:rsid w:val="007253DE"/>
    <w:rsid w:val="007258CF"/>
    <w:rsid w:val="00725C1A"/>
    <w:rsid w:val="00730D65"/>
    <w:rsid w:val="00733ECE"/>
    <w:rsid w:val="00737731"/>
    <w:rsid w:val="00740210"/>
    <w:rsid w:val="007411D5"/>
    <w:rsid w:val="00744122"/>
    <w:rsid w:val="00744DDA"/>
    <w:rsid w:val="00745318"/>
    <w:rsid w:val="00747075"/>
    <w:rsid w:val="00747530"/>
    <w:rsid w:val="00747B2E"/>
    <w:rsid w:val="00751178"/>
    <w:rsid w:val="00753C41"/>
    <w:rsid w:val="00756648"/>
    <w:rsid w:val="00757AEE"/>
    <w:rsid w:val="00760EC2"/>
    <w:rsid w:val="00761B04"/>
    <w:rsid w:val="0076263D"/>
    <w:rsid w:val="00762F50"/>
    <w:rsid w:val="00764DE5"/>
    <w:rsid w:val="00765248"/>
    <w:rsid w:val="0076764F"/>
    <w:rsid w:val="007724CE"/>
    <w:rsid w:val="007756FB"/>
    <w:rsid w:val="007768D8"/>
    <w:rsid w:val="0077716B"/>
    <w:rsid w:val="00780319"/>
    <w:rsid w:val="0078084F"/>
    <w:rsid w:val="00780C21"/>
    <w:rsid w:val="007819E9"/>
    <w:rsid w:val="00781F63"/>
    <w:rsid w:val="00785F0F"/>
    <w:rsid w:val="007868FD"/>
    <w:rsid w:val="007870BB"/>
    <w:rsid w:val="007914B8"/>
    <w:rsid w:val="0079167D"/>
    <w:rsid w:val="0079241F"/>
    <w:rsid w:val="00792540"/>
    <w:rsid w:val="007925D0"/>
    <w:rsid w:val="00797D52"/>
    <w:rsid w:val="007A0931"/>
    <w:rsid w:val="007A0A8B"/>
    <w:rsid w:val="007A13F3"/>
    <w:rsid w:val="007A297A"/>
    <w:rsid w:val="007A4309"/>
    <w:rsid w:val="007A5953"/>
    <w:rsid w:val="007A7122"/>
    <w:rsid w:val="007A72FB"/>
    <w:rsid w:val="007B1B08"/>
    <w:rsid w:val="007B1CF7"/>
    <w:rsid w:val="007B1CFD"/>
    <w:rsid w:val="007B627D"/>
    <w:rsid w:val="007B6E7F"/>
    <w:rsid w:val="007C11BC"/>
    <w:rsid w:val="007C15FC"/>
    <w:rsid w:val="007C1E91"/>
    <w:rsid w:val="007C2066"/>
    <w:rsid w:val="007C451B"/>
    <w:rsid w:val="007C4846"/>
    <w:rsid w:val="007C53A1"/>
    <w:rsid w:val="007C5428"/>
    <w:rsid w:val="007C58BD"/>
    <w:rsid w:val="007C5D4B"/>
    <w:rsid w:val="007C6582"/>
    <w:rsid w:val="007C738F"/>
    <w:rsid w:val="007D00B1"/>
    <w:rsid w:val="007D0E36"/>
    <w:rsid w:val="007D588D"/>
    <w:rsid w:val="007D5A16"/>
    <w:rsid w:val="007D687D"/>
    <w:rsid w:val="007D6DE7"/>
    <w:rsid w:val="007D77CE"/>
    <w:rsid w:val="007D7DB4"/>
    <w:rsid w:val="007E0518"/>
    <w:rsid w:val="007E0E85"/>
    <w:rsid w:val="007E249C"/>
    <w:rsid w:val="007E3BAE"/>
    <w:rsid w:val="007E3F69"/>
    <w:rsid w:val="007E6D88"/>
    <w:rsid w:val="007E76DD"/>
    <w:rsid w:val="007E7735"/>
    <w:rsid w:val="007F1254"/>
    <w:rsid w:val="007F1374"/>
    <w:rsid w:val="007F7E55"/>
    <w:rsid w:val="00800EE1"/>
    <w:rsid w:val="00801B4C"/>
    <w:rsid w:val="008024EE"/>
    <w:rsid w:val="00802F19"/>
    <w:rsid w:val="0080669A"/>
    <w:rsid w:val="00807958"/>
    <w:rsid w:val="00811725"/>
    <w:rsid w:val="00811CAE"/>
    <w:rsid w:val="00812035"/>
    <w:rsid w:val="0081438C"/>
    <w:rsid w:val="00815A4E"/>
    <w:rsid w:val="008173D1"/>
    <w:rsid w:val="008175CD"/>
    <w:rsid w:val="00821B67"/>
    <w:rsid w:val="00821BBE"/>
    <w:rsid w:val="0082255E"/>
    <w:rsid w:val="00822CE5"/>
    <w:rsid w:val="00822FFC"/>
    <w:rsid w:val="008230ED"/>
    <w:rsid w:val="00823E00"/>
    <w:rsid w:val="0082479B"/>
    <w:rsid w:val="00825803"/>
    <w:rsid w:val="00825DC9"/>
    <w:rsid w:val="008260EE"/>
    <w:rsid w:val="00830CEB"/>
    <w:rsid w:val="00831AFF"/>
    <w:rsid w:val="00831DF3"/>
    <w:rsid w:val="008326E7"/>
    <w:rsid w:val="00833F16"/>
    <w:rsid w:val="00836D13"/>
    <w:rsid w:val="00836FB3"/>
    <w:rsid w:val="00841D50"/>
    <w:rsid w:val="008423B8"/>
    <w:rsid w:val="0084241F"/>
    <w:rsid w:val="0084434E"/>
    <w:rsid w:val="0084460B"/>
    <w:rsid w:val="00845E15"/>
    <w:rsid w:val="008475A5"/>
    <w:rsid w:val="008506B1"/>
    <w:rsid w:val="00850C24"/>
    <w:rsid w:val="008510CC"/>
    <w:rsid w:val="00851422"/>
    <w:rsid w:val="00852425"/>
    <w:rsid w:val="00852EC1"/>
    <w:rsid w:val="00853E0B"/>
    <w:rsid w:val="00855BB3"/>
    <w:rsid w:val="00860C47"/>
    <w:rsid w:val="00862511"/>
    <w:rsid w:val="00863417"/>
    <w:rsid w:val="0086343C"/>
    <w:rsid w:val="00863D76"/>
    <w:rsid w:val="00864271"/>
    <w:rsid w:val="0086509B"/>
    <w:rsid w:val="008651EC"/>
    <w:rsid w:val="00865626"/>
    <w:rsid w:val="00865D15"/>
    <w:rsid w:val="008671F6"/>
    <w:rsid w:val="0087296A"/>
    <w:rsid w:val="00872AD8"/>
    <w:rsid w:val="00873545"/>
    <w:rsid w:val="00873D8C"/>
    <w:rsid w:val="00876262"/>
    <w:rsid w:val="00876BB7"/>
    <w:rsid w:val="00877CAB"/>
    <w:rsid w:val="0088028B"/>
    <w:rsid w:val="00882F40"/>
    <w:rsid w:val="008866D8"/>
    <w:rsid w:val="008904B4"/>
    <w:rsid w:val="00891049"/>
    <w:rsid w:val="008934D8"/>
    <w:rsid w:val="008949D5"/>
    <w:rsid w:val="00894E1E"/>
    <w:rsid w:val="00897403"/>
    <w:rsid w:val="008A1A7F"/>
    <w:rsid w:val="008A34CB"/>
    <w:rsid w:val="008A40C0"/>
    <w:rsid w:val="008A5342"/>
    <w:rsid w:val="008A5923"/>
    <w:rsid w:val="008A5FEA"/>
    <w:rsid w:val="008A65AD"/>
    <w:rsid w:val="008A6BF9"/>
    <w:rsid w:val="008B0672"/>
    <w:rsid w:val="008B1120"/>
    <w:rsid w:val="008B196A"/>
    <w:rsid w:val="008B1AA1"/>
    <w:rsid w:val="008B1BFF"/>
    <w:rsid w:val="008B1FD3"/>
    <w:rsid w:val="008B2A5D"/>
    <w:rsid w:val="008B3F76"/>
    <w:rsid w:val="008B4309"/>
    <w:rsid w:val="008B4BE6"/>
    <w:rsid w:val="008B6F1C"/>
    <w:rsid w:val="008B7760"/>
    <w:rsid w:val="008B785A"/>
    <w:rsid w:val="008C1033"/>
    <w:rsid w:val="008C1508"/>
    <w:rsid w:val="008C1C1D"/>
    <w:rsid w:val="008C2DD5"/>
    <w:rsid w:val="008C33BD"/>
    <w:rsid w:val="008C5AB9"/>
    <w:rsid w:val="008C6788"/>
    <w:rsid w:val="008D161A"/>
    <w:rsid w:val="008D235B"/>
    <w:rsid w:val="008D34B2"/>
    <w:rsid w:val="008D376B"/>
    <w:rsid w:val="008D7C7C"/>
    <w:rsid w:val="008E009C"/>
    <w:rsid w:val="008E10E3"/>
    <w:rsid w:val="008E1A02"/>
    <w:rsid w:val="008E1E07"/>
    <w:rsid w:val="008E74E3"/>
    <w:rsid w:val="008E7E3F"/>
    <w:rsid w:val="008F07DC"/>
    <w:rsid w:val="008F12A1"/>
    <w:rsid w:val="008F2C40"/>
    <w:rsid w:val="008F2D5C"/>
    <w:rsid w:val="008F3624"/>
    <w:rsid w:val="008F3843"/>
    <w:rsid w:val="008F56E3"/>
    <w:rsid w:val="008F606E"/>
    <w:rsid w:val="008F73D1"/>
    <w:rsid w:val="009002CA"/>
    <w:rsid w:val="009016D5"/>
    <w:rsid w:val="00903113"/>
    <w:rsid w:val="00903AF9"/>
    <w:rsid w:val="00904D73"/>
    <w:rsid w:val="00904FD4"/>
    <w:rsid w:val="0090579F"/>
    <w:rsid w:val="00905D1D"/>
    <w:rsid w:val="00906D38"/>
    <w:rsid w:val="00907C3A"/>
    <w:rsid w:val="00911FDB"/>
    <w:rsid w:val="009143C9"/>
    <w:rsid w:val="00915478"/>
    <w:rsid w:val="00915A40"/>
    <w:rsid w:val="009201C9"/>
    <w:rsid w:val="00920C93"/>
    <w:rsid w:val="009216B9"/>
    <w:rsid w:val="00925067"/>
    <w:rsid w:val="009255CD"/>
    <w:rsid w:val="00925948"/>
    <w:rsid w:val="00930424"/>
    <w:rsid w:val="0093197F"/>
    <w:rsid w:val="00931D84"/>
    <w:rsid w:val="009363DB"/>
    <w:rsid w:val="0094162F"/>
    <w:rsid w:val="009418B0"/>
    <w:rsid w:val="0094230D"/>
    <w:rsid w:val="00942BCB"/>
    <w:rsid w:val="00942CF8"/>
    <w:rsid w:val="00942F03"/>
    <w:rsid w:val="00950042"/>
    <w:rsid w:val="009500BA"/>
    <w:rsid w:val="0095074B"/>
    <w:rsid w:val="00950793"/>
    <w:rsid w:val="00950B48"/>
    <w:rsid w:val="009516C6"/>
    <w:rsid w:val="00951C29"/>
    <w:rsid w:val="00953155"/>
    <w:rsid w:val="009545A0"/>
    <w:rsid w:val="00957159"/>
    <w:rsid w:val="0096150E"/>
    <w:rsid w:val="00961B81"/>
    <w:rsid w:val="00962ED5"/>
    <w:rsid w:val="0096399D"/>
    <w:rsid w:val="00963C79"/>
    <w:rsid w:val="00964D7A"/>
    <w:rsid w:val="00970B3D"/>
    <w:rsid w:val="00971561"/>
    <w:rsid w:val="009728E5"/>
    <w:rsid w:val="00972C3C"/>
    <w:rsid w:val="00973455"/>
    <w:rsid w:val="00973790"/>
    <w:rsid w:val="009744F1"/>
    <w:rsid w:val="009761DA"/>
    <w:rsid w:val="00976D01"/>
    <w:rsid w:val="009814FB"/>
    <w:rsid w:val="009858FE"/>
    <w:rsid w:val="009860EA"/>
    <w:rsid w:val="00987E9B"/>
    <w:rsid w:val="00990719"/>
    <w:rsid w:val="009930C6"/>
    <w:rsid w:val="0099315C"/>
    <w:rsid w:val="00993682"/>
    <w:rsid w:val="00996972"/>
    <w:rsid w:val="00996F31"/>
    <w:rsid w:val="00997938"/>
    <w:rsid w:val="009A0695"/>
    <w:rsid w:val="009A133C"/>
    <w:rsid w:val="009A4A68"/>
    <w:rsid w:val="009A6B30"/>
    <w:rsid w:val="009B0633"/>
    <w:rsid w:val="009B174D"/>
    <w:rsid w:val="009B4290"/>
    <w:rsid w:val="009B4321"/>
    <w:rsid w:val="009B44B1"/>
    <w:rsid w:val="009B483F"/>
    <w:rsid w:val="009C02E5"/>
    <w:rsid w:val="009C0A56"/>
    <w:rsid w:val="009C0C54"/>
    <w:rsid w:val="009C0E0E"/>
    <w:rsid w:val="009C12BE"/>
    <w:rsid w:val="009C1AAE"/>
    <w:rsid w:val="009C26E3"/>
    <w:rsid w:val="009C2A6E"/>
    <w:rsid w:val="009C2B72"/>
    <w:rsid w:val="009C41E1"/>
    <w:rsid w:val="009C46D7"/>
    <w:rsid w:val="009C497C"/>
    <w:rsid w:val="009C5E26"/>
    <w:rsid w:val="009C6753"/>
    <w:rsid w:val="009C6DD1"/>
    <w:rsid w:val="009C7CD6"/>
    <w:rsid w:val="009C7EFA"/>
    <w:rsid w:val="009D112C"/>
    <w:rsid w:val="009D1A36"/>
    <w:rsid w:val="009D1DB0"/>
    <w:rsid w:val="009D2789"/>
    <w:rsid w:val="009D4077"/>
    <w:rsid w:val="009D4C0F"/>
    <w:rsid w:val="009D7C44"/>
    <w:rsid w:val="009E01DA"/>
    <w:rsid w:val="009E0CBC"/>
    <w:rsid w:val="009E0D57"/>
    <w:rsid w:val="009E265C"/>
    <w:rsid w:val="009E2F36"/>
    <w:rsid w:val="009E4228"/>
    <w:rsid w:val="009E5747"/>
    <w:rsid w:val="009E7B86"/>
    <w:rsid w:val="009F366D"/>
    <w:rsid w:val="009F45EC"/>
    <w:rsid w:val="009F4798"/>
    <w:rsid w:val="009F4D15"/>
    <w:rsid w:val="009F545D"/>
    <w:rsid w:val="009F58CA"/>
    <w:rsid w:val="009F7E86"/>
    <w:rsid w:val="00A007C3"/>
    <w:rsid w:val="00A01CFB"/>
    <w:rsid w:val="00A02949"/>
    <w:rsid w:val="00A02F14"/>
    <w:rsid w:val="00A046BA"/>
    <w:rsid w:val="00A0554A"/>
    <w:rsid w:val="00A061CB"/>
    <w:rsid w:val="00A06362"/>
    <w:rsid w:val="00A07720"/>
    <w:rsid w:val="00A110C3"/>
    <w:rsid w:val="00A11D2E"/>
    <w:rsid w:val="00A1246C"/>
    <w:rsid w:val="00A13184"/>
    <w:rsid w:val="00A13D8B"/>
    <w:rsid w:val="00A14A76"/>
    <w:rsid w:val="00A1689D"/>
    <w:rsid w:val="00A17EF9"/>
    <w:rsid w:val="00A20311"/>
    <w:rsid w:val="00A20D09"/>
    <w:rsid w:val="00A211F5"/>
    <w:rsid w:val="00A22D1A"/>
    <w:rsid w:val="00A2390C"/>
    <w:rsid w:val="00A23B55"/>
    <w:rsid w:val="00A244A2"/>
    <w:rsid w:val="00A24A81"/>
    <w:rsid w:val="00A2795A"/>
    <w:rsid w:val="00A30EF9"/>
    <w:rsid w:val="00A32E6C"/>
    <w:rsid w:val="00A332EB"/>
    <w:rsid w:val="00A33A8D"/>
    <w:rsid w:val="00A34443"/>
    <w:rsid w:val="00A345F7"/>
    <w:rsid w:val="00A3702B"/>
    <w:rsid w:val="00A37D02"/>
    <w:rsid w:val="00A404F7"/>
    <w:rsid w:val="00A42581"/>
    <w:rsid w:val="00A42FDE"/>
    <w:rsid w:val="00A474D0"/>
    <w:rsid w:val="00A50869"/>
    <w:rsid w:val="00A51447"/>
    <w:rsid w:val="00A53535"/>
    <w:rsid w:val="00A5381D"/>
    <w:rsid w:val="00A53E12"/>
    <w:rsid w:val="00A53F34"/>
    <w:rsid w:val="00A540EB"/>
    <w:rsid w:val="00A550BD"/>
    <w:rsid w:val="00A5539A"/>
    <w:rsid w:val="00A55E28"/>
    <w:rsid w:val="00A57237"/>
    <w:rsid w:val="00A60B97"/>
    <w:rsid w:val="00A610CE"/>
    <w:rsid w:val="00A62C91"/>
    <w:rsid w:val="00A62FB5"/>
    <w:rsid w:val="00A632FF"/>
    <w:rsid w:val="00A6388E"/>
    <w:rsid w:val="00A63AAE"/>
    <w:rsid w:val="00A64476"/>
    <w:rsid w:val="00A64C5B"/>
    <w:rsid w:val="00A65882"/>
    <w:rsid w:val="00A66D4C"/>
    <w:rsid w:val="00A7053F"/>
    <w:rsid w:val="00A71E51"/>
    <w:rsid w:val="00A7409E"/>
    <w:rsid w:val="00A7445A"/>
    <w:rsid w:val="00A7468D"/>
    <w:rsid w:val="00A764E4"/>
    <w:rsid w:val="00A77CBA"/>
    <w:rsid w:val="00A77F56"/>
    <w:rsid w:val="00A82D1D"/>
    <w:rsid w:val="00A838F4"/>
    <w:rsid w:val="00A87066"/>
    <w:rsid w:val="00A90581"/>
    <w:rsid w:val="00A907A6"/>
    <w:rsid w:val="00A909BB"/>
    <w:rsid w:val="00A92F8F"/>
    <w:rsid w:val="00A94542"/>
    <w:rsid w:val="00A954D1"/>
    <w:rsid w:val="00A95A2D"/>
    <w:rsid w:val="00A96AB0"/>
    <w:rsid w:val="00AA1259"/>
    <w:rsid w:val="00AA2C04"/>
    <w:rsid w:val="00AA34B1"/>
    <w:rsid w:val="00AA482A"/>
    <w:rsid w:val="00AA4E1A"/>
    <w:rsid w:val="00AA5606"/>
    <w:rsid w:val="00AA69A2"/>
    <w:rsid w:val="00AA719D"/>
    <w:rsid w:val="00AA7579"/>
    <w:rsid w:val="00AA799E"/>
    <w:rsid w:val="00AB02CE"/>
    <w:rsid w:val="00AB06B2"/>
    <w:rsid w:val="00AB1218"/>
    <w:rsid w:val="00AB1303"/>
    <w:rsid w:val="00AB1C3D"/>
    <w:rsid w:val="00AB2019"/>
    <w:rsid w:val="00AB29A8"/>
    <w:rsid w:val="00AB2D3F"/>
    <w:rsid w:val="00AB6F87"/>
    <w:rsid w:val="00AB7D22"/>
    <w:rsid w:val="00AC0A2C"/>
    <w:rsid w:val="00AC1975"/>
    <w:rsid w:val="00AC22A5"/>
    <w:rsid w:val="00AC2670"/>
    <w:rsid w:val="00AC5C4F"/>
    <w:rsid w:val="00AD18A9"/>
    <w:rsid w:val="00AD5FF0"/>
    <w:rsid w:val="00AE093A"/>
    <w:rsid w:val="00AE0E4F"/>
    <w:rsid w:val="00AE1C50"/>
    <w:rsid w:val="00AE1E3E"/>
    <w:rsid w:val="00AE1F78"/>
    <w:rsid w:val="00AE58AE"/>
    <w:rsid w:val="00AF11E6"/>
    <w:rsid w:val="00AF1DE2"/>
    <w:rsid w:val="00AF23AF"/>
    <w:rsid w:val="00AF40E8"/>
    <w:rsid w:val="00AF4E3A"/>
    <w:rsid w:val="00AF576C"/>
    <w:rsid w:val="00AF6A53"/>
    <w:rsid w:val="00AF7E44"/>
    <w:rsid w:val="00B001BD"/>
    <w:rsid w:val="00B00257"/>
    <w:rsid w:val="00B010A2"/>
    <w:rsid w:val="00B035D1"/>
    <w:rsid w:val="00B039D7"/>
    <w:rsid w:val="00B07F61"/>
    <w:rsid w:val="00B11EFC"/>
    <w:rsid w:val="00B12506"/>
    <w:rsid w:val="00B12955"/>
    <w:rsid w:val="00B14433"/>
    <w:rsid w:val="00B14935"/>
    <w:rsid w:val="00B1495B"/>
    <w:rsid w:val="00B15210"/>
    <w:rsid w:val="00B1623B"/>
    <w:rsid w:val="00B1727F"/>
    <w:rsid w:val="00B23DCC"/>
    <w:rsid w:val="00B24403"/>
    <w:rsid w:val="00B25169"/>
    <w:rsid w:val="00B25206"/>
    <w:rsid w:val="00B26A3F"/>
    <w:rsid w:val="00B31CEA"/>
    <w:rsid w:val="00B32239"/>
    <w:rsid w:val="00B32EAE"/>
    <w:rsid w:val="00B346C6"/>
    <w:rsid w:val="00B35868"/>
    <w:rsid w:val="00B36AF5"/>
    <w:rsid w:val="00B36CAA"/>
    <w:rsid w:val="00B3790D"/>
    <w:rsid w:val="00B40510"/>
    <w:rsid w:val="00B413B9"/>
    <w:rsid w:val="00B41693"/>
    <w:rsid w:val="00B42DDB"/>
    <w:rsid w:val="00B44C77"/>
    <w:rsid w:val="00B4522C"/>
    <w:rsid w:val="00B462DB"/>
    <w:rsid w:val="00B472D0"/>
    <w:rsid w:val="00B5156C"/>
    <w:rsid w:val="00B51A7D"/>
    <w:rsid w:val="00B54375"/>
    <w:rsid w:val="00B55B14"/>
    <w:rsid w:val="00B55EF4"/>
    <w:rsid w:val="00B561E0"/>
    <w:rsid w:val="00B60569"/>
    <w:rsid w:val="00B6145A"/>
    <w:rsid w:val="00B61570"/>
    <w:rsid w:val="00B62EBE"/>
    <w:rsid w:val="00B63BBA"/>
    <w:rsid w:val="00B64856"/>
    <w:rsid w:val="00B6585E"/>
    <w:rsid w:val="00B6650F"/>
    <w:rsid w:val="00B678A5"/>
    <w:rsid w:val="00B67EED"/>
    <w:rsid w:val="00B72578"/>
    <w:rsid w:val="00B744FB"/>
    <w:rsid w:val="00B74B84"/>
    <w:rsid w:val="00B7661C"/>
    <w:rsid w:val="00B77B00"/>
    <w:rsid w:val="00B80A44"/>
    <w:rsid w:val="00B83653"/>
    <w:rsid w:val="00B844B9"/>
    <w:rsid w:val="00B84A8E"/>
    <w:rsid w:val="00B85252"/>
    <w:rsid w:val="00B873F3"/>
    <w:rsid w:val="00B87512"/>
    <w:rsid w:val="00B87DE2"/>
    <w:rsid w:val="00B922E3"/>
    <w:rsid w:val="00B92D67"/>
    <w:rsid w:val="00B93AC6"/>
    <w:rsid w:val="00B95158"/>
    <w:rsid w:val="00B952D8"/>
    <w:rsid w:val="00B95399"/>
    <w:rsid w:val="00B9615A"/>
    <w:rsid w:val="00B97CCB"/>
    <w:rsid w:val="00BA0A82"/>
    <w:rsid w:val="00BA10DC"/>
    <w:rsid w:val="00BA123F"/>
    <w:rsid w:val="00BA1CBE"/>
    <w:rsid w:val="00BA2061"/>
    <w:rsid w:val="00BA3668"/>
    <w:rsid w:val="00BA3831"/>
    <w:rsid w:val="00BA4E49"/>
    <w:rsid w:val="00BA500B"/>
    <w:rsid w:val="00BA51FE"/>
    <w:rsid w:val="00BA5B5B"/>
    <w:rsid w:val="00BB008B"/>
    <w:rsid w:val="00BB0093"/>
    <w:rsid w:val="00BB00C8"/>
    <w:rsid w:val="00BB1628"/>
    <w:rsid w:val="00BB164D"/>
    <w:rsid w:val="00BB1BC1"/>
    <w:rsid w:val="00BB1D8E"/>
    <w:rsid w:val="00BB2181"/>
    <w:rsid w:val="00BB3C82"/>
    <w:rsid w:val="00BB43AB"/>
    <w:rsid w:val="00BB4D25"/>
    <w:rsid w:val="00BB57F6"/>
    <w:rsid w:val="00BB5D56"/>
    <w:rsid w:val="00BC116A"/>
    <w:rsid w:val="00BC2684"/>
    <w:rsid w:val="00BC35AA"/>
    <w:rsid w:val="00BC41C9"/>
    <w:rsid w:val="00BC467C"/>
    <w:rsid w:val="00BC47B7"/>
    <w:rsid w:val="00BC4B0C"/>
    <w:rsid w:val="00BC5BB3"/>
    <w:rsid w:val="00BC72E4"/>
    <w:rsid w:val="00BD2F0F"/>
    <w:rsid w:val="00BD53BD"/>
    <w:rsid w:val="00BD5DEF"/>
    <w:rsid w:val="00BD65F1"/>
    <w:rsid w:val="00BE017B"/>
    <w:rsid w:val="00BE4802"/>
    <w:rsid w:val="00BF170E"/>
    <w:rsid w:val="00BF1A1C"/>
    <w:rsid w:val="00BF3683"/>
    <w:rsid w:val="00BF509C"/>
    <w:rsid w:val="00BF71F6"/>
    <w:rsid w:val="00BF7CF6"/>
    <w:rsid w:val="00C003DA"/>
    <w:rsid w:val="00C020A2"/>
    <w:rsid w:val="00C0357B"/>
    <w:rsid w:val="00C069DB"/>
    <w:rsid w:val="00C06BE7"/>
    <w:rsid w:val="00C07155"/>
    <w:rsid w:val="00C106CB"/>
    <w:rsid w:val="00C11127"/>
    <w:rsid w:val="00C113EA"/>
    <w:rsid w:val="00C119D6"/>
    <w:rsid w:val="00C1277F"/>
    <w:rsid w:val="00C13052"/>
    <w:rsid w:val="00C136A6"/>
    <w:rsid w:val="00C141D0"/>
    <w:rsid w:val="00C1677A"/>
    <w:rsid w:val="00C20370"/>
    <w:rsid w:val="00C20F98"/>
    <w:rsid w:val="00C214F4"/>
    <w:rsid w:val="00C21F77"/>
    <w:rsid w:val="00C22EC2"/>
    <w:rsid w:val="00C244A7"/>
    <w:rsid w:val="00C249C9"/>
    <w:rsid w:val="00C254D5"/>
    <w:rsid w:val="00C25A09"/>
    <w:rsid w:val="00C27BEF"/>
    <w:rsid w:val="00C27C4F"/>
    <w:rsid w:val="00C32A74"/>
    <w:rsid w:val="00C33BEA"/>
    <w:rsid w:val="00C36BB4"/>
    <w:rsid w:val="00C379DB"/>
    <w:rsid w:val="00C424F1"/>
    <w:rsid w:val="00C433CE"/>
    <w:rsid w:val="00C435CB"/>
    <w:rsid w:val="00C4371B"/>
    <w:rsid w:val="00C4424F"/>
    <w:rsid w:val="00C445CC"/>
    <w:rsid w:val="00C4599F"/>
    <w:rsid w:val="00C45F82"/>
    <w:rsid w:val="00C475F7"/>
    <w:rsid w:val="00C52764"/>
    <w:rsid w:val="00C53E01"/>
    <w:rsid w:val="00C55312"/>
    <w:rsid w:val="00C569C8"/>
    <w:rsid w:val="00C56E53"/>
    <w:rsid w:val="00C604FE"/>
    <w:rsid w:val="00C60587"/>
    <w:rsid w:val="00C6239E"/>
    <w:rsid w:val="00C72514"/>
    <w:rsid w:val="00C7318E"/>
    <w:rsid w:val="00C755C1"/>
    <w:rsid w:val="00C76974"/>
    <w:rsid w:val="00C81CDA"/>
    <w:rsid w:val="00C83148"/>
    <w:rsid w:val="00C83E71"/>
    <w:rsid w:val="00C846A9"/>
    <w:rsid w:val="00C878E0"/>
    <w:rsid w:val="00C87B56"/>
    <w:rsid w:val="00C91672"/>
    <w:rsid w:val="00C92B3F"/>
    <w:rsid w:val="00C93797"/>
    <w:rsid w:val="00C94C4F"/>
    <w:rsid w:val="00C95F83"/>
    <w:rsid w:val="00C96DB1"/>
    <w:rsid w:val="00C97610"/>
    <w:rsid w:val="00CA08B2"/>
    <w:rsid w:val="00CA2275"/>
    <w:rsid w:val="00CA2822"/>
    <w:rsid w:val="00CA62C6"/>
    <w:rsid w:val="00CA7501"/>
    <w:rsid w:val="00CB0232"/>
    <w:rsid w:val="00CB07BC"/>
    <w:rsid w:val="00CB128D"/>
    <w:rsid w:val="00CB6208"/>
    <w:rsid w:val="00CB6841"/>
    <w:rsid w:val="00CC13A6"/>
    <w:rsid w:val="00CC71BF"/>
    <w:rsid w:val="00CC7AC8"/>
    <w:rsid w:val="00CD032E"/>
    <w:rsid w:val="00CD0459"/>
    <w:rsid w:val="00CD1295"/>
    <w:rsid w:val="00CD130E"/>
    <w:rsid w:val="00CD1A3C"/>
    <w:rsid w:val="00CD1D0F"/>
    <w:rsid w:val="00CD1F68"/>
    <w:rsid w:val="00CD2E52"/>
    <w:rsid w:val="00CD3031"/>
    <w:rsid w:val="00CD34E9"/>
    <w:rsid w:val="00CD3E6A"/>
    <w:rsid w:val="00CD42F6"/>
    <w:rsid w:val="00CD467C"/>
    <w:rsid w:val="00CD5E8B"/>
    <w:rsid w:val="00CD72DB"/>
    <w:rsid w:val="00CD7DE2"/>
    <w:rsid w:val="00CE1C4A"/>
    <w:rsid w:val="00CE224F"/>
    <w:rsid w:val="00CE381F"/>
    <w:rsid w:val="00CE50F1"/>
    <w:rsid w:val="00CF15B2"/>
    <w:rsid w:val="00CF1BF6"/>
    <w:rsid w:val="00CF28C6"/>
    <w:rsid w:val="00CF3281"/>
    <w:rsid w:val="00CF6CCE"/>
    <w:rsid w:val="00D00C36"/>
    <w:rsid w:val="00D0145D"/>
    <w:rsid w:val="00D014BE"/>
    <w:rsid w:val="00D02424"/>
    <w:rsid w:val="00D05357"/>
    <w:rsid w:val="00D069E1"/>
    <w:rsid w:val="00D07A16"/>
    <w:rsid w:val="00D1087A"/>
    <w:rsid w:val="00D11684"/>
    <w:rsid w:val="00D12DE0"/>
    <w:rsid w:val="00D12FCA"/>
    <w:rsid w:val="00D1432D"/>
    <w:rsid w:val="00D14E81"/>
    <w:rsid w:val="00D152A1"/>
    <w:rsid w:val="00D1647F"/>
    <w:rsid w:val="00D16C96"/>
    <w:rsid w:val="00D20F95"/>
    <w:rsid w:val="00D212BE"/>
    <w:rsid w:val="00D21496"/>
    <w:rsid w:val="00D23C8A"/>
    <w:rsid w:val="00D23E9B"/>
    <w:rsid w:val="00D30273"/>
    <w:rsid w:val="00D34DD1"/>
    <w:rsid w:val="00D35751"/>
    <w:rsid w:val="00D36B04"/>
    <w:rsid w:val="00D36B4F"/>
    <w:rsid w:val="00D37137"/>
    <w:rsid w:val="00D3779C"/>
    <w:rsid w:val="00D3791E"/>
    <w:rsid w:val="00D37DCA"/>
    <w:rsid w:val="00D40C9F"/>
    <w:rsid w:val="00D40E77"/>
    <w:rsid w:val="00D412C0"/>
    <w:rsid w:val="00D41E43"/>
    <w:rsid w:val="00D44646"/>
    <w:rsid w:val="00D46512"/>
    <w:rsid w:val="00D52016"/>
    <w:rsid w:val="00D54373"/>
    <w:rsid w:val="00D60037"/>
    <w:rsid w:val="00D60BC0"/>
    <w:rsid w:val="00D62225"/>
    <w:rsid w:val="00D62C67"/>
    <w:rsid w:val="00D63D3B"/>
    <w:rsid w:val="00D64CB7"/>
    <w:rsid w:val="00D6531D"/>
    <w:rsid w:val="00D65D20"/>
    <w:rsid w:val="00D67EE3"/>
    <w:rsid w:val="00D70A4B"/>
    <w:rsid w:val="00D72EF2"/>
    <w:rsid w:val="00D72FB9"/>
    <w:rsid w:val="00D74323"/>
    <w:rsid w:val="00D745DA"/>
    <w:rsid w:val="00D74C93"/>
    <w:rsid w:val="00D74CB4"/>
    <w:rsid w:val="00D76062"/>
    <w:rsid w:val="00D77DA5"/>
    <w:rsid w:val="00D8284E"/>
    <w:rsid w:val="00D82C2C"/>
    <w:rsid w:val="00D84420"/>
    <w:rsid w:val="00D85438"/>
    <w:rsid w:val="00D86E6F"/>
    <w:rsid w:val="00D8732D"/>
    <w:rsid w:val="00D91729"/>
    <w:rsid w:val="00D927CA"/>
    <w:rsid w:val="00D927DB"/>
    <w:rsid w:val="00D9290F"/>
    <w:rsid w:val="00D9455F"/>
    <w:rsid w:val="00D9586E"/>
    <w:rsid w:val="00D97759"/>
    <w:rsid w:val="00DA0CBF"/>
    <w:rsid w:val="00DA0D76"/>
    <w:rsid w:val="00DA1274"/>
    <w:rsid w:val="00DA133C"/>
    <w:rsid w:val="00DA2B1D"/>
    <w:rsid w:val="00DA3005"/>
    <w:rsid w:val="00DA30A3"/>
    <w:rsid w:val="00DA49B4"/>
    <w:rsid w:val="00DA6A94"/>
    <w:rsid w:val="00DB0519"/>
    <w:rsid w:val="00DB369E"/>
    <w:rsid w:val="00DB4836"/>
    <w:rsid w:val="00DB4CDC"/>
    <w:rsid w:val="00DB5512"/>
    <w:rsid w:val="00DB6E2F"/>
    <w:rsid w:val="00DB79EE"/>
    <w:rsid w:val="00DB7EE7"/>
    <w:rsid w:val="00DC0474"/>
    <w:rsid w:val="00DC1F30"/>
    <w:rsid w:val="00DC2662"/>
    <w:rsid w:val="00DC3E82"/>
    <w:rsid w:val="00DC4FBC"/>
    <w:rsid w:val="00DC529B"/>
    <w:rsid w:val="00DC6DE1"/>
    <w:rsid w:val="00DD042A"/>
    <w:rsid w:val="00DD05D8"/>
    <w:rsid w:val="00DD38C7"/>
    <w:rsid w:val="00DD563C"/>
    <w:rsid w:val="00DD67D6"/>
    <w:rsid w:val="00DE06EE"/>
    <w:rsid w:val="00DE5F96"/>
    <w:rsid w:val="00DF0141"/>
    <w:rsid w:val="00DF0807"/>
    <w:rsid w:val="00DF2FEF"/>
    <w:rsid w:val="00DF344F"/>
    <w:rsid w:val="00DF513B"/>
    <w:rsid w:val="00DF71E8"/>
    <w:rsid w:val="00E00CC5"/>
    <w:rsid w:val="00E01588"/>
    <w:rsid w:val="00E01FE2"/>
    <w:rsid w:val="00E0211B"/>
    <w:rsid w:val="00E0352C"/>
    <w:rsid w:val="00E04414"/>
    <w:rsid w:val="00E04FAE"/>
    <w:rsid w:val="00E07BB2"/>
    <w:rsid w:val="00E11E1A"/>
    <w:rsid w:val="00E12AAE"/>
    <w:rsid w:val="00E12C95"/>
    <w:rsid w:val="00E14566"/>
    <w:rsid w:val="00E14911"/>
    <w:rsid w:val="00E15B22"/>
    <w:rsid w:val="00E1739A"/>
    <w:rsid w:val="00E17500"/>
    <w:rsid w:val="00E208EB"/>
    <w:rsid w:val="00E218B6"/>
    <w:rsid w:val="00E218D7"/>
    <w:rsid w:val="00E21F4D"/>
    <w:rsid w:val="00E22660"/>
    <w:rsid w:val="00E23256"/>
    <w:rsid w:val="00E232E0"/>
    <w:rsid w:val="00E23A5B"/>
    <w:rsid w:val="00E25456"/>
    <w:rsid w:val="00E257EA"/>
    <w:rsid w:val="00E259EF"/>
    <w:rsid w:val="00E301D8"/>
    <w:rsid w:val="00E30241"/>
    <w:rsid w:val="00E3030C"/>
    <w:rsid w:val="00E3108E"/>
    <w:rsid w:val="00E32E11"/>
    <w:rsid w:val="00E32EAF"/>
    <w:rsid w:val="00E32FB2"/>
    <w:rsid w:val="00E34BF8"/>
    <w:rsid w:val="00E34DFC"/>
    <w:rsid w:val="00E357C3"/>
    <w:rsid w:val="00E368D1"/>
    <w:rsid w:val="00E40A3C"/>
    <w:rsid w:val="00E41BE2"/>
    <w:rsid w:val="00E420EC"/>
    <w:rsid w:val="00E42C7F"/>
    <w:rsid w:val="00E43EAA"/>
    <w:rsid w:val="00E443FA"/>
    <w:rsid w:val="00E44B11"/>
    <w:rsid w:val="00E44F7F"/>
    <w:rsid w:val="00E452FD"/>
    <w:rsid w:val="00E45687"/>
    <w:rsid w:val="00E45EBD"/>
    <w:rsid w:val="00E466EF"/>
    <w:rsid w:val="00E50CC8"/>
    <w:rsid w:val="00E51FE8"/>
    <w:rsid w:val="00E521BB"/>
    <w:rsid w:val="00E5244F"/>
    <w:rsid w:val="00E529A8"/>
    <w:rsid w:val="00E52E05"/>
    <w:rsid w:val="00E535AB"/>
    <w:rsid w:val="00E5548C"/>
    <w:rsid w:val="00E558A1"/>
    <w:rsid w:val="00E55E57"/>
    <w:rsid w:val="00E56249"/>
    <w:rsid w:val="00E57D09"/>
    <w:rsid w:val="00E6110D"/>
    <w:rsid w:val="00E61C85"/>
    <w:rsid w:val="00E63505"/>
    <w:rsid w:val="00E63B11"/>
    <w:rsid w:val="00E63B5B"/>
    <w:rsid w:val="00E64411"/>
    <w:rsid w:val="00E66ABB"/>
    <w:rsid w:val="00E67ACE"/>
    <w:rsid w:val="00E67BA7"/>
    <w:rsid w:val="00E7033F"/>
    <w:rsid w:val="00E70436"/>
    <w:rsid w:val="00E7138F"/>
    <w:rsid w:val="00E71C0C"/>
    <w:rsid w:val="00E71F82"/>
    <w:rsid w:val="00E7273E"/>
    <w:rsid w:val="00E757FD"/>
    <w:rsid w:val="00E77068"/>
    <w:rsid w:val="00E81ABF"/>
    <w:rsid w:val="00E8252B"/>
    <w:rsid w:val="00E82A77"/>
    <w:rsid w:val="00E84140"/>
    <w:rsid w:val="00E84907"/>
    <w:rsid w:val="00E85123"/>
    <w:rsid w:val="00E85D36"/>
    <w:rsid w:val="00E8692C"/>
    <w:rsid w:val="00E86ADD"/>
    <w:rsid w:val="00E91480"/>
    <w:rsid w:val="00E929C3"/>
    <w:rsid w:val="00E93D69"/>
    <w:rsid w:val="00E94FA8"/>
    <w:rsid w:val="00E95393"/>
    <w:rsid w:val="00E95AEC"/>
    <w:rsid w:val="00E97CB3"/>
    <w:rsid w:val="00EA2591"/>
    <w:rsid w:val="00EA5AD5"/>
    <w:rsid w:val="00EA6817"/>
    <w:rsid w:val="00EA798F"/>
    <w:rsid w:val="00EB0752"/>
    <w:rsid w:val="00EB3A8C"/>
    <w:rsid w:val="00EB4FD7"/>
    <w:rsid w:val="00EB5E89"/>
    <w:rsid w:val="00EB5EEE"/>
    <w:rsid w:val="00EC0B9F"/>
    <w:rsid w:val="00EC564B"/>
    <w:rsid w:val="00EC63FE"/>
    <w:rsid w:val="00EC6F58"/>
    <w:rsid w:val="00EC75E8"/>
    <w:rsid w:val="00EC7AA8"/>
    <w:rsid w:val="00EC7C4A"/>
    <w:rsid w:val="00ED3D9E"/>
    <w:rsid w:val="00ED4634"/>
    <w:rsid w:val="00ED609C"/>
    <w:rsid w:val="00ED7CB3"/>
    <w:rsid w:val="00EE1123"/>
    <w:rsid w:val="00EE1706"/>
    <w:rsid w:val="00EE36A5"/>
    <w:rsid w:val="00EE3A4F"/>
    <w:rsid w:val="00EE65DB"/>
    <w:rsid w:val="00EE7FF1"/>
    <w:rsid w:val="00EF0C91"/>
    <w:rsid w:val="00EF2660"/>
    <w:rsid w:val="00EF26A2"/>
    <w:rsid w:val="00EF3222"/>
    <w:rsid w:val="00EF3CD2"/>
    <w:rsid w:val="00EF569F"/>
    <w:rsid w:val="00EF596D"/>
    <w:rsid w:val="00F03E0D"/>
    <w:rsid w:val="00F0455C"/>
    <w:rsid w:val="00F04C75"/>
    <w:rsid w:val="00F055CA"/>
    <w:rsid w:val="00F06892"/>
    <w:rsid w:val="00F06BF6"/>
    <w:rsid w:val="00F076F2"/>
    <w:rsid w:val="00F106A0"/>
    <w:rsid w:val="00F107AD"/>
    <w:rsid w:val="00F10861"/>
    <w:rsid w:val="00F12E1A"/>
    <w:rsid w:val="00F13345"/>
    <w:rsid w:val="00F13FFD"/>
    <w:rsid w:val="00F144C3"/>
    <w:rsid w:val="00F14D7F"/>
    <w:rsid w:val="00F15AC5"/>
    <w:rsid w:val="00F161B2"/>
    <w:rsid w:val="00F1668A"/>
    <w:rsid w:val="00F17B39"/>
    <w:rsid w:val="00F17F34"/>
    <w:rsid w:val="00F22CCA"/>
    <w:rsid w:val="00F23446"/>
    <w:rsid w:val="00F23515"/>
    <w:rsid w:val="00F24A7A"/>
    <w:rsid w:val="00F269DE"/>
    <w:rsid w:val="00F26A4B"/>
    <w:rsid w:val="00F31636"/>
    <w:rsid w:val="00F35955"/>
    <w:rsid w:val="00F35DEB"/>
    <w:rsid w:val="00F3605C"/>
    <w:rsid w:val="00F368BA"/>
    <w:rsid w:val="00F376E3"/>
    <w:rsid w:val="00F376EA"/>
    <w:rsid w:val="00F37ED4"/>
    <w:rsid w:val="00F40A46"/>
    <w:rsid w:val="00F40D4D"/>
    <w:rsid w:val="00F41D12"/>
    <w:rsid w:val="00F424B7"/>
    <w:rsid w:val="00F42731"/>
    <w:rsid w:val="00F429A0"/>
    <w:rsid w:val="00F4500F"/>
    <w:rsid w:val="00F45235"/>
    <w:rsid w:val="00F4606B"/>
    <w:rsid w:val="00F46C34"/>
    <w:rsid w:val="00F478FD"/>
    <w:rsid w:val="00F50B3C"/>
    <w:rsid w:val="00F51CE4"/>
    <w:rsid w:val="00F5341E"/>
    <w:rsid w:val="00F5592A"/>
    <w:rsid w:val="00F57E9D"/>
    <w:rsid w:val="00F603F9"/>
    <w:rsid w:val="00F6052B"/>
    <w:rsid w:val="00F65F75"/>
    <w:rsid w:val="00F66E1A"/>
    <w:rsid w:val="00F66FEF"/>
    <w:rsid w:val="00F67F8A"/>
    <w:rsid w:val="00F70031"/>
    <w:rsid w:val="00F71EBB"/>
    <w:rsid w:val="00F722CD"/>
    <w:rsid w:val="00F728DA"/>
    <w:rsid w:val="00F74DCB"/>
    <w:rsid w:val="00F7554D"/>
    <w:rsid w:val="00F76354"/>
    <w:rsid w:val="00F773FD"/>
    <w:rsid w:val="00F82D39"/>
    <w:rsid w:val="00F83985"/>
    <w:rsid w:val="00F8554D"/>
    <w:rsid w:val="00F8642E"/>
    <w:rsid w:val="00F86770"/>
    <w:rsid w:val="00F874B5"/>
    <w:rsid w:val="00F87ADF"/>
    <w:rsid w:val="00F91C07"/>
    <w:rsid w:val="00F937E1"/>
    <w:rsid w:val="00FA152D"/>
    <w:rsid w:val="00FA22BF"/>
    <w:rsid w:val="00FA2BCD"/>
    <w:rsid w:val="00FA5945"/>
    <w:rsid w:val="00FB46B7"/>
    <w:rsid w:val="00FB4E60"/>
    <w:rsid w:val="00FB73A8"/>
    <w:rsid w:val="00FC260F"/>
    <w:rsid w:val="00FC2C92"/>
    <w:rsid w:val="00FC4ACC"/>
    <w:rsid w:val="00FC77ED"/>
    <w:rsid w:val="00FD0892"/>
    <w:rsid w:val="00FD0A6B"/>
    <w:rsid w:val="00FD3E24"/>
    <w:rsid w:val="00FD4A59"/>
    <w:rsid w:val="00FD6782"/>
    <w:rsid w:val="00FD725C"/>
    <w:rsid w:val="00FD78F9"/>
    <w:rsid w:val="00FD7BC9"/>
    <w:rsid w:val="00FE1861"/>
    <w:rsid w:val="00FE41BE"/>
    <w:rsid w:val="00FE429D"/>
    <w:rsid w:val="00FE49FC"/>
    <w:rsid w:val="00FE6D31"/>
    <w:rsid w:val="00FE70FD"/>
    <w:rsid w:val="00FE781F"/>
    <w:rsid w:val="00FF0881"/>
    <w:rsid w:val="00FF2F3D"/>
    <w:rsid w:val="00FF3898"/>
    <w:rsid w:val="00FF3986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FB6F"/>
  <w15:docId w15:val="{4A5B4632-3286-440C-94AF-0B178052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9D5"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8949D5"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qFormat/>
    <w:rsid w:val="008949D5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qFormat/>
    <w:rsid w:val="008949D5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qFormat/>
    <w:rsid w:val="008949D5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qFormat/>
    <w:rsid w:val="008949D5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qFormat/>
    <w:rsid w:val="008949D5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qFormat/>
    <w:rsid w:val="008949D5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8949D5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8949D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9D5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949D5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8949D5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8949D5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8949D5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8949D5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8949D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8949D5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8949D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8949D5"/>
  </w:style>
  <w:style w:type="paragraph" w:styleId="a4">
    <w:name w:val="Title"/>
    <w:basedOn w:val="a"/>
    <w:next w:val="a"/>
    <w:link w:val="a5"/>
    <w:uiPriority w:val="10"/>
    <w:qFormat/>
    <w:rsid w:val="008949D5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8949D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949D5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949D5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949D5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8949D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949D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949D5"/>
    <w:rPr>
      <w:i/>
    </w:rPr>
  </w:style>
  <w:style w:type="paragraph" w:styleId="aa">
    <w:name w:val="caption"/>
    <w:basedOn w:val="a"/>
    <w:next w:val="a"/>
    <w:uiPriority w:val="35"/>
    <w:semiHidden/>
    <w:unhideWhenUsed/>
    <w:qFormat/>
    <w:rsid w:val="008949D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8949D5"/>
  </w:style>
  <w:style w:type="table" w:customStyle="1" w:styleId="TableGridLight1">
    <w:name w:val="Table Grid Light1"/>
    <w:basedOn w:val="a1"/>
    <w:uiPriority w:val="59"/>
    <w:rsid w:val="008949D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a1"/>
    <w:uiPriority w:val="59"/>
    <w:rsid w:val="008949D5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a1"/>
    <w:uiPriority w:val="59"/>
    <w:rsid w:val="008949D5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a1"/>
    <w:uiPriority w:val="99"/>
    <w:rsid w:val="008949D5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a1"/>
    <w:uiPriority w:val="99"/>
    <w:rsid w:val="008949D5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8949D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8949D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8949D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8949D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8949D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8949D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a1"/>
    <w:uiPriority w:val="99"/>
    <w:rsid w:val="008949D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a1"/>
    <w:uiPriority w:val="99"/>
    <w:rsid w:val="008949D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a1"/>
    <w:uiPriority w:val="99"/>
    <w:rsid w:val="008949D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a1"/>
    <w:uiPriority w:val="99"/>
    <w:rsid w:val="008949D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a1"/>
    <w:uiPriority w:val="99"/>
    <w:rsid w:val="008949D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a1"/>
    <w:uiPriority w:val="99"/>
    <w:rsid w:val="008949D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a1"/>
    <w:uiPriority w:val="99"/>
    <w:rsid w:val="008949D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a1"/>
    <w:uiPriority w:val="99"/>
    <w:rsid w:val="008949D5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a1"/>
    <w:uiPriority w:val="99"/>
    <w:rsid w:val="008949D5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a1"/>
    <w:uiPriority w:val="99"/>
    <w:rsid w:val="008949D5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a1"/>
    <w:uiPriority w:val="99"/>
    <w:rsid w:val="008949D5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a1"/>
    <w:uiPriority w:val="99"/>
    <w:rsid w:val="008949D5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a1"/>
    <w:uiPriority w:val="99"/>
    <w:rsid w:val="008949D5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a1"/>
    <w:uiPriority w:val="99"/>
    <w:rsid w:val="008949D5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a1"/>
    <w:uiPriority w:val="59"/>
    <w:rsid w:val="008949D5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a1"/>
    <w:uiPriority w:val="59"/>
    <w:rsid w:val="008949D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a1"/>
    <w:uiPriority w:val="59"/>
    <w:rsid w:val="008949D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a1"/>
    <w:uiPriority w:val="59"/>
    <w:rsid w:val="008949D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a1"/>
    <w:uiPriority w:val="59"/>
    <w:rsid w:val="008949D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a1"/>
    <w:uiPriority w:val="59"/>
    <w:rsid w:val="008949D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a1"/>
    <w:uiPriority w:val="59"/>
    <w:rsid w:val="008949D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a1"/>
    <w:uiPriority w:val="99"/>
    <w:rsid w:val="008949D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949D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a1"/>
    <w:uiPriority w:val="99"/>
    <w:rsid w:val="008949D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a1"/>
    <w:uiPriority w:val="99"/>
    <w:rsid w:val="008949D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949D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a1"/>
    <w:uiPriority w:val="99"/>
    <w:rsid w:val="008949D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a1"/>
    <w:uiPriority w:val="99"/>
    <w:rsid w:val="008949D5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a1"/>
    <w:uiPriority w:val="99"/>
    <w:rsid w:val="008949D5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8949D5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8949D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8949D5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8949D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8949D5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8949D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8949D5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8949D5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8949D5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8949D5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8949D5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8949D5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8949D5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a1"/>
    <w:uiPriority w:val="99"/>
    <w:rsid w:val="008949D5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a1"/>
    <w:uiPriority w:val="99"/>
    <w:rsid w:val="008949D5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a1"/>
    <w:uiPriority w:val="99"/>
    <w:rsid w:val="008949D5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a1"/>
    <w:uiPriority w:val="99"/>
    <w:rsid w:val="008949D5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a1"/>
    <w:uiPriority w:val="99"/>
    <w:rsid w:val="008949D5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a1"/>
    <w:uiPriority w:val="99"/>
    <w:rsid w:val="008949D5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a1"/>
    <w:uiPriority w:val="99"/>
    <w:rsid w:val="008949D5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a1"/>
    <w:uiPriority w:val="99"/>
    <w:rsid w:val="008949D5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a1"/>
    <w:uiPriority w:val="99"/>
    <w:rsid w:val="008949D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8949D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8949D5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8949D5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8949D5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8949D5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8949D5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a1"/>
    <w:uiPriority w:val="99"/>
    <w:rsid w:val="008949D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a1"/>
    <w:uiPriority w:val="99"/>
    <w:rsid w:val="008949D5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a1"/>
    <w:uiPriority w:val="99"/>
    <w:rsid w:val="008949D5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a1"/>
    <w:uiPriority w:val="99"/>
    <w:rsid w:val="008949D5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a1"/>
    <w:uiPriority w:val="99"/>
    <w:rsid w:val="008949D5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a1"/>
    <w:uiPriority w:val="99"/>
    <w:rsid w:val="008949D5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a1"/>
    <w:uiPriority w:val="99"/>
    <w:rsid w:val="008949D5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a1"/>
    <w:uiPriority w:val="99"/>
    <w:rsid w:val="008949D5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a1"/>
    <w:uiPriority w:val="99"/>
    <w:rsid w:val="008949D5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a1"/>
    <w:uiPriority w:val="99"/>
    <w:rsid w:val="008949D5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a1"/>
    <w:uiPriority w:val="99"/>
    <w:rsid w:val="008949D5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a1"/>
    <w:uiPriority w:val="99"/>
    <w:rsid w:val="008949D5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a1"/>
    <w:uiPriority w:val="99"/>
    <w:rsid w:val="008949D5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a1"/>
    <w:uiPriority w:val="99"/>
    <w:rsid w:val="008949D5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a1"/>
    <w:uiPriority w:val="99"/>
    <w:rsid w:val="008949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8949D5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8949D5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8949D5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8949D5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8949D5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8949D5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8949D5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8949D5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8949D5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8949D5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8949D5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8949D5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8949D5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949D5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949D5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949D5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949D5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949D5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949D5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949D5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949D5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8949D5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8949D5"/>
    <w:rPr>
      <w:sz w:val="18"/>
    </w:rPr>
  </w:style>
  <w:style w:type="character" w:styleId="ad">
    <w:name w:val="footnote reference"/>
    <w:basedOn w:val="a0"/>
    <w:uiPriority w:val="99"/>
    <w:unhideWhenUsed/>
    <w:rsid w:val="008949D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949D5"/>
  </w:style>
  <w:style w:type="character" w:customStyle="1" w:styleId="af">
    <w:name w:val="Текст концевой сноски Знак"/>
    <w:link w:val="ae"/>
    <w:uiPriority w:val="99"/>
    <w:rsid w:val="008949D5"/>
    <w:rPr>
      <w:sz w:val="20"/>
    </w:rPr>
  </w:style>
  <w:style w:type="character" w:styleId="af0">
    <w:name w:val="endnote reference"/>
    <w:basedOn w:val="a0"/>
    <w:uiPriority w:val="99"/>
    <w:semiHidden/>
    <w:unhideWhenUsed/>
    <w:rsid w:val="008949D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8949D5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8949D5"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rsid w:val="008949D5"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rsid w:val="008949D5"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rsid w:val="008949D5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8949D5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8949D5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8949D5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8949D5"/>
    <w:pPr>
      <w:spacing w:after="57"/>
      <w:ind w:left="2268" w:firstLine="0"/>
    </w:pPr>
  </w:style>
  <w:style w:type="paragraph" w:styleId="af1">
    <w:name w:val="TOC Heading"/>
    <w:uiPriority w:val="39"/>
    <w:unhideWhenUsed/>
    <w:rsid w:val="008949D5"/>
  </w:style>
  <w:style w:type="paragraph" w:styleId="af2">
    <w:name w:val="table of figures"/>
    <w:basedOn w:val="a"/>
    <w:next w:val="a"/>
    <w:uiPriority w:val="99"/>
    <w:unhideWhenUsed/>
    <w:rsid w:val="008949D5"/>
  </w:style>
  <w:style w:type="paragraph" w:styleId="af3">
    <w:name w:val="Balloon Text"/>
    <w:basedOn w:val="a"/>
    <w:link w:val="af4"/>
    <w:uiPriority w:val="99"/>
    <w:rsid w:val="008949D5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rsid w:val="008949D5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a"/>
    <w:rsid w:val="008949D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af5">
    <w:name w:val="Normal (Web)"/>
    <w:basedOn w:val="a"/>
    <w:uiPriority w:val="99"/>
    <w:unhideWhenUsed/>
    <w:rsid w:val="008949D5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a"/>
    <w:rsid w:val="008949D5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8949D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f6">
    <w:name w:val="header"/>
    <w:basedOn w:val="a"/>
    <w:link w:val="af7"/>
    <w:uiPriority w:val="99"/>
    <w:rsid w:val="008949D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sid w:val="008949D5"/>
    <w:rPr>
      <w:lang w:val="en-US" w:eastAsia="en-US"/>
    </w:rPr>
  </w:style>
  <w:style w:type="paragraph" w:styleId="af8">
    <w:name w:val="footer"/>
    <w:basedOn w:val="a"/>
    <w:link w:val="af9"/>
    <w:uiPriority w:val="99"/>
    <w:rsid w:val="008949D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8949D5"/>
    <w:rPr>
      <w:lang w:val="en-US" w:eastAsia="en-US"/>
    </w:rPr>
  </w:style>
  <w:style w:type="table" w:styleId="afa">
    <w:name w:val="Table Grid"/>
    <w:basedOn w:val="a1"/>
    <w:uiPriority w:val="39"/>
    <w:rsid w:val="008949D5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a"/>
    <w:rsid w:val="008949D5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fa"/>
    <w:uiPriority w:val="59"/>
    <w:rsid w:val="008949D5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rsid w:val="008949D5"/>
    <w:pPr>
      <w:ind w:left="720"/>
      <w:contextualSpacing/>
    </w:pPr>
  </w:style>
  <w:style w:type="numbering" w:customStyle="1" w:styleId="FrListare1">
    <w:name w:val="Fără Listare1"/>
    <w:next w:val="a2"/>
    <w:semiHidden/>
    <w:rsid w:val="008949D5"/>
  </w:style>
  <w:style w:type="character" w:styleId="afc">
    <w:name w:val="page number"/>
    <w:basedOn w:val="a0"/>
    <w:rsid w:val="008949D5"/>
  </w:style>
  <w:style w:type="paragraph" w:customStyle="1" w:styleId="tt">
    <w:name w:val="tt"/>
    <w:basedOn w:val="a"/>
    <w:rsid w:val="008949D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8949D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8949D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afd">
    <w:name w:val="Strong"/>
    <w:uiPriority w:val="22"/>
    <w:qFormat/>
    <w:rsid w:val="008949D5"/>
    <w:rPr>
      <w:b/>
      <w:bCs/>
    </w:rPr>
  </w:style>
  <w:style w:type="character" w:customStyle="1" w:styleId="docsign11">
    <w:name w:val="doc_sign11"/>
    <w:rsid w:val="008949D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8949D5"/>
  </w:style>
  <w:style w:type="character" w:customStyle="1" w:styleId="tal1">
    <w:name w:val="tal1"/>
    <w:rsid w:val="008949D5"/>
  </w:style>
  <w:style w:type="table" w:customStyle="1" w:styleId="GrilTabel2">
    <w:name w:val="Grilă Tabel2"/>
    <w:basedOn w:val="a1"/>
    <w:next w:val="afa"/>
    <w:rsid w:val="008949D5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a"/>
    <w:rsid w:val="008949D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8949D5"/>
  </w:style>
  <w:style w:type="paragraph" w:customStyle="1" w:styleId="cnam1">
    <w:name w:val="cnam1"/>
    <w:basedOn w:val="a"/>
    <w:rsid w:val="008949D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e">
    <w:name w:val="annotation reference"/>
    <w:uiPriority w:val="99"/>
    <w:rsid w:val="008949D5"/>
    <w:rPr>
      <w:sz w:val="16"/>
      <w:szCs w:val="16"/>
    </w:rPr>
  </w:style>
  <w:style w:type="paragraph" w:styleId="aff">
    <w:name w:val="annotation text"/>
    <w:basedOn w:val="a"/>
    <w:link w:val="aff0"/>
    <w:uiPriority w:val="99"/>
    <w:rsid w:val="008949D5"/>
    <w:pPr>
      <w:ind w:firstLine="0"/>
      <w:jc w:val="left"/>
    </w:pPr>
    <w:rPr>
      <w:lang w:val="ro-RO" w:eastAsia="ru-RU"/>
    </w:rPr>
  </w:style>
  <w:style w:type="character" w:customStyle="1" w:styleId="aff0">
    <w:name w:val="Текст примечания Знак"/>
    <w:basedOn w:val="a0"/>
    <w:link w:val="aff"/>
    <w:uiPriority w:val="99"/>
    <w:rsid w:val="008949D5"/>
    <w:rPr>
      <w:lang w:val="ro-RO"/>
    </w:rPr>
  </w:style>
  <w:style w:type="paragraph" w:styleId="aff1">
    <w:name w:val="annotation subject"/>
    <w:basedOn w:val="aff"/>
    <w:next w:val="aff"/>
    <w:link w:val="aff2"/>
    <w:uiPriority w:val="99"/>
    <w:rsid w:val="008949D5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sid w:val="008949D5"/>
    <w:rPr>
      <w:b/>
      <w:bCs/>
      <w:lang w:val="ro-RO"/>
    </w:rPr>
  </w:style>
  <w:style w:type="character" w:customStyle="1" w:styleId="apple-converted-space">
    <w:name w:val="apple-converted-space"/>
    <w:rsid w:val="008949D5"/>
  </w:style>
  <w:style w:type="character" w:customStyle="1" w:styleId="docheader">
    <w:name w:val="doc_header"/>
    <w:rsid w:val="008949D5"/>
  </w:style>
  <w:style w:type="paragraph" w:customStyle="1" w:styleId="Style2">
    <w:name w:val="Style2"/>
    <w:basedOn w:val="a"/>
    <w:uiPriority w:val="99"/>
    <w:rsid w:val="008949D5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8949D5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8949D5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8949D5"/>
    <w:rPr>
      <w:rFonts w:ascii="Times New Roman" w:hAnsi="Times New Roman" w:cs="Times New Roman"/>
      <w:sz w:val="24"/>
      <w:szCs w:val="24"/>
    </w:rPr>
  </w:style>
  <w:style w:type="character" w:styleId="aff3">
    <w:name w:val="Hyperlink"/>
    <w:basedOn w:val="a0"/>
    <w:uiPriority w:val="99"/>
    <w:rsid w:val="008949D5"/>
    <w:rPr>
      <w:color w:val="0000FF"/>
      <w:u w:val="single"/>
    </w:rPr>
  </w:style>
  <w:style w:type="paragraph" w:customStyle="1" w:styleId="cp">
    <w:name w:val="cp"/>
    <w:basedOn w:val="a"/>
    <w:rsid w:val="008949D5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8949D5"/>
  </w:style>
  <w:style w:type="paragraph" w:styleId="HTML">
    <w:name w:val="HTML Preformatted"/>
    <w:basedOn w:val="a"/>
    <w:link w:val="HTML0"/>
    <w:uiPriority w:val="99"/>
    <w:unhideWhenUsed/>
    <w:rsid w:val="008949D5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8949D5"/>
    <w:rPr>
      <w:rFonts w:ascii="Consolas" w:hAnsi="Consolas"/>
      <w:lang w:val="en-US" w:eastAsia="en-US"/>
    </w:rPr>
  </w:style>
  <w:style w:type="character" w:styleId="aff4">
    <w:name w:val="Placeholder Text"/>
    <w:basedOn w:val="a0"/>
    <w:uiPriority w:val="99"/>
    <w:semiHidden/>
    <w:rsid w:val="001C3F21"/>
    <w:rPr>
      <w:color w:val="808080"/>
    </w:rPr>
  </w:style>
  <w:style w:type="paragraph" w:styleId="aff5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72006"/>
    <w:rPr>
      <w:color w:val="605E5C"/>
      <w:shd w:val="clear" w:color="auto" w:fill="E1DFDD"/>
    </w:rPr>
  </w:style>
  <w:style w:type="character" w:styleId="aff6">
    <w:name w:val="FollowedHyperlink"/>
    <w:basedOn w:val="a0"/>
    <w:uiPriority w:val="99"/>
    <w:semiHidden/>
    <w:unhideWhenUsed/>
    <w:rsid w:val="00792540"/>
    <w:rPr>
      <w:color w:val="800080" w:themeColor="followedHyperlink"/>
      <w:u w:val="single"/>
    </w:rPr>
  </w:style>
  <w:style w:type="character" w:styleId="aff7">
    <w:name w:val="Emphasis"/>
    <w:basedOn w:val="a0"/>
    <w:uiPriority w:val="20"/>
    <w:qFormat/>
    <w:rsid w:val="001E5AE0"/>
    <w:rPr>
      <w:i/>
      <w:iCs/>
    </w:rPr>
  </w:style>
  <w:style w:type="character" w:customStyle="1" w:styleId="Bodytext1">
    <w:name w:val="Body text|1_"/>
    <w:basedOn w:val="a0"/>
    <w:link w:val="Bodytext10"/>
    <w:rsid w:val="00090527"/>
    <w:rPr>
      <w:sz w:val="22"/>
      <w:szCs w:val="22"/>
    </w:rPr>
  </w:style>
  <w:style w:type="paragraph" w:customStyle="1" w:styleId="Bodytext10">
    <w:name w:val="Body text|1"/>
    <w:basedOn w:val="a"/>
    <w:link w:val="Bodytext1"/>
    <w:rsid w:val="00090527"/>
    <w:pPr>
      <w:widowControl w:val="0"/>
      <w:spacing w:after="40" w:line="283" w:lineRule="auto"/>
      <w:ind w:firstLine="0"/>
      <w:jc w:val="left"/>
    </w:pPr>
    <w:rPr>
      <w:sz w:val="22"/>
      <w:szCs w:val="22"/>
      <w:lang w:val="ru-RU" w:eastAsia="ru-RU"/>
    </w:rPr>
  </w:style>
  <w:style w:type="character" w:customStyle="1" w:styleId="Tablecaption1">
    <w:name w:val="Table caption|1_"/>
    <w:basedOn w:val="a0"/>
    <w:link w:val="Tablecaption10"/>
    <w:rsid w:val="00C36BB4"/>
  </w:style>
  <w:style w:type="paragraph" w:customStyle="1" w:styleId="Tablecaption10">
    <w:name w:val="Table caption|1"/>
    <w:basedOn w:val="a"/>
    <w:link w:val="Tablecaption1"/>
    <w:rsid w:val="00C36BB4"/>
    <w:pPr>
      <w:widowControl w:val="0"/>
      <w:ind w:firstLine="0"/>
      <w:jc w:val="left"/>
    </w:pPr>
    <w:rPr>
      <w:lang w:val="ru-RU" w:eastAsia="ru-RU"/>
    </w:rPr>
  </w:style>
  <w:style w:type="character" w:customStyle="1" w:styleId="Other1">
    <w:name w:val="Other|1_"/>
    <w:basedOn w:val="a0"/>
    <w:link w:val="Other10"/>
    <w:rsid w:val="00C36BB4"/>
    <w:rPr>
      <w:sz w:val="22"/>
      <w:szCs w:val="22"/>
    </w:rPr>
  </w:style>
  <w:style w:type="paragraph" w:customStyle="1" w:styleId="Other10">
    <w:name w:val="Other|1"/>
    <w:basedOn w:val="a"/>
    <w:link w:val="Other1"/>
    <w:rsid w:val="00C36BB4"/>
    <w:pPr>
      <w:widowControl w:val="0"/>
      <w:spacing w:after="40" w:line="283" w:lineRule="auto"/>
      <w:ind w:firstLine="0"/>
      <w:jc w:val="left"/>
    </w:pPr>
    <w:rPr>
      <w:sz w:val="22"/>
      <w:szCs w:val="22"/>
      <w:lang w:val="ru-RU" w:eastAsia="ru-RU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74EE8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A909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ia.gov.m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ticip.gov.md/ro/document/stages/anunt-privind-initierea-elaborarii-proiectului-de-ordin-cu-privire-la-aprobarea-modelului-registrului-de-evidenta-a-importului-de-produse-fertilizante/1525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e.bucor@maia.gov.md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articip.gov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4DB3C-FB32-4B8C-92D0-E1228391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3279</Words>
  <Characters>18692</Characters>
  <Application>Microsoft Office Word</Application>
  <DocSecurity>0</DocSecurity>
  <Lines>155</Lines>
  <Paragraphs>43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creator>lll</dc:creator>
  <cp:lastModifiedBy>AngajatMAIA</cp:lastModifiedBy>
  <cp:revision>8</cp:revision>
  <cp:lastPrinted>2025-12-02T12:32:00Z</cp:lastPrinted>
  <dcterms:created xsi:type="dcterms:W3CDTF">2025-12-02T07:07:00Z</dcterms:created>
  <dcterms:modified xsi:type="dcterms:W3CDTF">2025-12-03T07:06:00Z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