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8F029" w14:textId="77777777" w:rsidR="00325E03" w:rsidRPr="00997CB4" w:rsidRDefault="00325E03" w:rsidP="00325E03">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MD"/>
        </w:rPr>
      </w:pPr>
      <w:r w:rsidRPr="00997CB4">
        <w:rPr>
          <w:b/>
          <w:sz w:val="24"/>
          <w:szCs w:val="24"/>
          <w:lang w:val="ro-MD"/>
        </w:rPr>
        <w:t>NOTA DE FUNDAMENTARE</w:t>
      </w:r>
    </w:p>
    <w:p w14:paraId="4B1971C5" w14:textId="7248938D" w:rsidR="00325E03" w:rsidRPr="00997CB4" w:rsidRDefault="00325E03" w:rsidP="00457DF2">
      <w:pPr>
        <w:pStyle w:val="NormalWeb"/>
        <w:shd w:val="clear" w:color="auto" w:fill="FFFFFF"/>
        <w:spacing w:line="276" w:lineRule="auto"/>
        <w:ind w:firstLine="709"/>
        <w:jc w:val="center"/>
        <w:rPr>
          <w:b/>
          <w:bCs/>
          <w:lang w:val="ro-MD" w:eastAsia="ro-MD"/>
        </w:rPr>
      </w:pPr>
      <w:r w:rsidRPr="00997CB4">
        <w:rPr>
          <w:b/>
          <w:lang w:val="ro-MD"/>
        </w:rPr>
        <w:t xml:space="preserve">la proiectul </w:t>
      </w:r>
      <w:r w:rsidR="00457DF2" w:rsidRPr="00997CB4">
        <w:rPr>
          <w:b/>
          <w:lang w:val="ro-MD"/>
        </w:rPr>
        <w:t>Ordinului comun al ministrului sănătății și directorului general al Companiei Naționale de Asigurări în Medicină cu privire la medicamentele și dispozitivele medicale cu destinație specială finanțate din fondurile asigurării obligatorii de asistență medicală</w:t>
      </w:r>
    </w:p>
    <w:p w14:paraId="4743D0F8" w14:textId="0FB49848" w:rsidR="005D2E92" w:rsidRPr="00997CB4" w:rsidRDefault="005D2E92" w:rsidP="00325E03">
      <w:pPr>
        <w:shd w:val="clear" w:color="auto" w:fill="FFFFFF"/>
        <w:spacing w:line="276" w:lineRule="auto"/>
        <w:jc w:val="center"/>
        <w:outlineLvl w:val="3"/>
        <w:rPr>
          <w:b/>
          <w:bCs/>
          <w:sz w:val="24"/>
          <w:szCs w:val="24"/>
          <w:lang w:val="ro-MD" w:eastAsia="ro-MD"/>
        </w:rPr>
      </w:pPr>
    </w:p>
    <w:tbl>
      <w:tblPr>
        <w:tblStyle w:val="TableGrid"/>
        <w:tblW w:w="9924"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24"/>
      </w:tblGrid>
      <w:tr w:rsidR="006A4461" w:rsidRPr="00997CB4" w14:paraId="2E7D8CD3" w14:textId="77777777" w:rsidTr="000517AE">
        <w:tc>
          <w:tcPr>
            <w:tcW w:w="99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189530CB" w14:textId="77777777" w:rsidR="006A4461" w:rsidRPr="00997CB4" w:rsidRDefault="006A4461" w:rsidP="00750BD7">
            <w:pPr>
              <w:spacing w:before="120" w:after="120"/>
              <w:rPr>
                <w:b/>
                <w:bCs/>
                <w:sz w:val="24"/>
                <w:szCs w:val="24"/>
                <w:lang w:val="ro-MD"/>
              </w:rPr>
            </w:pPr>
            <w:r w:rsidRPr="00997CB4">
              <w:rPr>
                <w:b/>
                <w:bCs/>
                <w:sz w:val="24"/>
                <w:szCs w:val="24"/>
                <w:lang w:val="ro-MD"/>
              </w:rPr>
              <w:t>1. Denumirea sau numele autorului și, după caz, a/al participanților la elaborarea proiectului actului normativ</w:t>
            </w:r>
          </w:p>
        </w:tc>
      </w:tr>
      <w:tr w:rsidR="006A4461" w:rsidRPr="00997CB4" w14:paraId="38E0D921"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05385" w14:textId="3AEF63A8" w:rsidR="006A4461" w:rsidRPr="00997CB4" w:rsidRDefault="00997CB4" w:rsidP="00DC1193">
            <w:pPr>
              <w:rPr>
                <w:sz w:val="22"/>
                <w:szCs w:val="22"/>
                <w:lang w:val="ro-MD"/>
              </w:rPr>
            </w:pPr>
            <w:r w:rsidRPr="00DC1193">
              <w:rPr>
                <w:bCs/>
                <w:sz w:val="24"/>
                <w:szCs w:val="24"/>
                <w:lang w:val="ro-MD"/>
              </w:rPr>
              <w:t>Ordin</w:t>
            </w:r>
            <w:r w:rsidR="00DC1193">
              <w:rPr>
                <w:bCs/>
                <w:sz w:val="24"/>
                <w:szCs w:val="24"/>
                <w:lang w:val="ro-MD"/>
              </w:rPr>
              <w:t>ul</w:t>
            </w:r>
            <w:r w:rsidRPr="00DC1193">
              <w:rPr>
                <w:bCs/>
                <w:sz w:val="24"/>
                <w:szCs w:val="24"/>
                <w:lang w:val="ro-MD"/>
              </w:rPr>
              <w:t xml:space="preserve"> ministrului sănătății și directorului general al Companiei Naționale de Asigurări în Medicină cu privire la medicamentele și dispozitivele medicale cu destinație specială finanțate din fondurile asigurării obligatorii de asistență medicală.</w:t>
            </w:r>
          </w:p>
        </w:tc>
      </w:tr>
      <w:tr w:rsidR="006A4461" w:rsidRPr="00997CB4" w14:paraId="20FB3F6D"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4F6893A" w14:textId="77777777" w:rsidR="006A4461" w:rsidRPr="00997CB4" w:rsidRDefault="006A4461" w:rsidP="00750BD7">
            <w:pPr>
              <w:spacing w:before="120" w:after="120"/>
              <w:rPr>
                <w:b/>
                <w:bCs/>
                <w:sz w:val="24"/>
                <w:szCs w:val="24"/>
                <w:lang w:val="ro-MD"/>
              </w:rPr>
            </w:pPr>
            <w:r w:rsidRPr="00997CB4">
              <w:rPr>
                <w:b/>
                <w:bCs/>
                <w:sz w:val="24"/>
                <w:szCs w:val="24"/>
                <w:lang w:val="ro-MD"/>
              </w:rPr>
              <w:t>2. Condițiile ce au impus elaborarea proiectului actului normativ</w:t>
            </w:r>
          </w:p>
        </w:tc>
      </w:tr>
      <w:tr w:rsidR="00451B58" w:rsidRPr="00997CB4" w14:paraId="35C792C9"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63E726C7" w14:textId="6178EFB0" w:rsidR="00451B58" w:rsidRPr="00997CB4" w:rsidRDefault="00451B58" w:rsidP="00750BD7">
            <w:pPr>
              <w:spacing w:before="120" w:after="120"/>
              <w:rPr>
                <w:bCs/>
                <w:i/>
                <w:sz w:val="24"/>
                <w:szCs w:val="24"/>
                <w:lang w:val="ro-MD"/>
              </w:rPr>
            </w:pPr>
            <w:r w:rsidRPr="00997CB4">
              <w:rPr>
                <w:bCs/>
                <w:i/>
                <w:sz w:val="24"/>
                <w:szCs w:val="24"/>
                <w:lang w:val="ro-MD"/>
              </w:rPr>
              <w:t>2.1. Temeiul legal sau, după caz, sursa proiectului actului normativ</w:t>
            </w:r>
          </w:p>
        </w:tc>
      </w:tr>
      <w:tr w:rsidR="006A4461" w:rsidRPr="00997CB4" w14:paraId="2C794FDF" w14:textId="77777777" w:rsidTr="000517AE">
        <w:trPr>
          <w:trHeight w:val="806"/>
        </w:trPr>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1BD0BC4" w14:textId="1BEDAB88" w:rsidR="000517AE" w:rsidRPr="000517AE" w:rsidRDefault="00743F1C" w:rsidP="000517AE">
            <w:pPr>
              <w:widowControl w:val="0"/>
              <w:tabs>
                <w:tab w:val="left" w:pos="382"/>
                <w:tab w:val="left" w:pos="851"/>
              </w:tabs>
              <w:spacing w:line="276" w:lineRule="auto"/>
              <w:ind w:left="38" w:firstLine="387"/>
              <w:rPr>
                <w:sz w:val="24"/>
                <w:szCs w:val="24"/>
                <w:lang w:val="ro-MD"/>
              </w:rPr>
            </w:pPr>
            <w:r w:rsidRPr="00743F1C">
              <w:rPr>
                <w:sz w:val="24"/>
                <w:szCs w:val="24"/>
                <w:lang w:val="ro-MD"/>
              </w:rPr>
              <w:t xml:space="preserve">Proiectul este fundamentat pe prevederile Programului unic al </w:t>
            </w:r>
            <w:r w:rsidR="007A088E">
              <w:rPr>
                <w:sz w:val="24"/>
                <w:szCs w:val="24"/>
                <w:lang w:val="ro-MD"/>
              </w:rPr>
              <w:t>asigurării obligatorii de asistență medicală,</w:t>
            </w:r>
            <w:r w:rsidRPr="00743F1C">
              <w:rPr>
                <w:sz w:val="24"/>
                <w:szCs w:val="24"/>
                <w:lang w:val="ro-MD"/>
              </w:rPr>
              <w:t xml:space="preserve"> aprobat prin Hotărârea Guvernului nr. 874/2024, pe dispozițiile Regulamentului Ministerului Sănătății și ale Statutului CNAM, precum și pe necesitatea implementării recomandărilor Curții de Conturi formulate în Hotărârea nr. 49 din 23 mai 2025 privind auditul fondurilor </w:t>
            </w:r>
            <w:r w:rsidR="007A088E">
              <w:rPr>
                <w:sz w:val="24"/>
                <w:szCs w:val="24"/>
                <w:lang w:val="ro-MD"/>
              </w:rPr>
              <w:t>asigurării obligatorii de asistență medicală</w:t>
            </w:r>
            <w:r w:rsidR="007A088E" w:rsidRPr="00743F1C">
              <w:rPr>
                <w:sz w:val="24"/>
                <w:szCs w:val="24"/>
                <w:lang w:val="ro-MD"/>
              </w:rPr>
              <w:t xml:space="preserve"> </w:t>
            </w:r>
            <w:r w:rsidR="007A088E">
              <w:rPr>
                <w:sz w:val="24"/>
                <w:szCs w:val="24"/>
                <w:lang w:val="ro-MD"/>
              </w:rPr>
              <w:t>(</w:t>
            </w:r>
            <w:r w:rsidRPr="00743F1C">
              <w:rPr>
                <w:sz w:val="24"/>
                <w:szCs w:val="24"/>
                <w:lang w:val="ro-MD"/>
              </w:rPr>
              <w:t>AOAM</w:t>
            </w:r>
            <w:r w:rsidR="007A088E">
              <w:rPr>
                <w:sz w:val="24"/>
                <w:szCs w:val="24"/>
                <w:lang w:val="ro-MD"/>
              </w:rPr>
              <w:t>)</w:t>
            </w:r>
            <w:r w:rsidRPr="00743F1C">
              <w:rPr>
                <w:sz w:val="24"/>
                <w:szCs w:val="24"/>
                <w:lang w:val="ro-MD"/>
              </w:rPr>
              <w:t>. Aceste acte constituie baza juridică pentru elaborarea noilor norme privind gestionarea medicamentelor și dispozitivelor medicale cu destinație specială.</w:t>
            </w:r>
          </w:p>
        </w:tc>
      </w:tr>
      <w:tr w:rsidR="006A4461" w:rsidRPr="00997CB4" w14:paraId="420E35BE"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44F9E68B" w14:textId="77777777" w:rsidR="006A4461" w:rsidRPr="00997CB4" w:rsidRDefault="006A4461" w:rsidP="00750BD7">
            <w:pPr>
              <w:spacing w:before="120" w:after="120"/>
              <w:rPr>
                <w:i/>
                <w:sz w:val="24"/>
                <w:szCs w:val="24"/>
                <w:lang w:val="ro-MD"/>
              </w:rPr>
            </w:pPr>
            <w:r w:rsidRPr="00997CB4">
              <w:rPr>
                <w:i/>
                <w:sz w:val="24"/>
                <w:szCs w:val="24"/>
                <w:lang w:val="ro-MD"/>
              </w:rPr>
              <w:t>2.2. Descrierea situației actuale și a problemelor care impun intervenția, inclusiv a cadrului normativ aplicabil și a deficiențelor/lacunelor normative</w:t>
            </w:r>
          </w:p>
        </w:tc>
      </w:tr>
      <w:tr w:rsidR="006A4461" w:rsidRPr="00997CB4" w14:paraId="7F830404"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56AC326" w14:textId="075F7839" w:rsidR="00506C57" w:rsidRDefault="00506C57" w:rsidP="00506C57">
            <w:pPr>
              <w:spacing w:before="100" w:beforeAutospacing="1" w:after="100" w:afterAutospacing="1" w:line="276" w:lineRule="auto"/>
              <w:ind w:firstLine="0"/>
              <w:rPr>
                <w:sz w:val="24"/>
                <w:szCs w:val="24"/>
                <w:lang w:val="ro-MD"/>
              </w:rPr>
            </w:pPr>
            <w:r w:rsidRPr="00506C57">
              <w:rPr>
                <w:sz w:val="24"/>
                <w:szCs w:val="24"/>
                <w:lang w:val="ro-MD"/>
              </w:rPr>
              <w:t>Cadrul normativ actual este fragmentat, reglementările fiind dispersate în două ordine distincte care nu acoperă integral procesul de solicitare, finanțare și raportare</w:t>
            </w:r>
            <w:r w:rsidR="00DC1193">
              <w:rPr>
                <w:sz w:val="24"/>
                <w:szCs w:val="24"/>
                <w:lang w:val="ro-MD"/>
              </w:rPr>
              <w:t xml:space="preserve"> a </w:t>
            </w:r>
            <w:r w:rsidR="00DC1193" w:rsidRPr="00743F1C">
              <w:rPr>
                <w:sz w:val="24"/>
                <w:szCs w:val="24"/>
                <w:lang w:val="ro-MD"/>
              </w:rPr>
              <w:t>medicamentelor și dispozitivelor medicale cu destinație specială.</w:t>
            </w:r>
            <w:r w:rsidRPr="00506C57">
              <w:rPr>
                <w:sz w:val="24"/>
                <w:szCs w:val="24"/>
                <w:lang w:val="ro-MD"/>
              </w:rPr>
              <w:t xml:space="preserve"> În lipsa unor criterii unificate și a unui mecanism clar de evaluare și </w:t>
            </w:r>
            <w:proofErr w:type="spellStart"/>
            <w:r w:rsidRPr="00506C57">
              <w:rPr>
                <w:sz w:val="24"/>
                <w:szCs w:val="24"/>
                <w:lang w:val="ro-MD"/>
              </w:rPr>
              <w:t>prioritizare</w:t>
            </w:r>
            <w:proofErr w:type="spellEnd"/>
            <w:r w:rsidRPr="00506C57">
              <w:rPr>
                <w:sz w:val="24"/>
                <w:szCs w:val="24"/>
                <w:lang w:val="ro-MD"/>
              </w:rPr>
              <w:t xml:space="preserve">, instituțiile medico-sanitare au depus solicitări neomogene, ceea ce a generat presiune considerabilă asupra fondurilor AOAM și dificultăți în planificarea bugetară. Creșterea substanțială a necesarului financiar pentru tratamente costisitoare și inovative evidențiază necesitatea unui cadru coerent și previzibil. </w:t>
            </w:r>
          </w:p>
          <w:p w14:paraId="370543CA" w14:textId="3331E1A1" w:rsidR="00506C57" w:rsidRDefault="00506C57" w:rsidP="00506C57">
            <w:pPr>
              <w:spacing w:before="100" w:beforeAutospacing="1" w:after="100" w:afterAutospacing="1" w:line="276" w:lineRule="auto"/>
              <w:ind w:firstLine="0"/>
              <w:rPr>
                <w:sz w:val="24"/>
                <w:szCs w:val="24"/>
                <w:lang w:val="ro-MD"/>
              </w:rPr>
            </w:pPr>
            <w:r w:rsidRPr="00506C57">
              <w:rPr>
                <w:sz w:val="24"/>
                <w:szCs w:val="24"/>
                <w:lang w:val="ro-MD"/>
              </w:rPr>
              <w:t xml:space="preserve">Auditul Curții de Conturi a identificat lipsa unor date exacte, a unor criterii clare pentru selectarea medicamentelor </w:t>
            </w:r>
            <w:r w:rsidR="00DC1193">
              <w:rPr>
                <w:sz w:val="24"/>
                <w:szCs w:val="24"/>
                <w:lang w:val="ro-MD"/>
              </w:rPr>
              <w:t xml:space="preserve">cu destinație specială </w:t>
            </w:r>
            <w:r w:rsidRPr="00506C57">
              <w:rPr>
                <w:sz w:val="24"/>
                <w:szCs w:val="24"/>
                <w:lang w:val="ro-MD"/>
              </w:rPr>
              <w:t xml:space="preserve">și a unui mecanism eficient de fundamentare economică, recomandând îmbunătățirea cadrului normativ în ansamblu. Normele metodologice </w:t>
            </w:r>
            <w:r w:rsidR="00DC1193">
              <w:rPr>
                <w:sz w:val="24"/>
                <w:szCs w:val="24"/>
                <w:lang w:val="ro-MD"/>
              </w:rPr>
              <w:t xml:space="preserve">de aplicare a </w:t>
            </w:r>
            <w:r w:rsidRPr="00506C57">
              <w:rPr>
                <w:sz w:val="24"/>
                <w:szCs w:val="24"/>
                <w:lang w:val="ro-MD"/>
              </w:rPr>
              <w:t xml:space="preserve"> Programului unic</w:t>
            </w:r>
            <w:r w:rsidR="00DC1193">
              <w:rPr>
                <w:sz w:val="24"/>
                <w:szCs w:val="24"/>
                <w:lang w:val="ro-MD"/>
              </w:rPr>
              <w:t xml:space="preserve"> al AOAM</w:t>
            </w:r>
            <w:r w:rsidRPr="00506C57">
              <w:rPr>
                <w:sz w:val="24"/>
                <w:szCs w:val="24"/>
                <w:lang w:val="ro-MD"/>
              </w:rPr>
              <w:t xml:space="preserve"> prevăd responsabilități clare privind monitorizarea și tratamentul pacienților cu afecțiuni severe, însă mecanismele operaționale actuale nu permit aplicarea completă și riguroasă a acestora. </w:t>
            </w:r>
          </w:p>
          <w:p w14:paraId="36308C4C" w14:textId="18F27A02" w:rsidR="003C39DF" w:rsidRPr="00997CB4" w:rsidRDefault="00506C57" w:rsidP="00563F11">
            <w:pPr>
              <w:spacing w:before="100" w:beforeAutospacing="1" w:after="100" w:afterAutospacing="1" w:line="276" w:lineRule="auto"/>
              <w:ind w:firstLine="0"/>
              <w:rPr>
                <w:sz w:val="24"/>
                <w:szCs w:val="24"/>
                <w:lang w:val="ro-MD"/>
              </w:rPr>
            </w:pPr>
            <w:r w:rsidRPr="00506C57">
              <w:rPr>
                <w:sz w:val="24"/>
                <w:szCs w:val="24"/>
                <w:lang w:val="ro-MD"/>
              </w:rPr>
              <w:t>Toate aceste constatări justifică necesitatea adoptării un</w:t>
            </w:r>
            <w:r w:rsidR="00DC1193">
              <w:rPr>
                <w:sz w:val="24"/>
                <w:szCs w:val="24"/>
                <w:lang w:val="ro-MD"/>
              </w:rPr>
              <w:t>or</w:t>
            </w:r>
            <w:r w:rsidRPr="00506C57">
              <w:rPr>
                <w:sz w:val="24"/>
                <w:szCs w:val="24"/>
                <w:lang w:val="ro-MD"/>
              </w:rPr>
              <w:t xml:space="preserve"> noi reglementări integrale și modernizate.</w:t>
            </w:r>
          </w:p>
        </w:tc>
      </w:tr>
      <w:tr w:rsidR="006A4461" w:rsidRPr="00997CB4" w14:paraId="46B02270"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03E076F" w14:textId="77777777" w:rsidR="006A4461" w:rsidRPr="00997CB4" w:rsidRDefault="006A4461" w:rsidP="00750BD7">
            <w:pPr>
              <w:spacing w:before="120" w:after="120"/>
              <w:rPr>
                <w:b/>
                <w:bCs/>
                <w:sz w:val="24"/>
                <w:szCs w:val="24"/>
                <w:lang w:val="ro-MD"/>
              </w:rPr>
            </w:pPr>
            <w:r w:rsidRPr="00997CB4">
              <w:rPr>
                <w:b/>
                <w:bCs/>
                <w:sz w:val="24"/>
                <w:szCs w:val="24"/>
                <w:lang w:val="ro-MD"/>
              </w:rPr>
              <w:t>3. Obiectivele urmărite și soluțiile propuse</w:t>
            </w:r>
          </w:p>
        </w:tc>
      </w:tr>
      <w:tr w:rsidR="00D539F7" w:rsidRPr="00997CB4" w14:paraId="09A6570E"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687272AD" w14:textId="562616DA" w:rsidR="00D539F7" w:rsidRPr="00997CB4" w:rsidRDefault="00D539F7" w:rsidP="00750BD7">
            <w:pPr>
              <w:spacing w:before="120" w:after="120"/>
              <w:rPr>
                <w:i/>
                <w:sz w:val="24"/>
                <w:szCs w:val="24"/>
                <w:lang w:val="ro-MD"/>
              </w:rPr>
            </w:pPr>
            <w:r w:rsidRPr="00997CB4">
              <w:rPr>
                <w:i/>
                <w:sz w:val="24"/>
                <w:szCs w:val="24"/>
                <w:lang w:val="ro-MD"/>
              </w:rPr>
              <w:t>3.1. Principalele prevederi ale proiectului și evidențierea elementelor noi</w:t>
            </w:r>
          </w:p>
        </w:tc>
      </w:tr>
      <w:tr w:rsidR="006A4461" w:rsidRPr="00997CB4" w14:paraId="41C8BF0D"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020917F" w14:textId="011B5A35" w:rsidR="00506C57" w:rsidRPr="00506C57" w:rsidRDefault="00506C57" w:rsidP="005A0F30">
            <w:pPr>
              <w:shd w:val="clear" w:color="auto" w:fill="FFFFFF"/>
              <w:spacing w:before="100" w:beforeAutospacing="1" w:after="100" w:afterAutospacing="1"/>
              <w:ind w:firstLine="0"/>
              <w:rPr>
                <w:color w:val="000000"/>
                <w:sz w:val="24"/>
                <w:szCs w:val="24"/>
                <w:lang w:val="ro-MD"/>
              </w:rPr>
            </w:pPr>
            <w:r w:rsidRPr="00506C57">
              <w:rPr>
                <w:color w:val="000000"/>
                <w:sz w:val="24"/>
                <w:szCs w:val="24"/>
                <w:lang w:val="ro-MD"/>
              </w:rPr>
              <w:lastRenderedPageBreak/>
              <w:t xml:space="preserve">Proiectul de </w:t>
            </w:r>
            <w:r w:rsidR="00DC1193">
              <w:rPr>
                <w:color w:val="000000"/>
                <w:sz w:val="24"/>
                <w:szCs w:val="24"/>
                <w:lang w:val="ro-MD"/>
              </w:rPr>
              <w:t>o</w:t>
            </w:r>
            <w:r w:rsidRPr="00506C57">
              <w:rPr>
                <w:color w:val="000000"/>
                <w:sz w:val="24"/>
                <w:szCs w:val="24"/>
                <w:lang w:val="ro-MD"/>
              </w:rPr>
              <w:t>rdin instituie un cadru normativ unificat și modern pentru finanțarea medicamentelor și dispozitivelor medicale cu destinație specială, astfel încât procesul de planificare, contractare, utilizare și raportare a fondurilor AOAM să fie gestionat transparent, predictibil și în strictă conformitate cu necesitățile clinice. Reglementarea urmărește să consolideze mecanismele administrative existente și să asigure un tratament echitabil pentru pacienți prin definirea clară a regulilor de acces și finanțare.</w:t>
            </w:r>
          </w:p>
          <w:p w14:paraId="7BBF06BA" w14:textId="7E6954AD" w:rsidR="00506C57" w:rsidRDefault="00DC1193" w:rsidP="005A0F30">
            <w:pPr>
              <w:shd w:val="clear" w:color="auto" w:fill="FFFFFF"/>
              <w:spacing w:before="100" w:beforeAutospacing="1" w:after="100" w:afterAutospacing="1"/>
              <w:ind w:firstLine="0"/>
              <w:rPr>
                <w:color w:val="000000"/>
                <w:sz w:val="24"/>
                <w:szCs w:val="24"/>
                <w:lang w:val="ro-MD"/>
              </w:rPr>
            </w:pPr>
            <w:r>
              <w:rPr>
                <w:color w:val="000000"/>
                <w:sz w:val="24"/>
                <w:szCs w:val="24"/>
                <w:lang w:val="ro-MD"/>
              </w:rPr>
              <w:t>Proiectul</w:t>
            </w:r>
            <w:r w:rsidR="00506C57" w:rsidRPr="00506C57">
              <w:rPr>
                <w:color w:val="000000"/>
                <w:sz w:val="24"/>
                <w:szCs w:val="24"/>
                <w:lang w:val="ro-MD"/>
              </w:rPr>
              <w:t xml:space="preserve"> stabilește modul de finanțare și structura Listei pozitive, împărțită pe categorii de tratamente administrate în cadrul asistenței medicale specializate de </w:t>
            </w:r>
            <w:proofErr w:type="spellStart"/>
            <w:r w:rsidR="00506C57" w:rsidRPr="00506C57">
              <w:rPr>
                <w:color w:val="000000"/>
                <w:sz w:val="24"/>
                <w:szCs w:val="24"/>
                <w:lang w:val="ro-MD"/>
              </w:rPr>
              <w:t>ambulator</w:t>
            </w:r>
            <w:proofErr w:type="spellEnd"/>
            <w:r w:rsidR="00506C57" w:rsidRPr="00506C57">
              <w:rPr>
                <w:color w:val="000000"/>
                <w:sz w:val="24"/>
                <w:szCs w:val="24"/>
                <w:lang w:val="ro-MD"/>
              </w:rPr>
              <w:t xml:space="preserve"> și spitalicești. Sunt clarificate atribuțiile instituțiilor medicale, criteriile de eligibilitate pentru finanțare și tipurile de produse care pot fi acoperite suplimentar costului cazului tratat.</w:t>
            </w:r>
          </w:p>
          <w:p w14:paraId="1AD9DC10" w14:textId="77777777" w:rsidR="00314B8D" w:rsidRDefault="002D42B1" w:rsidP="005A0F30">
            <w:pPr>
              <w:shd w:val="clear" w:color="auto" w:fill="FFFFFF"/>
              <w:spacing w:before="100" w:beforeAutospacing="1" w:after="100" w:afterAutospacing="1"/>
              <w:ind w:firstLine="0"/>
              <w:rPr>
                <w:color w:val="000000"/>
                <w:sz w:val="24"/>
                <w:szCs w:val="24"/>
                <w:lang w:val="ro-MD"/>
              </w:rPr>
            </w:pPr>
            <w:r w:rsidRPr="002D42B1">
              <w:rPr>
                <w:color w:val="000000"/>
                <w:sz w:val="24"/>
                <w:szCs w:val="24"/>
                <w:lang w:val="ro-MD"/>
              </w:rPr>
              <w:t>Un element central al Ordinului îl constituie reglementarea distinctă a celor două mecanisme de evidență și raportare: pentru asistența medicală specializată de ambulatoriu</w:t>
            </w:r>
            <w:r>
              <w:rPr>
                <w:color w:val="000000"/>
                <w:sz w:val="24"/>
                <w:szCs w:val="24"/>
                <w:lang w:val="ro-MD"/>
              </w:rPr>
              <w:t xml:space="preserve"> (AMSA)</w:t>
            </w:r>
            <w:r w:rsidRPr="002D42B1">
              <w:rPr>
                <w:color w:val="000000"/>
                <w:sz w:val="24"/>
                <w:szCs w:val="24"/>
                <w:lang w:val="ro-MD"/>
              </w:rPr>
              <w:t xml:space="preserve"> și pentru asistența medicală spitalicească</w:t>
            </w:r>
            <w:r>
              <w:rPr>
                <w:color w:val="000000"/>
                <w:sz w:val="24"/>
                <w:szCs w:val="24"/>
                <w:lang w:val="ro-MD"/>
              </w:rPr>
              <w:t xml:space="preserve"> (AMS)</w:t>
            </w:r>
            <w:r w:rsidRPr="002D42B1">
              <w:rPr>
                <w:color w:val="000000"/>
                <w:sz w:val="24"/>
                <w:szCs w:val="24"/>
                <w:lang w:val="ro-MD"/>
              </w:rPr>
              <w:t>.</w:t>
            </w:r>
          </w:p>
          <w:p w14:paraId="086DC2C6" w14:textId="1EBB8494" w:rsidR="002D42B1" w:rsidRDefault="002D42B1" w:rsidP="005A0F30">
            <w:pPr>
              <w:shd w:val="clear" w:color="auto" w:fill="FFFFFF"/>
              <w:spacing w:before="100" w:beforeAutospacing="1" w:after="100" w:afterAutospacing="1"/>
              <w:ind w:firstLine="0"/>
              <w:rPr>
                <w:color w:val="000000"/>
                <w:sz w:val="24"/>
                <w:szCs w:val="24"/>
                <w:lang w:val="ro-MD"/>
              </w:rPr>
            </w:pPr>
            <w:r w:rsidRPr="002D42B1">
              <w:rPr>
                <w:color w:val="000000"/>
                <w:sz w:val="24"/>
                <w:szCs w:val="24"/>
                <w:lang w:val="ro-MD"/>
              </w:rPr>
              <w:t xml:space="preserve"> În cadrul AMSA, evidența și raportarea se realizează printr-un sistem informațional gestionat de CNAM, ceea ce permite monitorizarea uniformă a prescripțiilor, trasabilitatea produselor administrate și validarea lunară a datelor raportate.</w:t>
            </w:r>
          </w:p>
          <w:p w14:paraId="29632575" w14:textId="6CE57753" w:rsidR="002D42B1" w:rsidRDefault="002D42B1" w:rsidP="005A0F30">
            <w:pPr>
              <w:shd w:val="clear" w:color="auto" w:fill="FFFFFF"/>
              <w:spacing w:before="100" w:beforeAutospacing="1" w:after="100" w:afterAutospacing="1"/>
              <w:ind w:firstLine="0"/>
              <w:rPr>
                <w:color w:val="000000"/>
                <w:sz w:val="24"/>
                <w:szCs w:val="24"/>
                <w:lang w:val="ro-MD"/>
              </w:rPr>
            </w:pPr>
            <w:r w:rsidRPr="002D42B1">
              <w:rPr>
                <w:color w:val="000000"/>
                <w:sz w:val="24"/>
                <w:szCs w:val="24"/>
                <w:lang w:val="ro-MD"/>
              </w:rPr>
              <w:t xml:space="preserve"> În cadrul AMS, instituțiile sunt obligate să mențină un sistem propriu de evidență a stocurilor și a utilizării, bazat pe registre interne, documente justificative și informații detaliate la nivel de pacient, cu transmiterea </w:t>
            </w:r>
            <w:r w:rsidR="00314B8D">
              <w:rPr>
                <w:color w:val="000000"/>
                <w:sz w:val="24"/>
                <w:szCs w:val="24"/>
                <w:lang w:val="ro-MD"/>
              </w:rPr>
              <w:t>lunară</w:t>
            </w:r>
            <w:r w:rsidRPr="002D42B1">
              <w:rPr>
                <w:color w:val="000000"/>
                <w:sz w:val="24"/>
                <w:szCs w:val="24"/>
                <w:lang w:val="ro-MD"/>
              </w:rPr>
              <w:t xml:space="preserve"> către CNAM a tuturor documentelor necesare pentru verificare și achitare. Acest</w:t>
            </w:r>
            <w:r>
              <w:rPr>
                <w:color w:val="000000"/>
                <w:sz w:val="24"/>
                <w:szCs w:val="24"/>
                <w:lang w:val="ro-MD"/>
              </w:rPr>
              <w:t xml:space="preserve"> </w:t>
            </w:r>
            <w:r w:rsidRPr="002D42B1">
              <w:rPr>
                <w:color w:val="000000"/>
                <w:sz w:val="24"/>
                <w:szCs w:val="24"/>
                <w:lang w:val="ro-MD"/>
              </w:rPr>
              <w:t xml:space="preserve"> </w:t>
            </w:r>
            <w:r>
              <w:rPr>
                <w:color w:val="000000"/>
                <w:sz w:val="24"/>
                <w:szCs w:val="24"/>
                <w:lang w:val="ro-MD"/>
              </w:rPr>
              <w:t>mod de raportare va contribui</w:t>
            </w:r>
            <w:r w:rsidRPr="002D42B1">
              <w:rPr>
                <w:color w:val="000000"/>
                <w:sz w:val="24"/>
                <w:szCs w:val="24"/>
                <w:lang w:val="ro-MD"/>
              </w:rPr>
              <w:t xml:space="preserve"> </w:t>
            </w:r>
            <w:r>
              <w:rPr>
                <w:color w:val="000000"/>
                <w:sz w:val="24"/>
                <w:szCs w:val="24"/>
                <w:lang w:val="ro-MD"/>
              </w:rPr>
              <w:t>la</w:t>
            </w:r>
            <w:r w:rsidRPr="002D42B1">
              <w:rPr>
                <w:color w:val="000000"/>
                <w:sz w:val="24"/>
                <w:szCs w:val="24"/>
                <w:lang w:val="ro-MD"/>
              </w:rPr>
              <w:t xml:space="preserve"> acuratețea datelor și controlul financiar asupra tratamentelor cu </w:t>
            </w:r>
            <w:r w:rsidR="00DC1193">
              <w:rPr>
                <w:color w:val="000000"/>
                <w:sz w:val="24"/>
                <w:szCs w:val="24"/>
                <w:lang w:val="ro-MD"/>
              </w:rPr>
              <w:t xml:space="preserve">medicamente cu </w:t>
            </w:r>
            <w:r w:rsidRPr="002D42B1">
              <w:rPr>
                <w:color w:val="000000"/>
                <w:sz w:val="24"/>
                <w:szCs w:val="24"/>
                <w:lang w:val="ro-MD"/>
              </w:rPr>
              <w:t>destinație specială.</w:t>
            </w:r>
          </w:p>
          <w:p w14:paraId="297ACB83" w14:textId="0C80E301" w:rsidR="002D42B1" w:rsidRPr="00506C57" w:rsidRDefault="002D42B1" w:rsidP="005A0F30">
            <w:pPr>
              <w:shd w:val="clear" w:color="auto" w:fill="FFFFFF"/>
              <w:spacing w:before="100" w:beforeAutospacing="1" w:after="100" w:afterAutospacing="1"/>
              <w:ind w:firstLine="0"/>
              <w:rPr>
                <w:color w:val="000000"/>
                <w:sz w:val="24"/>
                <w:szCs w:val="24"/>
                <w:lang w:val="ro-MD"/>
              </w:rPr>
            </w:pPr>
            <w:r w:rsidRPr="002D42B1">
              <w:rPr>
                <w:color w:val="000000"/>
                <w:sz w:val="24"/>
                <w:szCs w:val="24"/>
                <w:lang w:val="ro-MD"/>
              </w:rPr>
              <w:t>În ceea ce privește achitarea, proiectul consolidează disciplina financiară prin achitarea retrospectivă în baza documentelor justificative validate</w:t>
            </w:r>
            <w:r>
              <w:rPr>
                <w:color w:val="000000"/>
                <w:sz w:val="24"/>
                <w:szCs w:val="24"/>
                <w:lang w:val="ro-MD"/>
              </w:rPr>
              <w:t>.</w:t>
            </w:r>
          </w:p>
          <w:p w14:paraId="6E25F8DA" w14:textId="6737EAD7" w:rsidR="00743DDC" w:rsidRPr="00563F11" w:rsidRDefault="002D42B1" w:rsidP="00563F11">
            <w:pPr>
              <w:spacing w:before="100" w:beforeAutospacing="1" w:after="100" w:afterAutospacing="1"/>
              <w:ind w:firstLine="22"/>
              <w:rPr>
                <w:iCs/>
                <w:sz w:val="24"/>
                <w:szCs w:val="24"/>
                <w:lang w:val="ro-MD"/>
              </w:rPr>
            </w:pPr>
            <w:r w:rsidRPr="002D42B1">
              <w:rPr>
                <w:iCs/>
                <w:sz w:val="24"/>
                <w:szCs w:val="24"/>
                <w:lang w:val="ro-MD"/>
              </w:rPr>
              <w:t>Proiectul modernizează procesul de formare și extindere a Listei pozitive prin introducerea unor criterii clare și transparente de includere, care vizează relevanța clinică, necesitatea medicală, siguranța, eficacitatea și impactul financiar al tratamentelor propuse. Extinderea listei se bazează pe evaluarea dosarului depus, care trebuie să conțină date clinice, justificări terapeutice, informații privind beneficiile anticipate și argumentarea necesității de finanțare din mijloace publice. Dreptul de a depune dosare este acordat atât autorităților și instituțiilor medicale eligibile, cât și operatorilor economici – producători sau reprezentanțe oficiale – ceea ce permite o abordare deschisă, competitivă și armonizată cu practicile europene. Deciziile privind includerea, ajustarea sau excluderea pozițiilor din Lista pozitivă se adopt</w:t>
            </w:r>
            <w:r w:rsidR="00DC1193">
              <w:rPr>
                <w:iCs/>
                <w:sz w:val="24"/>
                <w:szCs w:val="24"/>
                <w:lang w:val="ro-MD"/>
              </w:rPr>
              <w:t>ă</w:t>
            </w:r>
            <w:r w:rsidRPr="002D42B1">
              <w:rPr>
                <w:iCs/>
                <w:sz w:val="24"/>
                <w:szCs w:val="24"/>
                <w:lang w:val="ro-MD"/>
              </w:rPr>
              <w:t xml:space="preserve"> în baza unei analize integrate a informațiilor depuse și a criteriilor stabilite, iar actualizările pot fi aplicate la începutul anului bugetar sau, în situații justificate, în cursul anului de gestiune.</w:t>
            </w:r>
          </w:p>
        </w:tc>
      </w:tr>
      <w:tr w:rsidR="006A4461" w:rsidRPr="00997CB4" w14:paraId="7FE1282B"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4D56394D" w14:textId="77777777" w:rsidR="006A4461" w:rsidRPr="00997CB4" w:rsidRDefault="006A4461" w:rsidP="00750BD7">
            <w:pPr>
              <w:spacing w:before="120" w:after="120"/>
              <w:rPr>
                <w:i/>
                <w:sz w:val="24"/>
                <w:szCs w:val="24"/>
                <w:lang w:val="ro-MD"/>
              </w:rPr>
            </w:pPr>
            <w:r w:rsidRPr="00997CB4">
              <w:rPr>
                <w:i/>
                <w:sz w:val="24"/>
                <w:szCs w:val="24"/>
                <w:lang w:val="ro-MD"/>
              </w:rPr>
              <w:t>3.2. Opțiunile alternative analizate și motivele pentru care acestea nu au fost luate în considerare</w:t>
            </w:r>
          </w:p>
        </w:tc>
      </w:tr>
      <w:tr w:rsidR="006A4461" w:rsidRPr="00997CB4" w14:paraId="4E7563D9"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168886" w14:textId="77777777" w:rsidR="00314B8D" w:rsidRDefault="00314B8D" w:rsidP="005A3D56">
            <w:pPr>
              <w:spacing w:before="120" w:after="120"/>
              <w:ind w:firstLine="0"/>
              <w:rPr>
                <w:sz w:val="24"/>
                <w:szCs w:val="24"/>
                <w:lang w:val="ro-MD"/>
              </w:rPr>
            </w:pPr>
            <w:r w:rsidRPr="00314B8D">
              <w:rPr>
                <w:sz w:val="24"/>
                <w:szCs w:val="24"/>
                <w:lang w:val="ro-MD"/>
              </w:rPr>
              <w:t xml:space="preserve">Analiza opțiunilor alternative a arătat că menținerea reglementărilor existente sau modificarea parțială a acestora nu ar permite integrarea completă a procedurilor într-un cadru coerent. Normele actuale sunt incomplete și necorelate, ceea ce nu ar permite modernizarea proceselor administrative, introducerea instrumentelor ETM și nici armonizarea criteriilor de finanțare. </w:t>
            </w:r>
          </w:p>
          <w:p w14:paraId="7BCEFAB8" w14:textId="2BA08B8E" w:rsidR="00C018DF" w:rsidRPr="00997CB4" w:rsidRDefault="00314B8D" w:rsidP="005A3D56">
            <w:pPr>
              <w:spacing w:before="120" w:after="120"/>
              <w:ind w:firstLine="0"/>
              <w:rPr>
                <w:sz w:val="24"/>
                <w:szCs w:val="24"/>
                <w:lang w:val="ro-MD"/>
              </w:rPr>
            </w:pPr>
            <w:r w:rsidRPr="00314B8D">
              <w:rPr>
                <w:sz w:val="24"/>
                <w:szCs w:val="24"/>
                <w:lang w:val="ro-MD"/>
              </w:rPr>
              <w:t>În aceste condiții, adoptarea unui nou ordin a reprezentat singura soluție capabilă să asigure eficiența, transparența și stabilitatea procesului de finanțare.</w:t>
            </w:r>
          </w:p>
        </w:tc>
      </w:tr>
      <w:tr w:rsidR="006A4461" w:rsidRPr="00997CB4" w14:paraId="572B00EA" w14:textId="77777777" w:rsidTr="000517AE">
        <w:trPr>
          <w:trHeight w:val="381"/>
        </w:trPr>
        <w:tc>
          <w:tcPr>
            <w:tcW w:w="9924"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0884512E" w14:textId="77777777" w:rsidR="006A4461" w:rsidRPr="00997CB4" w:rsidRDefault="006A4461" w:rsidP="00750BD7">
            <w:pPr>
              <w:spacing w:before="120" w:after="120"/>
              <w:rPr>
                <w:b/>
                <w:bCs/>
                <w:sz w:val="24"/>
                <w:szCs w:val="24"/>
                <w:lang w:val="ro-MD"/>
              </w:rPr>
            </w:pPr>
            <w:r w:rsidRPr="00997CB4">
              <w:rPr>
                <w:b/>
                <w:bCs/>
                <w:sz w:val="24"/>
                <w:szCs w:val="24"/>
                <w:lang w:val="ro-MD"/>
              </w:rPr>
              <w:lastRenderedPageBreak/>
              <w:t xml:space="preserve">4. Analiza impactului de reglementare </w:t>
            </w:r>
          </w:p>
        </w:tc>
      </w:tr>
      <w:tr w:rsidR="006A4461" w:rsidRPr="00997CB4" w14:paraId="4A927BCB"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4DF6091" w14:textId="03FDBE9B" w:rsidR="006A4461" w:rsidRPr="00997CB4" w:rsidRDefault="00D539F7" w:rsidP="00750BD7">
            <w:pPr>
              <w:spacing w:before="120" w:after="120"/>
              <w:ind w:firstLine="0"/>
              <w:rPr>
                <w:i/>
                <w:sz w:val="24"/>
                <w:szCs w:val="24"/>
                <w:lang w:val="ro-MD"/>
              </w:rPr>
            </w:pPr>
            <w:r w:rsidRPr="00997CB4">
              <w:rPr>
                <w:i/>
                <w:sz w:val="24"/>
                <w:szCs w:val="24"/>
                <w:lang w:val="ro-MD"/>
              </w:rPr>
              <w:t xml:space="preserve">          </w:t>
            </w:r>
            <w:r w:rsidR="006A4461" w:rsidRPr="00997CB4">
              <w:rPr>
                <w:i/>
                <w:sz w:val="24"/>
                <w:szCs w:val="24"/>
                <w:lang w:val="ro-MD"/>
              </w:rPr>
              <w:t>4.1. Impactul asupra sectorului public</w:t>
            </w:r>
          </w:p>
          <w:p w14:paraId="27CEFB7C" w14:textId="5F1A52BE" w:rsidR="004A6585" w:rsidRPr="00997CB4" w:rsidRDefault="00314B8D" w:rsidP="00EA466D">
            <w:pPr>
              <w:tabs>
                <w:tab w:val="left" w:pos="2370"/>
              </w:tabs>
              <w:spacing w:before="120" w:after="120"/>
              <w:ind w:firstLine="0"/>
              <w:rPr>
                <w:sz w:val="24"/>
                <w:szCs w:val="24"/>
                <w:lang w:val="ro-MD"/>
              </w:rPr>
            </w:pPr>
            <w:r w:rsidRPr="00314B8D">
              <w:rPr>
                <w:iCs/>
                <w:sz w:val="24"/>
                <w:szCs w:val="24"/>
                <w:lang w:val="ro-MD"/>
              </w:rPr>
              <w:t>Reglementarea are un impact pozitiv asupra sectorului public prin clarificarea responsabilităților instituțiilor implicate, consolidarea mecanismelor de planificare și monitorizare și dezvoltarea unui proces unitar și previzibil de gestionare a fondurilor AOAM. Procedurile nu generează sarcini administrative suplimentare, ci optimizează activitățile existente.</w:t>
            </w:r>
          </w:p>
        </w:tc>
      </w:tr>
      <w:tr w:rsidR="006A4461" w:rsidRPr="00997CB4" w14:paraId="5DB9E6DA"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B7C01FA" w14:textId="78ED456C" w:rsidR="006A4461" w:rsidRPr="00997CB4" w:rsidRDefault="006A4461" w:rsidP="00750BD7">
            <w:pPr>
              <w:spacing w:before="120" w:after="120"/>
              <w:rPr>
                <w:i/>
                <w:sz w:val="24"/>
                <w:szCs w:val="24"/>
                <w:lang w:val="ro-MD"/>
              </w:rPr>
            </w:pPr>
            <w:r w:rsidRPr="00997CB4">
              <w:rPr>
                <w:i/>
                <w:sz w:val="24"/>
                <w:szCs w:val="24"/>
                <w:lang w:val="ro-MD"/>
              </w:rPr>
              <w:t>4.2. Impactul financiar și argumentarea costurilor estimative</w:t>
            </w:r>
          </w:p>
          <w:p w14:paraId="70A3F9FA" w14:textId="47C676E1" w:rsidR="004A6585" w:rsidRPr="00997CB4" w:rsidRDefault="00314B8D" w:rsidP="005D2E92">
            <w:pPr>
              <w:spacing w:before="120" w:after="120"/>
              <w:ind w:firstLine="0"/>
              <w:rPr>
                <w:sz w:val="24"/>
                <w:szCs w:val="24"/>
                <w:lang w:val="ro-MD"/>
              </w:rPr>
            </w:pPr>
            <w:r w:rsidRPr="00314B8D">
              <w:rPr>
                <w:sz w:val="24"/>
                <w:szCs w:val="24"/>
                <w:lang w:val="ro-MD"/>
              </w:rPr>
              <w:t xml:space="preserve">Implementarea proiectului nu </w:t>
            </w:r>
            <w:r w:rsidR="007A088E">
              <w:rPr>
                <w:sz w:val="24"/>
                <w:szCs w:val="24"/>
                <w:lang w:val="ro-MD"/>
              </w:rPr>
              <w:t>implică costuri suplimentare</w:t>
            </w:r>
            <w:r w:rsidRPr="00314B8D">
              <w:rPr>
                <w:sz w:val="24"/>
                <w:szCs w:val="24"/>
                <w:lang w:val="ro-MD"/>
              </w:rPr>
              <w:t xml:space="preserve">, finanțarea fiind realizată în limitele fondurilor </w:t>
            </w:r>
            <w:r w:rsidR="007A088E">
              <w:rPr>
                <w:sz w:val="24"/>
                <w:szCs w:val="24"/>
                <w:lang w:val="ro-MD"/>
              </w:rPr>
              <w:t xml:space="preserve">AOAM </w:t>
            </w:r>
            <w:r w:rsidRPr="00314B8D">
              <w:rPr>
                <w:sz w:val="24"/>
                <w:szCs w:val="24"/>
                <w:lang w:val="ro-MD"/>
              </w:rPr>
              <w:t>aprobate anual. Noile cerințe privind estimarea necesarului financiar și raportarea lunară electronică contribuie la îmbunătățirea prognozelor bugetare și la un control mai riguros al utilizării resurselor, reducând riscul de depășire sau nevalorificare a sumelor contractate.</w:t>
            </w:r>
          </w:p>
        </w:tc>
      </w:tr>
      <w:tr w:rsidR="006A4461" w:rsidRPr="00997CB4" w14:paraId="2D9480DF" w14:textId="77777777" w:rsidTr="000517AE">
        <w:trPr>
          <w:trHeight w:val="990"/>
        </w:trPr>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91EC285" w14:textId="77777777" w:rsidR="006A4461" w:rsidRPr="00997CB4" w:rsidRDefault="006A4461" w:rsidP="00750BD7">
            <w:pPr>
              <w:spacing w:before="120" w:after="120"/>
              <w:rPr>
                <w:i/>
                <w:sz w:val="24"/>
                <w:szCs w:val="24"/>
                <w:lang w:val="ro-MD"/>
              </w:rPr>
            </w:pPr>
            <w:r w:rsidRPr="00997CB4">
              <w:rPr>
                <w:i/>
                <w:sz w:val="24"/>
                <w:szCs w:val="24"/>
                <w:lang w:val="ro-MD"/>
              </w:rPr>
              <w:t>4.3. Impactul asupra sectorului privat</w:t>
            </w:r>
          </w:p>
          <w:p w14:paraId="3FDA1CED" w14:textId="23CB82B0" w:rsidR="004A6585" w:rsidRPr="00C13EEB" w:rsidRDefault="00C13EEB" w:rsidP="00E51AB9">
            <w:pPr>
              <w:spacing w:before="120" w:after="120"/>
              <w:ind w:firstLine="0"/>
              <w:rPr>
                <w:sz w:val="24"/>
                <w:szCs w:val="24"/>
                <w:lang w:val="ro-MD"/>
              </w:rPr>
            </w:pPr>
            <w:r w:rsidRPr="00C13EEB">
              <w:rPr>
                <w:color w:val="000000"/>
                <w:sz w:val="24"/>
                <w:szCs w:val="24"/>
                <w:shd w:val="clear" w:color="auto" w:fill="FFFFFF"/>
                <w:lang w:val="ro-MD"/>
              </w:rPr>
              <w:t>Proiectul nu generează obligații suplimentare pentru sectorul privat, însă oferă operatorilor economici – producători sau reprezentanțe oficiale – posibilitatea de a depune solicitări pentru includerea medicamentelor noi sau inovative în Lista pozitivă, în baza unui dosar completat conform cerințelor stabilite. Această deschidere contribuie la diversificarea opțiunilor terapeutice disponibile, la stimularea competiției pe piață și la facilitarea accesului pacienților la tratamente moderne, fără a modifica responsabilitățile operatorilor economici.</w:t>
            </w:r>
          </w:p>
        </w:tc>
      </w:tr>
      <w:tr w:rsidR="006A4461" w:rsidRPr="00997CB4" w14:paraId="2E12AFFD"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20BD82" w14:textId="39E8B586" w:rsidR="006A4461" w:rsidRPr="00997CB4" w:rsidRDefault="006A4461" w:rsidP="00750BD7">
            <w:pPr>
              <w:spacing w:before="120" w:after="120"/>
              <w:rPr>
                <w:i/>
                <w:sz w:val="24"/>
                <w:szCs w:val="24"/>
                <w:lang w:val="ro-MD"/>
              </w:rPr>
            </w:pPr>
            <w:r w:rsidRPr="00997CB4">
              <w:rPr>
                <w:i/>
                <w:sz w:val="24"/>
                <w:szCs w:val="24"/>
                <w:lang w:val="ro-MD"/>
              </w:rPr>
              <w:t>4.4. Impactul social</w:t>
            </w:r>
          </w:p>
          <w:p w14:paraId="3EFB43B7" w14:textId="27076A74" w:rsidR="006B1472" w:rsidRPr="00C13EEB" w:rsidRDefault="00C13EEB" w:rsidP="00750BD7">
            <w:pPr>
              <w:spacing w:before="120" w:after="120"/>
              <w:ind w:firstLine="0"/>
              <w:rPr>
                <w:color w:val="000000"/>
                <w:sz w:val="24"/>
                <w:szCs w:val="24"/>
                <w:shd w:val="clear" w:color="auto" w:fill="FFFFFF"/>
                <w:lang w:val="ro-MD"/>
              </w:rPr>
            </w:pPr>
            <w:r w:rsidRPr="00C13EEB">
              <w:rPr>
                <w:color w:val="000000"/>
                <w:sz w:val="24"/>
                <w:szCs w:val="24"/>
                <w:shd w:val="clear" w:color="auto" w:fill="FFFFFF"/>
                <w:lang w:val="ro-MD"/>
              </w:rPr>
              <w:t xml:space="preserve">Reglementarea contribuie la îmbunătățirea accesului populației la tratamente esențiale, cost-înalte și inovative, cu impact major asupra sănătății publice. Prin consolidarea mecanismelor de finanțare, proiectul asigură echitate în acces și reduce riscul complicațiilor severe în domenii critice precum oncologia, neonatologia, bolile rare sau </w:t>
            </w:r>
            <w:proofErr w:type="spellStart"/>
            <w:r w:rsidRPr="00C13EEB">
              <w:rPr>
                <w:color w:val="000000"/>
                <w:sz w:val="24"/>
                <w:szCs w:val="24"/>
                <w:shd w:val="clear" w:color="auto" w:fill="FFFFFF"/>
                <w:lang w:val="ro-MD"/>
              </w:rPr>
              <w:t>patologiile</w:t>
            </w:r>
            <w:proofErr w:type="spellEnd"/>
            <w:r w:rsidRPr="00C13EEB">
              <w:rPr>
                <w:color w:val="000000"/>
                <w:sz w:val="24"/>
                <w:szCs w:val="24"/>
                <w:shd w:val="clear" w:color="auto" w:fill="FFFFFF"/>
                <w:lang w:val="ro-MD"/>
              </w:rPr>
              <w:t xml:space="preserve"> acute grave.</w:t>
            </w:r>
          </w:p>
          <w:p w14:paraId="4412FD8B" w14:textId="2610ACFD" w:rsidR="006A4461" w:rsidRPr="00997CB4" w:rsidRDefault="00D539F7" w:rsidP="00750BD7">
            <w:pPr>
              <w:spacing w:before="120" w:after="120"/>
              <w:ind w:firstLine="0"/>
              <w:rPr>
                <w:i/>
                <w:sz w:val="24"/>
                <w:szCs w:val="24"/>
                <w:lang w:val="ro-MD"/>
              </w:rPr>
            </w:pPr>
            <w:r w:rsidRPr="00997CB4">
              <w:rPr>
                <w:i/>
                <w:sz w:val="24"/>
                <w:szCs w:val="24"/>
                <w:lang w:val="ro-MD"/>
              </w:rPr>
              <w:t xml:space="preserve">       </w:t>
            </w:r>
            <w:r w:rsidR="006A4461" w:rsidRPr="00997CB4">
              <w:rPr>
                <w:i/>
                <w:sz w:val="24"/>
                <w:szCs w:val="24"/>
                <w:lang w:val="ro-MD"/>
              </w:rPr>
              <w:t>4.4.1. Impactul asupra datelor cu caracter personal</w:t>
            </w:r>
          </w:p>
          <w:p w14:paraId="60CCEECD" w14:textId="77777777" w:rsidR="00C13EEB" w:rsidRPr="00C13EEB" w:rsidRDefault="00C13EEB" w:rsidP="00750BD7">
            <w:pPr>
              <w:spacing w:before="120" w:after="120"/>
              <w:rPr>
                <w:color w:val="000000"/>
                <w:sz w:val="24"/>
                <w:szCs w:val="24"/>
                <w:shd w:val="clear" w:color="auto" w:fill="FFFFFF"/>
                <w:lang w:val="ro-MD"/>
              </w:rPr>
            </w:pPr>
            <w:r w:rsidRPr="00C13EEB">
              <w:rPr>
                <w:color w:val="000000"/>
                <w:sz w:val="24"/>
                <w:szCs w:val="24"/>
                <w:shd w:val="clear" w:color="auto" w:fill="FFFFFF"/>
                <w:lang w:val="ro-MD"/>
              </w:rPr>
              <w:t>Proiectul nu modifică regimul actual de prelucrare a datelor și nu introduce noi categorii de date personale. Evidența se realizează prin sistemele deja existente, cu respectarea prevederilor Legii nr. 133/2011 privind protecția datelor cu caracter personal.</w:t>
            </w:r>
          </w:p>
          <w:p w14:paraId="790FE39B" w14:textId="2BA43EC8" w:rsidR="006A4461" w:rsidRPr="00997CB4" w:rsidRDefault="00C13EEB" w:rsidP="00C13EEB">
            <w:pPr>
              <w:spacing w:before="120" w:after="120"/>
              <w:ind w:firstLine="0"/>
              <w:rPr>
                <w:i/>
                <w:sz w:val="24"/>
                <w:szCs w:val="24"/>
                <w:lang w:val="ro-MD"/>
              </w:rPr>
            </w:pPr>
            <w:r>
              <w:rPr>
                <w:i/>
                <w:sz w:val="24"/>
                <w:szCs w:val="24"/>
                <w:lang w:val="ro-MD"/>
              </w:rPr>
              <w:t xml:space="preserve">       </w:t>
            </w:r>
            <w:r w:rsidR="006A4461" w:rsidRPr="00997CB4">
              <w:rPr>
                <w:i/>
                <w:sz w:val="24"/>
                <w:szCs w:val="24"/>
                <w:lang w:val="ro-MD"/>
              </w:rPr>
              <w:t>4.4.2. Impactul asupra echității și egalității de gen</w:t>
            </w:r>
          </w:p>
          <w:p w14:paraId="279584C1" w14:textId="1468571D" w:rsidR="004A6585" w:rsidRPr="00C13EEB" w:rsidRDefault="007A088E" w:rsidP="00E51AB9">
            <w:pPr>
              <w:spacing w:before="120" w:after="120"/>
              <w:ind w:firstLine="0"/>
              <w:rPr>
                <w:sz w:val="24"/>
                <w:szCs w:val="24"/>
                <w:lang w:val="ro-MD"/>
              </w:rPr>
            </w:pPr>
            <w:r w:rsidRPr="00C13EEB">
              <w:rPr>
                <w:color w:val="000000"/>
                <w:sz w:val="24"/>
                <w:szCs w:val="24"/>
                <w:shd w:val="clear" w:color="auto" w:fill="FFFFFF"/>
                <w:lang w:val="ro-MD"/>
              </w:rPr>
              <w:t>Prevederile se aplică uniform tuturor pacienților</w:t>
            </w:r>
            <w:r>
              <w:rPr>
                <w:color w:val="000000"/>
                <w:sz w:val="24"/>
                <w:szCs w:val="24"/>
                <w:shd w:val="clear" w:color="auto" w:fill="FFFFFF"/>
                <w:lang w:val="ro-MD"/>
              </w:rPr>
              <w:t>,</w:t>
            </w:r>
            <w:r w:rsidR="00C13EEB" w:rsidRPr="00C13EEB">
              <w:rPr>
                <w:color w:val="000000"/>
                <w:sz w:val="24"/>
                <w:szCs w:val="24"/>
                <w:shd w:val="clear" w:color="auto" w:fill="FFFFFF"/>
                <w:lang w:val="ro-MD"/>
              </w:rPr>
              <w:t xml:space="preserve"> accesul la tratamente fiind determinat exclusiv de indicațiile clinice și criteriile medicale stabilite în protocoale</w:t>
            </w:r>
            <w:r>
              <w:rPr>
                <w:color w:val="000000"/>
                <w:sz w:val="24"/>
                <w:szCs w:val="24"/>
                <w:shd w:val="clear" w:color="auto" w:fill="FFFFFF"/>
                <w:lang w:val="ro-MD"/>
              </w:rPr>
              <w:t xml:space="preserve"> clinice.</w:t>
            </w:r>
          </w:p>
        </w:tc>
      </w:tr>
      <w:tr w:rsidR="006A4461" w:rsidRPr="00997CB4" w14:paraId="0C48ADFF"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7581B1C" w14:textId="77777777" w:rsidR="004A6585" w:rsidRPr="00997CB4" w:rsidRDefault="006A4461" w:rsidP="00E51AB9">
            <w:pPr>
              <w:spacing w:before="120" w:after="120"/>
              <w:rPr>
                <w:i/>
                <w:sz w:val="24"/>
                <w:szCs w:val="24"/>
                <w:lang w:val="ro-MD"/>
              </w:rPr>
            </w:pPr>
            <w:r w:rsidRPr="00997CB4">
              <w:rPr>
                <w:i/>
                <w:sz w:val="24"/>
                <w:szCs w:val="24"/>
                <w:lang w:val="ro-MD"/>
              </w:rPr>
              <w:t>4.5. Impactul asupra mediului</w:t>
            </w:r>
          </w:p>
          <w:p w14:paraId="1DF64884" w14:textId="509CD117" w:rsidR="00D67A2C" w:rsidRPr="00997CB4" w:rsidRDefault="00D67A2C" w:rsidP="00E51AB9">
            <w:pPr>
              <w:spacing w:before="120" w:after="120"/>
              <w:rPr>
                <w:i/>
                <w:sz w:val="24"/>
                <w:szCs w:val="24"/>
                <w:lang w:val="ro-MD"/>
              </w:rPr>
            </w:pPr>
            <w:r w:rsidRPr="00997CB4">
              <w:rPr>
                <w:i/>
                <w:sz w:val="24"/>
                <w:szCs w:val="24"/>
                <w:lang w:val="ro-MD"/>
              </w:rPr>
              <w:t>Nu are impact</w:t>
            </w:r>
          </w:p>
        </w:tc>
      </w:tr>
      <w:tr w:rsidR="006A4461" w:rsidRPr="00997CB4" w14:paraId="6D5F66D2"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47D266" w14:textId="77777777" w:rsidR="006A4461" w:rsidRPr="00997CB4" w:rsidRDefault="006A4461" w:rsidP="00750BD7">
            <w:pPr>
              <w:spacing w:before="120" w:after="120"/>
              <w:rPr>
                <w:i/>
                <w:sz w:val="24"/>
                <w:szCs w:val="24"/>
                <w:lang w:val="ro-MD"/>
              </w:rPr>
            </w:pPr>
            <w:r w:rsidRPr="00997CB4">
              <w:rPr>
                <w:i/>
                <w:sz w:val="24"/>
                <w:szCs w:val="24"/>
                <w:lang w:val="ro-MD"/>
              </w:rPr>
              <w:t>4.6. Alte impacturi și informații relevante</w:t>
            </w:r>
          </w:p>
        </w:tc>
      </w:tr>
      <w:tr w:rsidR="006A4461" w:rsidRPr="00997CB4" w14:paraId="7CB99C9A"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F88956" w14:textId="23C3D62B" w:rsidR="006A4461" w:rsidRPr="00997CB4" w:rsidRDefault="006A4461" w:rsidP="00750BD7">
            <w:pPr>
              <w:spacing w:before="120" w:after="120"/>
              <w:ind w:firstLine="0"/>
              <w:rPr>
                <w:sz w:val="24"/>
                <w:szCs w:val="24"/>
                <w:lang w:val="ro-MD"/>
              </w:rPr>
            </w:pPr>
            <w:r w:rsidRPr="00997CB4">
              <w:rPr>
                <w:sz w:val="24"/>
                <w:szCs w:val="24"/>
                <w:lang w:val="ro-MD"/>
              </w:rPr>
              <w:t xml:space="preserve"> </w:t>
            </w:r>
            <w:r w:rsidR="00C13EEB" w:rsidRPr="00C13EEB">
              <w:rPr>
                <w:sz w:val="24"/>
                <w:szCs w:val="24"/>
                <w:lang w:val="ro-MD"/>
              </w:rPr>
              <w:t xml:space="preserve">Reglementarea îmbunătățește guvernanța, transparența și controlul procesului de finanțare, contribuind la eficiența generală a utilizării resurselor </w:t>
            </w:r>
            <w:r w:rsidR="007A088E">
              <w:rPr>
                <w:sz w:val="24"/>
                <w:szCs w:val="24"/>
                <w:lang w:val="ro-MD"/>
              </w:rPr>
              <w:t xml:space="preserve">fondurilor </w:t>
            </w:r>
            <w:r w:rsidR="00C13EEB" w:rsidRPr="00C13EEB">
              <w:rPr>
                <w:sz w:val="24"/>
                <w:szCs w:val="24"/>
                <w:lang w:val="ro-MD"/>
              </w:rPr>
              <w:t>AOAM.</w:t>
            </w:r>
          </w:p>
        </w:tc>
      </w:tr>
      <w:tr w:rsidR="006A4461" w:rsidRPr="00997CB4" w14:paraId="2C917D9B"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77B9C397" w14:textId="77777777" w:rsidR="006A4461" w:rsidRPr="00997CB4" w:rsidRDefault="006A4461" w:rsidP="00750BD7">
            <w:pPr>
              <w:spacing w:before="120" w:after="120"/>
              <w:rPr>
                <w:b/>
                <w:bCs/>
                <w:sz w:val="24"/>
                <w:szCs w:val="24"/>
                <w:lang w:val="ro-MD"/>
              </w:rPr>
            </w:pPr>
            <w:r w:rsidRPr="00997CB4">
              <w:rPr>
                <w:b/>
                <w:bCs/>
                <w:sz w:val="24"/>
                <w:szCs w:val="24"/>
                <w:lang w:val="ro-MD"/>
              </w:rPr>
              <w:t xml:space="preserve">5. Compatibilitatea proiectului actului normativ cu legislația UE </w:t>
            </w:r>
          </w:p>
        </w:tc>
      </w:tr>
      <w:tr w:rsidR="006A4461" w:rsidRPr="00997CB4" w14:paraId="783D5F6E"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48C5FA0" w14:textId="5443882B" w:rsidR="00F967D2" w:rsidRPr="00997CB4" w:rsidRDefault="00C13EEB" w:rsidP="00C13EEB">
            <w:pPr>
              <w:spacing w:before="120" w:after="120"/>
              <w:ind w:firstLine="0"/>
              <w:rPr>
                <w:sz w:val="24"/>
                <w:szCs w:val="24"/>
                <w:lang w:val="ro-MD"/>
              </w:rPr>
            </w:pPr>
            <w:r w:rsidRPr="00C13EEB">
              <w:rPr>
                <w:sz w:val="24"/>
                <w:szCs w:val="24"/>
                <w:lang w:val="ro-MD"/>
              </w:rPr>
              <w:lastRenderedPageBreak/>
              <w:t>Proiectul este compatibil cu principiile europene privind evaluarea tehnologiilor medicale, utilizarea analizelor clinice și economice și asigurarea accesului echitabil la medicamente inovative. Reglementarea nu necesită transpunerea unor acte juridice ale Uniunii Europene, însă se aliniază practicilor europene moderne privind fundamentarea deciziilor de finanțare.</w:t>
            </w:r>
          </w:p>
        </w:tc>
      </w:tr>
      <w:tr w:rsidR="006A4461" w:rsidRPr="00997CB4" w14:paraId="698FED86"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6582E4C9" w14:textId="77777777" w:rsidR="006A4461" w:rsidRPr="00997CB4" w:rsidRDefault="006A4461" w:rsidP="00750BD7">
            <w:pPr>
              <w:spacing w:before="120" w:after="120"/>
              <w:rPr>
                <w:sz w:val="24"/>
                <w:szCs w:val="24"/>
                <w:lang w:val="ro-MD"/>
              </w:rPr>
            </w:pPr>
            <w:r w:rsidRPr="00997CB4">
              <w:rPr>
                <w:sz w:val="24"/>
                <w:szCs w:val="24"/>
                <w:lang w:val="ro-MD"/>
              </w:rPr>
              <w:t>5.2. Măsuri normative care urmăresc crearea cadrului juridic intern necesar pentru implementarea legislației UE</w:t>
            </w:r>
          </w:p>
        </w:tc>
      </w:tr>
      <w:tr w:rsidR="006A4461" w:rsidRPr="00997CB4" w14:paraId="560B29F0"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982D35" w14:textId="3DCBAAB2" w:rsidR="006A4461" w:rsidRPr="00997CB4" w:rsidRDefault="006A4461" w:rsidP="00E51AB9">
            <w:pPr>
              <w:spacing w:before="120" w:after="120"/>
              <w:ind w:firstLine="0"/>
              <w:rPr>
                <w:sz w:val="24"/>
                <w:szCs w:val="24"/>
                <w:lang w:val="ro-MD"/>
              </w:rPr>
            </w:pPr>
          </w:p>
        </w:tc>
      </w:tr>
      <w:tr w:rsidR="006A4461" w:rsidRPr="00997CB4" w14:paraId="1D95DF31"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8EAADB" w:themeFill="accent1" w:themeFillTint="99"/>
            <w:tcMar>
              <w:top w:w="0" w:type="dxa"/>
              <w:left w:w="108" w:type="dxa"/>
              <w:bottom w:w="0" w:type="dxa"/>
              <w:right w:w="108" w:type="dxa"/>
            </w:tcMar>
          </w:tcPr>
          <w:p w14:paraId="0554B44F" w14:textId="77777777" w:rsidR="006A4461" w:rsidRPr="00997CB4" w:rsidRDefault="006A4461" w:rsidP="00750BD7">
            <w:pPr>
              <w:spacing w:before="120" w:after="120"/>
              <w:rPr>
                <w:b/>
                <w:bCs/>
                <w:sz w:val="24"/>
                <w:szCs w:val="24"/>
                <w:lang w:val="ro-MD"/>
              </w:rPr>
            </w:pPr>
            <w:r w:rsidRPr="00997CB4">
              <w:rPr>
                <w:b/>
                <w:bCs/>
                <w:sz w:val="24"/>
                <w:szCs w:val="24"/>
                <w:lang w:val="ro-MD"/>
              </w:rPr>
              <w:t>6. Avizarea și consultarea publică a proiectului actului normativ</w:t>
            </w:r>
          </w:p>
        </w:tc>
      </w:tr>
      <w:tr w:rsidR="006A4461" w:rsidRPr="00997CB4" w14:paraId="2EF40D13"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01FE3" w14:textId="5B8ED98B" w:rsidR="006A4461" w:rsidRPr="00997CB4" w:rsidRDefault="006A4461" w:rsidP="007A088E">
            <w:pPr>
              <w:spacing w:before="120" w:after="120"/>
              <w:ind w:firstLine="0"/>
              <w:rPr>
                <w:sz w:val="24"/>
                <w:szCs w:val="24"/>
                <w:lang w:val="ro-MD"/>
              </w:rPr>
            </w:pPr>
            <w:r w:rsidRPr="00997CB4">
              <w:rPr>
                <w:sz w:val="24"/>
                <w:szCs w:val="24"/>
                <w:lang w:val="ro-MD"/>
              </w:rPr>
              <w:t xml:space="preserve"> </w:t>
            </w:r>
            <w:r w:rsidR="00C13EEB" w:rsidRPr="00C13EEB">
              <w:rPr>
                <w:sz w:val="24"/>
                <w:szCs w:val="24"/>
                <w:lang w:val="ro-MD"/>
              </w:rPr>
              <w:t xml:space="preserve">Proiectul a fost publicat în conformitate cu legislația privind transparența decizională și este supus consultării publice pe platformele oficiale ale CNAM, precum și pe portalul particip.gov.md. </w:t>
            </w:r>
          </w:p>
        </w:tc>
      </w:tr>
      <w:tr w:rsidR="006A4461" w:rsidRPr="00997CB4" w14:paraId="01079AA4"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3A661ED" w14:textId="77777777" w:rsidR="006A4461" w:rsidRPr="00997CB4" w:rsidRDefault="006A4461" w:rsidP="00750BD7">
            <w:pPr>
              <w:spacing w:before="120" w:after="120"/>
              <w:rPr>
                <w:b/>
                <w:bCs/>
                <w:sz w:val="24"/>
                <w:szCs w:val="24"/>
                <w:lang w:val="ro-MD"/>
              </w:rPr>
            </w:pPr>
            <w:r w:rsidRPr="00997CB4">
              <w:rPr>
                <w:b/>
                <w:bCs/>
                <w:sz w:val="24"/>
                <w:szCs w:val="24"/>
                <w:lang w:val="ro-MD"/>
              </w:rPr>
              <w:t>7. Concluziile expertizelor</w:t>
            </w:r>
          </w:p>
        </w:tc>
      </w:tr>
      <w:tr w:rsidR="006A4461" w:rsidRPr="00997CB4" w14:paraId="5226BBC0"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BC43B61" w14:textId="123C9E9D" w:rsidR="006A4461" w:rsidRPr="00C13EEB" w:rsidRDefault="006A4461" w:rsidP="00C13EEB">
            <w:pPr>
              <w:spacing w:before="120" w:after="120"/>
              <w:ind w:firstLine="0"/>
              <w:rPr>
                <w:bCs/>
                <w:sz w:val="24"/>
                <w:szCs w:val="24"/>
                <w:lang w:val="ro-MD"/>
              </w:rPr>
            </w:pPr>
          </w:p>
        </w:tc>
      </w:tr>
      <w:tr w:rsidR="006A4461" w:rsidRPr="00997CB4" w14:paraId="44163B45"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8EAADB" w:themeFill="accent1" w:themeFillTint="99"/>
            <w:tcMar>
              <w:top w:w="0" w:type="dxa"/>
              <w:left w:w="108" w:type="dxa"/>
              <w:bottom w:w="0" w:type="dxa"/>
              <w:right w:w="108" w:type="dxa"/>
            </w:tcMar>
          </w:tcPr>
          <w:p w14:paraId="32FD8CFB" w14:textId="77777777" w:rsidR="006A4461" w:rsidRPr="00997CB4" w:rsidRDefault="006A4461" w:rsidP="00750BD7">
            <w:pPr>
              <w:spacing w:before="120" w:after="120"/>
              <w:rPr>
                <w:b/>
                <w:bCs/>
                <w:sz w:val="24"/>
                <w:szCs w:val="24"/>
                <w:lang w:val="ro-MD"/>
              </w:rPr>
            </w:pPr>
            <w:r w:rsidRPr="00997CB4">
              <w:rPr>
                <w:b/>
                <w:bCs/>
                <w:sz w:val="24"/>
                <w:szCs w:val="24"/>
                <w:lang w:val="ro-MD"/>
              </w:rPr>
              <w:t>8. Modul de încorporare a actului în cadrul normativ existent</w:t>
            </w:r>
          </w:p>
        </w:tc>
      </w:tr>
      <w:tr w:rsidR="006A4461" w:rsidRPr="00997CB4" w14:paraId="48F00B3F"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ECA7DA" w14:textId="3A9D9CD7" w:rsidR="006B1472" w:rsidRPr="00997CB4" w:rsidRDefault="006B1472" w:rsidP="00D67A2C">
            <w:pPr>
              <w:shd w:val="clear" w:color="auto" w:fill="FFFFFF"/>
              <w:tabs>
                <w:tab w:val="left" w:pos="1134"/>
                <w:tab w:val="left" w:pos="1418"/>
              </w:tabs>
              <w:ind w:firstLine="0"/>
              <w:rPr>
                <w:sz w:val="24"/>
                <w:szCs w:val="24"/>
                <w:lang w:val="ro-MD"/>
              </w:rPr>
            </w:pPr>
            <w:r w:rsidRPr="00997CB4">
              <w:rPr>
                <w:color w:val="000000"/>
                <w:sz w:val="24"/>
                <w:szCs w:val="24"/>
                <w:shd w:val="clear" w:color="auto" w:fill="FFFFFF"/>
                <w:lang w:val="ro-MD"/>
              </w:rPr>
              <w:t xml:space="preserve">Adoptarea prezentului ordin va conduce la abrogarea Ordinului directorului general al CNAM nr. 151-A/2022 și a Ordinului </w:t>
            </w:r>
            <w:bookmarkStart w:id="0" w:name="_GoBack"/>
            <w:bookmarkEnd w:id="0"/>
            <w:r w:rsidRPr="00997CB4">
              <w:rPr>
                <w:color w:val="000000"/>
                <w:sz w:val="24"/>
                <w:szCs w:val="24"/>
                <w:shd w:val="clear" w:color="auto" w:fill="FFFFFF"/>
                <w:lang w:val="ro-MD"/>
              </w:rPr>
              <w:t>MS–CNAM nr. 333/67-A/2025, uniformizând regulile privind finanțarea medicamentelor și dispozitivelor medicale cu destinație specială. Noul ordin se integrează armonios în sistemul legislativ național, fără a necesita modificări suplimentare ale altor acte normative.</w:t>
            </w:r>
          </w:p>
        </w:tc>
      </w:tr>
      <w:tr w:rsidR="006A4461" w:rsidRPr="00997CB4" w14:paraId="708AD09F" w14:textId="77777777" w:rsidTr="000517AE">
        <w:tc>
          <w:tcPr>
            <w:tcW w:w="9924" w:type="dxa"/>
            <w:tcBorders>
              <w:top w:val="none" w:sz="4" w:space="0" w:color="000000"/>
              <w:left w:val="single" w:sz="8" w:space="0" w:color="000000"/>
              <w:bottom w:val="single" w:sz="8" w:space="0" w:color="000000"/>
              <w:right w:val="single" w:sz="8" w:space="0" w:color="000000"/>
            </w:tcBorders>
            <w:shd w:val="clear" w:color="auto" w:fill="8EAADB" w:themeFill="accent1" w:themeFillTint="99"/>
            <w:tcMar>
              <w:top w:w="0" w:type="dxa"/>
              <w:left w:w="108" w:type="dxa"/>
              <w:bottom w:w="0" w:type="dxa"/>
              <w:right w:w="108" w:type="dxa"/>
            </w:tcMar>
          </w:tcPr>
          <w:p w14:paraId="3BEC3A71" w14:textId="77777777" w:rsidR="006A4461" w:rsidRPr="00997CB4" w:rsidRDefault="006A4461" w:rsidP="00750BD7">
            <w:pPr>
              <w:spacing w:before="120" w:after="120"/>
              <w:rPr>
                <w:b/>
                <w:bCs/>
                <w:sz w:val="24"/>
                <w:szCs w:val="24"/>
                <w:lang w:val="ro-MD"/>
              </w:rPr>
            </w:pPr>
            <w:r w:rsidRPr="00997CB4">
              <w:rPr>
                <w:b/>
                <w:bCs/>
                <w:sz w:val="24"/>
                <w:szCs w:val="24"/>
                <w:lang w:val="ro-MD"/>
              </w:rPr>
              <w:t>9. Măsurile necesare pentru implementarea prevederilor proiectului actului normativ</w:t>
            </w:r>
          </w:p>
        </w:tc>
      </w:tr>
      <w:tr w:rsidR="006A4461" w:rsidRPr="00997CB4" w14:paraId="76E212F1" w14:textId="77777777" w:rsidTr="000517AE">
        <w:tc>
          <w:tcPr>
            <w:tcW w:w="992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726038" w14:textId="3DE16FE0" w:rsidR="006A4461" w:rsidRPr="00997CB4" w:rsidRDefault="00C13EEB" w:rsidP="00D67A2C">
            <w:pPr>
              <w:ind w:firstLine="164"/>
              <w:rPr>
                <w:sz w:val="24"/>
                <w:szCs w:val="24"/>
                <w:lang w:val="ro-MD" w:eastAsia="cs-CZ"/>
              </w:rPr>
            </w:pPr>
            <w:r w:rsidRPr="00C13EEB">
              <w:rPr>
                <w:sz w:val="24"/>
                <w:szCs w:val="24"/>
                <w:lang w:val="ro-MD"/>
              </w:rPr>
              <w:t>Implementarea va fi realizată prin aplicarea Regulamentului aprobat, configurarea și utilizarea sistemelor informaționale dedicate, instruirea personalului instituțiilor medico-sanitare publice, monitorizarea continuă a consumului și actualizarea anuală a Listei pozitive conform procedurilor stabilite.</w:t>
            </w:r>
          </w:p>
        </w:tc>
      </w:tr>
    </w:tbl>
    <w:p w14:paraId="75D67967" w14:textId="77777777" w:rsidR="00365368" w:rsidRPr="00997CB4" w:rsidRDefault="00365368" w:rsidP="00750BD7">
      <w:pPr>
        <w:spacing w:before="120" w:after="120"/>
        <w:rPr>
          <w:lang w:val="ro-MD"/>
        </w:rPr>
      </w:pPr>
    </w:p>
    <w:p w14:paraId="743BC153" w14:textId="77777777" w:rsidR="00302931" w:rsidRPr="00997CB4" w:rsidRDefault="00302931" w:rsidP="00750BD7">
      <w:pPr>
        <w:spacing w:before="120" w:after="120"/>
        <w:rPr>
          <w:lang w:val="ro-MD"/>
        </w:rPr>
      </w:pPr>
    </w:p>
    <w:p w14:paraId="1A62622B" w14:textId="77777777" w:rsidR="00302931" w:rsidRPr="00997CB4" w:rsidRDefault="00302931" w:rsidP="00750BD7">
      <w:pPr>
        <w:spacing w:before="120" w:after="120"/>
        <w:rPr>
          <w:lang w:val="ro-MD"/>
        </w:rPr>
      </w:pPr>
    </w:p>
    <w:p w14:paraId="4B5CD25A" w14:textId="77777777" w:rsidR="00302931" w:rsidRPr="00997CB4" w:rsidRDefault="00302931" w:rsidP="00302931">
      <w:pPr>
        <w:spacing w:before="120" w:after="120"/>
        <w:jc w:val="center"/>
        <w:rPr>
          <w:lang w:val="ro-MD"/>
        </w:rPr>
      </w:pPr>
    </w:p>
    <w:p w14:paraId="42FEB284" w14:textId="0DA202B9" w:rsidR="00302931" w:rsidRPr="00997CB4" w:rsidRDefault="000536F6" w:rsidP="005D2E92">
      <w:pPr>
        <w:spacing w:before="120" w:after="120"/>
        <w:ind w:firstLine="284"/>
        <w:jc w:val="center"/>
        <w:rPr>
          <w:b/>
          <w:sz w:val="24"/>
          <w:szCs w:val="24"/>
          <w:lang w:val="ro-MD"/>
        </w:rPr>
      </w:pPr>
      <w:r w:rsidRPr="00997CB4">
        <w:rPr>
          <w:b/>
          <w:sz w:val="24"/>
          <w:szCs w:val="24"/>
          <w:lang w:val="ro-MD"/>
        </w:rPr>
        <w:t xml:space="preserve">Director general      </w:t>
      </w:r>
      <w:r w:rsidR="005D2E92" w:rsidRPr="00997CB4">
        <w:rPr>
          <w:b/>
          <w:sz w:val="24"/>
          <w:szCs w:val="24"/>
          <w:lang w:val="ro-MD"/>
        </w:rPr>
        <w:t xml:space="preserve">                                                                         </w:t>
      </w:r>
      <w:r w:rsidRPr="00997CB4">
        <w:rPr>
          <w:b/>
          <w:sz w:val="24"/>
          <w:szCs w:val="24"/>
          <w:lang w:val="ro-MD"/>
        </w:rPr>
        <w:t xml:space="preserve">     Ion DODON</w:t>
      </w:r>
    </w:p>
    <w:sectPr w:rsidR="00302931" w:rsidRPr="00997CB4" w:rsidSect="00C83148">
      <w:headerReference w:type="default" r:id="rId8"/>
      <w:headerReference w:type="first" r:id="rId9"/>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FB133" w14:textId="77777777" w:rsidR="0025334F" w:rsidRDefault="0025334F">
      <w:r>
        <w:separator/>
      </w:r>
    </w:p>
  </w:endnote>
  <w:endnote w:type="continuationSeparator" w:id="0">
    <w:p w14:paraId="4E82B687" w14:textId="77777777" w:rsidR="0025334F" w:rsidRDefault="0025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379A5" w14:textId="77777777" w:rsidR="0025334F" w:rsidRDefault="0025334F">
      <w:r>
        <w:separator/>
      </w:r>
    </w:p>
  </w:footnote>
  <w:footnote w:type="continuationSeparator" w:id="0">
    <w:p w14:paraId="36A6008E" w14:textId="77777777" w:rsidR="0025334F" w:rsidRDefault="0025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62C0" w14:textId="77777777" w:rsidR="005C52D2" w:rsidRPr="00F37ED4" w:rsidRDefault="005C52D2"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DBF2" w14:textId="77777777" w:rsidR="005C52D2" w:rsidRPr="00032B46" w:rsidRDefault="005C52D2">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2B30"/>
    <w:multiLevelType w:val="hybridMultilevel"/>
    <w:tmpl w:val="D95AD3EE"/>
    <w:lvl w:ilvl="0" w:tplc="0074A72A">
      <w:start w:val="1"/>
      <w:numFmt w:val="decimal"/>
      <w:lvlText w:val="%1."/>
      <w:lvlJc w:val="left"/>
      <w:pPr>
        <w:ind w:left="1211" w:hanging="360"/>
      </w:pPr>
      <w:rPr>
        <w:rFonts w:ascii="Times New Roman" w:eastAsia="Times New Roman" w:hAnsi="Times New Roman" w:cs="Times New Roman"/>
        <w:lang w:val="ro-RO"/>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 w15:restartNumberingAfterBreak="0">
    <w:nsid w:val="34C41407"/>
    <w:multiLevelType w:val="hybridMultilevel"/>
    <w:tmpl w:val="F28816C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B9C05B9"/>
    <w:multiLevelType w:val="hybridMultilevel"/>
    <w:tmpl w:val="644413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D3F6AB6"/>
    <w:multiLevelType w:val="hybridMultilevel"/>
    <w:tmpl w:val="7972A2E2"/>
    <w:lvl w:ilvl="0" w:tplc="510CCD32">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A6"/>
    <w:rsid w:val="000069D7"/>
    <w:rsid w:val="00014528"/>
    <w:rsid w:val="000335A3"/>
    <w:rsid w:val="000517AE"/>
    <w:rsid w:val="000536F6"/>
    <w:rsid w:val="000652D6"/>
    <w:rsid w:val="000719CC"/>
    <w:rsid w:val="000A2303"/>
    <w:rsid w:val="000A4D25"/>
    <w:rsid w:val="000B74B6"/>
    <w:rsid w:val="000E260E"/>
    <w:rsid w:val="001073DD"/>
    <w:rsid w:val="00111212"/>
    <w:rsid w:val="00116985"/>
    <w:rsid w:val="00155DF6"/>
    <w:rsid w:val="001673E1"/>
    <w:rsid w:val="00183401"/>
    <w:rsid w:val="0018403C"/>
    <w:rsid w:val="00191015"/>
    <w:rsid w:val="00197795"/>
    <w:rsid w:val="001E594B"/>
    <w:rsid w:val="0020045C"/>
    <w:rsid w:val="00215503"/>
    <w:rsid w:val="002212EE"/>
    <w:rsid w:val="00223E9F"/>
    <w:rsid w:val="00237476"/>
    <w:rsid w:val="00241946"/>
    <w:rsid w:val="00247A98"/>
    <w:rsid w:val="002514F1"/>
    <w:rsid w:val="0025334F"/>
    <w:rsid w:val="0027306D"/>
    <w:rsid w:val="002735A0"/>
    <w:rsid w:val="0028077C"/>
    <w:rsid w:val="00282910"/>
    <w:rsid w:val="002C1312"/>
    <w:rsid w:val="002D42B1"/>
    <w:rsid w:val="002F7ADF"/>
    <w:rsid w:val="00302931"/>
    <w:rsid w:val="00302DB5"/>
    <w:rsid w:val="00314B8D"/>
    <w:rsid w:val="003173A4"/>
    <w:rsid w:val="00321804"/>
    <w:rsid w:val="00325E03"/>
    <w:rsid w:val="00346744"/>
    <w:rsid w:val="003642D8"/>
    <w:rsid w:val="00365368"/>
    <w:rsid w:val="00374A5F"/>
    <w:rsid w:val="003C39DF"/>
    <w:rsid w:val="003D3079"/>
    <w:rsid w:val="00404921"/>
    <w:rsid w:val="004416C9"/>
    <w:rsid w:val="00451B58"/>
    <w:rsid w:val="004569FF"/>
    <w:rsid w:val="00457DF2"/>
    <w:rsid w:val="0049763E"/>
    <w:rsid w:val="004A224D"/>
    <w:rsid w:val="004A6585"/>
    <w:rsid w:val="004B1B5B"/>
    <w:rsid w:val="004F02A9"/>
    <w:rsid w:val="00505B9B"/>
    <w:rsid w:val="00506C57"/>
    <w:rsid w:val="00512ADC"/>
    <w:rsid w:val="00515B62"/>
    <w:rsid w:val="00520B1C"/>
    <w:rsid w:val="005343B5"/>
    <w:rsid w:val="00534ABA"/>
    <w:rsid w:val="00563F11"/>
    <w:rsid w:val="00581464"/>
    <w:rsid w:val="00593164"/>
    <w:rsid w:val="005A0F30"/>
    <w:rsid w:val="005A3D56"/>
    <w:rsid w:val="005B3999"/>
    <w:rsid w:val="005C52D2"/>
    <w:rsid w:val="005D2E92"/>
    <w:rsid w:val="005E3986"/>
    <w:rsid w:val="005E58E5"/>
    <w:rsid w:val="005F35F5"/>
    <w:rsid w:val="00615B3A"/>
    <w:rsid w:val="00625091"/>
    <w:rsid w:val="006436D3"/>
    <w:rsid w:val="006766CE"/>
    <w:rsid w:val="00677F5A"/>
    <w:rsid w:val="006822A9"/>
    <w:rsid w:val="00685A36"/>
    <w:rsid w:val="0069665B"/>
    <w:rsid w:val="006A2887"/>
    <w:rsid w:val="006A4461"/>
    <w:rsid w:val="006B1472"/>
    <w:rsid w:val="006D5AB9"/>
    <w:rsid w:val="006E31B4"/>
    <w:rsid w:val="007115C8"/>
    <w:rsid w:val="007127D7"/>
    <w:rsid w:val="00727B38"/>
    <w:rsid w:val="00743B14"/>
    <w:rsid w:val="00743DDC"/>
    <w:rsid w:val="00743F1C"/>
    <w:rsid w:val="00750BD7"/>
    <w:rsid w:val="00787667"/>
    <w:rsid w:val="007A088E"/>
    <w:rsid w:val="00826B23"/>
    <w:rsid w:val="00843428"/>
    <w:rsid w:val="008905DB"/>
    <w:rsid w:val="008922E2"/>
    <w:rsid w:val="008964CA"/>
    <w:rsid w:val="008A547C"/>
    <w:rsid w:val="008B6793"/>
    <w:rsid w:val="00913915"/>
    <w:rsid w:val="00923DF6"/>
    <w:rsid w:val="009377C2"/>
    <w:rsid w:val="00970306"/>
    <w:rsid w:val="00997CB4"/>
    <w:rsid w:val="009D0D07"/>
    <w:rsid w:val="009E0934"/>
    <w:rsid w:val="00A33AEA"/>
    <w:rsid w:val="00A47413"/>
    <w:rsid w:val="00A80677"/>
    <w:rsid w:val="00A8144E"/>
    <w:rsid w:val="00AB129E"/>
    <w:rsid w:val="00AB1C07"/>
    <w:rsid w:val="00AE04BB"/>
    <w:rsid w:val="00B01931"/>
    <w:rsid w:val="00B041B8"/>
    <w:rsid w:val="00B12A26"/>
    <w:rsid w:val="00B14FC1"/>
    <w:rsid w:val="00B3473C"/>
    <w:rsid w:val="00B523DE"/>
    <w:rsid w:val="00B56F49"/>
    <w:rsid w:val="00B61A7F"/>
    <w:rsid w:val="00B61EC8"/>
    <w:rsid w:val="00B64053"/>
    <w:rsid w:val="00B92DCD"/>
    <w:rsid w:val="00BC141D"/>
    <w:rsid w:val="00BD0549"/>
    <w:rsid w:val="00BE2D69"/>
    <w:rsid w:val="00C0142A"/>
    <w:rsid w:val="00C018DF"/>
    <w:rsid w:val="00C13EEB"/>
    <w:rsid w:val="00C16B3A"/>
    <w:rsid w:val="00C33CD7"/>
    <w:rsid w:val="00C7724F"/>
    <w:rsid w:val="00CE3B50"/>
    <w:rsid w:val="00D23A0C"/>
    <w:rsid w:val="00D539F7"/>
    <w:rsid w:val="00D67A2C"/>
    <w:rsid w:val="00D7259C"/>
    <w:rsid w:val="00D7312B"/>
    <w:rsid w:val="00D75B6E"/>
    <w:rsid w:val="00DC1193"/>
    <w:rsid w:val="00DC638B"/>
    <w:rsid w:val="00DD6946"/>
    <w:rsid w:val="00DF751A"/>
    <w:rsid w:val="00E207B2"/>
    <w:rsid w:val="00E3567B"/>
    <w:rsid w:val="00E47E67"/>
    <w:rsid w:val="00E51AB9"/>
    <w:rsid w:val="00E617F9"/>
    <w:rsid w:val="00EA2598"/>
    <w:rsid w:val="00EA466D"/>
    <w:rsid w:val="00EB69AA"/>
    <w:rsid w:val="00EB7FCF"/>
    <w:rsid w:val="00ED2B06"/>
    <w:rsid w:val="00EE7C73"/>
    <w:rsid w:val="00F43E45"/>
    <w:rsid w:val="00F56022"/>
    <w:rsid w:val="00F868F4"/>
    <w:rsid w:val="00F90031"/>
    <w:rsid w:val="00F967D2"/>
    <w:rsid w:val="00FB4EA6"/>
    <w:rsid w:val="00FD2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E7E3"/>
  <w15:docId w15:val="{0326BB35-4B08-48DE-8ED4-8C26469E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61"/>
    <w:pPr>
      <w:spacing w:after="0" w:line="240" w:lineRule="auto"/>
      <w:ind w:firstLine="709"/>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A4461"/>
    <w:pPr>
      <w:keepNext/>
      <w:spacing w:before="240" w:after="60"/>
      <w:outlineLvl w:val="0"/>
    </w:pPr>
    <w:rPr>
      <w:rFonts w:ascii="Arial" w:hAnsi="Arial"/>
      <w:b/>
      <w:sz w:val="28"/>
    </w:rPr>
  </w:style>
  <w:style w:type="paragraph" w:styleId="Heading2">
    <w:name w:val="heading 2"/>
    <w:basedOn w:val="Normal"/>
    <w:next w:val="Normal"/>
    <w:link w:val="Heading2Char"/>
    <w:qFormat/>
    <w:rsid w:val="006A4461"/>
    <w:pPr>
      <w:keepNext/>
      <w:jc w:val="center"/>
      <w:outlineLvl w:val="1"/>
    </w:pPr>
    <w:rPr>
      <w:rFonts w:ascii="$ Benguiat_Bold" w:hAnsi="$ Benguiat_Bold"/>
      <w:b/>
      <w:sz w:val="132"/>
    </w:rPr>
  </w:style>
  <w:style w:type="paragraph" w:styleId="Heading3">
    <w:name w:val="heading 3"/>
    <w:basedOn w:val="Normal"/>
    <w:next w:val="Normal"/>
    <w:link w:val="Heading3Char"/>
    <w:qFormat/>
    <w:rsid w:val="006A4461"/>
    <w:pPr>
      <w:keepNext/>
      <w:jc w:val="center"/>
      <w:outlineLvl w:val="2"/>
    </w:pPr>
    <w:rPr>
      <w:rFonts w:ascii="$Caslon" w:hAnsi="$Caslon"/>
      <w:b/>
    </w:rPr>
  </w:style>
  <w:style w:type="paragraph" w:styleId="Heading4">
    <w:name w:val="heading 4"/>
    <w:basedOn w:val="Normal"/>
    <w:next w:val="Normal"/>
    <w:link w:val="Heading4Char"/>
    <w:qFormat/>
    <w:rsid w:val="006A4461"/>
    <w:pPr>
      <w:keepNext/>
      <w:jc w:val="center"/>
      <w:outlineLvl w:val="3"/>
    </w:pPr>
    <w:rPr>
      <w:rFonts w:ascii="$Caslon" w:hAnsi="$Caslon"/>
      <w:b/>
      <w:sz w:val="26"/>
    </w:rPr>
  </w:style>
  <w:style w:type="paragraph" w:styleId="Heading5">
    <w:name w:val="heading 5"/>
    <w:basedOn w:val="Normal"/>
    <w:next w:val="Normal"/>
    <w:link w:val="Heading5Char"/>
    <w:qFormat/>
    <w:rsid w:val="006A4461"/>
    <w:pPr>
      <w:keepNext/>
      <w:jc w:val="center"/>
      <w:outlineLvl w:val="4"/>
    </w:pPr>
    <w:rPr>
      <w:rFonts w:ascii="$Caslon" w:hAnsi="$Caslon"/>
      <w:sz w:val="24"/>
    </w:rPr>
  </w:style>
  <w:style w:type="paragraph" w:styleId="Heading6">
    <w:name w:val="heading 6"/>
    <w:basedOn w:val="Normal"/>
    <w:next w:val="Normal"/>
    <w:link w:val="Heading6Char"/>
    <w:qFormat/>
    <w:rsid w:val="006A4461"/>
    <w:pPr>
      <w:keepNext/>
      <w:jc w:val="center"/>
      <w:outlineLvl w:val="5"/>
    </w:pPr>
    <w:rPr>
      <w:rFonts w:ascii="$Caslon" w:hAnsi="$Caslon"/>
      <w:b/>
      <w:sz w:val="22"/>
    </w:rPr>
  </w:style>
  <w:style w:type="paragraph" w:styleId="Heading7">
    <w:name w:val="heading 7"/>
    <w:basedOn w:val="Normal"/>
    <w:next w:val="Normal"/>
    <w:link w:val="Heading7Char"/>
    <w:qFormat/>
    <w:rsid w:val="006A4461"/>
    <w:pPr>
      <w:keepNext/>
      <w:jc w:val="center"/>
      <w:outlineLvl w:val="6"/>
    </w:pPr>
    <w:rPr>
      <w:rFonts w:ascii="Garamond" w:hAnsi="Garamond"/>
      <w:b/>
      <w:sz w:val="28"/>
    </w:rPr>
  </w:style>
  <w:style w:type="paragraph" w:styleId="Heading8">
    <w:name w:val="heading 8"/>
    <w:basedOn w:val="Normal"/>
    <w:next w:val="Normal"/>
    <w:link w:val="Heading8Char"/>
    <w:qFormat/>
    <w:rsid w:val="006A4461"/>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rsid w:val="006A4461"/>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461"/>
    <w:rPr>
      <w:rFonts w:ascii="Arial" w:eastAsia="Times New Roman" w:hAnsi="Arial" w:cs="Times New Roman"/>
      <w:b/>
      <w:sz w:val="28"/>
      <w:szCs w:val="20"/>
      <w:lang w:val="en-US"/>
    </w:rPr>
  </w:style>
  <w:style w:type="character" w:customStyle="1" w:styleId="Heading2Char">
    <w:name w:val="Heading 2 Char"/>
    <w:basedOn w:val="DefaultParagraphFont"/>
    <w:link w:val="Heading2"/>
    <w:rsid w:val="006A4461"/>
    <w:rPr>
      <w:rFonts w:ascii="$ Benguiat_Bold" w:eastAsia="Times New Roman" w:hAnsi="$ Benguiat_Bold" w:cs="Times New Roman"/>
      <w:b/>
      <w:sz w:val="132"/>
      <w:szCs w:val="20"/>
      <w:lang w:val="en-US"/>
    </w:rPr>
  </w:style>
  <w:style w:type="character" w:customStyle="1" w:styleId="Heading3Char">
    <w:name w:val="Heading 3 Char"/>
    <w:basedOn w:val="DefaultParagraphFont"/>
    <w:link w:val="Heading3"/>
    <w:rsid w:val="006A4461"/>
    <w:rPr>
      <w:rFonts w:ascii="$Caslon" w:eastAsia="Times New Roman" w:hAnsi="$Caslon" w:cs="Times New Roman"/>
      <w:b/>
      <w:sz w:val="20"/>
      <w:szCs w:val="20"/>
      <w:lang w:val="en-US"/>
    </w:rPr>
  </w:style>
  <w:style w:type="character" w:customStyle="1" w:styleId="Heading4Char">
    <w:name w:val="Heading 4 Char"/>
    <w:basedOn w:val="DefaultParagraphFont"/>
    <w:link w:val="Heading4"/>
    <w:rsid w:val="006A4461"/>
    <w:rPr>
      <w:rFonts w:ascii="$Caslon" w:eastAsia="Times New Roman" w:hAnsi="$Caslon" w:cs="Times New Roman"/>
      <w:b/>
      <w:sz w:val="26"/>
      <w:szCs w:val="20"/>
      <w:lang w:val="en-US"/>
    </w:rPr>
  </w:style>
  <w:style w:type="character" w:customStyle="1" w:styleId="Heading5Char">
    <w:name w:val="Heading 5 Char"/>
    <w:basedOn w:val="DefaultParagraphFont"/>
    <w:link w:val="Heading5"/>
    <w:rsid w:val="006A4461"/>
    <w:rPr>
      <w:rFonts w:ascii="$Caslon" w:eastAsia="Times New Roman" w:hAnsi="$Caslon" w:cs="Times New Roman"/>
      <w:sz w:val="24"/>
      <w:szCs w:val="20"/>
      <w:lang w:val="en-US"/>
    </w:rPr>
  </w:style>
  <w:style w:type="character" w:customStyle="1" w:styleId="Heading6Char">
    <w:name w:val="Heading 6 Char"/>
    <w:basedOn w:val="DefaultParagraphFont"/>
    <w:link w:val="Heading6"/>
    <w:rsid w:val="006A4461"/>
    <w:rPr>
      <w:rFonts w:ascii="$Caslon" w:eastAsia="Times New Roman" w:hAnsi="$Caslon" w:cs="Times New Roman"/>
      <w:b/>
      <w:szCs w:val="20"/>
      <w:lang w:val="en-US"/>
    </w:rPr>
  </w:style>
  <w:style w:type="character" w:customStyle="1" w:styleId="Heading7Char">
    <w:name w:val="Heading 7 Char"/>
    <w:basedOn w:val="DefaultParagraphFont"/>
    <w:link w:val="Heading7"/>
    <w:rsid w:val="006A4461"/>
    <w:rPr>
      <w:rFonts w:ascii="Garamond" w:eastAsia="Times New Roman" w:hAnsi="Garamond" w:cs="Times New Roman"/>
      <w:b/>
      <w:sz w:val="28"/>
      <w:szCs w:val="20"/>
      <w:lang w:val="en-US"/>
    </w:rPr>
  </w:style>
  <w:style w:type="character" w:customStyle="1" w:styleId="Heading8Char">
    <w:name w:val="Heading 8 Char"/>
    <w:basedOn w:val="DefaultParagraphFont"/>
    <w:link w:val="Heading8"/>
    <w:rsid w:val="006A4461"/>
    <w:rPr>
      <w:rFonts w:ascii="$Caslon" w:eastAsia="Times New Roman" w:hAnsi="$Caslon" w:cs="Times New Roman"/>
      <w:b/>
      <w:sz w:val="24"/>
      <w:szCs w:val="20"/>
      <w:lang w:val="en-US"/>
    </w:rPr>
  </w:style>
  <w:style w:type="character" w:customStyle="1" w:styleId="Heading9Char">
    <w:name w:val="Heading 9 Char"/>
    <w:basedOn w:val="DefaultParagraphFont"/>
    <w:link w:val="Heading9"/>
    <w:uiPriority w:val="9"/>
    <w:rsid w:val="006A4461"/>
    <w:rPr>
      <w:rFonts w:ascii="Arial" w:eastAsia="Arial" w:hAnsi="Arial" w:cs="Arial"/>
      <w:i/>
      <w:iCs/>
      <w:sz w:val="21"/>
      <w:szCs w:val="21"/>
      <w:lang w:val="en-US"/>
    </w:rPr>
  </w:style>
  <w:style w:type="paragraph" w:styleId="NoSpacing">
    <w:name w:val="No Spacing"/>
    <w:uiPriority w:val="1"/>
    <w:qFormat/>
    <w:rsid w:val="006A4461"/>
    <w:pPr>
      <w:spacing w:after="0" w:line="240" w:lineRule="auto"/>
      <w:ind w:firstLine="709"/>
      <w:jc w:val="both"/>
    </w:pPr>
    <w:rPr>
      <w:rFonts w:ascii="Times New Roman" w:eastAsia="Times New Roman" w:hAnsi="Times New Roman" w:cs="Times New Roman"/>
      <w:sz w:val="20"/>
      <w:szCs w:val="20"/>
      <w:lang w:eastAsia="ru-RU"/>
    </w:rPr>
  </w:style>
  <w:style w:type="paragraph" w:styleId="Title">
    <w:name w:val="Title"/>
    <w:basedOn w:val="Normal"/>
    <w:next w:val="Normal"/>
    <w:link w:val="TitleChar"/>
    <w:uiPriority w:val="10"/>
    <w:qFormat/>
    <w:rsid w:val="006A4461"/>
    <w:pPr>
      <w:spacing w:before="300" w:after="200"/>
      <w:contextualSpacing/>
    </w:pPr>
    <w:rPr>
      <w:sz w:val="48"/>
      <w:szCs w:val="48"/>
    </w:rPr>
  </w:style>
  <w:style w:type="character" w:customStyle="1" w:styleId="TitleChar">
    <w:name w:val="Title Char"/>
    <w:basedOn w:val="DefaultParagraphFont"/>
    <w:link w:val="Title"/>
    <w:uiPriority w:val="10"/>
    <w:rsid w:val="006A4461"/>
    <w:rPr>
      <w:rFonts w:ascii="Times New Roman" w:eastAsia="Times New Roman" w:hAnsi="Times New Roman" w:cs="Times New Roman"/>
      <w:sz w:val="48"/>
      <w:szCs w:val="48"/>
      <w:lang w:val="en-US"/>
    </w:rPr>
  </w:style>
  <w:style w:type="paragraph" w:styleId="Subtitle">
    <w:name w:val="Subtitle"/>
    <w:basedOn w:val="Normal"/>
    <w:next w:val="Normal"/>
    <w:link w:val="SubtitleChar"/>
    <w:uiPriority w:val="11"/>
    <w:qFormat/>
    <w:rsid w:val="006A4461"/>
    <w:pPr>
      <w:spacing w:before="200" w:after="200"/>
    </w:pPr>
    <w:rPr>
      <w:sz w:val="24"/>
      <w:szCs w:val="24"/>
    </w:rPr>
  </w:style>
  <w:style w:type="character" w:customStyle="1" w:styleId="SubtitleChar">
    <w:name w:val="Subtitle Char"/>
    <w:basedOn w:val="DefaultParagraphFont"/>
    <w:link w:val="Subtitle"/>
    <w:uiPriority w:val="11"/>
    <w:rsid w:val="006A4461"/>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A4461"/>
    <w:pPr>
      <w:ind w:left="720" w:right="720"/>
    </w:pPr>
    <w:rPr>
      <w:i/>
    </w:rPr>
  </w:style>
  <w:style w:type="character" w:customStyle="1" w:styleId="QuoteChar">
    <w:name w:val="Quote Char"/>
    <w:basedOn w:val="DefaultParagraphFont"/>
    <w:link w:val="Quote"/>
    <w:uiPriority w:val="29"/>
    <w:rsid w:val="006A4461"/>
    <w:rPr>
      <w:rFonts w:ascii="Times New Roman" w:eastAsia="Times New Roman" w:hAnsi="Times New Roman" w:cs="Times New Roman"/>
      <w:i/>
      <w:sz w:val="20"/>
      <w:szCs w:val="20"/>
      <w:lang w:val="en-US"/>
    </w:rPr>
  </w:style>
  <w:style w:type="paragraph" w:styleId="IntenseQuote">
    <w:name w:val="Intense Quote"/>
    <w:basedOn w:val="Normal"/>
    <w:next w:val="Normal"/>
    <w:link w:val="IntenseQuoteChar"/>
    <w:uiPriority w:val="30"/>
    <w:qFormat/>
    <w:rsid w:val="006A446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basedOn w:val="DefaultParagraphFont"/>
    <w:link w:val="IntenseQuote"/>
    <w:uiPriority w:val="30"/>
    <w:rsid w:val="006A4461"/>
    <w:rPr>
      <w:rFonts w:ascii="Times New Roman" w:eastAsia="Times New Roman" w:hAnsi="Times New Roman" w:cs="Times New Roman"/>
      <w:i/>
      <w:sz w:val="20"/>
      <w:szCs w:val="20"/>
      <w:shd w:val="clear" w:color="auto" w:fill="F2F2F2"/>
      <w:lang w:val="en-US"/>
    </w:rPr>
  </w:style>
  <w:style w:type="paragraph" w:styleId="Caption">
    <w:name w:val="caption"/>
    <w:basedOn w:val="Normal"/>
    <w:next w:val="Normal"/>
    <w:uiPriority w:val="35"/>
    <w:semiHidden/>
    <w:unhideWhenUsed/>
    <w:qFormat/>
    <w:rsid w:val="006A4461"/>
    <w:pPr>
      <w:spacing w:line="276" w:lineRule="auto"/>
    </w:pPr>
    <w:rPr>
      <w:b/>
      <w:bCs/>
      <w:color w:val="4472C4" w:themeColor="accent1"/>
      <w:sz w:val="18"/>
      <w:szCs w:val="18"/>
    </w:rPr>
  </w:style>
  <w:style w:type="character" w:customStyle="1" w:styleId="CaptionChar">
    <w:name w:val="Caption Char"/>
    <w:uiPriority w:val="99"/>
    <w:rsid w:val="006A4461"/>
  </w:style>
  <w:style w:type="table" w:customStyle="1" w:styleId="TableGridLight1">
    <w:name w:val="Table Grid Light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6A4461"/>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6A4461"/>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6A4461"/>
    <w:pPr>
      <w:spacing w:after="40"/>
    </w:pPr>
    <w:rPr>
      <w:sz w:val="18"/>
    </w:rPr>
  </w:style>
  <w:style w:type="character" w:customStyle="1" w:styleId="FootnoteTextChar">
    <w:name w:val="Footnote Text Char"/>
    <w:basedOn w:val="DefaultParagraphFont"/>
    <w:link w:val="FootnoteText"/>
    <w:uiPriority w:val="99"/>
    <w:semiHidden/>
    <w:rsid w:val="006A4461"/>
    <w:rPr>
      <w:rFonts w:ascii="Times New Roman" w:eastAsia="Times New Roman" w:hAnsi="Times New Roman" w:cs="Times New Roman"/>
      <w:sz w:val="18"/>
      <w:szCs w:val="20"/>
      <w:lang w:val="en-US"/>
    </w:rPr>
  </w:style>
  <w:style w:type="character" w:styleId="FootnoteReference">
    <w:name w:val="footnote reference"/>
    <w:basedOn w:val="DefaultParagraphFont"/>
    <w:uiPriority w:val="99"/>
    <w:unhideWhenUsed/>
    <w:rsid w:val="006A4461"/>
    <w:rPr>
      <w:vertAlign w:val="superscript"/>
    </w:rPr>
  </w:style>
  <w:style w:type="paragraph" w:styleId="EndnoteText">
    <w:name w:val="endnote text"/>
    <w:basedOn w:val="Normal"/>
    <w:link w:val="EndnoteTextChar"/>
    <w:uiPriority w:val="99"/>
    <w:semiHidden/>
    <w:unhideWhenUsed/>
    <w:rsid w:val="006A4461"/>
  </w:style>
  <w:style w:type="character" w:customStyle="1" w:styleId="EndnoteTextChar">
    <w:name w:val="Endnote Text Char"/>
    <w:basedOn w:val="DefaultParagraphFont"/>
    <w:link w:val="EndnoteText"/>
    <w:uiPriority w:val="99"/>
    <w:semiHidden/>
    <w:rsid w:val="006A4461"/>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6A4461"/>
    <w:rPr>
      <w:vertAlign w:val="superscript"/>
    </w:rPr>
  </w:style>
  <w:style w:type="paragraph" w:styleId="TOC1">
    <w:name w:val="toc 1"/>
    <w:basedOn w:val="Normal"/>
    <w:next w:val="Normal"/>
    <w:uiPriority w:val="39"/>
    <w:unhideWhenUsed/>
    <w:rsid w:val="006A4461"/>
    <w:pPr>
      <w:spacing w:after="57"/>
      <w:ind w:firstLine="0"/>
    </w:pPr>
  </w:style>
  <w:style w:type="paragraph" w:styleId="TOC2">
    <w:name w:val="toc 2"/>
    <w:basedOn w:val="Normal"/>
    <w:next w:val="Normal"/>
    <w:uiPriority w:val="39"/>
    <w:unhideWhenUsed/>
    <w:rsid w:val="006A4461"/>
    <w:pPr>
      <w:spacing w:after="57"/>
      <w:ind w:left="283" w:firstLine="0"/>
    </w:pPr>
  </w:style>
  <w:style w:type="paragraph" w:styleId="TOC3">
    <w:name w:val="toc 3"/>
    <w:basedOn w:val="Normal"/>
    <w:next w:val="Normal"/>
    <w:uiPriority w:val="39"/>
    <w:unhideWhenUsed/>
    <w:rsid w:val="006A4461"/>
    <w:pPr>
      <w:spacing w:after="57"/>
      <w:ind w:left="567" w:firstLine="0"/>
    </w:pPr>
  </w:style>
  <w:style w:type="paragraph" w:styleId="TOC4">
    <w:name w:val="toc 4"/>
    <w:basedOn w:val="Normal"/>
    <w:next w:val="Normal"/>
    <w:uiPriority w:val="39"/>
    <w:unhideWhenUsed/>
    <w:rsid w:val="006A4461"/>
    <w:pPr>
      <w:spacing w:after="57"/>
      <w:ind w:left="850" w:firstLine="0"/>
    </w:pPr>
  </w:style>
  <w:style w:type="paragraph" w:styleId="TOC5">
    <w:name w:val="toc 5"/>
    <w:basedOn w:val="Normal"/>
    <w:next w:val="Normal"/>
    <w:uiPriority w:val="39"/>
    <w:unhideWhenUsed/>
    <w:rsid w:val="006A4461"/>
    <w:pPr>
      <w:spacing w:after="57"/>
      <w:ind w:left="1134" w:firstLine="0"/>
    </w:pPr>
  </w:style>
  <w:style w:type="paragraph" w:styleId="TOC6">
    <w:name w:val="toc 6"/>
    <w:basedOn w:val="Normal"/>
    <w:next w:val="Normal"/>
    <w:uiPriority w:val="39"/>
    <w:unhideWhenUsed/>
    <w:rsid w:val="006A4461"/>
    <w:pPr>
      <w:spacing w:after="57"/>
      <w:ind w:left="1417" w:firstLine="0"/>
    </w:pPr>
  </w:style>
  <w:style w:type="paragraph" w:styleId="TOC7">
    <w:name w:val="toc 7"/>
    <w:basedOn w:val="Normal"/>
    <w:next w:val="Normal"/>
    <w:uiPriority w:val="39"/>
    <w:unhideWhenUsed/>
    <w:rsid w:val="006A4461"/>
    <w:pPr>
      <w:spacing w:after="57"/>
      <w:ind w:left="1701" w:firstLine="0"/>
    </w:pPr>
  </w:style>
  <w:style w:type="paragraph" w:styleId="TOC8">
    <w:name w:val="toc 8"/>
    <w:basedOn w:val="Normal"/>
    <w:next w:val="Normal"/>
    <w:uiPriority w:val="39"/>
    <w:unhideWhenUsed/>
    <w:rsid w:val="006A4461"/>
    <w:pPr>
      <w:spacing w:after="57"/>
      <w:ind w:left="1984" w:firstLine="0"/>
    </w:pPr>
  </w:style>
  <w:style w:type="paragraph" w:styleId="TOC9">
    <w:name w:val="toc 9"/>
    <w:basedOn w:val="Normal"/>
    <w:next w:val="Normal"/>
    <w:uiPriority w:val="39"/>
    <w:unhideWhenUsed/>
    <w:rsid w:val="006A4461"/>
    <w:pPr>
      <w:spacing w:after="57"/>
      <w:ind w:left="2268" w:firstLine="0"/>
    </w:pPr>
  </w:style>
  <w:style w:type="paragraph" w:styleId="TOCHeading">
    <w:name w:val="TOC Heading"/>
    <w:uiPriority w:val="39"/>
    <w:unhideWhenUsed/>
    <w:rsid w:val="006A4461"/>
    <w:pPr>
      <w:spacing w:after="0" w:line="240" w:lineRule="auto"/>
      <w:ind w:firstLine="709"/>
      <w:jc w:val="both"/>
    </w:pPr>
    <w:rPr>
      <w:rFonts w:ascii="Times New Roman" w:eastAsia="Times New Roman" w:hAnsi="Times New Roman" w:cs="Times New Roman"/>
      <w:sz w:val="20"/>
      <w:szCs w:val="20"/>
      <w:lang w:eastAsia="ru-RU"/>
    </w:rPr>
  </w:style>
  <w:style w:type="paragraph" w:styleId="TableofFigures">
    <w:name w:val="table of figures"/>
    <w:basedOn w:val="Normal"/>
    <w:next w:val="Normal"/>
    <w:uiPriority w:val="99"/>
    <w:unhideWhenUsed/>
    <w:rsid w:val="006A4461"/>
  </w:style>
  <w:style w:type="paragraph" w:styleId="BalloonText">
    <w:name w:val="Balloon Text"/>
    <w:basedOn w:val="Normal"/>
    <w:link w:val="BalloonTextChar"/>
    <w:uiPriority w:val="99"/>
    <w:rsid w:val="006A4461"/>
    <w:rPr>
      <w:rFonts w:ascii="Tahoma" w:hAnsi="Tahoma"/>
      <w:sz w:val="16"/>
      <w:szCs w:val="16"/>
    </w:rPr>
  </w:style>
  <w:style w:type="character" w:customStyle="1" w:styleId="BalloonTextChar">
    <w:name w:val="Balloon Text Char"/>
    <w:basedOn w:val="DefaultParagraphFont"/>
    <w:link w:val="BalloonText"/>
    <w:uiPriority w:val="99"/>
    <w:rsid w:val="006A4461"/>
    <w:rPr>
      <w:rFonts w:ascii="Tahoma" w:eastAsia="Times New Roman" w:hAnsi="Tahoma" w:cs="Times New Roman"/>
      <w:sz w:val="16"/>
      <w:szCs w:val="16"/>
      <w:lang w:val="en-US"/>
    </w:rPr>
  </w:style>
  <w:style w:type="paragraph" w:customStyle="1" w:styleId="CharChar">
    <w:name w:val="Знак Знак Char Char Знак"/>
    <w:basedOn w:val="Normal"/>
    <w:rsid w:val="006A4461"/>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6A4461"/>
    <w:pPr>
      <w:ind w:firstLine="567"/>
    </w:pPr>
    <w:rPr>
      <w:sz w:val="24"/>
      <w:szCs w:val="24"/>
      <w:lang w:val="ru-RU" w:eastAsia="ru-RU"/>
    </w:rPr>
  </w:style>
  <w:style w:type="paragraph" w:customStyle="1" w:styleId="cn">
    <w:name w:val="cn"/>
    <w:basedOn w:val="Normal"/>
    <w:rsid w:val="006A4461"/>
    <w:pPr>
      <w:ind w:firstLine="0"/>
      <w:jc w:val="center"/>
    </w:pPr>
    <w:rPr>
      <w:sz w:val="24"/>
      <w:szCs w:val="24"/>
      <w:lang w:val="ru-RU" w:eastAsia="ru-RU"/>
    </w:rPr>
  </w:style>
  <w:style w:type="paragraph" w:customStyle="1" w:styleId="cb">
    <w:name w:val="cb"/>
    <w:basedOn w:val="Normal"/>
    <w:uiPriority w:val="99"/>
    <w:semiHidden/>
    <w:rsid w:val="006A4461"/>
    <w:pPr>
      <w:ind w:firstLine="0"/>
      <w:jc w:val="center"/>
    </w:pPr>
    <w:rPr>
      <w:b/>
      <w:bCs/>
      <w:sz w:val="24"/>
      <w:szCs w:val="24"/>
      <w:lang w:val="ru-RU" w:eastAsia="ru-RU"/>
    </w:rPr>
  </w:style>
  <w:style w:type="paragraph" w:styleId="Header">
    <w:name w:val="header"/>
    <w:basedOn w:val="Normal"/>
    <w:link w:val="HeaderChar"/>
    <w:rsid w:val="006A4461"/>
    <w:pPr>
      <w:tabs>
        <w:tab w:val="center" w:pos="4677"/>
        <w:tab w:val="right" w:pos="9355"/>
      </w:tabs>
    </w:pPr>
  </w:style>
  <w:style w:type="character" w:customStyle="1" w:styleId="HeaderChar">
    <w:name w:val="Header Char"/>
    <w:basedOn w:val="DefaultParagraphFont"/>
    <w:link w:val="Header"/>
    <w:rsid w:val="006A4461"/>
    <w:rPr>
      <w:rFonts w:ascii="Times New Roman" w:eastAsia="Times New Roman" w:hAnsi="Times New Roman" w:cs="Times New Roman"/>
      <w:sz w:val="20"/>
      <w:szCs w:val="20"/>
      <w:lang w:val="en-US"/>
    </w:rPr>
  </w:style>
  <w:style w:type="paragraph" w:styleId="Footer">
    <w:name w:val="footer"/>
    <w:basedOn w:val="Normal"/>
    <w:link w:val="FooterChar"/>
    <w:rsid w:val="006A4461"/>
    <w:pPr>
      <w:tabs>
        <w:tab w:val="center" w:pos="4677"/>
        <w:tab w:val="right" w:pos="9355"/>
      </w:tabs>
    </w:pPr>
  </w:style>
  <w:style w:type="character" w:customStyle="1" w:styleId="FooterChar">
    <w:name w:val="Footer Char"/>
    <w:basedOn w:val="DefaultParagraphFont"/>
    <w:link w:val="Footer"/>
    <w:rsid w:val="006A4461"/>
    <w:rPr>
      <w:rFonts w:ascii="Times New Roman" w:eastAsia="Times New Roman" w:hAnsi="Times New Roman" w:cs="Times New Roman"/>
      <w:sz w:val="20"/>
      <w:szCs w:val="20"/>
      <w:lang w:val="en-US"/>
    </w:rPr>
  </w:style>
  <w:style w:type="table" w:styleId="TableGrid">
    <w:name w:val="Table Grid"/>
    <w:basedOn w:val="TableNormal"/>
    <w:uiPriority w:val="39"/>
    <w:rsid w:val="006A4461"/>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6A4461"/>
    <w:pPr>
      <w:ind w:firstLine="0"/>
      <w:jc w:val="left"/>
    </w:pPr>
    <w:rPr>
      <w:rFonts w:ascii="Arial" w:hAnsi="Arial" w:cs="Arial"/>
      <w:lang w:val="ru-RU" w:eastAsia="ru-RU"/>
    </w:rPr>
  </w:style>
  <w:style w:type="table" w:customStyle="1" w:styleId="GrilTabel1">
    <w:name w:val="Grilă Tabel1"/>
    <w:basedOn w:val="TableNormal"/>
    <w:next w:val="TableGrid"/>
    <w:uiPriority w:val="59"/>
    <w:rsid w:val="006A4461"/>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6A4461"/>
    <w:pPr>
      <w:ind w:left="720"/>
      <w:contextualSpacing/>
    </w:pPr>
  </w:style>
  <w:style w:type="numbering" w:customStyle="1" w:styleId="FrListare1">
    <w:name w:val="Fără Listare1"/>
    <w:next w:val="NoList"/>
    <w:semiHidden/>
    <w:rsid w:val="006A4461"/>
  </w:style>
  <w:style w:type="character" w:styleId="PageNumber">
    <w:name w:val="page number"/>
    <w:basedOn w:val="DefaultParagraphFont"/>
    <w:rsid w:val="006A4461"/>
  </w:style>
  <w:style w:type="paragraph" w:customStyle="1" w:styleId="tt">
    <w:name w:val="tt"/>
    <w:basedOn w:val="Normal"/>
    <w:rsid w:val="006A4461"/>
    <w:pPr>
      <w:ind w:firstLine="0"/>
      <w:jc w:val="center"/>
    </w:pPr>
    <w:rPr>
      <w:b/>
      <w:bCs/>
      <w:sz w:val="24"/>
      <w:szCs w:val="24"/>
      <w:lang w:val="ru-RU" w:eastAsia="ru-RU"/>
    </w:rPr>
  </w:style>
  <w:style w:type="paragraph" w:customStyle="1" w:styleId="CharChar0">
    <w:name w:val="Char Char Знак Знак"/>
    <w:basedOn w:val="Normal"/>
    <w:rsid w:val="006A4461"/>
    <w:pPr>
      <w:spacing w:after="160" w:line="240" w:lineRule="exact"/>
      <w:ind w:firstLine="0"/>
      <w:jc w:val="left"/>
    </w:pPr>
    <w:rPr>
      <w:rFonts w:ascii="Arial" w:eastAsia="Batang" w:hAnsi="Arial" w:cs="Arial"/>
    </w:rPr>
  </w:style>
  <w:style w:type="character" w:customStyle="1" w:styleId="docheader1">
    <w:name w:val="doc_header1"/>
    <w:rsid w:val="006A4461"/>
    <w:rPr>
      <w:rFonts w:ascii="Times New Roman" w:hAnsi="Times New Roman" w:cs="Times New Roman" w:hint="default"/>
      <w:b/>
      <w:bCs/>
      <w:color w:val="000000"/>
      <w:sz w:val="24"/>
      <w:szCs w:val="24"/>
    </w:rPr>
  </w:style>
  <w:style w:type="character" w:styleId="Strong">
    <w:name w:val="Strong"/>
    <w:uiPriority w:val="22"/>
    <w:qFormat/>
    <w:rsid w:val="006A4461"/>
    <w:rPr>
      <w:b/>
      <w:bCs/>
    </w:rPr>
  </w:style>
  <w:style w:type="character" w:customStyle="1" w:styleId="docsign11">
    <w:name w:val="doc_sign11"/>
    <w:rsid w:val="006A4461"/>
    <w:rPr>
      <w:rFonts w:ascii="Times New Roman" w:hAnsi="Times New Roman" w:cs="Times New Roman" w:hint="default"/>
      <w:b/>
      <w:bCs/>
      <w:color w:val="000000"/>
      <w:sz w:val="22"/>
      <w:szCs w:val="22"/>
    </w:rPr>
  </w:style>
  <w:style w:type="character" w:customStyle="1" w:styleId="sttart">
    <w:name w:val="st_tart"/>
    <w:basedOn w:val="DefaultParagraphFont"/>
    <w:rsid w:val="006A4461"/>
  </w:style>
  <w:style w:type="character" w:customStyle="1" w:styleId="tal1">
    <w:name w:val="tal1"/>
    <w:rsid w:val="006A4461"/>
  </w:style>
  <w:style w:type="table" w:customStyle="1" w:styleId="GrilTabel2">
    <w:name w:val="Grilă Tabel2"/>
    <w:basedOn w:val="TableNormal"/>
    <w:next w:val="TableGrid"/>
    <w:rsid w:val="006A4461"/>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6A4461"/>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6A4461"/>
  </w:style>
  <w:style w:type="paragraph" w:customStyle="1" w:styleId="cnam1">
    <w:name w:val="cnam1"/>
    <w:basedOn w:val="Normal"/>
    <w:rsid w:val="006A4461"/>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6A4461"/>
    <w:rPr>
      <w:sz w:val="16"/>
      <w:szCs w:val="16"/>
    </w:rPr>
  </w:style>
  <w:style w:type="paragraph" w:styleId="CommentText">
    <w:name w:val="annotation text"/>
    <w:basedOn w:val="Normal"/>
    <w:link w:val="CommentTextChar"/>
    <w:uiPriority w:val="99"/>
    <w:rsid w:val="006A4461"/>
    <w:pPr>
      <w:ind w:firstLine="0"/>
      <w:jc w:val="left"/>
    </w:pPr>
    <w:rPr>
      <w:lang w:val="ro-RO" w:eastAsia="ru-RU"/>
    </w:rPr>
  </w:style>
  <w:style w:type="character" w:customStyle="1" w:styleId="CommentTextChar">
    <w:name w:val="Comment Text Char"/>
    <w:basedOn w:val="DefaultParagraphFont"/>
    <w:link w:val="CommentText"/>
    <w:uiPriority w:val="99"/>
    <w:rsid w:val="006A4461"/>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6A4461"/>
    <w:rPr>
      <w:b/>
      <w:bCs/>
    </w:rPr>
  </w:style>
  <w:style w:type="character" w:customStyle="1" w:styleId="CommentSubjectChar">
    <w:name w:val="Comment Subject Char"/>
    <w:basedOn w:val="CommentTextChar"/>
    <w:link w:val="CommentSubject"/>
    <w:uiPriority w:val="99"/>
    <w:rsid w:val="006A4461"/>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6A4461"/>
  </w:style>
  <w:style w:type="character" w:customStyle="1" w:styleId="docheader">
    <w:name w:val="doc_header"/>
    <w:rsid w:val="006A4461"/>
  </w:style>
  <w:style w:type="paragraph" w:customStyle="1" w:styleId="Style2">
    <w:name w:val="Style2"/>
    <w:basedOn w:val="Normal"/>
    <w:uiPriority w:val="99"/>
    <w:rsid w:val="006A4461"/>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6A4461"/>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6A4461"/>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6A4461"/>
    <w:rPr>
      <w:rFonts w:ascii="Times New Roman" w:hAnsi="Times New Roman" w:cs="Times New Roman"/>
      <w:sz w:val="24"/>
      <w:szCs w:val="24"/>
    </w:rPr>
  </w:style>
  <w:style w:type="character" w:styleId="Hyperlink">
    <w:name w:val="Hyperlink"/>
    <w:basedOn w:val="DefaultParagraphFont"/>
    <w:uiPriority w:val="99"/>
    <w:rsid w:val="006A4461"/>
    <w:rPr>
      <w:color w:val="0000FF"/>
      <w:u w:val="single"/>
    </w:rPr>
  </w:style>
  <w:style w:type="paragraph" w:customStyle="1" w:styleId="cp">
    <w:name w:val="cp"/>
    <w:basedOn w:val="Normal"/>
    <w:rsid w:val="006A4461"/>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6A4461"/>
  </w:style>
  <w:style w:type="paragraph" w:styleId="HTMLPreformatted">
    <w:name w:val="HTML Preformatted"/>
    <w:basedOn w:val="Normal"/>
    <w:link w:val="HTMLPreformattedChar"/>
    <w:uiPriority w:val="99"/>
    <w:unhideWhenUsed/>
    <w:rsid w:val="006A4461"/>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6A4461"/>
    <w:rPr>
      <w:rFonts w:ascii="Consolas" w:eastAsia="Times New Roman" w:hAnsi="Consolas" w:cs="Times New Roman"/>
      <w:sz w:val="20"/>
      <w:szCs w:val="20"/>
      <w:lang w:val="en-US"/>
    </w:rPr>
  </w:style>
  <w:style w:type="character" w:styleId="PlaceholderText">
    <w:name w:val="Placeholder Text"/>
    <w:basedOn w:val="DefaultParagraphFont"/>
    <w:uiPriority w:val="99"/>
    <w:semiHidden/>
    <w:rsid w:val="006A4461"/>
    <w:rPr>
      <w:color w:val="808080"/>
    </w:rPr>
  </w:style>
  <w:style w:type="paragraph" w:styleId="Revision">
    <w:name w:val="Revision"/>
    <w:hidden/>
    <w:uiPriority w:val="99"/>
    <w:semiHidden/>
    <w:rsid w:val="006A4461"/>
    <w:pPr>
      <w:spacing w:after="0" w:line="240" w:lineRule="auto"/>
    </w:pPr>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6A4461"/>
    <w:rPr>
      <w:color w:val="605E5C"/>
      <w:shd w:val="clear" w:color="auto" w:fill="E1DFDD"/>
    </w:rPr>
  </w:style>
  <w:style w:type="character" w:customStyle="1" w:styleId="spar">
    <w:name w:val="s_par"/>
    <w:basedOn w:val="DefaultParagraphFont"/>
    <w:rsid w:val="00581464"/>
  </w:style>
  <w:style w:type="character" w:styleId="Emphasis">
    <w:name w:val="Emphasis"/>
    <w:basedOn w:val="DefaultParagraphFont"/>
    <w:uiPriority w:val="20"/>
    <w:qFormat/>
    <w:rsid w:val="004F02A9"/>
    <w:rPr>
      <w:i/>
      <w:iCs/>
    </w:rPr>
  </w:style>
  <w:style w:type="character" w:customStyle="1" w:styleId="ListParagraphChar">
    <w:name w:val="List Paragraph Char"/>
    <w:link w:val="ListParagraph"/>
    <w:uiPriority w:val="34"/>
    <w:qFormat/>
    <w:locked/>
    <w:rsid w:val="003173A4"/>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5D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4323">
      <w:bodyDiv w:val="1"/>
      <w:marLeft w:val="0"/>
      <w:marRight w:val="0"/>
      <w:marTop w:val="0"/>
      <w:marBottom w:val="0"/>
      <w:divBdr>
        <w:top w:val="none" w:sz="0" w:space="0" w:color="auto"/>
        <w:left w:val="none" w:sz="0" w:space="0" w:color="auto"/>
        <w:bottom w:val="none" w:sz="0" w:space="0" w:color="auto"/>
        <w:right w:val="none" w:sz="0" w:space="0" w:color="auto"/>
      </w:divBdr>
    </w:div>
    <w:div w:id="177621274">
      <w:bodyDiv w:val="1"/>
      <w:marLeft w:val="0"/>
      <w:marRight w:val="0"/>
      <w:marTop w:val="0"/>
      <w:marBottom w:val="0"/>
      <w:divBdr>
        <w:top w:val="none" w:sz="0" w:space="0" w:color="auto"/>
        <w:left w:val="none" w:sz="0" w:space="0" w:color="auto"/>
        <w:bottom w:val="none" w:sz="0" w:space="0" w:color="auto"/>
        <w:right w:val="none" w:sz="0" w:space="0" w:color="auto"/>
      </w:divBdr>
    </w:div>
    <w:div w:id="232813369">
      <w:bodyDiv w:val="1"/>
      <w:marLeft w:val="0"/>
      <w:marRight w:val="0"/>
      <w:marTop w:val="0"/>
      <w:marBottom w:val="0"/>
      <w:divBdr>
        <w:top w:val="none" w:sz="0" w:space="0" w:color="auto"/>
        <w:left w:val="none" w:sz="0" w:space="0" w:color="auto"/>
        <w:bottom w:val="none" w:sz="0" w:space="0" w:color="auto"/>
        <w:right w:val="none" w:sz="0" w:space="0" w:color="auto"/>
      </w:divBdr>
    </w:div>
    <w:div w:id="256444624">
      <w:bodyDiv w:val="1"/>
      <w:marLeft w:val="0"/>
      <w:marRight w:val="0"/>
      <w:marTop w:val="0"/>
      <w:marBottom w:val="0"/>
      <w:divBdr>
        <w:top w:val="none" w:sz="0" w:space="0" w:color="auto"/>
        <w:left w:val="none" w:sz="0" w:space="0" w:color="auto"/>
        <w:bottom w:val="none" w:sz="0" w:space="0" w:color="auto"/>
        <w:right w:val="none" w:sz="0" w:space="0" w:color="auto"/>
      </w:divBdr>
    </w:div>
    <w:div w:id="276331550">
      <w:bodyDiv w:val="1"/>
      <w:marLeft w:val="0"/>
      <w:marRight w:val="0"/>
      <w:marTop w:val="0"/>
      <w:marBottom w:val="0"/>
      <w:divBdr>
        <w:top w:val="none" w:sz="0" w:space="0" w:color="auto"/>
        <w:left w:val="none" w:sz="0" w:space="0" w:color="auto"/>
        <w:bottom w:val="none" w:sz="0" w:space="0" w:color="auto"/>
        <w:right w:val="none" w:sz="0" w:space="0" w:color="auto"/>
      </w:divBdr>
    </w:div>
    <w:div w:id="532769226">
      <w:bodyDiv w:val="1"/>
      <w:marLeft w:val="0"/>
      <w:marRight w:val="0"/>
      <w:marTop w:val="0"/>
      <w:marBottom w:val="0"/>
      <w:divBdr>
        <w:top w:val="none" w:sz="0" w:space="0" w:color="auto"/>
        <w:left w:val="none" w:sz="0" w:space="0" w:color="auto"/>
        <w:bottom w:val="none" w:sz="0" w:space="0" w:color="auto"/>
        <w:right w:val="none" w:sz="0" w:space="0" w:color="auto"/>
      </w:divBdr>
    </w:div>
    <w:div w:id="543949443">
      <w:bodyDiv w:val="1"/>
      <w:marLeft w:val="0"/>
      <w:marRight w:val="0"/>
      <w:marTop w:val="0"/>
      <w:marBottom w:val="0"/>
      <w:divBdr>
        <w:top w:val="none" w:sz="0" w:space="0" w:color="auto"/>
        <w:left w:val="none" w:sz="0" w:space="0" w:color="auto"/>
        <w:bottom w:val="none" w:sz="0" w:space="0" w:color="auto"/>
        <w:right w:val="none" w:sz="0" w:space="0" w:color="auto"/>
      </w:divBdr>
    </w:div>
    <w:div w:id="575747031">
      <w:bodyDiv w:val="1"/>
      <w:marLeft w:val="0"/>
      <w:marRight w:val="0"/>
      <w:marTop w:val="0"/>
      <w:marBottom w:val="0"/>
      <w:divBdr>
        <w:top w:val="none" w:sz="0" w:space="0" w:color="auto"/>
        <w:left w:val="none" w:sz="0" w:space="0" w:color="auto"/>
        <w:bottom w:val="none" w:sz="0" w:space="0" w:color="auto"/>
        <w:right w:val="none" w:sz="0" w:space="0" w:color="auto"/>
      </w:divBdr>
    </w:div>
    <w:div w:id="626012218">
      <w:bodyDiv w:val="1"/>
      <w:marLeft w:val="0"/>
      <w:marRight w:val="0"/>
      <w:marTop w:val="0"/>
      <w:marBottom w:val="0"/>
      <w:divBdr>
        <w:top w:val="none" w:sz="0" w:space="0" w:color="auto"/>
        <w:left w:val="none" w:sz="0" w:space="0" w:color="auto"/>
        <w:bottom w:val="none" w:sz="0" w:space="0" w:color="auto"/>
        <w:right w:val="none" w:sz="0" w:space="0" w:color="auto"/>
      </w:divBdr>
    </w:div>
    <w:div w:id="699431946">
      <w:bodyDiv w:val="1"/>
      <w:marLeft w:val="0"/>
      <w:marRight w:val="0"/>
      <w:marTop w:val="0"/>
      <w:marBottom w:val="0"/>
      <w:divBdr>
        <w:top w:val="none" w:sz="0" w:space="0" w:color="auto"/>
        <w:left w:val="none" w:sz="0" w:space="0" w:color="auto"/>
        <w:bottom w:val="none" w:sz="0" w:space="0" w:color="auto"/>
        <w:right w:val="none" w:sz="0" w:space="0" w:color="auto"/>
      </w:divBdr>
    </w:div>
    <w:div w:id="745997715">
      <w:bodyDiv w:val="1"/>
      <w:marLeft w:val="0"/>
      <w:marRight w:val="0"/>
      <w:marTop w:val="0"/>
      <w:marBottom w:val="0"/>
      <w:divBdr>
        <w:top w:val="none" w:sz="0" w:space="0" w:color="auto"/>
        <w:left w:val="none" w:sz="0" w:space="0" w:color="auto"/>
        <w:bottom w:val="none" w:sz="0" w:space="0" w:color="auto"/>
        <w:right w:val="none" w:sz="0" w:space="0" w:color="auto"/>
      </w:divBdr>
    </w:div>
    <w:div w:id="769473337">
      <w:bodyDiv w:val="1"/>
      <w:marLeft w:val="0"/>
      <w:marRight w:val="0"/>
      <w:marTop w:val="0"/>
      <w:marBottom w:val="0"/>
      <w:divBdr>
        <w:top w:val="none" w:sz="0" w:space="0" w:color="auto"/>
        <w:left w:val="none" w:sz="0" w:space="0" w:color="auto"/>
        <w:bottom w:val="none" w:sz="0" w:space="0" w:color="auto"/>
        <w:right w:val="none" w:sz="0" w:space="0" w:color="auto"/>
      </w:divBdr>
    </w:div>
    <w:div w:id="802622873">
      <w:bodyDiv w:val="1"/>
      <w:marLeft w:val="0"/>
      <w:marRight w:val="0"/>
      <w:marTop w:val="0"/>
      <w:marBottom w:val="0"/>
      <w:divBdr>
        <w:top w:val="none" w:sz="0" w:space="0" w:color="auto"/>
        <w:left w:val="none" w:sz="0" w:space="0" w:color="auto"/>
        <w:bottom w:val="none" w:sz="0" w:space="0" w:color="auto"/>
        <w:right w:val="none" w:sz="0" w:space="0" w:color="auto"/>
      </w:divBdr>
    </w:div>
    <w:div w:id="908348338">
      <w:bodyDiv w:val="1"/>
      <w:marLeft w:val="0"/>
      <w:marRight w:val="0"/>
      <w:marTop w:val="0"/>
      <w:marBottom w:val="0"/>
      <w:divBdr>
        <w:top w:val="none" w:sz="0" w:space="0" w:color="auto"/>
        <w:left w:val="none" w:sz="0" w:space="0" w:color="auto"/>
        <w:bottom w:val="none" w:sz="0" w:space="0" w:color="auto"/>
        <w:right w:val="none" w:sz="0" w:space="0" w:color="auto"/>
      </w:divBdr>
    </w:div>
    <w:div w:id="920069609">
      <w:bodyDiv w:val="1"/>
      <w:marLeft w:val="0"/>
      <w:marRight w:val="0"/>
      <w:marTop w:val="0"/>
      <w:marBottom w:val="0"/>
      <w:divBdr>
        <w:top w:val="none" w:sz="0" w:space="0" w:color="auto"/>
        <w:left w:val="none" w:sz="0" w:space="0" w:color="auto"/>
        <w:bottom w:val="none" w:sz="0" w:space="0" w:color="auto"/>
        <w:right w:val="none" w:sz="0" w:space="0" w:color="auto"/>
      </w:divBdr>
    </w:div>
    <w:div w:id="1062291436">
      <w:bodyDiv w:val="1"/>
      <w:marLeft w:val="0"/>
      <w:marRight w:val="0"/>
      <w:marTop w:val="0"/>
      <w:marBottom w:val="0"/>
      <w:divBdr>
        <w:top w:val="none" w:sz="0" w:space="0" w:color="auto"/>
        <w:left w:val="none" w:sz="0" w:space="0" w:color="auto"/>
        <w:bottom w:val="none" w:sz="0" w:space="0" w:color="auto"/>
        <w:right w:val="none" w:sz="0" w:space="0" w:color="auto"/>
      </w:divBdr>
    </w:div>
    <w:div w:id="1166751893">
      <w:bodyDiv w:val="1"/>
      <w:marLeft w:val="0"/>
      <w:marRight w:val="0"/>
      <w:marTop w:val="0"/>
      <w:marBottom w:val="0"/>
      <w:divBdr>
        <w:top w:val="none" w:sz="0" w:space="0" w:color="auto"/>
        <w:left w:val="none" w:sz="0" w:space="0" w:color="auto"/>
        <w:bottom w:val="none" w:sz="0" w:space="0" w:color="auto"/>
        <w:right w:val="none" w:sz="0" w:space="0" w:color="auto"/>
      </w:divBdr>
    </w:div>
    <w:div w:id="1173647515">
      <w:bodyDiv w:val="1"/>
      <w:marLeft w:val="0"/>
      <w:marRight w:val="0"/>
      <w:marTop w:val="0"/>
      <w:marBottom w:val="0"/>
      <w:divBdr>
        <w:top w:val="none" w:sz="0" w:space="0" w:color="auto"/>
        <w:left w:val="none" w:sz="0" w:space="0" w:color="auto"/>
        <w:bottom w:val="none" w:sz="0" w:space="0" w:color="auto"/>
        <w:right w:val="none" w:sz="0" w:space="0" w:color="auto"/>
      </w:divBdr>
    </w:div>
    <w:div w:id="1185747521">
      <w:bodyDiv w:val="1"/>
      <w:marLeft w:val="0"/>
      <w:marRight w:val="0"/>
      <w:marTop w:val="0"/>
      <w:marBottom w:val="0"/>
      <w:divBdr>
        <w:top w:val="none" w:sz="0" w:space="0" w:color="auto"/>
        <w:left w:val="none" w:sz="0" w:space="0" w:color="auto"/>
        <w:bottom w:val="none" w:sz="0" w:space="0" w:color="auto"/>
        <w:right w:val="none" w:sz="0" w:space="0" w:color="auto"/>
      </w:divBdr>
    </w:div>
    <w:div w:id="1250307001">
      <w:bodyDiv w:val="1"/>
      <w:marLeft w:val="0"/>
      <w:marRight w:val="0"/>
      <w:marTop w:val="0"/>
      <w:marBottom w:val="0"/>
      <w:divBdr>
        <w:top w:val="none" w:sz="0" w:space="0" w:color="auto"/>
        <w:left w:val="none" w:sz="0" w:space="0" w:color="auto"/>
        <w:bottom w:val="none" w:sz="0" w:space="0" w:color="auto"/>
        <w:right w:val="none" w:sz="0" w:space="0" w:color="auto"/>
      </w:divBdr>
    </w:div>
    <w:div w:id="1395817392">
      <w:bodyDiv w:val="1"/>
      <w:marLeft w:val="0"/>
      <w:marRight w:val="0"/>
      <w:marTop w:val="0"/>
      <w:marBottom w:val="0"/>
      <w:divBdr>
        <w:top w:val="none" w:sz="0" w:space="0" w:color="auto"/>
        <w:left w:val="none" w:sz="0" w:space="0" w:color="auto"/>
        <w:bottom w:val="none" w:sz="0" w:space="0" w:color="auto"/>
        <w:right w:val="none" w:sz="0" w:space="0" w:color="auto"/>
      </w:divBdr>
    </w:div>
    <w:div w:id="1507285116">
      <w:bodyDiv w:val="1"/>
      <w:marLeft w:val="0"/>
      <w:marRight w:val="0"/>
      <w:marTop w:val="0"/>
      <w:marBottom w:val="0"/>
      <w:divBdr>
        <w:top w:val="none" w:sz="0" w:space="0" w:color="auto"/>
        <w:left w:val="none" w:sz="0" w:space="0" w:color="auto"/>
        <w:bottom w:val="none" w:sz="0" w:space="0" w:color="auto"/>
        <w:right w:val="none" w:sz="0" w:space="0" w:color="auto"/>
      </w:divBdr>
    </w:div>
    <w:div w:id="1529946622">
      <w:bodyDiv w:val="1"/>
      <w:marLeft w:val="0"/>
      <w:marRight w:val="0"/>
      <w:marTop w:val="0"/>
      <w:marBottom w:val="0"/>
      <w:divBdr>
        <w:top w:val="none" w:sz="0" w:space="0" w:color="auto"/>
        <w:left w:val="none" w:sz="0" w:space="0" w:color="auto"/>
        <w:bottom w:val="none" w:sz="0" w:space="0" w:color="auto"/>
        <w:right w:val="none" w:sz="0" w:space="0" w:color="auto"/>
      </w:divBdr>
    </w:div>
    <w:div w:id="1534803612">
      <w:bodyDiv w:val="1"/>
      <w:marLeft w:val="0"/>
      <w:marRight w:val="0"/>
      <w:marTop w:val="0"/>
      <w:marBottom w:val="0"/>
      <w:divBdr>
        <w:top w:val="none" w:sz="0" w:space="0" w:color="auto"/>
        <w:left w:val="none" w:sz="0" w:space="0" w:color="auto"/>
        <w:bottom w:val="none" w:sz="0" w:space="0" w:color="auto"/>
        <w:right w:val="none" w:sz="0" w:space="0" w:color="auto"/>
      </w:divBdr>
    </w:div>
    <w:div w:id="1557931655">
      <w:bodyDiv w:val="1"/>
      <w:marLeft w:val="0"/>
      <w:marRight w:val="0"/>
      <w:marTop w:val="0"/>
      <w:marBottom w:val="0"/>
      <w:divBdr>
        <w:top w:val="none" w:sz="0" w:space="0" w:color="auto"/>
        <w:left w:val="none" w:sz="0" w:space="0" w:color="auto"/>
        <w:bottom w:val="none" w:sz="0" w:space="0" w:color="auto"/>
        <w:right w:val="none" w:sz="0" w:space="0" w:color="auto"/>
      </w:divBdr>
    </w:div>
    <w:div w:id="1619874005">
      <w:bodyDiv w:val="1"/>
      <w:marLeft w:val="0"/>
      <w:marRight w:val="0"/>
      <w:marTop w:val="0"/>
      <w:marBottom w:val="0"/>
      <w:divBdr>
        <w:top w:val="none" w:sz="0" w:space="0" w:color="auto"/>
        <w:left w:val="none" w:sz="0" w:space="0" w:color="auto"/>
        <w:bottom w:val="none" w:sz="0" w:space="0" w:color="auto"/>
        <w:right w:val="none" w:sz="0" w:space="0" w:color="auto"/>
      </w:divBdr>
    </w:div>
    <w:div w:id="1781532316">
      <w:bodyDiv w:val="1"/>
      <w:marLeft w:val="0"/>
      <w:marRight w:val="0"/>
      <w:marTop w:val="0"/>
      <w:marBottom w:val="0"/>
      <w:divBdr>
        <w:top w:val="none" w:sz="0" w:space="0" w:color="auto"/>
        <w:left w:val="none" w:sz="0" w:space="0" w:color="auto"/>
        <w:bottom w:val="none" w:sz="0" w:space="0" w:color="auto"/>
        <w:right w:val="none" w:sz="0" w:space="0" w:color="auto"/>
      </w:divBdr>
    </w:div>
    <w:div w:id="1971666063">
      <w:bodyDiv w:val="1"/>
      <w:marLeft w:val="0"/>
      <w:marRight w:val="0"/>
      <w:marTop w:val="0"/>
      <w:marBottom w:val="0"/>
      <w:divBdr>
        <w:top w:val="none" w:sz="0" w:space="0" w:color="auto"/>
        <w:left w:val="none" w:sz="0" w:space="0" w:color="auto"/>
        <w:bottom w:val="none" w:sz="0" w:space="0" w:color="auto"/>
        <w:right w:val="none" w:sz="0" w:space="0" w:color="auto"/>
      </w:divBdr>
    </w:div>
    <w:div w:id="1999311182">
      <w:bodyDiv w:val="1"/>
      <w:marLeft w:val="0"/>
      <w:marRight w:val="0"/>
      <w:marTop w:val="0"/>
      <w:marBottom w:val="0"/>
      <w:divBdr>
        <w:top w:val="none" w:sz="0" w:space="0" w:color="auto"/>
        <w:left w:val="none" w:sz="0" w:space="0" w:color="auto"/>
        <w:bottom w:val="none" w:sz="0" w:space="0" w:color="auto"/>
        <w:right w:val="none" w:sz="0" w:space="0" w:color="auto"/>
      </w:divBdr>
    </w:div>
    <w:div w:id="2028754263">
      <w:bodyDiv w:val="1"/>
      <w:marLeft w:val="0"/>
      <w:marRight w:val="0"/>
      <w:marTop w:val="0"/>
      <w:marBottom w:val="0"/>
      <w:divBdr>
        <w:top w:val="none" w:sz="0" w:space="0" w:color="auto"/>
        <w:left w:val="none" w:sz="0" w:space="0" w:color="auto"/>
        <w:bottom w:val="none" w:sz="0" w:space="0" w:color="auto"/>
        <w:right w:val="none" w:sz="0" w:space="0" w:color="auto"/>
      </w:divBdr>
    </w:div>
    <w:div w:id="2069496351">
      <w:bodyDiv w:val="1"/>
      <w:marLeft w:val="0"/>
      <w:marRight w:val="0"/>
      <w:marTop w:val="0"/>
      <w:marBottom w:val="0"/>
      <w:divBdr>
        <w:top w:val="none" w:sz="0" w:space="0" w:color="auto"/>
        <w:left w:val="none" w:sz="0" w:space="0" w:color="auto"/>
        <w:bottom w:val="none" w:sz="0" w:space="0" w:color="auto"/>
        <w:right w:val="none" w:sz="0" w:space="0" w:color="auto"/>
      </w:divBdr>
    </w:div>
    <w:div w:id="20961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DD7B-CD0E-4B93-A348-AF313819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9446</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Hirbu Veronica</dc:creator>
  <cp:lastModifiedBy>Victoria Ciorba</cp:lastModifiedBy>
  <cp:revision>2</cp:revision>
  <cp:lastPrinted>2025-06-20T17:29:00Z</cp:lastPrinted>
  <dcterms:created xsi:type="dcterms:W3CDTF">2025-11-27T05:46:00Z</dcterms:created>
  <dcterms:modified xsi:type="dcterms:W3CDTF">2025-11-27T05:46:00Z</dcterms:modified>
</cp:coreProperties>
</file>