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FF5647"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FF5647">
        <w:rPr>
          <w:b/>
          <w:sz w:val="24"/>
          <w:szCs w:val="24"/>
        </w:rPr>
        <w:t>SINTEZA</w:t>
      </w:r>
    </w:p>
    <w:p w14:paraId="0C2B988A" w14:textId="2A0E5E82" w:rsidR="00CC3995" w:rsidRPr="00FF5647" w:rsidRDefault="006B3F0C" w:rsidP="006B3F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rPr>
      </w:pPr>
      <w:r w:rsidRPr="00FF5647">
        <w:rPr>
          <w:b/>
          <w:bCs/>
          <w:sz w:val="24"/>
          <w:szCs w:val="24"/>
        </w:rPr>
        <w:t>l</w:t>
      </w:r>
      <w:r w:rsidR="00277074" w:rsidRPr="00FF5647">
        <w:rPr>
          <w:b/>
          <w:bCs/>
          <w:sz w:val="24"/>
          <w:szCs w:val="24"/>
        </w:rPr>
        <w:t>a proiectul de</w:t>
      </w:r>
    </w:p>
    <w:p w14:paraId="2265058B" w14:textId="5574802D" w:rsidR="008B4BE6" w:rsidRPr="00FF5647" w:rsidRDefault="00BA282B" w:rsidP="006B3F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rPr>
      </w:pPr>
      <w:r w:rsidRPr="00FF5647">
        <w:rPr>
          <w:b/>
          <w:bCs/>
          <w:sz w:val="24"/>
          <w:szCs w:val="24"/>
        </w:rPr>
        <w:t>o</w:t>
      </w:r>
      <w:r w:rsidR="00CC3995" w:rsidRPr="00FF5647">
        <w:rPr>
          <w:b/>
          <w:bCs/>
          <w:sz w:val="24"/>
          <w:szCs w:val="24"/>
        </w:rPr>
        <w:t xml:space="preserve">rdin cu privire la </w:t>
      </w:r>
      <w:r w:rsidR="009B7181" w:rsidRPr="00FF5647">
        <w:rPr>
          <w:b/>
          <w:bCs/>
          <w:sz w:val="24"/>
          <w:szCs w:val="24"/>
        </w:rPr>
        <w:t xml:space="preserve">aprobarea și recunoașterea Listelor substanțelor active conținute în produsele </w:t>
      </w:r>
      <w:proofErr w:type="spellStart"/>
      <w:r w:rsidR="009B7181" w:rsidRPr="00FF5647">
        <w:rPr>
          <w:b/>
          <w:bCs/>
          <w:sz w:val="24"/>
          <w:szCs w:val="24"/>
        </w:rPr>
        <w:t>biocide</w:t>
      </w:r>
      <w:proofErr w:type="spellEnd"/>
    </w:p>
    <w:p w14:paraId="58A2B4B2" w14:textId="77777777" w:rsidR="00473815" w:rsidRPr="00FF5647" w:rsidRDefault="00473815" w:rsidP="006B3F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rPr>
      </w:pPr>
    </w:p>
    <w:tbl>
      <w:tblPr>
        <w:tblStyle w:val="Tabelgril"/>
        <w:tblpPr w:leftFromText="180" w:rightFromText="180" w:vertAnchor="text" w:tblpX="-357" w:tblpY="1"/>
        <w:tblOverlap w:val="never"/>
        <w:tblW w:w="5166"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62"/>
        <w:gridCol w:w="1584"/>
        <w:gridCol w:w="1557"/>
        <w:gridCol w:w="6354"/>
        <w:gridCol w:w="4291"/>
      </w:tblGrid>
      <w:tr w:rsidR="00B165AC" w:rsidRPr="00FF5647" w14:paraId="165C98F0" w14:textId="77777777" w:rsidTr="002226FE">
        <w:trPr>
          <w:trHeight w:val="960"/>
        </w:trPr>
        <w:tc>
          <w:tcPr>
            <w:tcW w:w="229" w:type="pct"/>
            <w:tcBorders>
              <w:top w:val="single" w:sz="8" w:space="0" w:color="000000"/>
              <w:left w:val="single" w:sz="8" w:space="0" w:color="000000"/>
              <w:bottom w:val="single" w:sz="8" w:space="0" w:color="000000"/>
              <w:right w:val="single" w:sz="8" w:space="0" w:color="000000"/>
            </w:tcBorders>
          </w:tcPr>
          <w:p w14:paraId="6DECDC9B" w14:textId="2CDA8BC5" w:rsidR="006C3EBD" w:rsidRPr="00FF5647" w:rsidRDefault="006C3EBD"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FF5647">
              <w:rPr>
                <w:rFonts w:ascii="Times New Roman" w:hAnsi="Times New Roman"/>
                <w:b/>
                <w:sz w:val="24"/>
                <w:szCs w:val="24"/>
              </w:rPr>
              <w:t>Nr. ord.</w:t>
            </w:r>
          </w:p>
        </w:tc>
        <w:tc>
          <w:tcPr>
            <w:tcW w:w="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89B03C7" w:rsidR="006C3EBD" w:rsidRPr="00FF5647" w:rsidRDefault="006C3EBD"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FF5647">
              <w:rPr>
                <w:rFonts w:ascii="Times New Roman" w:hAnsi="Times New Roman"/>
                <w:b/>
                <w:sz w:val="24"/>
                <w:szCs w:val="24"/>
              </w:rPr>
              <w:t>Participantul la avizare, consultare publică, expertizare</w:t>
            </w:r>
          </w:p>
        </w:tc>
        <w:tc>
          <w:tcPr>
            <w:tcW w:w="539"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6C3EBD" w:rsidRPr="00FF5647" w:rsidRDefault="006C3EBD"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FF5647">
              <w:rPr>
                <w:rFonts w:ascii="Times New Roman" w:hAnsi="Times New Roman"/>
                <w:b/>
                <w:sz w:val="24"/>
                <w:szCs w:val="24"/>
              </w:rPr>
              <w:t>Nr. crt.</w:t>
            </w:r>
          </w:p>
        </w:tc>
        <w:tc>
          <w:tcPr>
            <w:tcW w:w="2199"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6C3EBD" w:rsidRPr="00FF5647" w:rsidRDefault="006C3EBD" w:rsidP="00B165A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rPr>
            </w:pPr>
            <w:r w:rsidRPr="00FF5647">
              <w:rPr>
                <w:rFonts w:ascii="Times New Roman" w:hAnsi="Times New Roman"/>
                <w:b/>
                <w:sz w:val="24"/>
                <w:szCs w:val="24"/>
              </w:rPr>
              <w:t>Conținutul obiecției,</w:t>
            </w:r>
          </w:p>
          <w:p w14:paraId="055FB5F6" w14:textId="56D3CBFA" w:rsidR="006C3EBD" w:rsidRPr="00FF5647" w:rsidRDefault="006C3EBD"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FF5647">
              <w:rPr>
                <w:rFonts w:ascii="Times New Roman" w:hAnsi="Times New Roman"/>
                <w:b/>
                <w:sz w:val="24"/>
                <w:szCs w:val="24"/>
              </w:rPr>
              <w:t>propunerii, recomandării, concluziei</w:t>
            </w:r>
          </w:p>
        </w:tc>
        <w:tc>
          <w:tcPr>
            <w:tcW w:w="1485"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6C3EBD" w:rsidRPr="00FF5647" w:rsidRDefault="006C3EBD" w:rsidP="00B165A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rPr>
            </w:pPr>
            <w:r w:rsidRPr="00FF5647">
              <w:rPr>
                <w:rFonts w:ascii="Times New Roman" w:hAnsi="Times New Roman"/>
                <w:b/>
                <w:sz w:val="24"/>
                <w:szCs w:val="24"/>
              </w:rPr>
              <w:t>Argumentarea</w:t>
            </w:r>
          </w:p>
          <w:p w14:paraId="42C4E39B" w14:textId="729BF662" w:rsidR="006C3EBD" w:rsidRPr="00FF5647" w:rsidRDefault="006C3EBD"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FF5647">
              <w:rPr>
                <w:rFonts w:ascii="Times New Roman" w:hAnsi="Times New Roman"/>
                <w:b/>
                <w:sz w:val="24"/>
                <w:szCs w:val="24"/>
              </w:rPr>
              <w:t>autorului proiectului</w:t>
            </w:r>
          </w:p>
        </w:tc>
      </w:tr>
      <w:tr w:rsidR="00B165AC" w:rsidRPr="00FF5647" w14:paraId="28860D7F" w14:textId="77777777" w:rsidTr="002226FE">
        <w:trPr>
          <w:trHeight w:val="198"/>
        </w:trPr>
        <w:tc>
          <w:tcPr>
            <w:tcW w:w="229" w:type="pct"/>
            <w:tcBorders>
              <w:top w:val="single" w:sz="8" w:space="0" w:color="000000"/>
              <w:left w:val="single" w:sz="8" w:space="0" w:color="000000"/>
              <w:bottom w:val="single" w:sz="8" w:space="0" w:color="000000"/>
              <w:right w:val="single" w:sz="8" w:space="0" w:color="000000"/>
            </w:tcBorders>
          </w:tcPr>
          <w:p w14:paraId="2A5BB94F" w14:textId="39C090C9" w:rsidR="009F4A8C" w:rsidRPr="00FF5647" w:rsidRDefault="009F4A8C"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FF5647">
              <w:rPr>
                <w:rFonts w:ascii="Times New Roman" w:hAnsi="Times New Roman"/>
                <w:b/>
                <w:sz w:val="24"/>
                <w:szCs w:val="24"/>
              </w:rPr>
              <w:t>1</w:t>
            </w:r>
          </w:p>
        </w:tc>
        <w:tc>
          <w:tcPr>
            <w:tcW w:w="5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E0E252" w14:textId="2B7F4C15" w:rsidR="009F4A8C" w:rsidRPr="00FF5647" w:rsidRDefault="009F4A8C"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FF5647">
              <w:rPr>
                <w:rFonts w:ascii="Times New Roman" w:hAnsi="Times New Roman"/>
                <w:b/>
                <w:sz w:val="24"/>
                <w:szCs w:val="24"/>
              </w:rPr>
              <w:t>2</w:t>
            </w:r>
          </w:p>
        </w:tc>
        <w:tc>
          <w:tcPr>
            <w:tcW w:w="539"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D57165E" w14:textId="4D968C08" w:rsidR="009F4A8C" w:rsidRPr="00FF5647" w:rsidRDefault="009F4A8C"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FF5647">
              <w:rPr>
                <w:rFonts w:ascii="Times New Roman" w:hAnsi="Times New Roman"/>
                <w:b/>
                <w:sz w:val="24"/>
                <w:szCs w:val="24"/>
              </w:rPr>
              <w:t>3</w:t>
            </w:r>
          </w:p>
        </w:tc>
        <w:tc>
          <w:tcPr>
            <w:tcW w:w="2199"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101DEEE" w14:textId="2386F6E9" w:rsidR="009F4A8C" w:rsidRPr="00FF5647" w:rsidRDefault="009F4A8C" w:rsidP="00B165A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sz w:val="24"/>
                <w:szCs w:val="24"/>
              </w:rPr>
            </w:pPr>
            <w:r w:rsidRPr="00FF5647">
              <w:rPr>
                <w:rFonts w:ascii="Times New Roman" w:hAnsi="Times New Roman"/>
                <w:b/>
                <w:sz w:val="24"/>
                <w:szCs w:val="24"/>
              </w:rPr>
              <w:t>4</w:t>
            </w:r>
          </w:p>
        </w:tc>
        <w:tc>
          <w:tcPr>
            <w:tcW w:w="1485" w:type="pc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FD20E94" w14:textId="0BBB009F" w:rsidR="009F4A8C" w:rsidRPr="00FF5647" w:rsidRDefault="009F4A8C" w:rsidP="00B165A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b/>
                <w:sz w:val="24"/>
                <w:szCs w:val="24"/>
              </w:rPr>
            </w:pPr>
            <w:r w:rsidRPr="00FF5647">
              <w:rPr>
                <w:rFonts w:ascii="Times New Roman" w:hAnsi="Times New Roman"/>
                <w:b/>
                <w:sz w:val="24"/>
                <w:szCs w:val="24"/>
              </w:rPr>
              <w:t>5</w:t>
            </w:r>
          </w:p>
        </w:tc>
      </w:tr>
      <w:tr w:rsidR="006C3EBD" w:rsidRPr="00FF5647" w14:paraId="092EF798" w14:textId="77777777" w:rsidTr="002226FE">
        <w:trPr>
          <w:trHeight w:val="190"/>
        </w:trPr>
        <w:tc>
          <w:tcPr>
            <w:tcW w:w="229" w:type="pct"/>
            <w:tcBorders>
              <w:top w:val="none" w:sz="4" w:space="0" w:color="000000"/>
              <w:left w:val="single" w:sz="8" w:space="0" w:color="000000"/>
              <w:bottom w:val="single" w:sz="8" w:space="0" w:color="000000"/>
              <w:right w:val="single" w:sz="8" w:space="0" w:color="000000"/>
            </w:tcBorders>
          </w:tcPr>
          <w:p w14:paraId="26AF5F58" w14:textId="77777777" w:rsidR="006C3EBD" w:rsidRPr="00FF5647" w:rsidRDefault="006C3EBD"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p>
        </w:tc>
        <w:tc>
          <w:tcPr>
            <w:tcW w:w="4771" w:type="pct"/>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2D81521" w:rsidR="006C3EBD" w:rsidRPr="00FF5647" w:rsidRDefault="006C3EBD" w:rsidP="00B165AC">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FF5647">
              <w:rPr>
                <w:rFonts w:ascii="Times New Roman" w:eastAsia="Times New Roman" w:hAnsi="Times New Roman"/>
                <w:b/>
                <w:sz w:val="24"/>
                <w:szCs w:val="24"/>
              </w:rPr>
              <w:t xml:space="preserve">Avizare </w:t>
            </w:r>
            <w:r w:rsidRPr="00FF5647">
              <w:rPr>
                <w:rFonts w:ascii="Times New Roman" w:hAnsi="Times New Roman"/>
                <w:b/>
                <w:sz w:val="24"/>
                <w:szCs w:val="24"/>
              </w:rPr>
              <w:t>și consultare publică</w:t>
            </w:r>
          </w:p>
        </w:tc>
      </w:tr>
      <w:tr w:rsidR="00B165AC" w:rsidRPr="00FF5647" w14:paraId="561F471A" w14:textId="77777777" w:rsidTr="002226FE">
        <w:trPr>
          <w:trHeight w:val="769"/>
        </w:trPr>
        <w:tc>
          <w:tcPr>
            <w:tcW w:w="229" w:type="pct"/>
            <w:tcBorders>
              <w:top w:val="none" w:sz="4" w:space="0" w:color="000000"/>
              <w:left w:val="single" w:sz="8" w:space="0" w:color="000000"/>
              <w:bottom w:val="single" w:sz="8" w:space="0" w:color="000000"/>
              <w:right w:val="single" w:sz="8" w:space="0" w:color="000000"/>
            </w:tcBorders>
          </w:tcPr>
          <w:p w14:paraId="05BE055C" w14:textId="77777777" w:rsidR="009F4A8C" w:rsidRPr="00FF5647" w:rsidRDefault="009F4A8C" w:rsidP="00B165AC">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4"/>
                <w:szCs w:val="24"/>
              </w:rPr>
            </w:pPr>
          </w:p>
        </w:tc>
        <w:tc>
          <w:tcPr>
            <w:tcW w:w="548"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85FC7D" w14:textId="00F73FDC" w:rsidR="009F4A8C" w:rsidRPr="00FF5647" w:rsidRDefault="00B42890" w:rsidP="00B165A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sz w:val="24"/>
                <w:szCs w:val="24"/>
              </w:rPr>
            </w:pPr>
            <w:r w:rsidRPr="00FF5647">
              <w:rPr>
                <w:rFonts w:ascii="Times New Roman" w:eastAsia="Times New Roman" w:hAnsi="Times New Roman"/>
                <w:b/>
                <w:sz w:val="24"/>
                <w:szCs w:val="24"/>
              </w:rPr>
              <w:t>Agenția Națională pentru Siguranța Alimentelor</w:t>
            </w:r>
          </w:p>
        </w:tc>
        <w:tc>
          <w:tcPr>
            <w:tcW w:w="53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341D48" w14:textId="20388E77" w:rsidR="00734093" w:rsidRPr="00FF5647" w:rsidRDefault="002D4AEF" w:rsidP="00B165AC">
            <w:pPr>
              <w:ind w:firstLine="0"/>
              <w:rPr>
                <w:rFonts w:ascii="Times New Roman" w:hAnsi="Times New Roman"/>
                <w:b/>
                <w:bCs/>
                <w:sz w:val="24"/>
                <w:szCs w:val="24"/>
              </w:rPr>
            </w:pPr>
            <w:r w:rsidRPr="00FF5647">
              <w:rPr>
                <w:rFonts w:ascii="Times New Roman" w:hAnsi="Times New Roman"/>
                <w:b/>
                <w:bCs/>
                <w:sz w:val="24"/>
                <w:szCs w:val="24"/>
              </w:rPr>
              <w:t>Nr. 06-3811 din 11.08.25</w:t>
            </w:r>
          </w:p>
        </w:tc>
        <w:tc>
          <w:tcPr>
            <w:tcW w:w="21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A79CA6" w14:textId="5844E271" w:rsidR="002D4AEF" w:rsidRPr="00FF5647" w:rsidRDefault="00477C94" w:rsidP="00B165AC">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Prin</w:t>
            </w:r>
            <w:r w:rsidR="002D4AEF" w:rsidRPr="00FF5647">
              <w:rPr>
                <w:rFonts w:ascii="Times New Roman" w:hAnsi="Times New Roman" w:cs="Times New Roman"/>
                <w:lang w:val="ro-MD"/>
              </w:rPr>
              <w:t xml:space="preserve"> </w:t>
            </w:r>
            <w:r w:rsidRPr="00FF5647">
              <w:rPr>
                <w:rFonts w:ascii="Times New Roman" w:hAnsi="Times New Roman" w:cs="Times New Roman"/>
                <w:lang w:val="ro-MD"/>
              </w:rPr>
              <w:t>prezenta</w:t>
            </w:r>
            <w:r w:rsidR="002D4AEF" w:rsidRPr="00FF5647">
              <w:rPr>
                <w:rFonts w:ascii="Times New Roman" w:hAnsi="Times New Roman" w:cs="Times New Roman"/>
                <w:lang w:val="ro-MD"/>
              </w:rPr>
              <w:t>, cu referire la scrisoarea nr.09/2119 din 09.07.2025, privind</w:t>
            </w:r>
          </w:p>
          <w:p w14:paraId="16540CC7" w14:textId="6CD1EE40" w:rsidR="009F4A8C" w:rsidRPr="00FF5647" w:rsidRDefault="002D4AEF" w:rsidP="00B165AC">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avizarea proiectului de ordin cu privire la </w:t>
            </w:r>
            <w:r w:rsidR="00477C94" w:rsidRPr="00FF5647">
              <w:rPr>
                <w:rFonts w:ascii="Times New Roman" w:hAnsi="Times New Roman" w:cs="Times New Roman"/>
                <w:lang w:val="ro-MD"/>
              </w:rPr>
              <w:t>aprobarea</w:t>
            </w:r>
            <w:r w:rsidRPr="00FF5647">
              <w:rPr>
                <w:rFonts w:ascii="Times New Roman" w:hAnsi="Times New Roman" w:cs="Times New Roman"/>
                <w:lang w:val="ro-MD"/>
              </w:rPr>
              <w:t xml:space="preserve"> Listelor substanțelor active și a altor substanțe </w:t>
            </w:r>
            <w:r w:rsidR="00477C94" w:rsidRPr="00FF5647">
              <w:rPr>
                <w:rFonts w:ascii="Times New Roman" w:hAnsi="Times New Roman" w:cs="Times New Roman"/>
                <w:lang w:val="ro-MD"/>
              </w:rPr>
              <w:t>conținute în</w:t>
            </w:r>
            <w:r w:rsidRPr="00FF5647">
              <w:rPr>
                <w:rFonts w:ascii="Times New Roman" w:hAnsi="Times New Roman" w:cs="Times New Roman"/>
                <w:lang w:val="ro-MD"/>
              </w:rPr>
              <w:t xml:space="preserve">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Agenția Naționala pentru </w:t>
            </w:r>
            <w:r w:rsidR="00477C94" w:rsidRPr="00FF5647">
              <w:rPr>
                <w:rFonts w:ascii="Times New Roman" w:hAnsi="Times New Roman" w:cs="Times New Roman"/>
                <w:lang w:val="ro-MD"/>
              </w:rPr>
              <w:t>Siguranța</w:t>
            </w:r>
            <w:r w:rsidRPr="00FF5647">
              <w:rPr>
                <w:rFonts w:ascii="Times New Roman" w:hAnsi="Times New Roman" w:cs="Times New Roman"/>
                <w:lang w:val="ro-MD"/>
              </w:rPr>
              <w:t xml:space="preserve"> Alimentelor, urmare a </w:t>
            </w:r>
            <w:r w:rsidR="00477C94" w:rsidRPr="00FF5647">
              <w:rPr>
                <w:rFonts w:ascii="Times New Roman" w:hAnsi="Times New Roman" w:cs="Times New Roman"/>
                <w:lang w:val="ro-MD"/>
              </w:rPr>
              <w:t>examinării</w:t>
            </w:r>
            <w:r w:rsidRPr="00FF5647">
              <w:rPr>
                <w:rFonts w:ascii="Times New Roman" w:hAnsi="Times New Roman" w:cs="Times New Roman"/>
                <w:lang w:val="ro-MD"/>
              </w:rPr>
              <w:t xml:space="preserve"> proiectului comunică lipsa obiecțiilor și propunerilor pe marginea acestuia.</w:t>
            </w:r>
          </w:p>
        </w:tc>
        <w:tc>
          <w:tcPr>
            <w:tcW w:w="1485"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17AFBEB" w14:textId="7D5998B3" w:rsidR="006B3F0C" w:rsidRPr="00FF5647" w:rsidRDefault="006B3F0C" w:rsidP="00B165AC">
            <w:pPr>
              <w:pStyle w:val="Listparagraf"/>
              <w:pBdr>
                <w:top w:val="none" w:sz="4" w:space="0" w:color="000000"/>
                <w:left w:val="none" w:sz="4" w:space="0" w:color="000000"/>
                <w:bottom w:val="none" w:sz="4" w:space="0" w:color="000000"/>
                <w:right w:val="none" w:sz="4" w:space="0" w:color="000000"/>
              </w:pBdr>
              <w:ind w:left="73" w:firstLine="0"/>
              <w:rPr>
                <w:rFonts w:ascii="Times New Roman" w:hAnsi="Times New Roman"/>
                <w:b/>
                <w:bCs/>
                <w:sz w:val="24"/>
                <w:szCs w:val="24"/>
              </w:rPr>
            </w:pPr>
            <w:r w:rsidRPr="00FF5647">
              <w:rPr>
                <w:rFonts w:ascii="Times New Roman" w:hAnsi="Times New Roman"/>
                <w:b/>
                <w:bCs/>
                <w:sz w:val="24"/>
                <w:szCs w:val="24"/>
              </w:rPr>
              <w:t>Se ia act</w:t>
            </w:r>
          </w:p>
        </w:tc>
      </w:tr>
      <w:tr w:rsidR="00B165AC" w:rsidRPr="00FF5647" w14:paraId="47676BB5" w14:textId="77777777" w:rsidTr="002226FE">
        <w:trPr>
          <w:trHeight w:val="406"/>
        </w:trPr>
        <w:tc>
          <w:tcPr>
            <w:tcW w:w="229" w:type="pct"/>
            <w:tcBorders>
              <w:top w:val="none" w:sz="4" w:space="0" w:color="000000"/>
              <w:left w:val="single" w:sz="8" w:space="0" w:color="000000"/>
              <w:bottom w:val="single" w:sz="8" w:space="0" w:color="000000"/>
              <w:right w:val="single" w:sz="8" w:space="0" w:color="000000"/>
            </w:tcBorders>
          </w:tcPr>
          <w:p w14:paraId="749793F8" w14:textId="77777777" w:rsidR="00CD6133" w:rsidRPr="00FF5647" w:rsidRDefault="00CD6133" w:rsidP="00B165AC">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4"/>
                <w:szCs w:val="24"/>
              </w:rPr>
            </w:pPr>
          </w:p>
        </w:tc>
        <w:tc>
          <w:tcPr>
            <w:tcW w:w="548"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148036" w14:textId="0B33A766" w:rsidR="00CD6133" w:rsidRPr="00FF5647" w:rsidRDefault="00477C94" w:rsidP="00B165A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FF5647">
              <w:rPr>
                <w:rFonts w:ascii="Times New Roman" w:hAnsi="Times New Roman"/>
                <w:b/>
                <w:sz w:val="24"/>
                <w:szCs w:val="24"/>
              </w:rPr>
              <w:t>Centrul de Armonizare a Legislației</w:t>
            </w:r>
          </w:p>
        </w:tc>
        <w:tc>
          <w:tcPr>
            <w:tcW w:w="53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C6E326" w14:textId="77777777" w:rsidR="00477C94" w:rsidRPr="00FF5647" w:rsidRDefault="00477C94" w:rsidP="00B165AC">
            <w:pPr>
              <w:ind w:firstLine="0"/>
              <w:rPr>
                <w:rFonts w:ascii="Times New Roman" w:hAnsi="Times New Roman"/>
                <w:b/>
                <w:bCs/>
                <w:sz w:val="24"/>
                <w:szCs w:val="24"/>
                <w:lang w:val="ro-RO"/>
              </w:rPr>
            </w:pPr>
            <w:r w:rsidRPr="00FF5647">
              <w:rPr>
                <w:rFonts w:ascii="Times New Roman" w:hAnsi="Times New Roman"/>
                <w:b/>
                <w:bCs/>
                <w:sz w:val="24"/>
                <w:szCs w:val="24"/>
                <w:lang w:val="ro-RO"/>
              </w:rPr>
              <w:t>Nr. 31/02-126-7765 din 17.07.</w:t>
            </w:r>
            <w:r w:rsidR="000B31A9" w:rsidRPr="00FF5647">
              <w:rPr>
                <w:rFonts w:ascii="Times New Roman" w:hAnsi="Times New Roman"/>
                <w:b/>
                <w:bCs/>
                <w:sz w:val="24"/>
                <w:szCs w:val="24"/>
                <w:lang w:val="ro-RO"/>
              </w:rPr>
              <w:t>2025</w:t>
            </w:r>
          </w:p>
          <w:p w14:paraId="0B877FD9" w14:textId="0ABD65AA" w:rsidR="000B31A9" w:rsidRPr="00FF5647" w:rsidRDefault="000B31A9" w:rsidP="00B165AC">
            <w:pPr>
              <w:rPr>
                <w:rFonts w:ascii="Times New Roman" w:hAnsi="Times New Roman"/>
                <w:b/>
                <w:bCs/>
                <w:sz w:val="24"/>
                <w:szCs w:val="24"/>
              </w:rPr>
            </w:pPr>
          </w:p>
        </w:tc>
        <w:tc>
          <w:tcPr>
            <w:tcW w:w="21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B640CC5" w14:textId="34CDA3C5"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Prezenta Declarație de compatibilitate a fost întocmită de Centrul de armonizare 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legislației în baza Legii nr. 100/2017 cu privire la actele normative, a HG nr. 657/2009 pentru</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aprobarea Regulamentului privind organizarea și funcționarea, structurii și efectivului-limită ale</w:t>
            </w:r>
          </w:p>
          <w:p w14:paraId="004A586A" w14:textId="23B80FE0"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Cancelariei de Stat și a HG nr. 1171/2018 cu privire la aprobarea Regulamentului privind</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armonizarea legislației Republicii Moldova cu legislația Uniunii Europene.</w:t>
            </w:r>
          </w:p>
          <w:p w14:paraId="76BC5D38" w14:textId="79F2A91F"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Proiectul Ordinului ministrului sănătății cu privire la aprobarea Listelor substanțelor active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și a altor substanțe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w:t>
            </w:r>
          </w:p>
          <w:p w14:paraId="335126CE"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transpune parțial (transpune Anexa I) Regulamentul (UE) nr. 528/2012 al</w:t>
            </w:r>
          </w:p>
          <w:p w14:paraId="01E75183" w14:textId="0AD5DA0D"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Parlamentului European și al Consiliului din 22 mai 2012 privind punerea la dispoziție pe piață și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publicat în Jurnalul Oficial al Uniunii Europene L 167 din 27 iunie</w:t>
            </w:r>
          </w:p>
          <w:p w14:paraId="222EB6FA"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2012 (CELEX: 32012R0528);</w:t>
            </w:r>
          </w:p>
          <w:p w14:paraId="640B6838" w14:textId="244CB119"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lastRenderedPageBreak/>
              <w:t>– transpune parțial (transpune Anexa II) Regulamentul delegat (UE) nr. 1062/2014 al</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Comisiei din 4 august 2014 privind programul de lucru pentru examinarea sistematică a tuturor</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substanțelor active existente conținute de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menționat în Regulamentul (UE) nr.</w:t>
            </w:r>
          </w:p>
          <w:p w14:paraId="2B1D9AD7" w14:textId="2D613CC0"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528/2012 al Parlamentului European și al Consiliului, publicat în Jurnalul Oficial al Uniunii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Europene L 294 din 10 octombrie 2014 (CELEX:</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32014R1062).</w:t>
            </w:r>
          </w:p>
          <w:p w14:paraId="53C96BF6" w14:textId="77777777" w:rsidR="00291ECD" w:rsidRPr="00FF5647" w:rsidRDefault="00291ECD" w:rsidP="00B165AC">
            <w:pPr>
              <w:pStyle w:val="Corptext"/>
              <w:tabs>
                <w:tab w:val="left" w:pos="244"/>
              </w:tabs>
              <w:ind w:right="146"/>
              <w:jc w:val="both"/>
              <w:rPr>
                <w:rFonts w:ascii="Times New Roman" w:hAnsi="Times New Roman" w:cs="Times New Roman"/>
                <w:lang w:val="ro-MD"/>
              </w:rPr>
            </w:pPr>
          </w:p>
          <w:p w14:paraId="29C9FB54"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I. Obiectul proiectului</w:t>
            </w:r>
          </w:p>
          <w:p w14:paraId="17625803" w14:textId="5224D8D4"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Proiectul național prezentat pentru expertiza de compatibilitate are ca scop transpunerea în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legislația națională a Anexei I din Regulamentul (UE) nr. 528/2012 al Parlamentului European și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al Consiliului din 22 mai 2012 privind punerea la dispoziție pe piață și utilizarea produselor </w:t>
            </w:r>
            <w:proofErr w:type="spellStart"/>
            <w:r w:rsidRPr="00FF5647">
              <w:rPr>
                <w:rFonts w:ascii="Times New Roman" w:hAnsi="Times New Roman" w:cs="Times New Roman"/>
                <w:lang w:val="ro-MD"/>
              </w:rPr>
              <w:t>biocide</w:t>
            </w:r>
            <w:proofErr w:type="spellEnd"/>
          </w:p>
          <w:p w14:paraId="3B1EB23E" w14:textId="6CE8BF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și Anexei II din Regulamentul delegat (UE) nr. 1062/2014 al Comisiei din 4 august 2014 privind</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programul de lucru pentru examinarea sistematică a tuturor substanțelor active existente conținute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de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menționat în Regulamentul (UE) nr. 528/2012 al Parlamentului European și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al Consiliului, în vederea instituirii cadrului normativ național secundar care să prevadă Lista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substanțelor active și a altor substanțe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Astfel, prezentul proiect de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ordin prevede: Lista substanțelor active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(anexa nr. 1); Lista</w:t>
            </w:r>
          </w:p>
          <w:p w14:paraId="659B6B74" w14:textId="2A48163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combinațiilor de substanță/tip de produs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(anexa nr. 2); Lista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combinațiilor de substanță/tip de produs și nanomaterialele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(anexa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nr. 3).</w:t>
            </w:r>
          </w:p>
          <w:p w14:paraId="406D9EB7" w14:textId="10EF190E"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Totodată, menționăm că, proiectul vine întru implementarea prevederilor pct. 2, </w:t>
            </w:r>
            <w:proofErr w:type="spellStart"/>
            <w:r w:rsidRPr="00FF5647">
              <w:rPr>
                <w:rFonts w:ascii="Times New Roman" w:hAnsi="Times New Roman" w:cs="Times New Roman"/>
                <w:lang w:val="ro-MD"/>
              </w:rPr>
              <w:t>subpct</w:t>
            </w:r>
            <w:proofErr w:type="spellEnd"/>
            <w:r w:rsidRPr="00FF5647">
              <w:rPr>
                <w:rFonts w:ascii="Times New Roman" w:hAnsi="Times New Roman" w:cs="Times New Roman"/>
                <w:lang w:val="ro-MD"/>
              </w:rPr>
              <w:t>. 2)</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din Hotărârea de Guvern nr. 344/2020 pentru aprobarea Regulamentului sanitar privind punerea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act național armonizat care transpune parțial</w:t>
            </w:r>
          </w:p>
          <w:p w14:paraId="5A4B46A6" w14:textId="1B27F568"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Regulamentul (UE) nr. 528/2012 al Parlamentului European și al Consiliului din 22 mai 2012</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privind punerea la dispoziție pe </w:t>
            </w:r>
            <w:r w:rsidRPr="00FF5647">
              <w:rPr>
                <w:rFonts w:ascii="Times New Roman" w:hAnsi="Times New Roman" w:cs="Times New Roman"/>
                <w:lang w:val="ro-MD"/>
              </w:rPr>
              <w:lastRenderedPageBreak/>
              <w:t xml:space="preserve">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w:t>
            </w:r>
          </w:p>
          <w:p w14:paraId="434D6390" w14:textId="488708B4"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În baza expertizei proiectului Ordinului ministrului sănătății cu privire la aprobarea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Listelor substanțelor active și a altor substanțe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w:t>
            </w:r>
          </w:p>
          <w:p w14:paraId="0AF1599E" w14:textId="7F65BB00" w:rsidR="00F6750B" w:rsidRPr="00FF5647" w:rsidRDefault="00F6750B" w:rsidP="00B165AC">
            <w:pPr>
              <w:pStyle w:val="Corptext"/>
              <w:tabs>
                <w:tab w:val="left" w:pos="244"/>
              </w:tabs>
              <w:ind w:right="146"/>
              <w:jc w:val="both"/>
              <w:rPr>
                <w:rFonts w:ascii="Times New Roman" w:hAnsi="Times New Roman" w:cs="Times New Roman"/>
                <w:lang w:val="ro-MD"/>
              </w:rPr>
            </w:pPr>
          </w:p>
          <w:p w14:paraId="6807AEC1"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II. Evaluarea din perspectiva compatibilității cu Dreptul UE</w:t>
            </w:r>
          </w:p>
          <w:p w14:paraId="5F1CFE84" w14:textId="2495E690"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Din punct de vedere al dreptului UE, prin prisma obiectului de reglementare, prezentul</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demers normativ se circumscrie reglementărilor statuate la nivelul UE, subsumate Capitolului 1</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„Libera circulație a mărfurilor” și Capitolului 12 „Siguranța alimentară, politici sanitare și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fitosanitare”.</w:t>
            </w:r>
          </w:p>
          <w:p w14:paraId="2CC59F40" w14:textId="7A91761B"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Astfel, din perspectiva proiectului examinat, la nivelul legislației europene, prezintă</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relevanță directă prevederile: Regulamentului (UE) nr. 528/2012 al Parlamentului European și al</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Consiliului din 22 mai 2012 privind punerea la dispoziție pe piață și utilizarea produselor </w:t>
            </w:r>
            <w:proofErr w:type="spellStart"/>
            <w:r w:rsidRPr="00FF5647">
              <w:rPr>
                <w:rFonts w:ascii="Times New Roman" w:hAnsi="Times New Roman" w:cs="Times New Roman"/>
                <w:lang w:val="ro-MD"/>
              </w:rPr>
              <w:t>biocide</w:t>
            </w:r>
            <w:proofErr w:type="spellEnd"/>
            <w:r w:rsidR="00291ECD" w:rsidRPr="00FF5647">
              <w:rPr>
                <w:rFonts w:ascii="Times New Roman" w:hAnsi="Times New Roman" w:cs="Times New Roman"/>
                <w:lang w:val="ro-MD"/>
              </w:rPr>
              <w:t xml:space="preserve"> </w:t>
            </w:r>
            <w:r w:rsidRPr="00FF5647">
              <w:rPr>
                <w:rFonts w:ascii="Times New Roman" w:hAnsi="Times New Roman" w:cs="Times New Roman"/>
                <w:lang w:val="ro-MD"/>
              </w:rPr>
              <w:t>și Regulamentului delegat (UE) nr. 1062/2014 al Comisiei din 4 august 2014 privind programul</w:t>
            </w:r>
          </w:p>
          <w:p w14:paraId="6C827E52" w14:textId="786DBD15"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de lucru pentru examinarea sistematică a tuturor substanțelor active existente conținute de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menționat în Regulamentul (UE) nr. 528/2012 al Parlamentului European și al</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Consiliului.</w:t>
            </w:r>
          </w:p>
          <w:p w14:paraId="6CA1E2E2" w14:textId="77777777" w:rsidR="00291ECD" w:rsidRPr="00FF5647" w:rsidRDefault="00291ECD" w:rsidP="00B165AC">
            <w:pPr>
              <w:pStyle w:val="Corptext"/>
              <w:tabs>
                <w:tab w:val="left" w:pos="244"/>
              </w:tabs>
              <w:ind w:right="146"/>
              <w:jc w:val="both"/>
              <w:rPr>
                <w:rFonts w:ascii="Times New Roman" w:hAnsi="Times New Roman" w:cs="Times New Roman"/>
                <w:lang w:val="ro-MD"/>
              </w:rPr>
            </w:pPr>
          </w:p>
          <w:p w14:paraId="4869400B" w14:textId="4D25D31A"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1. Regulamentul (UE) nr. 528/2012 are drept scop îmbunătățirea funcționării pieței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interne prin armonizarea normelor privind punerea la dispoziție pe piață și utilizarea produselor</w:t>
            </w:r>
            <w:r w:rsidR="00291ECD" w:rsidRPr="00FF5647">
              <w:rPr>
                <w:rFonts w:ascii="Times New Roman" w:hAnsi="Times New Roman" w:cs="Times New Roman"/>
                <w:lang w:val="ro-MD"/>
              </w:rPr>
              <w:t xml:space="preserv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asigurând totodată un nivel ridicat de protecție a sănătății oamenilor și a animalelor și de</w:t>
            </w:r>
          </w:p>
          <w:p w14:paraId="4EFAC201" w14:textId="32BE2903"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protecție a mediului.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Transpunerea și implementarea Regulamentului (UE) nr. 528/2012 este importantă în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contextul realizării obligațiilor Republicii Moldova, ce rezultă din Anexa XVI „Lista actelor din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legislația uniunii cu un calendar de apropiere”, termenul de apropiere pentru acesta, fiind anul</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2014.</w:t>
            </w:r>
          </w:p>
          <w:p w14:paraId="04F17B55"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a) Măsuri naționale de transpunere existente ale Regulamentului (UE) nr. 528/2012</w:t>
            </w:r>
          </w:p>
          <w:p w14:paraId="25921810" w14:textId="3AD1E9C8"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lastRenderedPageBreak/>
              <w:t>Evaluând gradul de realizare a angajamentelor de transpunere și implementare 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Regulamentului (UE) nr. 528/2012 în legislația națională, constatăm că, actul UE prenotat</w:t>
            </w:r>
          </w:p>
          <w:p w14:paraId="7DF33974" w14:textId="67A65750"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reprezintă un exercițiu de continuitate a armonizării legislației naționale pe segmentul</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acesta constituind anterior obiect al transpunerii prin Legea nr. 277/2018</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privind substanțele chimice și HG nr. 344/2020 pentru aprobarea Regulamentului sanitar privind</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punerea 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w:t>
            </w:r>
          </w:p>
          <w:p w14:paraId="3DA30783" w14:textId="77777777" w:rsidR="00291ECD" w:rsidRPr="00FF5647" w:rsidRDefault="00291ECD" w:rsidP="00B165AC">
            <w:pPr>
              <w:pStyle w:val="Corptext"/>
              <w:tabs>
                <w:tab w:val="left" w:pos="244"/>
              </w:tabs>
              <w:ind w:right="146"/>
              <w:jc w:val="both"/>
              <w:rPr>
                <w:rFonts w:ascii="Times New Roman" w:hAnsi="Times New Roman" w:cs="Times New Roman"/>
                <w:lang w:val="ro-MD"/>
              </w:rPr>
            </w:pPr>
          </w:p>
          <w:p w14:paraId="76F0152B" w14:textId="73707E1D"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a) Analiza comparativă a transpunerii dispozițiilor Regulamentului (UE) nr. 528/2012</w:t>
            </w:r>
          </w:p>
          <w:p w14:paraId="4BD50605" w14:textId="1F2042A6"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În ceea ce privește transpunerea Regulamentului (UE) nr. 528/2012, se constată că</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proiectul național, prin Anexa nr. 1 „Lista substanțelor active conținute în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transpune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versiunea primară a Anexei I din Regulamentul (UE) nr. 528/2012, fără a lua în considerație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actualizările ulterioare aduse prin Regulamentele delegate de modificare din 2019, 2021 și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2024.</w:t>
            </w:r>
          </w:p>
          <w:p w14:paraId="50F60988" w14:textId="59BEFF8C"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Astfel, în vederea asigurării unei transpuneri complete și fidele a Anexei I din actul UE în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cadrul legislației naționale, se impune modificarea și completarea Anexei nr. 1 din proiectul</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de ordin, prin prisma ultimei versiuni a Anexei I din Regulamentul (UE) nr. 528/2012</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modificat prin Regulamentul delegat (UE) 2024/1290, pentru următoarele categorii de</w:t>
            </w:r>
          </w:p>
          <w:p w14:paraId="09D87C6D"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substanțe:</w:t>
            </w:r>
          </w:p>
          <w:p w14:paraId="512A2927" w14:textId="0F5E7AB3" w:rsidR="00F6750B" w:rsidRPr="00FF5647" w:rsidRDefault="00F6750B" w:rsidP="00B165AC">
            <w:pPr>
              <w:pStyle w:val="Corptext"/>
              <w:tabs>
                <w:tab w:val="left" w:pos="244"/>
              </w:tabs>
              <w:ind w:right="146"/>
              <w:jc w:val="both"/>
              <w:rPr>
                <w:rFonts w:ascii="Times New Roman" w:hAnsi="Times New Roman" w:cs="Times New Roman"/>
                <w:lang w:val="ro-MD"/>
              </w:rPr>
            </w:pPr>
          </w:p>
          <w:p w14:paraId="5979A8EA"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Categoria 2 „Substanțe incluse în anexa nr. 6 din Legea nr. 277/2018 privind</w:t>
            </w:r>
          </w:p>
          <w:p w14:paraId="366B9F1A" w14:textId="0B5DD243"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substanțele chimice” se va completa cu substanța „Azot generat din aerul ambiental” și restricția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prevăzută pentru aceasta, în conformitate cu modificările aduse actului UE de bază prin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Regulamentul delegat (UE) 2024/1290;</w:t>
            </w:r>
          </w:p>
          <w:p w14:paraId="2DD26C8F" w14:textId="5E6D6CCA"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Categoria 4 „Substanțe de origine naturală utilizate tradițional” se va completa cu</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substanțele: „Oțet”, „</w:t>
            </w:r>
            <w:proofErr w:type="spellStart"/>
            <w:r w:rsidRPr="00FF5647">
              <w:rPr>
                <w:rFonts w:ascii="Times New Roman" w:hAnsi="Times New Roman" w:cs="Times New Roman"/>
                <w:lang w:val="ro-MD"/>
              </w:rPr>
              <w:t>Saccharomyces</w:t>
            </w:r>
            <w:proofErr w:type="spellEnd"/>
            <w:r w:rsidRPr="00FF5647">
              <w:rPr>
                <w:rFonts w:ascii="Times New Roman" w:hAnsi="Times New Roman" w:cs="Times New Roman"/>
                <w:lang w:val="ro-MD"/>
              </w:rPr>
              <w:t xml:space="preserve"> </w:t>
            </w:r>
            <w:proofErr w:type="spellStart"/>
            <w:r w:rsidRPr="00FF5647">
              <w:rPr>
                <w:rFonts w:ascii="Times New Roman" w:hAnsi="Times New Roman" w:cs="Times New Roman"/>
                <w:lang w:val="ro-MD"/>
              </w:rPr>
              <w:t>cerevisiae</w:t>
            </w:r>
            <w:proofErr w:type="spellEnd"/>
            <w:r w:rsidRPr="00FF5647">
              <w:rPr>
                <w:rFonts w:ascii="Times New Roman" w:hAnsi="Times New Roman" w:cs="Times New Roman"/>
                <w:lang w:val="ro-MD"/>
              </w:rPr>
              <w:t xml:space="preserve"> (drojdie)”, „Praf de ou”, „Miere”, </w:t>
            </w:r>
            <w:r w:rsidRPr="00FF5647">
              <w:rPr>
                <w:rFonts w:ascii="Times New Roman" w:hAnsi="Times New Roman" w:cs="Times New Roman"/>
                <w:lang w:val="ro-MD"/>
              </w:rPr>
              <w:lastRenderedPageBreak/>
              <w:t>„D-</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fructoză”, „Brânză” și „Suc de mere concentrat”, inclusiv restricțiile, observațiile și notele de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subsol prevăzute pentru acestea, în acord cu modificările aduse actului UE de bază prin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Regulamentele delegate (UE) Nr. : 2019/1819; 2019/1820; 2019/1821; 2019/1822; 2019/1823;</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2019/1824; și 2019/1825;</w:t>
            </w:r>
          </w:p>
          <w:p w14:paraId="72F3C6E2" w14:textId="586CAD1C"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Categoria 5 „Feromoni” se va asigura revizuirea titlului substanțelor prevăzute în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compartimentul nume/grup;</w:t>
            </w:r>
          </w:p>
          <w:p w14:paraId="0D21BD9F"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Categoria 6 „Substanțe utilizate în condiții speciale” se va completa cu substanțele:</w:t>
            </w:r>
          </w:p>
          <w:p w14:paraId="4328807F" w14:textId="13D27CE1"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„Dioxid de carbon generat din propan, din butan sau dintr-un amestec al ambelor substanțe, prin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ardere”, „Acid citric”, „(E,E)-hexa-2,4-dienoat de potasiu (</w:t>
            </w:r>
            <w:proofErr w:type="spellStart"/>
            <w:r w:rsidRPr="00FF5647">
              <w:rPr>
                <w:rFonts w:ascii="Times New Roman" w:hAnsi="Times New Roman" w:cs="Times New Roman"/>
                <w:lang w:val="ro-MD"/>
              </w:rPr>
              <w:t>sorbat</w:t>
            </w:r>
            <w:proofErr w:type="spellEnd"/>
            <w:r w:rsidRPr="00FF5647">
              <w:rPr>
                <w:rFonts w:ascii="Times New Roman" w:hAnsi="Times New Roman" w:cs="Times New Roman"/>
                <w:lang w:val="ro-MD"/>
              </w:rPr>
              <w:t xml:space="preserve"> de potasiu)”, cât și informația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nemijlocită pentru acestea , în speță, Nr. CE, restricțiile, observațiile și notele de subsol </w:t>
            </w:r>
            <w:proofErr w:type="spellStart"/>
            <w:r w:rsidRPr="00FF5647">
              <w:rPr>
                <w:rFonts w:ascii="Times New Roman" w:hAnsi="Times New Roman" w:cs="Times New Roman"/>
                <w:lang w:val="ro-MD"/>
              </w:rPr>
              <w:t>relevante,potrivit</w:t>
            </w:r>
            <w:proofErr w:type="spellEnd"/>
            <w:r w:rsidRPr="00FF5647">
              <w:rPr>
                <w:rFonts w:ascii="Times New Roman" w:hAnsi="Times New Roman" w:cs="Times New Roman"/>
                <w:lang w:val="ro-MD"/>
              </w:rPr>
              <w:t xml:space="preserve"> modificărilor aduse actului UE de bază prin Regulamentele delegate (UE) Nr. : 2021/407,2021/806 și 2021/807. Totodată, se va actualiza informația pentru „Acetat de (9Z,12E)-tetradeca-9,12-dien-1-il” potrivit Rectificării actului UE din anul 2017.</w:t>
            </w:r>
          </w:p>
          <w:p w14:paraId="70F7BD4B" w14:textId="77777777" w:rsidR="00291ECD" w:rsidRPr="00FF5647" w:rsidRDefault="00291ECD" w:rsidP="00B165AC">
            <w:pPr>
              <w:pStyle w:val="Corptext"/>
              <w:tabs>
                <w:tab w:val="left" w:pos="244"/>
              </w:tabs>
              <w:ind w:right="146"/>
              <w:jc w:val="both"/>
              <w:rPr>
                <w:rFonts w:ascii="Times New Roman" w:hAnsi="Times New Roman" w:cs="Times New Roman"/>
                <w:lang w:val="ro-MD"/>
              </w:rPr>
            </w:pPr>
          </w:p>
          <w:p w14:paraId="51BBCE07" w14:textId="61B655D8"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Totodată, proiectul național se va completa cu o clauză tranzitorie de abrogare a Anexei nr.</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1 din momentul aderării Republicii Moldova la Uniunea Europeană, în vederea realizării cerinței</w:t>
            </w:r>
          </w:p>
          <w:p w14:paraId="425701A0" w14:textId="53787CC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pct. 28 din Regulamentul privind armonizarea legislației Republicii Moldova cu legislația Uniunii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Europene, aprobat prin HG nr. 1171/20218 care statuează că „Proiectele de acte normative de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transpunere a regulamentelor și deciziilor UE vor conține în mod obligatoriu dispoziții ce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vor prevedea abrogarea acestora la momentul aderării la Uniunea Europeană”.</w:t>
            </w:r>
          </w:p>
          <w:p w14:paraId="1283A31E" w14:textId="77777777" w:rsidR="00291ECD" w:rsidRPr="00FF5647" w:rsidRDefault="00291ECD" w:rsidP="00B165AC">
            <w:pPr>
              <w:pStyle w:val="Corptext"/>
              <w:tabs>
                <w:tab w:val="left" w:pos="244"/>
              </w:tabs>
              <w:ind w:right="146"/>
              <w:jc w:val="both"/>
              <w:rPr>
                <w:rFonts w:ascii="Times New Roman" w:hAnsi="Times New Roman" w:cs="Times New Roman"/>
                <w:lang w:val="ro-MD"/>
              </w:rPr>
            </w:pPr>
          </w:p>
          <w:p w14:paraId="6216CD7B" w14:textId="4E474542"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2. Regulamentul delegat (UE) nr. 1062/2014 stabilește normele privind derularea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programului de lucru pentru examinarea sistematică a tuturor substanțelor active existente,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menționat la articolul 89 (1) din Regulamentul (UE) nr. 528/2012. Astfel, actul delegat definește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drepturile și obligațiile autorităților </w:t>
            </w:r>
            <w:r w:rsidRPr="00FF5647">
              <w:rPr>
                <w:rFonts w:ascii="Times New Roman" w:hAnsi="Times New Roman" w:cs="Times New Roman"/>
                <w:lang w:val="ro-MD"/>
              </w:rPr>
              <w:lastRenderedPageBreak/>
              <w:t>competente și ale participanților la programul de lucru,</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precizează situațiile în care un solicitant potențial ar putea fi autorizat să se alăture sau să</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înlocuiască un participant existent sau să preia susținerea unei substanțe incluse în programul de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reexaminare.</w:t>
            </w:r>
          </w:p>
          <w:p w14:paraId="662346B6" w14:textId="1F848C88"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Regulamentul delegat UE prenotat nu a constituit anterior obiect al transpunerii în legislația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națională, acest proiect fiind un exercițiu primar de transpunere a acestuia.</w:t>
            </w:r>
          </w:p>
          <w:p w14:paraId="24705E5C" w14:textId="77777777" w:rsidR="00291ECD" w:rsidRPr="00FF5647" w:rsidRDefault="00291ECD" w:rsidP="00B165AC">
            <w:pPr>
              <w:pStyle w:val="Corptext"/>
              <w:tabs>
                <w:tab w:val="left" w:pos="244"/>
              </w:tabs>
              <w:ind w:right="146"/>
              <w:jc w:val="both"/>
              <w:rPr>
                <w:rFonts w:ascii="Times New Roman" w:hAnsi="Times New Roman" w:cs="Times New Roman"/>
                <w:lang w:val="ro-MD"/>
              </w:rPr>
            </w:pPr>
          </w:p>
          <w:p w14:paraId="683C8DF1" w14:textId="4B28842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a) Analiza comparativă a transpunerii dispozițiilor Regulamentului delegat (UE) nr.1062/2014</w:t>
            </w:r>
          </w:p>
          <w:p w14:paraId="0BC601B0" w14:textId="6282B361"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În ceea ce privește transpunerea Regulamentului delegat (UE) nr. 1062/2014, se constată</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că proiectul național, prin Anexa nr. 2 „Lista combinațiilor de substanță/tip de produs conținute în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și Anexa nr. 3 „Lista combinațiilor de substanță/tip de produs și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nanomaterialele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transpune versiunea primară a Anexei II din</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actul UE, neincorporând actualizările ulterioare aduse prin Regulamentele delegate de modificare</w:t>
            </w:r>
            <w:r w:rsidR="00291ECD" w:rsidRPr="00FF5647">
              <w:rPr>
                <w:rFonts w:ascii="Times New Roman" w:hAnsi="Times New Roman" w:cs="Times New Roman"/>
                <w:lang w:val="ro-MD"/>
              </w:rPr>
              <w:t xml:space="preserve"> d</w:t>
            </w:r>
            <w:r w:rsidRPr="00FF5647">
              <w:rPr>
                <w:rFonts w:ascii="Times New Roman" w:hAnsi="Times New Roman" w:cs="Times New Roman"/>
                <w:lang w:val="ro-MD"/>
              </w:rPr>
              <w:t>in 2017, 2019 și 2022.</w:t>
            </w:r>
          </w:p>
          <w:p w14:paraId="462986D1" w14:textId="77777777" w:rsidR="00AA232A" w:rsidRPr="00FF5647" w:rsidRDefault="00AA232A" w:rsidP="00B165AC">
            <w:pPr>
              <w:pStyle w:val="Corptext"/>
              <w:tabs>
                <w:tab w:val="left" w:pos="244"/>
              </w:tabs>
              <w:ind w:right="146"/>
              <w:jc w:val="both"/>
              <w:rPr>
                <w:rFonts w:ascii="Times New Roman" w:hAnsi="Times New Roman" w:cs="Times New Roman"/>
                <w:lang w:val="ro-MD"/>
              </w:rPr>
            </w:pPr>
          </w:p>
          <w:p w14:paraId="472E0901" w14:textId="68D194C5"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Totuși, în urma analizei nemijlocite a conținutului Regulamentului delegat (UE) nr.</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1062/2014, se constată că scopul actului UE este distinct de cel al proiectului național, ori actul</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UE stabilește normele privind derularea unui program de lucru pentru examinarea sistematică</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 tuturor substanțelor active existente care cad sub incidența Directivei 98/8/CE în care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calitatea de participant este deținută exclusiv de statele membre ale Uniunii Europene.</w:t>
            </w:r>
          </w:p>
          <w:p w14:paraId="47044441" w14:textId="05C0EAF3"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Așadar, Anexa II din actul UE, prevede lista substanțelor active și statul membru raportor care are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obligația de a evalua substanța respectivă pentru unul sau mai multe tipuri de produse </w:t>
            </w:r>
            <w:proofErr w:type="spellStart"/>
            <w:r w:rsidRPr="00FF5647">
              <w:rPr>
                <w:rFonts w:ascii="Times New Roman" w:hAnsi="Times New Roman" w:cs="Times New Roman"/>
                <w:lang w:val="ro-MD"/>
              </w:rPr>
              <w:t>biocide</w:t>
            </w:r>
            <w:proofErr w:type="spellEnd"/>
            <w:r w:rsidR="00291ECD" w:rsidRPr="00FF5647">
              <w:rPr>
                <w:rFonts w:ascii="Times New Roman" w:hAnsi="Times New Roman" w:cs="Times New Roman"/>
                <w:lang w:val="ro-MD"/>
              </w:rPr>
              <w:t xml:space="preserve"> </w:t>
            </w:r>
            <w:r w:rsidRPr="00FF5647">
              <w:rPr>
                <w:rFonts w:ascii="Times New Roman" w:hAnsi="Times New Roman" w:cs="Times New Roman"/>
                <w:lang w:val="ro-MD"/>
              </w:rPr>
              <w:t>(TP1–TP22), în vederea includerii acesteia în lista substanțelor aprobate pentru utilizare în produse</w:t>
            </w:r>
            <w:r w:rsidR="00291ECD" w:rsidRPr="00FF5647">
              <w:rPr>
                <w:rFonts w:ascii="Times New Roman" w:hAnsi="Times New Roman" w:cs="Times New Roman"/>
                <w:lang w:val="ro-MD"/>
              </w:rPr>
              <w:t xml:space="preserv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w:t>
            </w:r>
          </w:p>
          <w:p w14:paraId="1A7B3A6C" w14:textId="435F4A29"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În contextul celor expuse, se recomandă excluderea din proiect a prevederilor de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transpunere a Regulamentului delegat (UE) nr. 1062/2014, or aceasta vizează nemijlocit</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statele membre ale </w:t>
            </w:r>
            <w:r w:rsidRPr="00FF5647">
              <w:rPr>
                <w:rFonts w:ascii="Times New Roman" w:hAnsi="Times New Roman" w:cs="Times New Roman"/>
                <w:lang w:val="ro-MD"/>
              </w:rPr>
              <w:lastRenderedPageBreak/>
              <w:t>Uniunii Europene implicate în cadrul programului de lucru pentru</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examinarea sistematică a tuturor substanțelor active existente, urmând ca acesta să devină</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direct aplicabil din momentul aderării RM la UE.</w:t>
            </w:r>
          </w:p>
          <w:p w14:paraId="7810547A" w14:textId="77777777" w:rsidR="00AA232A" w:rsidRPr="00FF5647" w:rsidRDefault="00AA232A" w:rsidP="00B165AC">
            <w:pPr>
              <w:pStyle w:val="Corptext"/>
              <w:tabs>
                <w:tab w:val="left" w:pos="244"/>
              </w:tabs>
              <w:ind w:right="146"/>
              <w:jc w:val="both"/>
              <w:rPr>
                <w:rFonts w:ascii="Times New Roman" w:hAnsi="Times New Roman" w:cs="Times New Roman"/>
                <w:lang w:val="ro-MD"/>
              </w:rPr>
            </w:pPr>
          </w:p>
          <w:p w14:paraId="047D0E57"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III. Respectarea mecanismului de armonizare</w:t>
            </w:r>
          </w:p>
          <w:p w14:paraId="4C9BCF8F"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a) Obiecții privind clauza de armonizare</w:t>
            </w:r>
          </w:p>
          <w:p w14:paraId="6D6D097A" w14:textId="13609DA0"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Doar în măsura în care proiectul de Ordin va fi revizuit potrivit obiecțiilor formulate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prin prezenta Declarație de compatibilitate, clauza de armonizare a proiectului de lege va a fi</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prevăzută în redacția dată infra.</w:t>
            </w:r>
          </w:p>
          <w:p w14:paraId="0A630C23" w14:textId="2769F77B"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„Prezentul Ordin transpune parțial (transpune Anexa I) </w:t>
            </w:r>
            <w:bookmarkStart w:id="0" w:name="_Hlk214891577"/>
            <w:r w:rsidRPr="00FF5647">
              <w:rPr>
                <w:rFonts w:ascii="Times New Roman" w:hAnsi="Times New Roman" w:cs="Times New Roman"/>
                <w:lang w:val="ro-MD"/>
              </w:rPr>
              <w:t>Regulamentul (UE) nr. 528/2012</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al Parlamentului European și al Consiliului din 22 mai 2012 privind punerea la dispoziție pe piață</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 xml:space="preserve">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publicat în Jurnalul Oficial al Uniunii Europene L 167 din 27 iunie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2012 (CELEX: 32012R0528), așa cum a fost modificat ultima dată prin Regulamentul delegat</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(UE) 2024/1398 al Comisiei din 14 martie 2024</w:t>
            </w:r>
            <w:bookmarkEnd w:id="0"/>
            <w:r w:rsidRPr="00FF5647">
              <w:rPr>
                <w:rFonts w:ascii="Times New Roman" w:hAnsi="Times New Roman" w:cs="Times New Roman"/>
                <w:lang w:val="ro-MD"/>
              </w:rPr>
              <w:t>.”</w:t>
            </w:r>
          </w:p>
          <w:p w14:paraId="56F47629" w14:textId="5FD8A973"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De asemenea, proiectul de Ordin se va completa cu un punct nou care va prevedea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abrogarea acestuia la data aderării la UE.</w:t>
            </w:r>
          </w:p>
          <w:p w14:paraId="7B65E679" w14:textId="7CD5298F"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b) Obiecții la Tabelul de concordanță</w:t>
            </w:r>
          </w:p>
          <w:p w14:paraId="48CB6E45" w14:textId="43519FD5"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Tabelele de concordanță prezentate urmează să reflecte în compartimentul 6 versiunea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consolidată a Regulamentului (UE) nr. 528/2012.</w:t>
            </w:r>
          </w:p>
          <w:p w14:paraId="707958E3" w14:textId="61851266"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c) Obiecții la Nota de fundamentare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Compartimentul 5 la Nota de fundamentare urmează a fi revăzut potrivit cerințelor</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prevăzute în Anexa nr. 1 din Legea nr. 100/2017 cu privire la actele normative.</w:t>
            </w:r>
          </w:p>
          <w:p w14:paraId="7A53EAAE" w14:textId="50D28B66" w:rsidR="00F6750B" w:rsidRPr="00FF5647" w:rsidRDefault="00F6750B" w:rsidP="00B165AC">
            <w:pPr>
              <w:pStyle w:val="Corptext"/>
              <w:tabs>
                <w:tab w:val="left" w:pos="244"/>
              </w:tabs>
              <w:ind w:right="146"/>
              <w:jc w:val="both"/>
              <w:rPr>
                <w:rFonts w:ascii="Times New Roman" w:hAnsi="Times New Roman" w:cs="Times New Roman"/>
                <w:lang w:val="ro-MD"/>
              </w:rPr>
            </w:pPr>
          </w:p>
          <w:p w14:paraId="005F1CE9" w14:textId="77777777"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III. Concluzii</w:t>
            </w:r>
          </w:p>
          <w:p w14:paraId="77374339" w14:textId="024FF765" w:rsidR="00F6750B"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Ca urmare a expertizei de compatibilitate realizate, se va asigura revizuirea proiectului, 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clauzei de armonizare și a tabelelor de concordanță prin prisma obiecțiilor și propunerilor enunțate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în prezenta Declarație de compatibilitate.</w:t>
            </w:r>
          </w:p>
          <w:p w14:paraId="68404E6B" w14:textId="52D4FE01" w:rsidR="002D4AEF" w:rsidRPr="00FF5647" w:rsidRDefault="00F6750B" w:rsidP="00B165AC">
            <w:pPr>
              <w:pStyle w:val="Corptext"/>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Facem mențiunea că analiza Centrului de armonizare a </w:t>
            </w:r>
            <w:r w:rsidRPr="00FF5647">
              <w:rPr>
                <w:rFonts w:ascii="Times New Roman" w:hAnsi="Times New Roman" w:cs="Times New Roman"/>
                <w:lang w:val="ro-MD"/>
              </w:rPr>
              <w:lastRenderedPageBreak/>
              <w:t>legislației nu are în vedere</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elementele de oportunitate ale soluțiilor juridice incluse în proiectul de act normativ, ci se referă</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strict la conformitatea acestora cu Dreptul UE aplicabil și obligațiile juridice asumate în lumina</w:t>
            </w:r>
            <w:r w:rsidR="00291ECD" w:rsidRPr="00FF5647">
              <w:rPr>
                <w:rFonts w:ascii="Times New Roman" w:hAnsi="Times New Roman" w:cs="Times New Roman"/>
                <w:lang w:val="ro-MD"/>
              </w:rPr>
              <w:t xml:space="preserve"> </w:t>
            </w:r>
            <w:r w:rsidRPr="00FF5647">
              <w:rPr>
                <w:rFonts w:ascii="Times New Roman" w:hAnsi="Times New Roman" w:cs="Times New Roman"/>
                <w:lang w:val="ro-MD"/>
              </w:rPr>
              <w:t>Acordului de Asociere RM-UE și Cadrului de negociere cu Uniunea Europeană</w:t>
            </w:r>
            <w:r w:rsidR="002D4AEF" w:rsidRPr="00FF5647">
              <w:rPr>
                <w:rFonts w:ascii="Times New Roman" w:hAnsi="Times New Roman" w:cs="Times New Roman"/>
              </w:rPr>
              <w:tab/>
            </w:r>
          </w:p>
        </w:tc>
        <w:tc>
          <w:tcPr>
            <w:tcW w:w="1485"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34C1BE" w14:textId="57B87966" w:rsidR="00291ECD" w:rsidRPr="00FF5647" w:rsidRDefault="000A3286"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lastRenderedPageBreak/>
              <w:t xml:space="preserve">Se </w:t>
            </w:r>
            <w:r w:rsidR="009B7181" w:rsidRPr="00FF5647">
              <w:rPr>
                <w:rFonts w:ascii="Times New Roman" w:hAnsi="Times New Roman"/>
                <w:b/>
                <w:bCs/>
                <w:sz w:val="24"/>
                <w:szCs w:val="24"/>
              </w:rPr>
              <w:t>acceptă</w:t>
            </w:r>
            <w:r w:rsidR="0088338D" w:rsidRPr="00FF5647">
              <w:rPr>
                <w:rFonts w:ascii="Times New Roman" w:hAnsi="Times New Roman"/>
                <w:b/>
                <w:bCs/>
                <w:sz w:val="24"/>
                <w:szCs w:val="24"/>
              </w:rPr>
              <w:t xml:space="preserve"> </w:t>
            </w:r>
          </w:p>
          <w:p w14:paraId="632DDDB7" w14:textId="09DE14AA" w:rsidR="000A3286" w:rsidRPr="00FF5647" w:rsidRDefault="000A3286" w:rsidP="00B165AC">
            <w:pPr>
              <w:pStyle w:val="Frspaiere"/>
              <w:ind w:firstLine="0"/>
              <w:rPr>
                <w:rFonts w:ascii="Times New Roman" w:eastAsia="Times New Roman" w:hAnsi="Times New Roman"/>
                <w:sz w:val="24"/>
                <w:szCs w:val="24"/>
                <w:lang w:val="pt-PT" w:eastAsia="ru-RU"/>
              </w:rPr>
            </w:pPr>
            <w:r w:rsidRPr="00FF5647">
              <w:rPr>
                <w:rFonts w:ascii="Times New Roman" w:hAnsi="Times New Roman"/>
                <w:sz w:val="24"/>
                <w:szCs w:val="24"/>
                <w:lang w:val="pt-PT"/>
              </w:rPr>
              <w:t xml:space="preserve">Concomitent </w:t>
            </w:r>
            <w:r w:rsidR="0088338D" w:rsidRPr="00FF5647">
              <w:rPr>
                <w:rFonts w:ascii="Times New Roman" w:hAnsi="Times New Roman"/>
                <w:sz w:val="24"/>
                <w:szCs w:val="24"/>
                <w:lang w:val="pt-PT"/>
              </w:rPr>
              <w:t xml:space="preserve">la propunerea BI, </w:t>
            </w:r>
            <w:r w:rsidRPr="00FF5647">
              <w:rPr>
                <w:rFonts w:ascii="Times New Roman" w:hAnsi="Times New Roman"/>
                <w:sz w:val="24"/>
                <w:szCs w:val="24"/>
                <w:lang w:val="pt-PT"/>
              </w:rPr>
              <w:t>au fost efectuate unele precizări la proiectul de ordin. Astfel, a fost ajustată denumirea Anexei după cum urmează.</w:t>
            </w:r>
            <w:r w:rsidRPr="00FF5647">
              <w:rPr>
                <w:rFonts w:ascii="Times New Roman" w:hAnsi="Times New Roman"/>
                <w:sz w:val="24"/>
                <w:szCs w:val="24"/>
                <w:lang w:val="pt-PT" w:eastAsia="ru-RU"/>
              </w:rPr>
              <w:t xml:space="preserve"> </w:t>
            </w:r>
            <w:r w:rsidRPr="00FF5647">
              <w:rPr>
                <w:rFonts w:ascii="Times New Roman" w:eastAsia="Times New Roman" w:hAnsi="Times New Roman"/>
                <w:sz w:val="24"/>
                <w:szCs w:val="24"/>
                <w:lang w:val="ro-MD" w:eastAsia="ru-RU"/>
              </w:rPr>
              <w:t xml:space="preserve">Se aprobă </w:t>
            </w:r>
            <w:r w:rsidRPr="00FF5647">
              <w:rPr>
                <w:rFonts w:ascii="Times New Roman" w:hAnsi="Times New Roman"/>
                <w:sz w:val="24"/>
                <w:szCs w:val="24"/>
                <w:lang w:val="ro-MD"/>
              </w:rPr>
              <w:t xml:space="preserve">Lista substanțelor active conținute în produsele </w:t>
            </w:r>
            <w:proofErr w:type="spellStart"/>
            <w:r w:rsidRPr="00FF5647">
              <w:rPr>
                <w:rFonts w:ascii="Times New Roman" w:hAnsi="Times New Roman"/>
                <w:sz w:val="24"/>
                <w:szCs w:val="24"/>
                <w:lang w:val="ro-MD"/>
              </w:rPr>
              <w:t>biocide</w:t>
            </w:r>
            <w:proofErr w:type="spellEnd"/>
            <w:r w:rsidRPr="00FF5647">
              <w:rPr>
                <w:rFonts w:ascii="Times New Roman" w:hAnsi="Times New Roman"/>
                <w:sz w:val="24"/>
                <w:szCs w:val="24"/>
                <w:lang w:val="ro-MD"/>
              </w:rPr>
              <w:t xml:space="preserve"> eligibile procedurii simplificate de înregistrare, conform anexei.</w:t>
            </w:r>
          </w:p>
          <w:p w14:paraId="572FB796" w14:textId="475367A5" w:rsidR="0088338D" w:rsidRPr="00FF5647" w:rsidRDefault="0088338D" w:rsidP="00B165AC">
            <w:pPr>
              <w:pStyle w:val="Frspaiere"/>
              <w:ind w:firstLine="0"/>
              <w:rPr>
                <w:rFonts w:ascii="Times New Roman" w:hAnsi="Times New Roman"/>
                <w:sz w:val="24"/>
                <w:szCs w:val="24"/>
                <w:lang w:val="pt-PT"/>
              </w:rPr>
            </w:pPr>
            <w:r w:rsidRPr="00FF5647">
              <w:rPr>
                <w:rFonts w:ascii="Times New Roman" w:hAnsi="Times New Roman"/>
                <w:sz w:val="24"/>
                <w:szCs w:val="24"/>
                <w:lang w:val="pt-PT"/>
              </w:rPr>
              <w:t>Ce ține de lista substanțelor active, prevăzută în Anexa nr.2 la Regulamentul 528/2012, ultima se recunoaște și se preia integral la nivel național, făcând trimitere la web site web al Agenției European Chemical Agency</w:t>
            </w:r>
          </w:p>
          <w:p w14:paraId="595F51BD" w14:textId="719F94F0" w:rsidR="000A3286" w:rsidRPr="00FF5647" w:rsidRDefault="000A3286"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5884623" w14:textId="77777777" w:rsidR="000A3286" w:rsidRPr="00FF5647" w:rsidRDefault="000A3286"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C5C98F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AEAD07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5BC628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502B89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D9E62C5"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1C5F155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7D4816B"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0AB3B75"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63B448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D71D7E6"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F8CC89E"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4B4F985"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182D9DFE"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10F15E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717477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D098B88"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1380639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8CE2164"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0A6E21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7C3425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71B9FE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9BC1AE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1EC0D7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4CF2FB6"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B6A2AE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8CD6EA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6292619"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8D9554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5265AF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07E0498"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A4A00EB"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833080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C0D0E3B"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4170E25"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CE0408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AF0565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0F4840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1B07F6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8A7039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BCA99D0"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F4C6E2D"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B709F5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B63388B"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42BAC27"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31ECB24"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E35A25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F31640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7870C0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297C74E"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CDF93D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FAF9D4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DE90A5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068F11D"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7388D25"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9D9A69E"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2DFFB8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00591FE"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1C44B35D"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FFF1326"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E9D37F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427BD2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2628F7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666575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320E6C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DD5866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1E322A7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0EEAD3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7586ACD"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E917D6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1BABE3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2754405"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CC6093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3E10238"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5B0205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524AEA4"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304159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B607C10"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32E8235"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18AED8E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056A6D8"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F28B58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9722D2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B95A25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F471E8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60863998"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A4444C7"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1D6CB21E"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7318D69"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B7DA73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67AC870"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04D5FB8"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D497FC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6E4504D"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B5A353B"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B3B5643"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D85A79B"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3C0691B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Se acceptă.</w:t>
            </w:r>
          </w:p>
          <w:p w14:paraId="5E3BC549" w14:textId="12EA956D"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Categoria 2 ,  Categoria 4,  Categoria 5  Categoria 6 din anexa nr. 1 a</w:t>
            </w:r>
            <w:r w:rsidR="0064666D" w:rsidRPr="00FF5647">
              <w:rPr>
                <w:rFonts w:ascii="Times New Roman" w:hAnsi="Times New Roman"/>
                <w:sz w:val="24"/>
                <w:szCs w:val="24"/>
              </w:rPr>
              <w:t>u</w:t>
            </w:r>
            <w:r w:rsidRPr="00FF5647">
              <w:rPr>
                <w:rFonts w:ascii="Times New Roman" w:hAnsi="Times New Roman"/>
                <w:sz w:val="24"/>
                <w:szCs w:val="24"/>
              </w:rPr>
              <w:t xml:space="preserve"> fost completat</w:t>
            </w:r>
            <w:r w:rsidR="0064666D" w:rsidRPr="00FF5647">
              <w:rPr>
                <w:rFonts w:ascii="Times New Roman" w:hAnsi="Times New Roman"/>
                <w:sz w:val="24"/>
                <w:szCs w:val="24"/>
              </w:rPr>
              <w:t>e</w:t>
            </w:r>
            <w:r w:rsidRPr="00FF5647">
              <w:rPr>
                <w:rFonts w:ascii="Times New Roman" w:hAnsi="Times New Roman"/>
                <w:sz w:val="24"/>
                <w:szCs w:val="24"/>
              </w:rPr>
              <w:t xml:space="preserve"> cu pozițiile lipsă.</w:t>
            </w:r>
          </w:p>
          <w:p w14:paraId="266FB14B"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7F6078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8B0BF79"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4B46501F"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FD6A6F7"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80FB02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D660411"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3CC4E37"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2762E8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800DC60"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5D2C4F4"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3AF5A8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2B938F02"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621D938"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A4CABD5"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C7134BC"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5B2A06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6C689256"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061CB64" w14:textId="1C2DD6C5"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b/>
                <w:bCs/>
                <w:sz w:val="24"/>
                <w:szCs w:val="24"/>
              </w:rPr>
              <w:t>Se acceptă</w:t>
            </w:r>
          </w:p>
          <w:p w14:paraId="3F39DF8A"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completat cu punctul 5 cu următorul cuprins:</w:t>
            </w:r>
          </w:p>
          <w:p w14:paraId="5A0F7FB7" w14:textId="77777777" w:rsidR="00291ECD" w:rsidRPr="00FF5647" w:rsidRDefault="00291ECD" w:rsidP="00B165AC">
            <w:pPr>
              <w:pBdr>
                <w:top w:val="none" w:sz="4" w:space="0" w:color="000000"/>
                <w:left w:val="none" w:sz="4" w:space="0" w:color="000000"/>
                <w:bottom w:val="none" w:sz="4" w:space="0" w:color="000000"/>
                <w:right w:val="none" w:sz="4" w:space="0" w:color="000000"/>
              </w:pBdr>
              <w:ind w:firstLine="0"/>
              <w:rPr>
                <w:rFonts w:ascii="Times New Roman" w:hAnsi="Times New Roman"/>
                <w:color w:val="000000"/>
                <w:sz w:val="24"/>
                <w:szCs w:val="24"/>
                <w:lang w:val="ro-RO"/>
              </w:rPr>
            </w:pPr>
            <w:r w:rsidRPr="00FF5647">
              <w:rPr>
                <w:rFonts w:ascii="Times New Roman" w:hAnsi="Times New Roman"/>
                <w:sz w:val="24"/>
                <w:szCs w:val="24"/>
              </w:rPr>
              <w:t xml:space="preserve">„5. </w:t>
            </w:r>
            <w:r w:rsidRPr="00FF5647">
              <w:rPr>
                <w:rFonts w:ascii="Times New Roman" w:hAnsi="Times New Roman"/>
                <w:color w:val="000000"/>
                <w:sz w:val="24"/>
                <w:szCs w:val="24"/>
                <w:lang w:val="ro-RO"/>
              </w:rPr>
              <w:t xml:space="preserve"> Prezentul ordin se abrogă la data aderării Republicii Moldova la Uniunea Europeană.”</w:t>
            </w:r>
          </w:p>
          <w:p w14:paraId="7811DA7F"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141C902"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A25ADFE"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4527B77"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AD31A02"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2E48D4D9"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A180264"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05AAD54"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5282223"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BB66532"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FB9B554"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2E393ED1"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594FD4D"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604B329"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B81F530"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2882FA1E"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85C23F4"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CDEFADB"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57C788D"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2F152674"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C5D049C"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7AD6910"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35ADE85"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C011C30"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EFC5FE9"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42CB8DD2" w14:textId="77777777" w:rsidR="00DF65FA" w:rsidRPr="00FF5647" w:rsidRDefault="00DF65FA"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C02AE7B" w14:textId="77777777" w:rsidR="00DF65FA" w:rsidRPr="00FF5647" w:rsidRDefault="00DF65FA"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4BD19AF3" w14:textId="77777777" w:rsidR="00DF65FA" w:rsidRPr="00FF5647" w:rsidRDefault="00DF65FA"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7B2A2DD9" w14:textId="77777777" w:rsidR="00DF65FA" w:rsidRPr="00FF5647" w:rsidRDefault="00DF65FA"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A71B9C2" w14:textId="43324913"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29ACC918"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2A8977ED"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58697B8"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36051633"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9786F7F"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7E39834"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49FAFF2"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0AE4226"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6E43C5CB"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0498195"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640F202F"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065AF50"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F7C7FBC"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5C55A679"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2572F227"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484E013"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1C1D37F"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0D6448F"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1A98666"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48B4A7C2"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6366A471"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20930DF6"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36EB5CE"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00A37CE5"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6C8329B"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1D0FC57B"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7890932"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p w14:paraId="751D27BD" w14:textId="77777777"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lastRenderedPageBreak/>
              <w:t>Se acceptă.</w:t>
            </w:r>
          </w:p>
          <w:p w14:paraId="060D4D9E" w14:textId="335427B3" w:rsidR="00AA232A" w:rsidRPr="00FF5647" w:rsidRDefault="00AA232A"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Compartimentul 5 al Notei de fundamentare a fost completat.</w:t>
            </w:r>
          </w:p>
        </w:tc>
      </w:tr>
      <w:tr w:rsidR="00B165AC" w:rsidRPr="00FF5647" w14:paraId="528E78EB" w14:textId="77777777" w:rsidTr="002226FE">
        <w:trPr>
          <w:trHeight w:val="639"/>
        </w:trPr>
        <w:tc>
          <w:tcPr>
            <w:tcW w:w="229" w:type="pct"/>
            <w:tcBorders>
              <w:top w:val="none" w:sz="4" w:space="0" w:color="000000"/>
              <w:left w:val="single" w:sz="8" w:space="0" w:color="000000"/>
              <w:bottom w:val="single" w:sz="8" w:space="0" w:color="000000"/>
              <w:right w:val="single" w:sz="8" w:space="0" w:color="000000"/>
            </w:tcBorders>
          </w:tcPr>
          <w:p w14:paraId="7B406A90" w14:textId="77777777" w:rsidR="00CD6133" w:rsidRPr="00FF5647" w:rsidRDefault="00CD6133" w:rsidP="00B165AC">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4"/>
                <w:szCs w:val="24"/>
              </w:rPr>
            </w:pPr>
          </w:p>
        </w:tc>
        <w:tc>
          <w:tcPr>
            <w:tcW w:w="548"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45152A" w14:textId="2A1A6F1A" w:rsidR="00CD6133" w:rsidRPr="00FF5647" w:rsidRDefault="00CD6133" w:rsidP="00B165A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FF5647">
              <w:rPr>
                <w:rFonts w:ascii="Times New Roman" w:hAnsi="Times New Roman"/>
                <w:b/>
                <w:sz w:val="24"/>
                <w:szCs w:val="24"/>
              </w:rPr>
              <w:t xml:space="preserve">Ministerul </w:t>
            </w:r>
            <w:r w:rsidR="003A71F7" w:rsidRPr="00FF5647">
              <w:rPr>
                <w:rFonts w:ascii="Times New Roman" w:hAnsi="Times New Roman"/>
                <w:b/>
                <w:sz w:val="24"/>
                <w:szCs w:val="24"/>
              </w:rPr>
              <w:t>Afacerilor Externe</w:t>
            </w:r>
          </w:p>
        </w:tc>
        <w:tc>
          <w:tcPr>
            <w:tcW w:w="53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49DA08" w14:textId="7F779417" w:rsidR="00CD6133" w:rsidRPr="00FF5647" w:rsidRDefault="00477C94" w:rsidP="00B165AC">
            <w:pPr>
              <w:ind w:firstLine="0"/>
              <w:rPr>
                <w:rFonts w:ascii="Times New Roman" w:hAnsi="Times New Roman"/>
                <w:b/>
                <w:sz w:val="24"/>
                <w:szCs w:val="24"/>
              </w:rPr>
            </w:pPr>
            <w:r w:rsidRPr="00FF5647">
              <w:rPr>
                <w:rFonts w:ascii="Times New Roman" w:hAnsi="Times New Roman"/>
                <w:b/>
                <w:sz w:val="24"/>
                <w:szCs w:val="24"/>
                <w:lang w:val="ro-RO"/>
              </w:rPr>
              <w:t>Nr. DI/3/041-7188 din 15</w:t>
            </w:r>
            <w:r w:rsidR="000B31A9" w:rsidRPr="00FF5647">
              <w:rPr>
                <w:rFonts w:ascii="Times New Roman" w:hAnsi="Times New Roman"/>
                <w:b/>
                <w:sz w:val="24"/>
                <w:szCs w:val="24"/>
                <w:lang w:val="ro-RO"/>
              </w:rPr>
              <w:t>.07.</w:t>
            </w:r>
            <w:r w:rsidRPr="00FF5647">
              <w:rPr>
                <w:rFonts w:ascii="Times New Roman" w:hAnsi="Times New Roman"/>
                <w:b/>
                <w:sz w:val="24"/>
                <w:szCs w:val="24"/>
                <w:lang w:val="ro-RO"/>
              </w:rPr>
              <w:t>2025</w:t>
            </w:r>
          </w:p>
        </w:tc>
        <w:tc>
          <w:tcPr>
            <w:tcW w:w="21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3E1C6D" w14:textId="75E213F8" w:rsidR="00CD6133" w:rsidRPr="00FF5647" w:rsidRDefault="00477C94" w:rsidP="00B165AC">
            <w:pPr>
              <w:pStyle w:val="Default"/>
              <w:jc w:val="both"/>
              <w:rPr>
                <w:rFonts w:ascii="Times New Roman" w:hAnsi="Times New Roman"/>
                <w:lang w:val="ro-MD"/>
              </w:rPr>
            </w:pPr>
            <w:r w:rsidRPr="00FF5647">
              <w:rPr>
                <w:rFonts w:ascii="Times New Roman" w:hAnsi="Times New Roman"/>
                <w:lang w:val="ro-RO"/>
              </w:rPr>
              <w:t xml:space="preserve">Ministerul Afacerilor Externe a examinat proiectului de ordin cu privire la aprobarea Listelor substanțelor active și a altor substanțe conținute în produsele </w:t>
            </w:r>
            <w:proofErr w:type="spellStart"/>
            <w:r w:rsidRPr="00FF5647">
              <w:rPr>
                <w:rFonts w:ascii="Times New Roman" w:hAnsi="Times New Roman"/>
                <w:lang w:val="ro-RO"/>
              </w:rPr>
              <w:t>biocide</w:t>
            </w:r>
            <w:proofErr w:type="spellEnd"/>
            <w:r w:rsidRPr="00FF5647">
              <w:rPr>
                <w:rFonts w:ascii="Times New Roman" w:hAnsi="Times New Roman"/>
                <w:lang w:val="ro-RO"/>
              </w:rPr>
              <w:t xml:space="preserve"> și, în limita competențelor funcționale, comunică lipsa de obiecții și propuneri, menționând că proiectul nu vizează domeniul de activitate al MAE.</w:t>
            </w:r>
          </w:p>
        </w:tc>
        <w:tc>
          <w:tcPr>
            <w:tcW w:w="1485"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7D5724A" w14:textId="4CC0B9B7" w:rsidR="00CD6133" w:rsidRPr="00FF5647" w:rsidRDefault="00BA282B"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b/>
                <w:bCs/>
                <w:sz w:val="24"/>
                <w:szCs w:val="24"/>
              </w:rPr>
              <w:t>Se ia act</w:t>
            </w:r>
          </w:p>
        </w:tc>
      </w:tr>
      <w:tr w:rsidR="00B165AC" w:rsidRPr="00FF5647" w14:paraId="302F1172" w14:textId="77777777" w:rsidTr="002226FE">
        <w:trPr>
          <w:trHeight w:val="639"/>
        </w:trPr>
        <w:tc>
          <w:tcPr>
            <w:tcW w:w="229" w:type="pct"/>
            <w:tcBorders>
              <w:top w:val="none" w:sz="4" w:space="0" w:color="000000"/>
              <w:left w:val="single" w:sz="8" w:space="0" w:color="000000"/>
              <w:bottom w:val="single" w:sz="8" w:space="0" w:color="000000"/>
              <w:right w:val="single" w:sz="8" w:space="0" w:color="000000"/>
            </w:tcBorders>
          </w:tcPr>
          <w:p w14:paraId="0CDF1082" w14:textId="77777777" w:rsidR="00CD6133" w:rsidRPr="00FF5647" w:rsidRDefault="00CD6133" w:rsidP="00B165AC">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4"/>
                <w:szCs w:val="24"/>
              </w:rPr>
            </w:pPr>
          </w:p>
        </w:tc>
        <w:tc>
          <w:tcPr>
            <w:tcW w:w="548" w:type="pct"/>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8909DE" w14:textId="1F862A04" w:rsidR="00CD6133" w:rsidRPr="00FF5647" w:rsidRDefault="00CD6133" w:rsidP="00B165A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FF5647">
              <w:rPr>
                <w:rFonts w:ascii="Times New Roman" w:hAnsi="Times New Roman"/>
                <w:b/>
                <w:sz w:val="24"/>
                <w:szCs w:val="24"/>
              </w:rPr>
              <w:t xml:space="preserve">Ministerul </w:t>
            </w:r>
            <w:r w:rsidR="003642FE" w:rsidRPr="00FF5647">
              <w:rPr>
                <w:rFonts w:ascii="Times New Roman" w:hAnsi="Times New Roman"/>
                <w:b/>
                <w:sz w:val="24"/>
                <w:szCs w:val="24"/>
              </w:rPr>
              <w:t xml:space="preserve">Agriculturii și Industriei Alimentare </w:t>
            </w:r>
          </w:p>
        </w:tc>
        <w:tc>
          <w:tcPr>
            <w:tcW w:w="53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84C694B" w14:textId="204D3D7C" w:rsidR="00CD6133" w:rsidRPr="00FF5647" w:rsidRDefault="000B31A9" w:rsidP="00B165AC">
            <w:pPr>
              <w:pBdr>
                <w:top w:val="none" w:sz="4" w:space="0" w:color="000000"/>
                <w:left w:val="none" w:sz="4" w:space="0" w:color="000000"/>
                <w:bottom w:val="none" w:sz="4" w:space="0" w:color="000000"/>
                <w:right w:val="none" w:sz="4" w:space="0" w:color="000000"/>
              </w:pBdr>
              <w:tabs>
                <w:tab w:val="left" w:pos="930"/>
              </w:tabs>
              <w:ind w:firstLine="0"/>
              <w:rPr>
                <w:rFonts w:ascii="Times New Roman" w:hAnsi="Times New Roman"/>
                <w:b/>
                <w:sz w:val="24"/>
                <w:szCs w:val="24"/>
              </w:rPr>
            </w:pPr>
            <w:r w:rsidRPr="00FF5647">
              <w:rPr>
                <w:rFonts w:ascii="Times New Roman" w:hAnsi="Times New Roman"/>
                <w:b/>
                <w:sz w:val="24"/>
                <w:szCs w:val="24"/>
              </w:rPr>
              <w:t>Nr. 09-07/88/2079 din 23.07.2025</w:t>
            </w:r>
          </w:p>
        </w:tc>
        <w:tc>
          <w:tcPr>
            <w:tcW w:w="2199"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bottom"/>
          </w:tcPr>
          <w:p w14:paraId="2B0F1BFC" w14:textId="0C1DC8D5" w:rsidR="000B31A9" w:rsidRPr="00FF5647" w:rsidRDefault="000B31A9" w:rsidP="00B165AC">
            <w:pPr>
              <w:pStyle w:val="Listparagraf"/>
              <w:widowControl w:val="0"/>
              <w:numPr>
                <w:ilvl w:val="0"/>
                <w:numId w:val="25"/>
              </w:numPr>
              <w:tabs>
                <w:tab w:val="left" w:pos="0"/>
                <w:tab w:val="left" w:pos="273"/>
                <w:tab w:val="left" w:pos="1059"/>
              </w:tabs>
              <w:autoSpaceDE w:val="0"/>
              <w:autoSpaceDN w:val="0"/>
              <w:spacing w:before="1" w:line="267" w:lineRule="exact"/>
              <w:rPr>
                <w:rFonts w:ascii="Times New Roman" w:hAnsi="Times New Roman"/>
                <w:sz w:val="24"/>
                <w:szCs w:val="24"/>
              </w:rPr>
            </w:pPr>
            <w:r w:rsidRPr="00FF5647">
              <w:rPr>
                <w:rFonts w:ascii="Times New Roman" w:hAnsi="Times New Roman"/>
                <w:b/>
                <w:bCs/>
                <w:sz w:val="24"/>
                <w:szCs w:val="24"/>
              </w:rPr>
              <w:t>Obiecții privind transpunerea Anexei nr. I din Regulamentul (UE) nr. 528/2012</w:t>
            </w:r>
            <w:r w:rsidRPr="00FF5647">
              <w:rPr>
                <w:rFonts w:ascii="Times New Roman" w:hAnsi="Times New Roman"/>
                <w:sz w:val="24"/>
                <w:szCs w:val="24"/>
              </w:rPr>
              <w:t xml:space="preserve">. </w:t>
            </w:r>
          </w:p>
          <w:p w14:paraId="1607F8D0" w14:textId="77777777" w:rsidR="000B31A9" w:rsidRPr="00FF5647" w:rsidRDefault="000B31A9" w:rsidP="00B165AC">
            <w:pPr>
              <w:widowControl w:val="0"/>
              <w:tabs>
                <w:tab w:val="left" w:pos="0"/>
                <w:tab w:val="left" w:pos="273"/>
                <w:tab w:val="left" w:pos="1059"/>
              </w:tabs>
              <w:autoSpaceDE w:val="0"/>
              <w:autoSpaceDN w:val="0"/>
              <w:spacing w:before="1" w:line="267" w:lineRule="exact"/>
              <w:ind w:firstLine="0"/>
              <w:rPr>
                <w:rFonts w:ascii="Times New Roman" w:hAnsi="Times New Roman"/>
                <w:sz w:val="24"/>
                <w:szCs w:val="24"/>
              </w:rPr>
            </w:pPr>
            <w:r w:rsidRPr="00FF5647">
              <w:rPr>
                <w:rFonts w:ascii="Times New Roman" w:hAnsi="Times New Roman"/>
                <w:sz w:val="24"/>
                <w:szCs w:val="24"/>
              </w:rPr>
              <w:t xml:space="preserve">Deși în clauza de armonizare a proiectului de Ordin se afirmă că se transpune Anexa nr. 1 din Regulamentul (UE) nr. 528/2012 privind punerea la dispoziție pe piață și utilizarea produselor </w:t>
            </w:r>
            <w:proofErr w:type="spellStart"/>
            <w:r w:rsidRPr="00FF5647">
              <w:rPr>
                <w:rFonts w:ascii="Times New Roman" w:hAnsi="Times New Roman"/>
                <w:sz w:val="24"/>
                <w:szCs w:val="24"/>
              </w:rPr>
              <w:t>biocide</w:t>
            </w:r>
            <w:proofErr w:type="spellEnd"/>
            <w:r w:rsidRPr="00FF5647">
              <w:rPr>
                <w:rFonts w:ascii="Times New Roman" w:hAnsi="Times New Roman"/>
                <w:sz w:val="24"/>
                <w:szCs w:val="24"/>
              </w:rPr>
              <w:t xml:space="preserve">, „așa cum a fost modificată ultima dată prin Regulamentul delegat (UE) 2024/1398”, în realitate, anexa proiectului de Ordin nu reflectă forma actualizată a legislației europene, ci doar versiunea sa inițială. </w:t>
            </w:r>
          </w:p>
          <w:p w14:paraId="357D34C5" w14:textId="242AF59B" w:rsidR="000B31A9" w:rsidRPr="00FF5647" w:rsidRDefault="000B31A9" w:rsidP="00B165AC">
            <w:pPr>
              <w:pStyle w:val="Listparagraf"/>
              <w:widowControl w:val="0"/>
              <w:numPr>
                <w:ilvl w:val="1"/>
                <w:numId w:val="25"/>
              </w:numPr>
              <w:tabs>
                <w:tab w:val="left" w:pos="0"/>
                <w:tab w:val="left" w:pos="273"/>
                <w:tab w:val="left" w:pos="1059"/>
              </w:tabs>
              <w:autoSpaceDE w:val="0"/>
              <w:autoSpaceDN w:val="0"/>
              <w:spacing w:before="1" w:line="267" w:lineRule="exact"/>
              <w:rPr>
                <w:rFonts w:ascii="Times New Roman" w:hAnsi="Times New Roman"/>
                <w:sz w:val="24"/>
                <w:szCs w:val="24"/>
              </w:rPr>
            </w:pPr>
            <w:r w:rsidRPr="00FF5647">
              <w:rPr>
                <w:rFonts w:ascii="Times New Roman" w:hAnsi="Times New Roman"/>
                <w:sz w:val="24"/>
                <w:szCs w:val="24"/>
              </w:rPr>
              <w:t xml:space="preserve">Nerespectarea ultimei versiuni modificate a Regulamentului 528/2012: - Regulamentul delegat (UE) 2024/1398 aduce modificări efective Regulamentului 528/2012, inclusiv asupra substanțelor active incluse în anexă; - Anexa nr. 1 al Ordinului nu integrează aceste modificări, fiind întocmită după forma primară a Regulamentului 528/2012. Prin urmare, afirmația autorilor că transpun ultima versiune consolidată este eronată. </w:t>
            </w:r>
          </w:p>
          <w:p w14:paraId="7B10E3B2" w14:textId="16364B73" w:rsidR="000B31A9" w:rsidRPr="00FF5647" w:rsidRDefault="000B31A9" w:rsidP="00B165AC">
            <w:pPr>
              <w:pStyle w:val="Listparagraf"/>
              <w:widowControl w:val="0"/>
              <w:numPr>
                <w:ilvl w:val="1"/>
                <w:numId w:val="25"/>
              </w:numPr>
              <w:tabs>
                <w:tab w:val="left" w:pos="0"/>
                <w:tab w:val="left" w:pos="273"/>
                <w:tab w:val="left" w:pos="1059"/>
              </w:tabs>
              <w:autoSpaceDE w:val="0"/>
              <w:autoSpaceDN w:val="0"/>
              <w:spacing w:before="1" w:line="267" w:lineRule="exact"/>
              <w:rPr>
                <w:rFonts w:ascii="Times New Roman" w:hAnsi="Times New Roman"/>
                <w:sz w:val="24"/>
                <w:szCs w:val="24"/>
              </w:rPr>
            </w:pPr>
            <w:r w:rsidRPr="00FF5647">
              <w:rPr>
                <w:rFonts w:ascii="Times New Roman" w:hAnsi="Times New Roman"/>
                <w:sz w:val="24"/>
                <w:szCs w:val="24"/>
              </w:rPr>
              <w:t xml:space="preserve"> în Anexa nr. 1 lipsesc substanțe active incluse în Anexa I actualizată a Regulamentului 528/2012, cum ar</w:t>
            </w:r>
            <w:r w:rsidR="001916DF" w:rsidRPr="00FF5647">
              <w:rPr>
                <w:rFonts w:ascii="Times New Roman" w:hAnsi="Times New Roman"/>
                <w:sz w:val="24"/>
                <w:szCs w:val="24"/>
              </w:rPr>
              <w:t xml:space="preserve"> </w:t>
            </w:r>
            <w:r w:rsidRPr="00FF5647">
              <w:rPr>
                <w:rFonts w:ascii="Times New Roman" w:hAnsi="Times New Roman"/>
                <w:sz w:val="24"/>
                <w:szCs w:val="24"/>
              </w:rPr>
              <w:t xml:space="preserve">fi: - Categoria 2: Azot generat din aerul ambiental; - Categoria 4: Oțet, </w:t>
            </w:r>
            <w:proofErr w:type="spellStart"/>
            <w:r w:rsidRPr="00FF5647">
              <w:rPr>
                <w:rFonts w:ascii="Times New Roman" w:hAnsi="Times New Roman"/>
                <w:sz w:val="24"/>
                <w:szCs w:val="24"/>
              </w:rPr>
              <w:t>Saccharomyces</w:t>
            </w:r>
            <w:proofErr w:type="spellEnd"/>
            <w:r w:rsidRPr="00FF5647">
              <w:rPr>
                <w:rFonts w:ascii="Times New Roman" w:hAnsi="Times New Roman"/>
                <w:sz w:val="24"/>
                <w:szCs w:val="24"/>
              </w:rPr>
              <w:t xml:space="preserve"> </w:t>
            </w:r>
            <w:proofErr w:type="spellStart"/>
            <w:r w:rsidRPr="00FF5647">
              <w:rPr>
                <w:rFonts w:ascii="Times New Roman" w:hAnsi="Times New Roman"/>
                <w:sz w:val="24"/>
                <w:szCs w:val="24"/>
              </w:rPr>
              <w:t>cerevisiae</w:t>
            </w:r>
            <w:proofErr w:type="spellEnd"/>
            <w:r w:rsidRPr="00FF5647">
              <w:rPr>
                <w:rFonts w:ascii="Times New Roman" w:hAnsi="Times New Roman"/>
                <w:sz w:val="24"/>
                <w:szCs w:val="24"/>
              </w:rPr>
              <w:t xml:space="preserve"> (drojdie), Praf de ou, Miere, D-fructoză, Brânză, Suc de mere concentrat, etc. </w:t>
            </w:r>
          </w:p>
          <w:p w14:paraId="508B924F" w14:textId="35A396C2" w:rsidR="003642FE" w:rsidRPr="00FF5647" w:rsidRDefault="000B31A9" w:rsidP="00B165AC">
            <w:pPr>
              <w:pStyle w:val="Listparagraf"/>
              <w:widowControl w:val="0"/>
              <w:numPr>
                <w:ilvl w:val="1"/>
                <w:numId w:val="25"/>
              </w:numPr>
              <w:tabs>
                <w:tab w:val="left" w:pos="0"/>
                <w:tab w:val="left" w:pos="273"/>
                <w:tab w:val="left" w:pos="1059"/>
              </w:tabs>
              <w:autoSpaceDE w:val="0"/>
              <w:autoSpaceDN w:val="0"/>
              <w:spacing w:before="1" w:line="267" w:lineRule="exact"/>
              <w:rPr>
                <w:rFonts w:ascii="Times New Roman" w:hAnsi="Times New Roman"/>
                <w:sz w:val="24"/>
                <w:szCs w:val="24"/>
              </w:rPr>
            </w:pPr>
            <w:r w:rsidRPr="00FF5647">
              <w:rPr>
                <w:rFonts w:ascii="Times New Roman" w:hAnsi="Times New Roman"/>
                <w:sz w:val="24"/>
                <w:szCs w:val="24"/>
              </w:rPr>
              <w:t xml:space="preserve"> Erori de redactare:</w:t>
            </w:r>
          </w:p>
          <w:p w14:paraId="08F0F53B" w14:textId="77777777" w:rsidR="000B31A9" w:rsidRPr="00FF5647" w:rsidRDefault="000B31A9" w:rsidP="00B165AC">
            <w:pPr>
              <w:widowControl w:val="0"/>
              <w:tabs>
                <w:tab w:val="left" w:pos="0"/>
                <w:tab w:val="left" w:pos="273"/>
                <w:tab w:val="left" w:pos="1059"/>
              </w:tabs>
              <w:autoSpaceDE w:val="0"/>
              <w:autoSpaceDN w:val="0"/>
              <w:spacing w:before="1" w:line="267" w:lineRule="exact"/>
              <w:ind w:firstLine="0"/>
              <w:rPr>
                <w:rFonts w:ascii="Times New Roman" w:hAnsi="Times New Roman"/>
                <w:sz w:val="24"/>
                <w:szCs w:val="24"/>
              </w:rPr>
            </w:pPr>
            <w:r w:rsidRPr="00FF5647">
              <w:rPr>
                <w:rFonts w:ascii="Times New Roman" w:hAnsi="Times New Roman"/>
                <w:sz w:val="24"/>
                <w:szCs w:val="24"/>
              </w:rPr>
              <w:t xml:space="preserve">In categoria 5 - Feromoni, denumirea Oct-l-en-3-ol este transcrisă incorect în proiectul Ordinului ca „1 oct. în al treilea an”, ceea ce afectează acuratețea juridică și tehnică a actului. </w:t>
            </w:r>
          </w:p>
          <w:p w14:paraId="513EF955" w14:textId="77777777" w:rsidR="000B31A9" w:rsidRPr="00FF5647" w:rsidRDefault="000B31A9" w:rsidP="00B165AC">
            <w:pPr>
              <w:pStyle w:val="Listparagraf"/>
              <w:widowControl w:val="0"/>
              <w:numPr>
                <w:ilvl w:val="0"/>
                <w:numId w:val="25"/>
              </w:numPr>
              <w:tabs>
                <w:tab w:val="left" w:pos="0"/>
                <w:tab w:val="left" w:pos="273"/>
                <w:tab w:val="left" w:pos="1059"/>
              </w:tabs>
              <w:autoSpaceDE w:val="0"/>
              <w:autoSpaceDN w:val="0"/>
              <w:spacing w:before="1" w:line="267" w:lineRule="exact"/>
              <w:rPr>
                <w:rFonts w:ascii="Times New Roman" w:hAnsi="Times New Roman"/>
                <w:sz w:val="24"/>
                <w:szCs w:val="24"/>
              </w:rPr>
            </w:pPr>
            <w:r w:rsidRPr="00FF5647">
              <w:rPr>
                <w:rFonts w:ascii="Times New Roman" w:hAnsi="Times New Roman"/>
                <w:b/>
                <w:bCs/>
                <w:sz w:val="24"/>
                <w:szCs w:val="24"/>
              </w:rPr>
              <w:lastRenderedPageBreak/>
              <w:t>Obiecții privind transpunerea Anexei nr. 2 din Regulamentul delegat (UE) nr. 1062/2014.</w:t>
            </w:r>
          </w:p>
          <w:p w14:paraId="7529314C" w14:textId="77777777" w:rsidR="000B31A9" w:rsidRPr="00FF5647" w:rsidRDefault="000B31A9" w:rsidP="00B165AC">
            <w:pPr>
              <w:widowControl w:val="0"/>
              <w:tabs>
                <w:tab w:val="left" w:pos="0"/>
                <w:tab w:val="left" w:pos="273"/>
                <w:tab w:val="left" w:pos="1059"/>
              </w:tabs>
              <w:autoSpaceDE w:val="0"/>
              <w:autoSpaceDN w:val="0"/>
              <w:spacing w:before="1" w:line="267" w:lineRule="exact"/>
              <w:ind w:firstLine="496"/>
              <w:rPr>
                <w:rFonts w:ascii="Times New Roman" w:hAnsi="Times New Roman"/>
                <w:sz w:val="24"/>
                <w:szCs w:val="24"/>
              </w:rPr>
            </w:pPr>
            <w:r w:rsidRPr="00FF5647">
              <w:rPr>
                <w:rFonts w:ascii="Times New Roman" w:hAnsi="Times New Roman"/>
                <w:sz w:val="24"/>
                <w:szCs w:val="24"/>
              </w:rPr>
              <w:t xml:space="preserve">Se afirmă că proiectul de Ordin transpune și Anexa nr. 2 din Regulamentul delegat (UE) nr. 1062/2014, astfel cum a fost modificată ultima dată prin Regulamentul delegat (UE) nr. 2022/825. Cu toate acestea, conținutul Anexei nr. 2 a Ordinului nu reflectă actualizările aduse de modificările ulterioare ale regulamentului, ci reproduce în esență conținutul versiunii inițiale. </w:t>
            </w:r>
          </w:p>
          <w:p w14:paraId="26704A19" w14:textId="45CA18E0" w:rsidR="000B31A9" w:rsidRPr="00FF5647" w:rsidRDefault="000B31A9" w:rsidP="00B165AC">
            <w:pPr>
              <w:widowControl w:val="0"/>
              <w:tabs>
                <w:tab w:val="left" w:pos="0"/>
                <w:tab w:val="left" w:pos="273"/>
                <w:tab w:val="left" w:pos="1059"/>
              </w:tabs>
              <w:autoSpaceDE w:val="0"/>
              <w:autoSpaceDN w:val="0"/>
              <w:spacing w:before="1" w:line="267" w:lineRule="exact"/>
              <w:ind w:firstLine="496"/>
              <w:rPr>
                <w:rFonts w:ascii="Times New Roman" w:hAnsi="Times New Roman"/>
                <w:sz w:val="24"/>
                <w:szCs w:val="24"/>
              </w:rPr>
            </w:pPr>
            <w:r w:rsidRPr="00FF5647">
              <w:rPr>
                <w:rFonts w:ascii="Times New Roman" w:hAnsi="Times New Roman"/>
                <w:sz w:val="24"/>
                <w:szCs w:val="24"/>
              </w:rPr>
              <w:t>Având în vedere cele expuse, considerăm că proiectul de Ordin nu reflectă fidel și complet legislația Uniunii Europene pe care pretinde că o transpune. Se recomandă revizuirea integrală a anexelor nr. 1 și nr. 2 ale proiectului de Ordin, în vederea alinierii la forma consolidată și actualizată a Anexei I din Regulamentul (UE) nr. 528/2012 și Anexei II din Regulamentul delegat (UE) nr. 1062/2014 și corectarea erorilor de conținut și de redactare (includerea substanțelor lipsă, reformularea denumirilor greșite și erorile admise în titlurile coloanelor, completarea rubricilor lipsă).</w:t>
            </w:r>
          </w:p>
        </w:tc>
        <w:tc>
          <w:tcPr>
            <w:tcW w:w="1485" w:type="pct"/>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EEBF9F0" w14:textId="77777777" w:rsidR="00CD6133" w:rsidRPr="00FF5647" w:rsidRDefault="00CD6133" w:rsidP="00B165AC">
            <w:pPr>
              <w:pBdr>
                <w:top w:val="none" w:sz="4" w:space="0" w:color="000000"/>
                <w:left w:val="none" w:sz="4" w:space="0" w:color="000000"/>
                <w:bottom w:val="none" w:sz="4" w:space="0" w:color="000000"/>
                <w:right w:val="none" w:sz="4" w:space="0" w:color="000000"/>
              </w:pBdr>
              <w:ind w:left="73" w:firstLine="0"/>
              <w:rPr>
                <w:rFonts w:ascii="Times New Roman" w:hAnsi="Times New Roman"/>
                <w:sz w:val="24"/>
                <w:szCs w:val="24"/>
              </w:rPr>
            </w:pPr>
          </w:p>
          <w:p w14:paraId="46874BFC" w14:textId="2DE84A4C" w:rsidR="00CD6133" w:rsidRPr="00FF5647" w:rsidRDefault="00FD5533" w:rsidP="00B165AC">
            <w:pPr>
              <w:pBdr>
                <w:top w:val="none" w:sz="4" w:space="0" w:color="000000"/>
                <w:left w:val="none" w:sz="4" w:space="0" w:color="000000"/>
                <w:bottom w:val="none" w:sz="4" w:space="0" w:color="000000"/>
                <w:right w:val="none" w:sz="4" w:space="0" w:color="000000"/>
              </w:pBdr>
              <w:ind w:left="73" w:firstLine="0"/>
              <w:rPr>
                <w:rFonts w:ascii="Times New Roman" w:hAnsi="Times New Roman"/>
                <w:sz w:val="24"/>
                <w:szCs w:val="24"/>
              </w:rPr>
            </w:pPr>
            <w:r w:rsidRPr="00FF5647">
              <w:rPr>
                <w:rFonts w:ascii="Times New Roman" w:hAnsi="Times New Roman"/>
                <w:sz w:val="24"/>
                <w:szCs w:val="24"/>
              </w:rPr>
              <w:t>Se acceptă.</w:t>
            </w:r>
          </w:p>
          <w:p w14:paraId="3CD771A1" w14:textId="020681BD" w:rsidR="00FD5533" w:rsidRPr="00FF5647" w:rsidRDefault="00FD5533" w:rsidP="00B165AC">
            <w:pPr>
              <w:pBdr>
                <w:top w:val="none" w:sz="4" w:space="0" w:color="000000"/>
                <w:left w:val="none" w:sz="4" w:space="0" w:color="000000"/>
                <w:bottom w:val="none" w:sz="4" w:space="0" w:color="000000"/>
                <w:right w:val="none" w:sz="4" w:space="0" w:color="000000"/>
              </w:pBdr>
              <w:ind w:left="73" w:firstLine="0"/>
              <w:rPr>
                <w:rFonts w:ascii="Times New Roman" w:hAnsi="Times New Roman"/>
                <w:sz w:val="24"/>
                <w:szCs w:val="24"/>
              </w:rPr>
            </w:pPr>
            <w:r w:rsidRPr="00FF5647">
              <w:rPr>
                <w:rFonts w:ascii="Times New Roman" w:hAnsi="Times New Roman"/>
                <w:sz w:val="24"/>
                <w:szCs w:val="24"/>
              </w:rPr>
              <w:t>Categoria 2 ,  Categoria 4,  Categoria 5  Categoria 6 din anexa nr. 1 au fost completate cu pozițiile lipsă</w:t>
            </w:r>
          </w:p>
        </w:tc>
      </w:tr>
      <w:tr w:rsidR="00B165AC" w:rsidRPr="00FF5647" w14:paraId="451CD60F" w14:textId="77777777" w:rsidTr="002226FE">
        <w:trPr>
          <w:trHeight w:val="639"/>
        </w:trPr>
        <w:tc>
          <w:tcPr>
            <w:tcW w:w="229" w:type="pct"/>
            <w:tcBorders>
              <w:top w:val="none" w:sz="4" w:space="0" w:color="000000"/>
              <w:left w:val="single" w:sz="8" w:space="0" w:color="000000"/>
              <w:bottom w:val="none" w:sz="4" w:space="0" w:color="000000"/>
              <w:right w:val="single" w:sz="8" w:space="0" w:color="000000"/>
            </w:tcBorders>
          </w:tcPr>
          <w:p w14:paraId="07716448" w14:textId="77777777" w:rsidR="00CD6133" w:rsidRPr="00FF5647" w:rsidRDefault="00CD6133" w:rsidP="00B165AC">
            <w:pPr>
              <w:pStyle w:val="Listparagraf"/>
              <w:numPr>
                <w:ilvl w:val="0"/>
                <w:numId w:val="1"/>
              </w:numPr>
              <w:pBdr>
                <w:top w:val="none" w:sz="4" w:space="0" w:color="000000"/>
                <w:left w:val="none" w:sz="4" w:space="0" w:color="000000"/>
                <w:bottom w:val="none" w:sz="4" w:space="0" w:color="000000"/>
                <w:right w:val="none" w:sz="4" w:space="0" w:color="000000"/>
              </w:pBdr>
              <w:ind w:hanging="660"/>
              <w:rPr>
                <w:rFonts w:ascii="Times New Roman" w:hAnsi="Times New Roman"/>
                <w:sz w:val="24"/>
                <w:szCs w:val="24"/>
              </w:rPr>
            </w:pPr>
          </w:p>
        </w:tc>
        <w:tc>
          <w:tcPr>
            <w:tcW w:w="548" w:type="pct"/>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2420C3D9" w14:textId="77C84C35" w:rsidR="00CD6133" w:rsidRPr="00FF5647" w:rsidRDefault="003642FE" w:rsidP="00B165AC">
            <w:pPr>
              <w:ind w:firstLine="0"/>
              <w:rPr>
                <w:rFonts w:ascii="Times New Roman" w:hAnsi="Times New Roman"/>
                <w:b/>
                <w:sz w:val="24"/>
                <w:szCs w:val="24"/>
              </w:rPr>
            </w:pPr>
            <w:r w:rsidRPr="00FF5647">
              <w:rPr>
                <w:rFonts w:ascii="Times New Roman" w:hAnsi="Times New Roman"/>
                <w:b/>
                <w:bCs/>
                <w:sz w:val="24"/>
                <w:szCs w:val="24"/>
              </w:rPr>
              <w:t xml:space="preserve">Ministerul Dezvoltării Economice și Digitalizării </w:t>
            </w:r>
          </w:p>
        </w:tc>
        <w:tc>
          <w:tcPr>
            <w:tcW w:w="539" w:type="pct"/>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18061D52" w14:textId="5B9D0CD4" w:rsidR="00CD6133" w:rsidRPr="00FF5647" w:rsidRDefault="002D4AEF" w:rsidP="00B165AC">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FF5647">
              <w:rPr>
                <w:rFonts w:ascii="Times New Roman" w:hAnsi="Times New Roman"/>
                <w:b/>
                <w:bCs/>
                <w:sz w:val="24"/>
                <w:szCs w:val="24"/>
              </w:rPr>
              <w:t>Nr. 16/1-2128 din 18.07.2025</w:t>
            </w:r>
          </w:p>
        </w:tc>
        <w:tc>
          <w:tcPr>
            <w:tcW w:w="2199" w:type="pct"/>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3D9FA330" w14:textId="01E64897" w:rsidR="00CD6133" w:rsidRPr="00FF5647" w:rsidRDefault="002D4AEF" w:rsidP="00B165A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 xml:space="preserve">Urmare examinării proiectului de ordin cu privire la aprobarea Listelor substanțelor active și a altor substanțe conținute în produsele </w:t>
            </w:r>
            <w:proofErr w:type="spellStart"/>
            <w:r w:rsidRPr="00FF5647">
              <w:rPr>
                <w:rFonts w:ascii="Times New Roman" w:hAnsi="Times New Roman"/>
                <w:sz w:val="24"/>
                <w:szCs w:val="24"/>
              </w:rPr>
              <w:t>biocide</w:t>
            </w:r>
            <w:proofErr w:type="spellEnd"/>
            <w:r w:rsidRPr="00FF5647">
              <w:rPr>
                <w:rFonts w:ascii="Times New Roman" w:hAnsi="Times New Roman"/>
                <w:sz w:val="24"/>
                <w:szCs w:val="24"/>
              </w:rPr>
              <w:t>, în limitele competențelor funcționale, comunică lipsa de obiecții și propuneri la acest proiect</w:t>
            </w:r>
          </w:p>
        </w:tc>
        <w:tc>
          <w:tcPr>
            <w:tcW w:w="1485" w:type="pct"/>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p w14:paraId="30443E75" w14:textId="07E1F4FF" w:rsidR="00CD6133" w:rsidRPr="00FF5647" w:rsidRDefault="00BA282B" w:rsidP="00B165AC">
            <w:pPr>
              <w:ind w:firstLine="0"/>
              <w:rPr>
                <w:rFonts w:ascii="Times New Roman" w:hAnsi="Times New Roman"/>
                <w:sz w:val="24"/>
                <w:szCs w:val="24"/>
              </w:rPr>
            </w:pPr>
            <w:r w:rsidRPr="00FF5647">
              <w:rPr>
                <w:rFonts w:ascii="Times New Roman" w:hAnsi="Times New Roman"/>
                <w:b/>
                <w:bCs/>
                <w:sz w:val="24"/>
                <w:szCs w:val="24"/>
              </w:rPr>
              <w:t>Se ia act</w:t>
            </w:r>
          </w:p>
        </w:tc>
      </w:tr>
      <w:tr w:rsidR="00B165AC" w:rsidRPr="00FF5647" w14:paraId="22F00853" w14:textId="450D71EA" w:rsidTr="002226FE">
        <w:trPr>
          <w:trHeight w:val="639"/>
        </w:trPr>
        <w:tc>
          <w:tcPr>
            <w:tcW w:w="229" w:type="pct"/>
            <w:tcBorders>
              <w:top w:val="single" w:sz="4" w:space="0" w:color="auto"/>
              <w:left w:val="single" w:sz="8" w:space="0" w:color="000000"/>
              <w:bottom w:val="single" w:sz="4" w:space="0" w:color="auto"/>
              <w:right w:val="single" w:sz="4" w:space="0" w:color="auto"/>
            </w:tcBorders>
          </w:tcPr>
          <w:p w14:paraId="02662041" w14:textId="72E8FAC9" w:rsidR="00CD6133" w:rsidRPr="00FF5647" w:rsidRDefault="00CD6133" w:rsidP="009B41E2">
            <w:pPr>
              <w:pStyle w:val="Listparagraf"/>
              <w:numPr>
                <w:ilvl w:val="0"/>
                <w:numId w:val="1"/>
              </w:numPr>
              <w:ind w:hanging="660"/>
              <w:rPr>
                <w:rFonts w:ascii="Times New Roman" w:hAnsi="Times New Roman"/>
                <w:b/>
                <w:sz w:val="24"/>
                <w:szCs w:val="24"/>
              </w:rPr>
            </w:pPr>
          </w:p>
        </w:tc>
        <w:tc>
          <w:tcPr>
            <w:tcW w:w="548" w:type="pct"/>
            <w:tcBorders>
              <w:top w:val="single" w:sz="4" w:space="0" w:color="auto"/>
              <w:left w:val="single" w:sz="4" w:space="0" w:color="auto"/>
              <w:bottom w:val="single" w:sz="4" w:space="0" w:color="auto"/>
              <w:right w:val="single" w:sz="4" w:space="0" w:color="auto"/>
            </w:tcBorders>
          </w:tcPr>
          <w:p w14:paraId="70D62B6A" w14:textId="244EF109" w:rsidR="00CD6133" w:rsidRPr="00FF5647" w:rsidRDefault="003642FE" w:rsidP="00B165AC">
            <w:pPr>
              <w:ind w:firstLine="0"/>
              <w:rPr>
                <w:rFonts w:ascii="Times New Roman" w:hAnsi="Times New Roman"/>
                <w:b/>
                <w:sz w:val="24"/>
                <w:szCs w:val="24"/>
              </w:rPr>
            </w:pPr>
            <w:r w:rsidRPr="00FF5647">
              <w:rPr>
                <w:rFonts w:ascii="Times New Roman" w:hAnsi="Times New Roman"/>
                <w:b/>
                <w:sz w:val="24"/>
                <w:szCs w:val="24"/>
              </w:rPr>
              <w:t>Ministerul Mediului</w:t>
            </w:r>
          </w:p>
        </w:tc>
        <w:tc>
          <w:tcPr>
            <w:tcW w:w="539" w:type="pct"/>
            <w:tcBorders>
              <w:top w:val="single" w:sz="4" w:space="0" w:color="auto"/>
              <w:left w:val="single" w:sz="4" w:space="0" w:color="auto"/>
              <w:bottom w:val="single" w:sz="4" w:space="0" w:color="auto"/>
              <w:right w:val="single" w:sz="4" w:space="0" w:color="auto"/>
            </w:tcBorders>
          </w:tcPr>
          <w:p w14:paraId="26BD5464" w14:textId="7881CE98" w:rsidR="00CD6133" w:rsidRPr="00FF5647" w:rsidRDefault="00277074" w:rsidP="00B165AC">
            <w:pPr>
              <w:spacing w:before="1"/>
              <w:ind w:right="-37" w:firstLine="0"/>
              <w:jc w:val="left"/>
              <w:rPr>
                <w:rFonts w:ascii="Times New Roman" w:hAnsi="Times New Roman"/>
                <w:b/>
                <w:sz w:val="24"/>
                <w:szCs w:val="24"/>
              </w:rPr>
            </w:pPr>
            <w:r w:rsidRPr="00FF5647">
              <w:rPr>
                <w:rFonts w:ascii="Times New Roman" w:hAnsi="Times New Roman"/>
                <w:b/>
                <w:bCs/>
                <w:sz w:val="24"/>
                <w:szCs w:val="24"/>
              </w:rPr>
              <w:t>Nr. 07/1-07/2067 din 21.07.2025</w:t>
            </w:r>
          </w:p>
        </w:tc>
        <w:tc>
          <w:tcPr>
            <w:tcW w:w="2199" w:type="pct"/>
            <w:tcBorders>
              <w:top w:val="single" w:sz="4" w:space="0" w:color="auto"/>
              <w:left w:val="single" w:sz="4" w:space="0" w:color="auto"/>
              <w:bottom w:val="single" w:sz="4" w:space="0" w:color="auto"/>
              <w:right w:val="single" w:sz="4" w:space="0" w:color="auto"/>
            </w:tcBorders>
          </w:tcPr>
          <w:p w14:paraId="121AC676" w14:textId="66F239F7" w:rsidR="00277074" w:rsidRPr="00FF5647" w:rsidRDefault="00277074" w:rsidP="00B165AC">
            <w:pPr>
              <w:ind w:firstLine="0"/>
              <w:rPr>
                <w:rFonts w:ascii="Times New Roman" w:hAnsi="Times New Roman"/>
                <w:sz w:val="24"/>
                <w:szCs w:val="24"/>
              </w:rPr>
            </w:pPr>
            <w:r w:rsidRPr="00FF5647">
              <w:rPr>
                <w:rFonts w:ascii="Times New Roman" w:hAnsi="Times New Roman"/>
                <w:sz w:val="24"/>
                <w:szCs w:val="24"/>
              </w:rPr>
              <w:t xml:space="preserve">La Anexa nr. 2 „Lista combinațiilor de substanță/tip de produs conținute în produsele </w:t>
            </w:r>
            <w:proofErr w:type="spellStart"/>
            <w:r w:rsidRPr="00FF5647">
              <w:rPr>
                <w:rFonts w:ascii="Times New Roman" w:hAnsi="Times New Roman"/>
                <w:sz w:val="24"/>
                <w:szCs w:val="24"/>
              </w:rPr>
              <w:t>biocide</w:t>
            </w:r>
            <w:proofErr w:type="spellEnd"/>
            <w:r w:rsidRPr="00FF5647">
              <w:rPr>
                <w:rFonts w:ascii="Times New Roman" w:hAnsi="Times New Roman"/>
                <w:sz w:val="24"/>
                <w:szCs w:val="24"/>
              </w:rPr>
              <w:t xml:space="preserve">”, primul rând din tabel specifică tipul de produs; astfel, în celulele corespunzătoare tipurilor de produs 17, 18, 21, textul „de ani” se va exclude. Obiecția este valabilă și pentru Anexa nr.3. </w:t>
            </w:r>
          </w:p>
          <w:p w14:paraId="283C6028" w14:textId="77777777" w:rsidR="00277074" w:rsidRPr="00FF5647" w:rsidRDefault="00277074" w:rsidP="00B165AC">
            <w:pPr>
              <w:ind w:firstLine="0"/>
              <w:rPr>
                <w:rFonts w:ascii="Times New Roman" w:hAnsi="Times New Roman"/>
                <w:sz w:val="24"/>
                <w:szCs w:val="24"/>
              </w:rPr>
            </w:pPr>
            <w:r w:rsidRPr="00FF5647">
              <w:rPr>
                <w:rFonts w:ascii="Times New Roman" w:hAnsi="Times New Roman"/>
                <w:sz w:val="24"/>
                <w:szCs w:val="24"/>
              </w:rPr>
              <w:t>Totodată, considerăm că este neclară prezența coloanei „Numărul intrării” în Anexele nr. 2 și nr. 3, având în vedere că identificarea substanțelor chimice la nivel internațional se face prin referință la Nr. CAS (</w:t>
            </w:r>
            <w:proofErr w:type="spellStart"/>
            <w:r w:rsidRPr="00FF5647">
              <w:rPr>
                <w:rFonts w:ascii="Times New Roman" w:hAnsi="Times New Roman"/>
                <w:sz w:val="24"/>
                <w:szCs w:val="24"/>
              </w:rPr>
              <w:t>Chemical</w:t>
            </w:r>
            <w:proofErr w:type="spellEnd"/>
            <w:r w:rsidRPr="00FF5647">
              <w:rPr>
                <w:rFonts w:ascii="Times New Roman" w:hAnsi="Times New Roman"/>
                <w:sz w:val="24"/>
                <w:szCs w:val="24"/>
              </w:rPr>
              <w:t xml:space="preserve"> </w:t>
            </w:r>
            <w:proofErr w:type="spellStart"/>
            <w:r w:rsidRPr="00FF5647">
              <w:rPr>
                <w:rFonts w:ascii="Times New Roman" w:hAnsi="Times New Roman"/>
                <w:sz w:val="24"/>
                <w:szCs w:val="24"/>
              </w:rPr>
              <w:t>Abstracts</w:t>
            </w:r>
            <w:proofErr w:type="spellEnd"/>
            <w:r w:rsidRPr="00FF5647">
              <w:rPr>
                <w:rFonts w:ascii="Times New Roman" w:hAnsi="Times New Roman"/>
                <w:sz w:val="24"/>
                <w:szCs w:val="24"/>
              </w:rPr>
              <w:t xml:space="preserve"> Service) și/sau Nr. CE - numărul de identificare european. </w:t>
            </w:r>
          </w:p>
          <w:p w14:paraId="2F41965B" w14:textId="77777777" w:rsidR="00277074" w:rsidRPr="00FF5647" w:rsidRDefault="00277074" w:rsidP="00B165AC">
            <w:pPr>
              <w:ind w:firstLine="0"/>
              <w:rPr>
                <w:rFonts w:ascii="Times New Roman" w:hAnsi="Times New Roman"/>
                <w:sz w:val="24"/>
                <w:szCs w:val="24"/>
              </w:rPr>
            </w:pPr>
            <w:r w:rsidRPr="00FF5647">
              <w:rPr>
                <w:rFonts w:ascii="Times New Roman" w:hAnsi="Times New Roman"/>
                <w:sz w:val="24"/>
                <w:szCs w:val="24"/>
              </w:rPr>
              <w:t xml:space="preserve">Mai mult decât atât, în conformitate cu pct. 35 din Regulamentul sanitar privind punerea la dispoziție pe piață și utilizarea produselor </w:t>
            </w:r>
            <w:proofErr w:type="spellStart"/>
            <w:r w:rsidRPr="00FF5647">
              <w:rPr>
                <w:rFonts w:ascii="Times New Roman" w:hAnsi="Times New Roman"/>
                <w:sz w:val="24"/>
                <w:szCs w:val="24"/>
              </w:rPr>
              <w:t>biocide</w:t>
            </w:r>
            <w:proofErr w:type="spellEnd"/>
            <w:r w:rsidRPr="00FF5647">
              <w:rPr>
                <w:rFonts w:ascii="Times New Roman" w:hAnsi="Times New Roman"/>
                <w:sz w:val="24"/>
                <w:szCs w:val="24"/>
              </w:rPr>
              <w:t xml:space="preserve">, aprobat prin Hotărârea Guvernului nr. 344/2020, rezumatul caracteristicilor produsului </w:t>
            </w:r>
            <w:proofErr w:type="spellStart"/>
            <w:r w:rsidRPr="00FF5647">
              <w:rPr>
                <w:rFonts w:ascii="Times New Roman" w:hAnsi="Times New Roman"/>
                <w:sz w:val="24"/>
                <w:szCs w:val="24"/>
              </w:rPr>
              <w:t>biocid</w:t>
            </w:r>
            <w:proofErr w:type="spellEnd"/>
            <w:r w:rsidRPr="00FF5647">
              <w:rPr>
                <w:rFonts w:ascii="Times New Roman" w:hAnsi="Times New Roman"/>
                <w:sz w:val="24"/>
                <w:szCs w:val="24"/>
              </w:rPr>
              <w:t xml:space="preserve"> cuprinde </w:t>
            </w:r>
            <w:r w:rsidRPr="00FF5647">
              <w:rPr>
                <w:rFonts w:ascii="Times New Roman" w:hAnsi="Times New Roman"/>
                <w:sz w:val="24"/>
                <w:szCs w:val="24"/>
              </w:rPr>
              <w:lastRenderedPageBreak/>
              <w:t xml:space="preserve">informații referitoare la datele privind substanțele active/substanțe (denumire chimică, nr. CE, nr. CAS, concentrații în unități metrice). </w:t>
            </w:r>
          </w:p>
          <w:p w14:paraId="595A02A3" w14:textId="5AB25523" w:rsidR="00277074" w:rsidRPr="00FF5647" w:rsidRDefault="00277074" w:rsidP="00B165AC">
            <w:pPr>
              <w:ind w:firstLine="0"/>
              <w:rPr>
                <w:rFonts w:ascii="Times New Roman" w:hAnsi="Times New Roman"/>
                <w:sz w:val="24"/>
                <w:szCs w:val="24"/>
              </w:rPr>
            </w:pPr>
            <w:r w:rsidRPr="00FF5647">
              <w:rPr>
                <w:rFonts w:ascii="Times New Roman" w:hAnsi="Times New Roman"/>
                <w:sz w:val="24"/>
                <w:szCs w:val="24"/>
              </w:rPr>
              <w:t>Având în vedere lipsa unei explicații certe cu privire la semnificația termenului „Numărul intrării”, utilizarea acestuia poate crea confuzii. În acest sens, urmează a fi exclusă coloana „Numărul intrării” din tabelele din Anexa nr. 2 și nr. 3, or, proiectul de Ordin urmează a fi supus consultării cu Serviciul Vamal în vederea evitării interpretărilor neuniforme sau al aplicărilor eronate.</w:t>
            </w:r>
          </w:p>
        </w:tc>
        <w:tc>
          <w:tcPr>
            <w:tcW w:w="1485" w:type="pct"/>
            <w:tcBorders>
              <w:top w:val="single" w:sz="4" w:space="0" w:color="auto"/>
              <w:left w:val="single" w:sz="4" w:space="0" w:color="auto"/>
              <w:bottom w:val="single" w:sz="4" w:space="0" w:color="auto"/>
              <w:right w:val="single" w:sz="8" w:space="0" w:color="000000"/>
            </w:tcBorders>
          </w:tcPr>
          <w:p w14:paraId="5E2C7CAE" w14:textId="77777777" w:rsidR="00CD6133" w:rsidRPr="00FF5647" w:rsidRDefault="00BA282B" w:rsidP="00B165AC">
            <w:pPr>
              <w:ind w:firstLine="0"/>
              <w:rPr>
                <w:rFonts w:ascii="Times New Roman" w:hAnsi="Times New Roman"/>
                <w:b/>
                <w:bCs/>
                <w:sz w:val="24"/>
                <w:szCs w:val="24"/>
              </w:rPr>
            </w:pPr>
            <w:r w:rsidRPr="00FF5647">
              <w:rPr>
                <w:rFonts w:ascii="Times New Roman" w:hAnsi="Times New Roman"/>
                <w:b/>
                <w:bCs/>
                <w:sz w:val="24"/>
                <w:szCs w:val="24"/>
              </w:rPr>
              <w:lastRenderedPageBreak/>
              <w:t>Se acceptă</w:t>
            </w:r>
          </w:p>
          <w:p w14:paraId="2CCABE1F" w14:textId="7D9382FA" w:rsidR="00BA282B" w:rsidRPr="00FF5647" w:rsidRDefault="00BA282B" w:rsidP="00B165AC">
            <w:pPr>
              <w:ind w:firstLine="0"/>
              <w:rPr>
                <w:rFonts w:ascii="Times New Roman" w:hAnsi="Times New Roman"/>
                <w:b/>
                <w:sz w:val="24"/>
                <w:szCs w:val="24"/>
              </w:rPr>
            </w:pPr>
          </w:p>
          <w:p w14:paraId="2FD8032A" w14:textId="0ABC6360" w:rsidR="0064666D" w:rsidRPr="00FF5647" w:rsidRDefault="0064666D" w:rsidP="00B165AC">
            <w:pPr>
              <w:ind w:firstLine="0"/>
              <w:rPr>
                <w:rFonts w:ascii="Times New Roman" w:hAnsi="Times New Roman"/>
                <w:b/>
                <w:sz w:val="24"/>
                <w:szCs w:val="24"/>
              </w:rPr>
            </w:pPr>
          </w:p>
        </w:tc>
      </w:tr>
      <w:tr w:rsidR="00B165AC" w:rsidRPr="00FF5647" w14:paraId="5F9F8C67" w14:textId="77777777" w:rsidTr="002226FE">
        <w:trPr>
          <w:trHeight w:val="639"/>
        </w:trPr>
        <w:tc>
          <w:tcPr>
            <w:tcW w:w="229" w:type="pct"/>
            <w:tcBorders>
              <w:top w:val="single" w:sz="4" w:space="0" w:color="auto"/>
              <w:left w:val="single" w:sz="8" w:space="0" w:color="000000"/>
              <w:bottom w:val="single" w:sz="4" w:space="0" w:color="auto"/>
              <w:right w:val="single" w:sz="4" w:space="0" w:color="auto"/>
            </w:tcBorders>
          </w:tcPr>
          <w:p w14:paraId="2D76043B" w14:textId="1597E17C" w:rsidR="004A3E10" w:rsidRPr="00FF5647" w:rsidRDefault="004A3E10" w:rsidP="009B41E2">
            <w:pPr>
              <w:pStyle w:val="Listparagraf"/>
              <w:numPr>
                <w:ilvl w:val="0"/>
                <w:numId w:val="1"/>
              </w:numPr>
              <w:ind w:hanging="660"/>
              <w:rPr>
                <w:rFonts w:ascii="Times New Roman" w:hAnsi="Times New Roman"/>
                <w:b/>
                <w:sz w:val="24"/>
                <w:szCs w:val="24"/>
              </w:rPr>
            </w:pPr>
          </w:p>
        </w:tc>
        <w:tc>
          <w:tcPr>
            <w:tcW w:w="548" w:type="pct"/>
            <w:tcBorders>
              <w:top w:val="single" w:sz="4" w:space="0" w:color="auto"/>
              <w:left w:val="single" w:sz="4" w:space="0" w:color="auto"/>
              <w:bottom w:val="single" w:sz="4" w:space="0" w:color="auto"/>
              <w:right w:val="single" w:sz="4" w:space="0" w:color="auto"/>
            </w:tcBorders>
          </w:tcPr>
          <w:p w14:paraId="238D0A00" w14:textId="09457B52" w:rsidR="004A3E10" w:rsidRPr="00FF5647" w:rsidRDefault="00477C94" w:rsidP="00B165AC">
            <w:pPr>
              <w:ind w:firstLine="0"/>
              <w:rPr>
                <w:rFonts w:ascii="Times New Roman" w:hAnsi="Times New Roman"/>
                <w:b/>
                <w:sz w:val="24"/>
                <w:szCs w:val="24"/>
              </w:rPr>
            </w:pPr>
            <w:r w:rsidRPr="00FF5647">
              <w:rPr>
                <w:rFonts w:ascii="Times New Roman" w:hAnsi="Times New Roman"/>
                <w:b/>
                <w:sz w:val="24"/>
                <w:szCs w:val="24"/>
              </w:rPr>
              <w:t>Ministerul Finanțelor</w:t>
            </w:r>
          </w:p>
        </w:tc>
        <w:tc>
          <w:tcPr>
            <w:tcW w:w="539" w:type="pct"/>
            <w:tcBorders>
              <w:top w:val="single" w:sz="4" w:space="0" w:color="auto"/>
              <w:left w:val="single" w:sz="4" w:space="0" w:color="auto"/>
              <w:bottom w:val="single" w:sz="4" w:space="0" w:color="auto"/>
              <w:right w:val="single" w:sz="4" w:space="0" w:color="auto"/>
            </w:tcBorders>
          </w:tcPr>
          <w:p w14:paraId="74C56F2C" w14:textId="75BBD0F3" w:rsidR="004A3E10" w:rsidRPr="00FF5647" w:rsidRDefault="00477C94" w:rsidP="00B165AC">
            <w:pPr>
              <w:spacing w:before="1"/>
              <w:ind w:right="-37" w:firstLine="0"/>
              <w:jc w:val="left"/>
              <w:rPr>
                <w:rFonts w:ascii="Times New Roman" w:hAnsi="Times New Roman"/>
                <w:b/>
                <w:sz w:val="24"/>
                <w:szCs w:val="24"/>
              </w:rPr>
            </w:pPr>
            <w:r w:rsidRPr="00FF5647">
              <w:rPr>
                <w:rFonts w:ascii="Times New Roman" w:hAnsi="Times New Roman"/>
                <w:b/>
                <w:sz w:val="24"/>
                <w:szCs w:val="24"/>
              </w:rPr>
              <w:t>Nr. 07/2-17/274 din 22.02.2025</w:t>
            </w:r>
          </w:p>
        </w:tc>
        <w:tc>
          <w:tcPr>
            <w:tcW w:w="2199" w:type="pct"/>
            <w:tcBorders>
              <w:top w:val="single" w:sz="4" w:space="0" w:color="auto"/>
              <w:left w:val="single" w:sz="4" w:space="0" w:color="auto"/>
              <w:bottom w:val="single" w:sz="4" w:space="0" w:color="auto"/>
              <w:right w:val="single" w:sz="4" w:space="0" w:color="auto"/>
            </w:tcBorders>
          </w:tcPr>
          <w:p w14:paraId="5546EEA2" w14:textId="0698F6B5" w:rsidR="004A3E10" w:rsidRPr="00FF5647" w:rsidRDefault="00477C94" w:rsidP="00B165AC">
            <w:pPr>
              <w:tabs>
                <w:tab w:val="left" w:pos="1995"/>
              </w:tabs>
              <w:ind w:firstLine="0"/>
              <w:rPr>
                <w:rFonts w:ascii="Times New Roman" w:hAnsi="Times New Roman"/>
                <w:sz w:val="24"/>
                <w:szCs w:val="24"/>
                <w:lang w:val="ro-RO"/>
              </w:rPr>
            </w:pPr>
            <w:r w:rsidRPr="00FF5647">
              <w:rPr>
                <w:rFonts w:ascii="Times New Roman" w:hAnsi="Times New Roman"/>
                <w:sz w:val="24"/>
                <w:szCs w:val="24"/>
                <w:lang w:val="ro-RO"/>
              </w:rPr>
              <w:t xml:space="preserve">Ministerul Finanțelor a examinat proiectul de ordin al Ministerului Sănătății privind aprobarea Listelor substanțelor active și a altor substanțe conținute în produsele </w:t>
            </w:r>
            <w:proofErr w:type="spellStart"/>
            <w:r w:rsidRPr="00FF5647">
              <w:rPr>
                <w:rFonts w:ascii="Times New Roman" w:hAnsi="Times New Roman"/>
                <w:sz w:val="24"/>
                <w:szCs w:val="24"/>
                <w:lang w:val="ro-RO"/>
              </w:rPr>
              <w:t>biocide</w:t>
            </w:r>
            <w:proofErr w:type="spellEnd"/>
            <w:r w:rsidRPr="00FF5647">
              <w:rPr>
                <w:rFonts w:ascii="Times New Roman" w:hAnsi="Times New Roman"/>
                <w:sz w:val="24"/>
                <w:szCs w:val="24"/>
                <w:lang w:val="ro-RO"/>
              </w:rPr>
              <w:t xml:space="preserve"> și, informează că subiectul nu ține de competența sa, având în vedere funcțiile de bază ale acestuia, specificate în Hotărârea Guvernului nr.696/2017 cu privire la organizarea și funcționarea Ministerului Finanțelor.</w:t>
            </w:r>
          </w:p>
        </w:tc>
        <w:tc>
          <w:tcPr>
            <w:tcW w:w="1485" w:type="pct"/>
            <w:tcBorders>
              <w:top w:val="single" w:sz="4" w:space="0" w:color="auto"/>
              <w:left w:val="single" w:sz="4" w:space="0" w:color="auto"/>
              <w:bottom w:val="single" w:sz="4" w:space="0" w:color="auto"/>
              <w:right w:val="single" w:sz="8" w:space="0" w:color="000000"/>
            </w:tcBorders>
          </w:tcPr>
          <w:p w14:paraId="1D3D9C3D" w14:textId="5776D164" w:rsidR="004A3E10" w:rsidRPr="00FF5647" w:rsidRDefault="00BA282B" w:rsidP="00B165AC">
            <w:pPr>
              <w:ind w:firstLine="0"/>
              <w:rPr>
                <w:rFonts w:ascii="Times New Roman" w:hAnsi="Times New Roman"/>
                <w:color w:val="000000"/>
                <w:sz w:val="24"/>
                <w:szCs w:val="24"/>
                <w:lang w:eastAsia="ro-RO"/>
              </w:rPr>
            </w:pPr>
            <w:r w:rsidRPr="00FF5647">
              <w:rPr>
                <w:rFonts w:ascii="Times New Roman" w:hAnsi="Times New Roman"/>
                <w:b/>
                <w:bCs/>
                <w:sz w:val="24"/>
                <w:szCs w:val="24"/>
              </w:rPr>
              <w:t>Se ia act</w:t>
            </w:r>
          </w:p>
        </w:tc>
      </w:tr>
      <w:tr w:rsidR="009B41E2" w:rsidRPr="00FF5647" w14:paraId="355F97EC" w14:textId="77777777" w:rsidTr="002226FE">
        <w:trPr>
          <w:trHeight w:val="456"/>
        </w:trPr>
        <w:tc>
          <w:tcPr>
            <w:tcW w:w="5000" w:type="pct"/>
            <w:gridSpan w:val="5"/>
            <w:tcBorders>
              <w:top w:val="single" w:sz="4" w:space="0" w:color="auto"/>
              <w:left w:val="single" w:sz="8" w:space="0" w:color="000000"/>
              <w:bottom w:val="single" w:sz="4" w:space="0" w:color="auto"/>
              <w:right w:val="single" w:sz="8" w:space="0" w:color="000000"/>
            </w:tcBorders>
          </w:tcPr>
          <w:p w14:paraId="13FB93BE" w14:textId="5940CAB1" w:rsidR="009B41E2" w:rsidRPr="00FF5647" w:rsidRDefault="009B41E2" w:rsidP="009B41E2">
            <w:pPr>
              <w:ind w:firstLine="0"/>
              <w:jc w:val="center"/>
              <w:rPr>
                <w:b/>
                <w:bCs/>
                <w:sz w:val="24"/>
                <w:szCs w:val="24"/>
              </w:rPr>
            </w:pPr>
            <w:r w:rsidRPr="00FF5647">
              <w:rPr>
                <w:rFonts w:ascii="Times New Roman" w:hAnsi="Times New Roman"/>
                <w:b/>
                <w:sz w:val="24"/>
                <w:szCs w:val="24"/>
              </w:rPr>
              <w:t>Expertizare</w:t>
            </w:r>
          </w:p>
        </w:tc>
      </w:tr>
      <w:tr w:rsidR="009B41E2" w:rsidRPr="00FF5647" w14:paraId="532BD918" w14:textId="77777777" w:rsidTr="002226FE">
        <w:trPr>
          <w:trHeight w:val="639"/>
        </w:trPr>
        <w:tc>
          <w:tcPr>
            <w:tcW w:w="229" w:type="pct"/>
            <w:tcBorders>
              <w:top w:val="single" w:sz="4" w:space="0" w:color="auto"/>
              <w:left w:val="single" w:sz="8" w:space="0" w:color="000000"/>
              <w:bottom w:val="single" w:sz="4" w:space="0" w:color="auto"/>
              <w:right w:val="single" w:sz="4" w:space="0" w:color="auto"/>
            </w:tcBorders>
          </w:tcPr>
          <w:p w14:paraId="456DFD75" w14:textId="77777777" w:rsidR="009B41E2" w:rsidRPr="00FF5647" w:rsidRDefault="009B41E2" w:rsidP="009B41E2">
            <w:pPr>
              <w:pStyle w:val="Listparagraf"/>
              <w:numPr>
                <w:ilvl w:val="0"/>
                <w:numId w:val="35"/>
              </w:numPr>
              <w:rPr>
                <w:b/>
                <w:sz w:val="24"/>
                <w:szCs w:val="24"/>
              </w:rPr>
            </w:pPr>
          </w:p>
        </w:tc>
        <w:tc>
          <w:tcPr>
            <w:tcW w:w="548" w:type="pct"/>
            <w:tcBorders>
              <w:top w:val="single" w:sz="4" w:space="0" w:color="auto"/>
              <w:left w:val="single" w:sz="4" w:space="0" w:color="auto"/>
              <w:bottom w:val="single" w:sz="4" w:space="0" w:color="auto"/>
              <w:right w:val="single" w:sz="4" w:space="0" w:color="auto"/>
            </w:tcBorders>
          </w:tcPr>
          <w:p w14:paraId="27A158AF" w14:textId="2873DF7C" w:rsidR="009B41E2" w:rsidRPr="00FF5647" w:rsidRDefault="009B41E2" w:rsidP="009B41E2">
            <w:pPr>
              <w:ind w:firstLine="0"/>
              <w:rPr>
                <w:b/>
                <w:sz w:val="24"/>
                <w:szCs w:val="24"/>
              </w:rPr>
            </w:pPr>
            <w:r w:rsidRPr="00FF5647">
              <w:rPr>
                <w:rFonts w:ascii="Times New Roman" w:eastAsia="Times New Roman" w:hAnsi="Times New Roman"/>
                <w:b/>
                <w:sz w:val="24"/>
                <w:szCs w:val="24"/>
              </w:rPr>
              <w:t>Centrul Național Anticorupție</w:t>
            </w:r>
          </w:p>
        </w:tc>
        <w:tc>
          <w:tcPr>
            <w:tcW w:w="539" w:type="pct"/>
            <w:tcBorders>
              <w:top w:val="single" w:sz="4" w:space="0" w:color="auto"/>
              <w:left w:val="single" w:sz="4" w:space="0" w:color="auto"/>
              <w:bottom w:val="single" w:sz="4" w:space="0" w:color="auto"/>
              <w:right w:val="single" w:sz="4" w:space="0" w:color="auto"/>
            </w:tcBorders>
          </w:tcPr>
          <w:p w14:paraId="73D3E99E" w14:textId="00516D8B" w:rsidR="009B41E2" w:rsidRPr="00FF5647" w:rsidRDefault="009B41E2" w:rsidP="009B41E2">
            <w:pPr>
              <w:spacing w:before="1"/>
              <w:ind w:right="-37" w:firstLine="0"/>
              <w:jc w:val="left"/>
              <w:rPr>
                <w:b/>
                <w:sz w:val="24"/>
                <w:szCs w:val="24"/>
              </w:rPr>
            </w:pPr>
            <w:r w:rsidRPr="00FF5647">
              <w:rPr>
                <w:rFonts w:ascii="Times New Roman" w:hAnsi="Times New Roman"/>
                <w:b/>
                <w:bCs/>
                <w:sz w:val="24"/>
                <w:szCs w:val="24"/>
              </w:rPr>
              <w:t>Nr. 06/2/19577 din 04.11.2025</w:t>
            </w:r>
          </w:p>
        </w:tc>
        <w:tc>
          <w:tcPr>
            <w:tcW w:w="2199" w:type="pct"/>
            <w:tcBorders>
              <w:top w:val="single" w:sz="4" w:space="0" w:color="auto"/>
              <w:left w:val="single" w:sz="4" w:space="0" w:color="auto"/>
              <w:bottom w:val="single" w:sz="4" w:space="0" w:color="auto"/>
              <w:right w:val="single" w:sz="4" w:space="0" w:color="auto"/>
            </w:tcBorders>
          </w:tcPr>
          <w:p w14:paraId="4EE42AA3"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Prin prezenta, cu referire la proiectul ordinului cu privire la aprobarea și recunoașterea Listelor substanțelor active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comunicăm următoarele. </w:t>
            </w:r>
          </w:p>
          <w:p w14:paraId="22449173"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Conform art. 25 alin. (2) lit. a) al Legii integrității nr. 82/2017, conducătorii entităților publice sunt responsabili de implementarea măsurilor de control al integrității în sectorul public ce ține de evitarea riscurilor de corupție în procesul de elaborare a proiectelor de acte legislative, normative și departamentale (riscuri viitoare). </w:t>
            </w:r>
          </w:p>
          <w:p w14:paraId="3B8CAFA9"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Potrivit art. 28 alin. (3) al legii prenotate: „În privința proiectelor de acte normative departamentale și interdepartamentale ale entităților publice, a actelor normative ale autorităților unităților teritoriale autonome cu statut juridic special și ale autorităților administrației publice locale, expertiza anticorupție se efectuează de către autorii acestora în conformitate cu metodologia prevăzută la alin. (9). La solicitare, Centrul Național Anticorupție oferă suport metodologic autorilor în vederea aplicării corecte a </w:t>
            </w:r>
            <w:r w:rsidRPr="00FF5647">
              <w:rPr>
                <w:rFonts w:ascii="Times New Roman" w:hAnsi="Times New Roman" w:cs="Times New Roman"/>
                <w:lang w:val="ro-MD"/>
              </w:rPr>
              <w:lastRenderedPageBreak/>
              <w:t xml:space="preserve">metodologiei”. </w:t>
            </w:r>
          </w:p>
          <w:p w14:paraId="1F3BB9CB"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Prin urmare, având în vedere că proiectul menționat supra este considerat un act normativ conform art. 6 lit. e) din Legea nr. 100/2017 cu privire la actele normative, expertiza anticorupție asupra acestuia se efectuează de către autorul proiectului în conformitate cu prevederile Metodologiei de efectuare a expertizei anticorupție a proiectelor de acte normative departamentale, aprobată prin Hotărârea Colegiului Centrului Național Anticorupție nr. 6/2017, cu modificările ulterioare. Metodologia respectivă poate fi consultată pe pagina web oficială a Centrului www.cna.md, la compartimentul „Prevenirea corupției/Expertiza anticorupție/Cadrul normativ”.</w:t>
            </w:r>
          </w:p>
          <w:p w14:paraId="23B64D82" w14:textId="51535A97" w:rsidR="009B41E2" w:rsidRPr="00FF5647" w:rsidRDefault="009B41E2" w:rsidP="0083053F">
            <w:pPr>
              <w:pStyle w:val="Corptext"/>
              <w:tabs>
                <w:tab w:val="left" w:pos="244"/>
              </w:tabs>
              <w:ind w:right="146"/>
              <w:jc w:val="both"/>
            </w:pPr>
            <w:r w:rsidRPr="00FF5647">
              <w:rPr>
                <w:rFonts w:ascii="Times New Roman" w:hAnsi="Times New Roman" w:cs="Times New Roman"/>
                <w:lang w:val="ro-MD"/>
              </w:rPr>
              <w:t xml:space="preserve"> Potrivit pct. 7.1 al Metodologiei citate supra, efectuarea expertizei anticorupție presupune că în procesul de elaborare a proiectului autorul va </w:t>
            </w:r>
            <w:proofErr w:type="spellStart"/>
            <w:r w:rsidRPr="00FF5647">
              <w:rPr>
                <w:rFonts w:ascii="Times New Roman" w:hAnsi="Times New Roman" w:cs="Times New Roman"/>
                <w:lang w:val="ro-MD"/>
              </w:rPr>
              <w:t>prioritiza</w:t>
            </w:r>
            <w:proofErr w:type="spellEnd"/>
            <w:r w:rsidRPr="00FF5647">
              <w:rPr>
                <w:rFonts w:ascii="Times New Roman" w:hAnsi="Times New Roman" w:cs="Times New Roman"/>
                <w:lang w:val="ro-MD"/>
              </w:rPr>
              <w:t xml:space="preserve"> interesul public, precum și va evita în cuprinsul acestuia norme care pot genera, la aplicare, apariția riscurilor de corupție.</w:t>
            </w:r>
          </w:p>
        </w:tc>
        <w:tc>
          <w:tcPr>
            <w:tcW w:w="1485" w:type="pct"/>
            <w:tcBorders>
              <w:top w:val="single" w:sz="4" w:space="0" w:color="auto"/>
              <w:left w:val="single" w:sz="4" w:space="0" w:color="auto"/>
              <w:bottom w:val="single" w:sz="4" w:space="0" w:color="auto"/>
              <w:right w:val="single" w:sz="8" w:space="0" w:color="000000"/>
            </w:tcBorders>
          </w:tcPr>
          <w:p w14:paraId="23C8387D" w14:textId="4FF5B76C" w:rsidR="009B41E2" w:rsidRPr="00FF5647" w:rsidRDefault="00DF65FA" w:rsidP="009B41E2">
            <w:pPr>
              <w:ind w:firstLine="0"/>
              <w:rPr>
                <w:b/>
                <w:bCs/>
                <w:sz w:val="24"/>
                <w:szCs w:val="24"/>
              </w:rPr>
            </w:pPr>
            <w:r w:rsidRPr="00FF5647">
              <w:rPr>
                <w:rFonts w:ascii="Times New Roman" w:hAnsi="Times New Roman"/>
                <w:b/>
                <w:bCs/>
                <w:sz w:val="24"/>
                <w:szCs w:val="24"/>
              </w:rPr>
              <w:lastRenderedPageBreak/>
              <w:t>Se ia act</w:t>
            </w:r>
          </w:p>
        </w:tc>
      </w:tr>
      <w:tr w:rsidR="009B41E2" w:rsidRPr="00FF5647" w14:paraId="687224C0" w14:textId="77777777" w:rsidTr="002226FE">
        <w:trPr>
          <w:trHeight w:val="639"/>
        </w:trPr>
        <w:tc>
          <w:tcPr>
            <w:tcW w:w="229" w:type="pct"/>
            <w:tcBorders>
              <w:top w:val="single" w:sz="4" w:space="0" w:color="auto"/>
              <w:left w:val="single" w:sz="8" w:space="0" w:color="000000"/>
              <w:bottom w:val="single" w:sz="4" w:space="0" w:color="auto"/>
              <w:right w:val="single" w:sz="4" w:space="0" w:color="auto"/>
            </w:tcBorders>
          </w:tcPr>
          <w:p w14:paraId="723A1DE1" w14:textId="77777777" w:rsidR="009B41E2" w:rsidRPr="00FF5647" w:rsidRDefault="009B41E2" w:rsidP="009B41E2">
            <w:pPr>
              <w:pStyle w:val="Listparagraf"/>
              <w:numPr>
                <w:ilvl w:val="0"/>
                <w:numId w:val="35"/>
              </w:numPr>
              <w:rPr>
                <w:b/>
                <w:sz w:val="24"/>
                <w:szCs w:val="24"/>
              </w:rPr>
            </w:pPr>
          </w:p>
        </w:tc>
        <w:tc>
          <w:tcPr>
            <w:tcW w:w="548" w:type="pct"/>
            <w:tcBorders>
              <w:top w:val="single" w:sz="4" w:space="0" w:color="auto"/>
              <w:left w:val="single" w:sz="4" w:space="0" w:color="auto"/>
              <w:bottom w:val="single" w:sz="4" w:space="0" w:color="auto"/>
              <w:right w:val="single" w:sz="4" w:space="0" w:color="auto"/>
            </w:tcBorders>
          </w:tcPr>
          <w:p w14:paraId="3A993FBE" w14:textId="05C73564" w:rsidR="009B41E2" w:rsidRPr="00FF5647" w:rsidRDefault="009B41E2" w:rsidP="009B41E2">
            <w:pPr>
              <w:ind w:firstLine="0"/>
              <w:rPr>
                <w:b/>
                <w:sz w:val="24"/>
                <w:szCs w:val="24"/>
              </w:rPr>
            </w:pPr>
            <w:r w:rsidRPr="00FF5647">
              <w:rPr>
                <w:rFonts w:ascii="Times New Roman" w:eastAsia="Times New Roman" w:hAnsi="Times New Roman"/>
                <w:b/>
                <w:sz w:val="24"/>
                <w:szCs w:val="24"/>
              </w:rPr>
              <w:t>Ministerul Mediului</w:t>
            </w:r>
          </w:p>
        </w:tc>
        <w:tc>
          <w:tcPr>
            <w:tcW w:w="539" w:type="pct"/>
            <w:tcBorders>
              <w:top w:val="single" w:sz="4" w:space="0" w:color="auto"/>
              <w:left w:val="single" w:sz="4" w:space="0" w:color="auto"/>
              <w:bottom w:val="single" w:sz="4" w:space="0" w:color="auto"/>
              <w:right w:val="single" w:sz="4" w:space="0" w:color="auto"/>
            </w:tcBorders>
          </w:tcPr>
          <w:p w14:paraId="242F315E" w14:textId="4657EB56" w:rsidR="009B41E2" w:rsidRPr="00FF5647" w:rsidRDefault="009B41E2" w:rsidP="009B41E2">
            <w:pPr>
              <w:spacing w:before="1"/>
              <w:ind w:right="-37" w:firstLine="0"/>
              <w:jc w:val="left"/>
              <w:rPr>
                <w:b/>
                <w:sz w:val="24"/>
                <w:szCs w:val="24"/>
              </w:rPr>
            </w:pPr>
            <w:r w:rsidRPr="00FF5647">
              <w:rPr>
                <w:rFonts w:ascii="Times New Roman" w:hAnsi="Times New Roman"/>
                <w:b/>
                <w:bCs/>
                <w:sz w:val="24"/>
                <w:szCs w:val="24"/>
              </w:rPr>
              <w:t>Nr. 07/1-07/2963 din 06.11.2025</w:t>
            </w:r>
          </w:p>
        </w:tc>
        <w:tc>
          <w:tcPr>
            <w:tcW w:w="2199" w:type="pct"/>
            <w:tcBorders>
              <w:top w:val="single" w:sz="4" w:space="0" w:color="auto"/>
              <w:left w:val="single" w:sz="4" w:space="0" w:color="auto"/>
              <w:bottom w:val="single" w:sz="4" w:space="0" w:color="auto"/>
              <w:right w:val="single" w:sz="4" w:space="0" w:color="auto"/>
            </w:tcBorders>
          </w:tcPr>
          <w:p w14:paraId="69EEE711" w14:textId="77777777" w:rsidR="00DF65FA"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Cu referire la scrisoarea nr. 09/3351 din 27.10.2025 prin care se remite proiectul de Ordin cu privire la aprobarea și recunoașterea Listelor substanțelor active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spre expertizare, Ministerul Mediului comunică următoarele. </w:t>
            </w:r>
          </w:p>
          <w:p w14:paraId="1E550DE5" w14:textId="77777777" w:rsidR="00DF65FA"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La pct. 2 din proiectul de Ordin, pentru a corela cu Legea nr. 277/208 privind substanțele chimice, se va indica denumirea corectă agenției Uniunii Europene responsabilă de implementarea și gestionarea legislației UE privind substanțele chimice – </w:t>
            </w:r>
            <w:bookmarkStart w:id="1" w:name="_Hlk214889095"/>
            <w:r w:rsidRPr="00FF5647">
              <w:rPr>
                <w:rFonts w:ascii="Times New Roman" w:hAnsi="Times New Roman" w:cs="Times New Roman"/>
                <w:lang w:val="ro-MD"/>
              </w:rPr>
              <w:t xml:space="preserve">Agenția Europeană pentru Produse Chimice (European </w:t>
            </w:r>
            <w:proofErr w:type="spellStart"/>
            <w:r w:rsidRPr="00FF5647">
              <w:rPr>
                <w:rFonts w:ascii="Times New Roman" w:hAnsi="Times New Roman" w:cs="Times New Roman"/>
                <w:lang w:val="ro-MD"/>
              </w:rPr>
              <w:t>Chemicals</w:t>
            </w:r>
            <w:proofErr w:type="spellEnd"/>
            <w:r w:rsidRPr="00FF5647">
              <w:rPr>
                <w:rFonts w:ascii="Times New Roman" w:hAnsi="Times New Roman" w:cs="Times New Roman"/>
                <w:lang w:val="ro-MD"/>
              </w:rPr>
              <w:t xml:space="preserve"> Agency – ECHA). </w:t>
            </w:r>
            <w:bookmarkEnd w:id="1"/>
          </w:p>
          <w:p w14:paraId="70CA6F2F" w14:textId="77777777" w:rsidR="00177BB7"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Totodată, având în vedere că modificările operate prin Hotărârea Guvernului nr. 671/2025 pentru modificarea Hotărârii Guvernului nr. 344/2020 pentru aprobarea Regulamentului sanitar privind punerea 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în ceea ce privește introducerea procedurii simplificate de înregistrare, </w:t>
            </w:r>
            <w:bookmarkStart w:id="2" w:name="_Hlk214889243"/>
            <w:r w:rsidRPr="00FF5647">
              <w:rPr>
                <w:rFonts w:ascii="Times New Roman" w:hAnsi="Times New Roman" w:cs="Times New Roman"/>
                <w:lang w:val="ro-MD"/>
              </w:rPr>
              <w:t>urmează să între în vigoare la data de 01.01.2026</w:t>
            </w:r>
            <w:bookmarkEnd w:id="2"/>
            <w:r w:rsidRPr="00FF5647">
              <w:rPr>
                <w:rFonts w:ascii="Times New Roman" w:hAnsi="Times New Roman" w:cs="Times New Roman"/>
                <w:lang w:val="ro-MD"/>
              </w:rPr>
              <w:t xml:space="preserve">, se impune completarea </w:t>
            </w:r>
            <w:r w:rsidRPr="00FF5647">
              <w:rPr>
                <w:rFonts w:ascii="Times New Roman" w:hAnsi="Times New Roman" w:cs="Times New Roman"/>
                <w:lang w:val="ro-MD"/>
              </w:rPr>
              <w:lastRenderedPageBreak/>
              <w:t xml:space="preserve">proiectului de Ordin cu un punct privind data intrării în vigoare al actului departamental corelat cu termenul de intrare în vigoare stabilit prin Hotărârea Guvernului nr. 671/2025. </w:t>
            </w:r>
          </w:p>
          <w:p w14:paraId="35EC09F3" w14:textId="212A59F9"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De asemenea, se constată o neclaritate în ceea ce privește temeiul legal de elaborare a proiectului de Ordin, întru-cât pct. 2, </w:t>
            </w:r>
            <w:proofErr w:type="spellStart"/>
            <w:r w:rsidRPr="00FF5647">
              <w:rPr>
                <w:rFonts w:ascii="Times New Roman" w:hAnsi="Times New Roman" w:cs="Times New Roman"/>
                <w:lang w:val="ro-MD"/>
              </w:rPr>
              <w:t>subpct</w:t>
            </w:r>
            <w:proofErr w:type="spellEnd"/>
            <w:r w:rsidRPr="00FF5647">
              <w:rPr>
                <w:rFonts w:ascii="Times New Roman" w:hAnsi="Times New Roman" w:cs="Times New Roman"/>
                <w:lang w:val="ro-MD"/>
              </w:rPr>
              <w:t>. 1) din Hotărârea Guvernului nr. 344/2020 prevede expres:</w:t>
            </w:r>
          </w:p>
          <w:p w14:paraId="3B468299" w14:textId="77777777" w:rsidR="009B41E2" w:rsidRPr="00FF5647" w:rsidRDefault="009B41E2" w:rsidP="009B41E2">
            <w:pPr>
              <w:pStyle w:val="Corptext"/>
              <w:numPr>
                <w:ilvl w:val="0"/>
                <w:numId w:val="32"/>
              </w:numPr>
              <w:pBdr>
                <w:top w:val="none" w:sz="4" w:space="0" w:color="000000"/>
                <w:left w:val="none" w:sz="4" w:space="0" w:color="000000"/>
                <w:bottom w:val="none" w:sz="4" w:space="0" w:color="000000"/>
                <w:right w:val="none" w:sz="4" w:space="0" w:color="000000"/>
              </w:pBdr>
              <w:tabs>
                <w:tab w:val="left" w:pos="244"/>
              </w:tabs>
              <w:ind w:left="0" w:right="146" w:firstLine="360"/>
              <w:jc w:val="both"/>
              <w:rPr>
                <w:rFonts w:ascii="Times New Roman" w:hAnsi="Times New Roman" w:cs="Times New Roman"/>
                <w:lang w:val="ro-MD"/>
              </w:rPr>
            </w:pPr>
            <w:r w:rsidRPr="00FF5647">
              <w:rPr>
                <w:rFonts w:ascii="Times New Roman" w:hAnsi="Times New Roman" w:cs="Times New Roman"/>
                <w:lang w:val="ro-MD"/>
              </w:rPr>
              <w:t xml:space="preserve">folosirea Listei substanțelor active care pot fi utilizate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stabilită la nivelul Uniunii Europene, care urmează a fi transpusă prin ordin al ministrului sănătății, muncii și protecției sociale”.</w:t>
            </w:r>
          </w:p>
          <w:p w14:paraId="1B0D00D3"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181"/>
              </w:tabs>
              <w:ind w:left="1" w:right="146" w:hanging="1"/>
              <w:jc w:val="both"/>
              <w:rPr>
                <w:rFonts w:ascii="Times New Roman" w:hAnsi="Times New Roman" w:cs="Times New Roman"/>
                <w:lang w:val="ro-MD"/>
              </w:rPr>
            </w:pPr>
            <w:r w:rsidRPr="00FF5647">
              <w:rPr>
                <w:rFonts w:ascii="Times New Roman" w:hAnsi="Times New Roman" w:cs="Times New Roman"/>
                <w:lang w:val="ro-MD"/>
              </w:rPr>
              <w:t xml:space="preserve"> În acest sens, temeiul legal de elaborare a proiectului de Ordin urmează a fi substituit din „pct. 2, </w:t>
            </w:r>
            <w:proofErr w:type="spellStart"/>
            <w:r w:rsidRPr="00FF5647">
              <w:rPr>
                <w:rFonts w:ascii="Times New Roman" w:hAnsi="Times New Roman" w:cs="Times New Roman"/>
                <w:lang w:val="ro-MD"/>
              </w:rPr>
              <w:t>sbpct</w:t>
            </w:r>
            <w:proofErr w:type="spellEnd"/>
            <w:r w:rsidRPr="00FF5647">
              <w:rPr>
                <w:rFonts w:ascii="Times New Roman" w:hAnsi="Times New Roman" w:cs="Times New Roman"/>
                <w:lang w:val="ro-MD"/>
              </w:rPr>
              <w:t xml:space="preserve">. 2)” cu „pct. 2, </w:t>
            </w:r>
            <w:proofErr w:type="spellStart"/>
            <w:r w:rsidRPr="00FF5647">
              <w:rPr>
                <w:rFonts w:ascii="Times New Roman" w:hAnsi="Times New Roman" w:cs="Times New Roman"/>
                <w:lang w:val="ro-MD"/>
              </w:rPr>
              <w:t>sbpct</w:t>
            </w:r>
            <w:proofErr w:type="spellEnd"/>
            <w:r w:rsidRPr="00FF5647">
              <w:rPr>
                <w:rFonts w:ascii="Times New Roman" w:hAnsi="Times New Roman" w:cs="Times New Roman"/>
                <w:lang w:val="ro-MD"/>
              </w:rPr>
              <w:t xml:space="preserve">. 1)”. </w:t>
            </w:r>
          </w:p>
          <w:p w14:paraId="5CE55EF0"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181"/>
              </w:tabs>
              <w:ind w:left="1" w:right="146" w:hanging="1"/>
              <w:jc w:val="both"/>
              <w:rPr>
                <w:rFonts w:ascii="Times New Roman" w:hAnsi="Times New Roman" w:cs="Times New Roman"/>
                <w:lang w:val="ro-MD"/>
              </w:rPr>
            </w:pPr>
            <w:r w:rsidRPr="00FF5647">
              <w:rPr>
                <w:rFonts w:ascii="Times New Roman" w:hAnsi="Times New Roman" w:cs="Times New Roman"/>
                <w:lang w:val="ro-MD"/>
              </w:rPr>
              <w:t xml:space="preserve">Adițional, menționăm că, Hotărârea Guvernului nr. 344/2020 nu stabilește procedura de recunoaștere a listei substanțelor active care pot fi utilizate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prin folosirea </w:t>
            </w:r>
            <w:proofErr w:type="spellStart"/>
            <w:r w:rsidRPr="00FF5647">
              <w:rPr>
                <w:rFonts w:ascii="Times New Roman" w:hAnsi="Times New Roman" w:cs="Times New Roman"/>
                <w:lang w:val="ro-MD"/>
              </w:rPr>
              <w:t>paginei</w:t>
            </w:r>
            <w:proofErr w:type="spellEnd"/>
            <w:r w:rsidRPr="00FF5647">
              <w:rPr>
                <w:rFonts w:ascii="Times New Roman" w:hAnsi="Times New Roman" w:cs="Times New Roman"/>
                <w:lang w:val="ro-MD"/>
              </w:rPr>
              <w:t xml:space="preserve"> web a Agenției </w:t>
            </w:r>
            <w:proofErr w:type="spellStart"/>
            <w:r w:rsidRPr="00FF5647">
              <w:rPr>
                <w:rFonts w:ascii="Times New Roman" w:hAnsi="Times New Roman" w:cs="Times New Roman"/>
                <w:lang w:val="ro-MD"/>
              </w:rPr>
              <w:t>Europeane</w:t>
            </w:r>
            <w:proofErr w:type="spellEnd"/>
            <w:r w:rsidRPr="00FF5647">
              <w:rPr>
                <w:rFonts w:ascii="Times New Roman" w:hAnsi="Times New Roman" w:cs="Times New Roman"/>
                <w:lang w:val="ro-MD"/>
              </w:rPr>
              <w:t xml:space="preserve"> pentru Produse Chimice (ECHA) ca sursă pentru integrarea la nivel național a prevederilor Anexei I a Regulamentului (UE) nr. 528/2012 al Parlamentului European și al Consiliului din 22 mai 2012 privind punerea 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w:t>
            </w:r>
          </w:p>
          <w:p w14:paraId="6678178B"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181"/>
              </w:tabs>
              <w:ind w:left="1" w:right="146" w:hanging="1"/>
              <w:jc w:val="both"/>
              <w:rPr>
                <w:rFonts w:ascii="Times New Roman" w:hAnsi="Times New Roman" w:cs="Times New Roman"/>
                <w:lang w:val="ro-MD"/>
              </w:rPr>
            </w:pPr>
            <w:r w:rsidRPr="00FF5647">
              <w:rPr>
                <w:rFonts w:ascii="Times New Roman" w:hAnsi="Times New Roman" w:cs="Times New Roman"/>
                <w:lang w:val="ro-MD"/>
              </w:rPr>
              <w:t xml:space="preserve">Astfel, procedura de înregistrare simplificată 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pentru substanțele chimice setate în Anexa I a Regulamentului (UE) nr. 528/2012 și recunoașterea autorizațiilor la nivelul Uniunii Europene, necesită a fi delimitate clar si concis în proiectul de Ordin pentru a nu crea premise pentru interpretări contradictorii și pentru a evita aplicarea eronată a normei.</w:t>
            </w:r>
          </w:p>
          <w:p w14:paraId="282C2117"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181"/>
              </w:tabs>
              <w:ind w:left="1" w:right="146" w:hanging="1"/>
              <w:jc w:val="both"/>
              <w:rPr>
                <w:rFonts w:ascii="Times New Roman" w:hAnsi="Times New Roman" w:cs="Times New Roman"/>
                <w:lang w:val="ro-MD"/>
              </w:rPr>
            </w:pPr>
            <w:r w:rsidRPr="00FF5647">
              <w:rPr>
                <w:rFonts w:ascii="Times New Roman" w:hAnsi="Times New Roman" w:cs="Times New Roman"/>
                <w:lang w:val="ro-MD"/>
              </w:rPr>
              <w:t xml:space="preserve">Mai mult, pct. 2, </w:t>
            </w:r>
            <w:proofErr w:type="spellStart"/>
            <w:r w:rsidRPr="00FF5647">
              <w:rPr>
                <w:rFonts w:ascii="Times New Roman" w:hAnsi="Times New Roman" w:cs="Times New Roman"/>
                <w:lang w:val="ro-MD"/>
              </w:rPr>
              <w:t>sbpct</w:t>
            </w:r>
            <w:proofErr w:type="spellEnd"/>
            <w:r w:rsidRPr="00FF5647">
              <w:rPr>
                <w:rFonts w:ascii="Times New Roman" w:hAnsi="Times New Roman" w:cs="Times New Roman"/>
                <w:lang w:val="ro-MD"/>
              </w:rPr>
              <w:t xml:space="preserve">. 4) a Regulamentul aprobat prin </w:t>
            </w:r>
            <w:proofErr w:type="spellStart"/>
            <w:r w:rsidRPr="00FF5647">
              <w:rPr>
                <w:rFonts w:ascii="Times New Roman" w:hAnsi="Times New Roman" w:cs="Times New Roman"/>
                <w:lang w:val="ro-MD"/>
              </w:rPr>
              <w:t>Horărârea</w:t>
            </w:r>
            <w:proofErr w:type="spellEnd"/>
            <w:r w:rsidRPr="00FF5647">
              <w:rPr>
                <w:rFonts w:ascii="Times New Roman" w:hAnsi="Times New Roman" w:cs="Times New Roman"/>
                <w:lang w:val="ro-MD"/>
              </w:rPr>
              <w:t xml:space="preserve"> Guvernului nr. 344/2020 stabilește normele referitoare la recunoașterea reciprocă a autorizațiilor eliberate în una dintre țările Uniunii Europene, în acest sens, pct. 2 din proiectul de Ordin urmează a fi reformulat în conformitate cu cadrul primar stabilit, în următoarea redacție: </w:t>
            </w:r>
          </w:p>
          <w:p w14:paraId="3FFE30EB"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181"/>
              </w:tabs>
              <w:ind w:left="1" w:right="146" w:hanging="1"/>
              <w:jc w:val="both"/>
              <w:rPr>
                <w:rFonts w:ascii="Times New Roman" w:hAnsi="Times New Roman" w:cs="Times New Roman"/>
                <w:lang w:val="ro-MD"/>
              </w:rPr>
            </w:pPr>
            <w:r w:rsidRPr="00FF5647">
              <w:rPr>
                <w:rFonts w:ascii="Times New Roman" w:hAnsi="Times New Roman" w:cs="Times New Roman"/>
                <w:lang w:val="ro-MD"/>
              </w:rPr>
              <w:lastRenderedPageBreak/>
              <w:t xml:space="preserve">„2. Substanțele active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w:t>
            </w:r>
            <w:bookmarkStart w:id="3" w:name="_Hlk214889642"/>
            <w:r w:rsidRPr="00FF5647">
              <w:rPr>
                <w:rFonts w:ascii="Times New Roman" w:hAnsi="Times New Roman" w:cs="Times New Roman"/>
                <w:lang w:val="ro-MD"/>
              </w:rPr>
              <w:t xml:space="preserve">autorizate de Comisia Europeană și publicate pe site-ul web a Agenției </w:t>
            </w:r>
            <w:proofErr w:type="spellStart"/>
            <w:r w:rsidRPr="00FF5647">
              <w:rPr>
                <w:rFonts w:ascii="Times New Roman" w:hAnsi="Times New Roman" w:cs="Times New Roman"/>
                <w:lang w:val="ro-MD"/>
              </w:rPr>
              <w:t>Europeane</w:t>
            </w:r>
            <w:proofErr w:type="spellEnd"/>
            <w:r w:rsidRPr="00FF5647">
              <w:rPr>
                <w:rFonts w:ascii="Times New Roman" w:hAnsi="Times New Roman" w:cs="Times New Roman"/>
                <w:lang w:val="ro-MD"/>
              </w:rPr>
              <w:t xml:space="preserve"> pentru Produse Chimice se recunosc în conformitate cu pct. 2, </w:t>
            </w:r>
            <w:proofErr w:type="spellStart"/>
            <w:r w:rsidRPr="00FF5647">
              <w:rPr>
                <w:rFonts w:ascii="Times New Roman" w:hAnsi="Times New Roman" w:cs="Times New Roman"/>
                <w:lang w:val="ro-MD"/>
              </w:rPr>
              <w:t>sbpct</w:t>
            </w:r>
            <w:proofErr w:type="spellEnd"/>
            <w:r w:rsidRPr="00FF5647">
              <w:rPr>
                <w:rFonts w:ascii="Times New Roman" w:hAnsi="Times New Roman" w:cs="Times New Roman"/>
                <w:lang w:val="ro-MD"/>
              </w:rPr>
              <w:t xml:space="preserve">. 4) din Regulamentul sanitar privind punerea 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aprobat prin Hotărârea Guvernului nr. 344/2020 și se publică pe pagina web a Agenției Naționale pentru Sănătate Publică</w:t>
            </w:r>
            <w:bookmarkEnd w:id="3"/>
            <w:r w:rsidRPr="00FF5647">
              <w:rPr>
                <w:rFonts w:ascii="Times New Roman" w:hAnsi="Times New Roman" w:cs="Times New Roman"/>
                <w:lang w:val="ro-MD"/>
              </w:rPr>
              <w:t xml:space="preserve">.” </w:t>
            </w:r>
          </w:p>
          <w:p w14:paraId="4185B8B7" w14:textId="15A77EBE" w:rsidR="009B41E2" w:rsidRPr="00FF5647" w:rsidRDefault="009B41E2" w:rsidP="009B41E2">
            <w:pPr>
              <w:tabs>
                <w:tab w:val="left" w:pos="1995"/>
              </w:tabs>
              <w:ind w:firstLine="0"/>
              <w:rPr>
                <w:rFonts w:ascii="Times New Roman" w:eastAsia="Calibri Light" w:hAnsi="Times New Roman"/>
                <w:sz w:val="24"/>
                <w:szCs w:val="24"/>
              </w:rPr>
            </w:pPr>
            <w:r w:rsidRPr="00FF5647">
              <w:rPr>
                <w:rFonts w:ascii="Times New Roman" w:eastAsia="Calibri Light" w:hAnsi="Times New Roman"/>
                <w:sz w:val="24"/>
                <w:szCs w:val="24"/>
              </w:rPr>
              <w:t>În concluzie, proiectul de Ordin urmează a fi ajustat în contextul celor sus-menționate, cu respectarea normelor stabilite de cadrul normativ primar, Hotărârea Guvernului nr. 344/2020 și cerințele stabilite de Legea nr. 100/2017 cu privire la actele normative.</w:t>
            </w:r>
          </w:p>
        </w:tc>
        <w:tc>
          <w:tcPr>
            <w:tcW w:w="1485" w:type="pct"/>
            <w:tcBorders>
              <w:top w:val="single" w:sz="4" w:space="0" w:color="auto"/>
              <w:left w:val="single" w:sz="4" w:space="0" w:color="auto"/>
              <w:bottom w:val="single" w:sz="4" w:space="0" w:color="auto"/>
              <w:right w:val="single" w:sz="8" w:space="0" w:color="000000"/>
            </w:tcBorders>
          </w:tcPr>
          <w:p w14:paraId="2320DF8A" w14:textId="77777777" w:rsidR="00DF65FA"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24FA07E6" w14:textId="77777777" w:rsidR="00DF65FA"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55A55036" w14:textId="77777777" w:rsidR="00DF65FA"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C94868D" w14:textId="77777777" w:rsidR="00DF65FA"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00E47721" w14:textId="77777777" w:rsidR="00DF65FA"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p>
          <w:p w14:paraId="1A02317C" w14:textId="77777777" w:rsidR="00DF65FA"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37EE7F25" w14:textId="7ECF3DB6" w:rsidR="009B41E2"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Punctul 2 la proiectul de ordin a fost ajustat.</w:t>
            </w:r>
          </w:p>
          <w:p w14:paraId="69E02E4D" w14:textId="77777777" w:rsidR="00DF65FA" w:rsidRPr="00FF5647" w:rsidRDefault="00DF65FA" w:rsidP="009B41E2">
            <w:pPr>
              <w:ind w:firstLine="0"/>
              <w:rPr>
                <w:b/>
                <w:bCs/>
                <w:sz w:val="24"/>
                <w:szCs w:val="24"/>
              </w:rPr>
            </w:pPr>
          </w:p>
          <w:p w14:paraId="0AAAC496" w14:textId="77777777" w:rsidR="00DF65FA" w:rsidRPr="00FF5647" w:rsidRDefault="00DF65FA" w:rsidP="009B41E2">
            <w:pPr>
              <w:ind w:firstLine="0"/>
              <w:rPr>
                <w:b/>
                <w:bCs/>
                <w:sz w:val="24"/>
                <w:szCs w:val="24"/>
              </w:rPr>
            </w:pPr>
          </w:p>
          <w:p w14:paraId="3AE3DC8B" w14:textId="77777777" w:rsidR="00DF65FA" w:rsidRPr="00FF5647" w:rsidRDefault="00DF65FA" w:rsidP="009B41E2">
            <w:pPr>
              <w:ind w:firstLine="0"/>
              <w:rPr>
                <w:b/>
                <w:bCs/>
                <w:sz w:val="24"/>
                <w:szCs w:val="24"/>
              </w:rPr>
            </w:pPr>
          </w:p>
          <w:p w14:paraId="6951F637" w14:textId="77777777" w:rsidR="00DF65FA"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085F8E53" w14:textId="665D3796" w:rsidR="00DF65FA" w:rsidRPr="00FF5647" w:rsidRDefault="00DF65FA" w:rsidP="00DF65F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3B8F594D" w14:textId="77777777" w:rsidR="00DF65FA" w:rsidRPr="00FF5647" w:rsidRDefault="00DF65FA" w:rsidP="009B41E2">
            <w:pPr>
              <w:ind w:firstLine="0"/>
              <w:rPr>
                <w:b/>
                <w:bCs/>
                <w:sz w:val="24"/>
                <w:szCs w:val="24"/>
              </w:rPr>
            </w:pPr>
          </w:p>
          <w:p w14:paraId="11B98CB4" w14:textId="77777777" w:rsidR="00177BB7" w:rsidRPr="00FF5647" w:rsidRDefault="00177BB7" w:rsidP="009B41E2">
            <w:pPr>
              <w:ind w:firstLine="0"/>
              <w:rPr>
                <w:b/>
                <w:bCs/>
                <w:sz w:val="24"/>
                <w:szCs w:val="24"/>
              </w:rPr>
            </w:pPr>
          </w:p>
          <w:p w14:paraId="3695050C" w14:textId="77777777" w:rsidR="00177BB7" w:rsidRPr="00FF5647" w:rsidRDefault="00177BB7" w:rsidP="009B41E2">
            <w:pPr>
              <w:ind w:firstLine="0"/>
              <w:rPr>
                <w:b/>
                <w:bCs/>
                <w:sz w:val="24"/>
                <w:szCs w:val="24"/>
              </w:rPr>
            </w:pPr>
          </w:p>
          <w:p w14:paraId="344A0D65" w14:textId="77777777" w:rsidR="00177BB7" w:rsidRPr="00FF5647" w:rsidRDefault="00177BB7" w:rsidP="009B41E2">
            <w:pPr>
              <w:ind w:firstLine="0"/>
              <w:rPr>
                <w:b/>
                <w:bCs/>
                <w:sz w:val="24"/>
                <w:szCs w:val="24"/>
              </w:rPr>
            </w:pPr>
          </w:p>
          <w:p w14:paraId="05071B66" w14:textId="77777777" w:rsidR="00177BB7" w:rsidRPr="00FF5647" w:rsidRDefault="00177BB7" w:rsidP="009B41E2">
            <w:pPr>
              <w:ind w:firstLine="0"/>
              <w:rPr>
                <w:b/>
                <w:bCs/>
                <w:sz w:val="24"/>
                <w:szCs w:val="24"/>
              </w:rPr>
            </w:pPr>
          </w:p>
          <w:p w14:paraId="702BC99D" w14:textId="77777777" w:rsidR="00177BB7" w:rsidRPr="00FF5647" w:rsidRDefault="00177BB7" w:rsidP="009B41E2">
            <w:pPr>
              <w:ind w:firstLine="0"/>
              <w:rPr>
                <w:b/>
                <w:bCs/>
                <w:sz w:val="24"/>
                <w:szCs w:val="24"/>
              </w:rPr>
            </w:pPr>
          </w:p>
          <w:p w14:paraId="3D84706E" w14:textId="77777777" w:rsidR="00177BB7" w:rsidRPr="00FF5647" w:rsidRDefault="00177BB7" w:rsidP="009B41E2">
            <w:pPr>
              <w:ind w:firstLine="0"/>
              <w:rPr>
                <w:b/>
                <w:bCs/>
                <w:sz w:val="24"/>
                <w:szCs w:val="24"/>
              </w:rPr>
            </w:pPr>
          </w:p>
          <w:p w14:paraId="3EDB1C9E" w14:textId="77777777" w:rsidR="00177BB7" w:rsidRPr="00FF5647" w:rsidRDefault="00177BB7" w:rsidP="00177B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76E5BEEC" w14:textId="77777777" w:rsidR="00177BB7" w:rsidRPr="00FF5647" w:rsidRDefault="00177BB7" w:rsidP="00177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63EDD7DC" w14:textId="77777777" w:rsidR="00177BB7" w:rsidRPr="00FF5647" w:rsidRDefault="00177BB7" w:rsidP="009B41E2">
            <w:pPr>
              <w:ind w:firstLine="0"/>
              <w:rPr>
                <w:b/>
                <w:bCs/>
                <w:sz w:val="24"/>
                <w:szCs w:val="24"/>
              </w:rPr>
            </w:pPr>
          </w:p>
          <w:p w14:paraId="41A93FD8" w14:textId="77777777" w:rsidR="00177BB7" w:rsidRPr="00FF5647" w:rsidRDefault="00177BB7" w:rsidP="009B41E2">
            <w:pPr>
              <w:ind w:firstLine="0"/>
              <w:rPr>
                <w:b/>
                <w:bCs/>
                <w:sz w:val="24"/>
                <w:szCs w:val="24"/>
              </w:rPr>
            </w:pPr>
          </w:p>
          <w:p w14:paraId="327AE009" w14:textId="77777777" w:rsidR="00177BB7" w:rsidRPr="00FF5647" w:rsidRDefault="00177BB7" w:rsidP="009B41E2">
            <w:pPr>
              <w:ind w:firstLine="0"/>
              <w:rPr>
                <w:b/>
                <w:bCs/>
                <w:sz w:val="24"/>
                <w:szCs w:val="24"/>
              </w:rPr>
            </w:pPr>
          </w:p>
          <w:p w14:paraId="05B67E90" w14:textId="77777777" w:rsidR="00177BB7" w:rsidRPr="00FF5647" w:rsidRDefault="00177BB7" w:rsidP="009B41E2">
            <w:pPr>
              <w:ind w:firstLine="0"/>
              <w:rPr>
                <w:b/>
                <w:bCs/>
                <w:sz w:val="24"/>
                <w:szCs w:val="24"/>
              </w:rPr>
            </w:pPr>
          </w:p>
          <w:p w14:paraId="4538BE69" w14:textId="77777777" w:rsidR="00177BB7" w:rsidRPr="00FF5647" w:rsidRDefault="00177BB7" w:rsidP="009B41E2">
            <w:pPr>
              <w:ind w:firstLine="0"/>
              <w:rPr>
                <w:b/>
                <w:bCs/>
                <w:sz w:val="24"/>
                <w:szCs w:val="24"/>
              </w:rPr>
            </w:pPr>
          </w:p>
          <w:p w14:paraId="32048A0A" w14:textId="77777777" w:rsidR="00177BB7" w:rsidRPr="00FF5647" w:rsidRDefault="00177BB7" w:rsidP="009B41E2">
            <w:pPr>
              <w:ind w:firstLine="0"/>
              <w:rPr>
                <w:b/>
                <w:bCs/>
                <w:sz w:val="24"/>
                <w:szCs w:val="24"/>
              </w:rPr>
            </w:pPr>
          </w:p>
          <w:p w14:paraId="24F80E66" w14:textId="77777777" w:rsidR="00177BB7" w:rsidRPr="00FF5647" w:rsidRDefault="00177BB7" w:rsidP="009B41E2">
            <w:pPr>
              <w:ind w:firstLine="0"/>
              <w:rPr>
                <w:b/>
                <w:bCs/>
                <w:sz w:val="24"/>
                <w:szCs w:val="24"/>
              </w:rPr>
            </w:pPr>
          </w:p>
          <w:p w14:paraId="3B338A62" w14:textId="77777777" w:rsidR="00177BB7" w:rsidRPr="00FF5647" w:rsidRDefault="00177BB7" w:rsidP="009B41E2">
            <w:pPr>
              <w:ind w:firstLine="0"/>
              <w:rPr>
                <w:b/>
                <w:bCs/>
                <w:sz w:val="24"/>
                <w:szCs w:val="24"/>
              </w:rPr>
            </w:pPr>
          </w:p>
          <w:p w14:paraId="081BA7BF" w14:textId="77777777" w:rsidR="00177BB7" w:rsidRPr="00FF5647" w:rsidRDefault="00177BB7" w:rsidP="009B41E2">
            <w:pPr>
              <w:ind w:firstLine="0"/>
              <w:rPr>
                <w:b/>
                <w:bCs/>
                <w:sz w:val="24"/>
                <w:szCs w:val="24"/>
              </w:rPr>
            </w:pPr>
          </w:p>
          <w:p w14:paraId="113CADD9" w14:textId="77777777" w:rsidR="00177BB7" w:rsidRPr="00FF5647" w:rsidRDefault="00177BB7" w:rsidP="00177B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5FE62370" w14:textId="77777777" w:rsidR="00177BB7" w:rsidRPr="00FF5647" w:rsidRDefault="00177BB7" w:rsidP="00177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7A58703B" w14:textId="77777777" w:rsidR="00177BB7" w:rsidRPr="00FF5647" w:rsidRDefault="00177BB7" w:rsidP="009B41E2">
            <w:pPr>
              <w:ind w:firstLine="0"/>
              <w:rPr>
                <w:b/>
                <w:bCs/>
                <w:sz w:val="24"/>
                <w:szCs w:val="24"/>
              </w:rPr>
            </w:pPr>
          </w:p>
          <w:p w14:paraId="1BFB747F" w14:textId="77777777" w:rsidR="00177BB7" w:rsidRPr="00FF5647" w:rsidRDefault="00177BB7" w:rsidP="009B41E2">
            <w:pPr>
              <w:ind w:firstLine="0"/>
              <w:rPr>
                <w:b/>
                <w:bCs/>
                <w:sz w:val="24"/>
                <w:szCs w:val="24"/>
              </w:rPr>
            </w:pPr>
          </w:p>
          <w:p w14:paraId="5670A555" w14:textId="77777777" w:rsidR="00177BB7" w:rsidRPr="00FF5647" w:rsidRDefault="00177BB7" w:rsidP="009B41E2">
            <w:pPr>
              <w:ind w:firstLine="0"/>
              <w:rPr>
                <w:b/>
                <w:bCs/>
                <w:sz w:val="24"/>
                <w:szCs w:val="24"/>
              </w:rPr>
            </w:pPr>
          </w:p>
          <w:p w14:paraId="654D74BE" w14:textId="77777777" w:rsidR="00177BB7" w:rsidRPr="00FF5647" w:rsidRDefault="00177BB7" w:rsidP="009B41E2">
            <w:pPr>
              <w:ind w:firstLine="0"/>
              <w:rPr>
                <w:b/>
                <w:bCs/>
                <w:sz w:val="24"/>
                <w:szCs w:val="24"/>
              </w:rPr>
            </w:pPr>
          </w:p>
          <w:p w14:paraId="64237C2A" w14:textId="77777777" w:rsidR="00177BB7" w:rsidRPr="00FF5647" w:rsidRDefault="00177BB7" w:rsidP="009B41E2">
            <w:pPr>
              <w:ind w:firstLine="0"/>
              <w:rPr>
                <w:b/>
                <w:bCs/>
                <w:sz w:val="24"/>
                <w:szCs w:val="24"/>
              </w:rPr>
            </w:pPr>
          </w:p>
          <w:p w14:paraId="228BD3FC" w14:textId="77777777" w:rsidR="00177BB7" w:rsidRPr="00FF5647" w:rsidRDefault="00177BB7" w:rsidP="009B41E2">
            <w:pPr>
              <w:ind w:firstLine="0"/>
              <w:rPr>
                <w:b/>
                <w:bCs/>
                <w:sz w:val="24"/>
                <w:szCs w:val="24"/>
              </w:rPr>
            </w:pPr>
          </w:p>
          <w:p w14:paraId="4348EA95" w14:textId="77777777" w:rsidR="00177BB7" w:rsidRPr="00FF5647" w:rsidRDefault="00177BB7" w:rsidP="009B41E2">
            <w:pPr>
              <w:ind w:firstLine="0"/>
              <w:rPr>
                <w:b/>
                <w:bCs/>
                <w:sz w:val="24"/>
                <w:szCs w:val="24"/>
              </w:rPr>
            </w:pPr>
          </w:p>
          <w:p w14:paraId="6E8F2FED" w14:textId="77777777" w:rsidR="00177BB7" w:rsidRPr="00FF5647" w:rsidRDefault="00177BB7" w:rsidP="009B41E2">
            <w:pPr>
              <w:ind w:firstLine="0"/>
              <w:rPr>
                <w:b/>
                <w:bCs/>
                <w:sz w:val="24"/>
                <w:szCs w:val="24"/>
              </w:rPr>
            </w:pPr>
          </w:p>
          <w:p w14:paraId="442D199E" w14:textId="77777777" w:rsidR="00177BB7" w:rsidRPr="00FF5647" w:rsidRDefault="00177BB7" w:rsidP="009B41E2">
            <w:pPr>
              <w:ind w:firstLine="0"/>
              <w:rPr>
                <w:b/>
                <w:bCs/>
                <w:sz w:val="24"/>
                <w:szCs w:val="24"/>
              </w:rPr>
            </w:pPr>
          </w:p>
          <w:p w14:paraId="420C2EF4" w14:textId="77777777" w:rsidR="00177BB7" w:rsidRPr="00FF5647" w:rsidRDefault="00177BB7" w:rsidP="009B41E2">
            <w:pPr>
              <w:ind w:firstLine="0"/>
              <w:rPr>
                <w:b/>
                <w:bCs/>
                <w:sz w:val="24"/>
                <w:szCs w:val="24"/>
              </w:rPr>
            </w:pPr>
          </w:p>
        </w:tc>
      </w:tr>
      <w:tr w:rsidR="009B41E2" w:rsidRPr="009B7181" w14:paraId="40BBCD3D" w14:textId="77777777" w:rsidTr="002226FE">
        <w:trPr>
          <w:trHeight w:val="639"/>
        </w:trPr>
        <w:tc>
          <w:tcPr>
            <w:tcW w:w="229" w:type="pct"/>
            <w:tcBorders>
              <w:top w:val="single" w:sz="4" w:space="0" w:color="auto"/>
              <w:left w:val="single" w:sz="8" w:space="0" w:color="000000"/>
              <w:bottom w:val="single" w:sz="4" w:space="0" w:color="auto"/>
              <w:right w:val="single" w:sz="4" w:space="0" w:color="auto"/>
            </w:tcBorders>
          </w:tcPr>
          <w:p w14:paraId="1034EA42" w14:textId="77777777" w:rsidR="009B41E2" w:rsidRPr="00FF5647" w:rsidRDefault="009B41E2" w:rsidP="009B41E2">
            <w:pPr>
              <w:pStyle w:val="Listparagraf"/>
              <w:numPr>
                <w:ilvl w:val="0"/>
                <w:numId w:val="35"/>
              </w:numPr>
              <w:rPr>
                <w:b/>
                <w:sz w:val="24"/>
                <w:szCs w:val="24"/>
              </w:rPr>
            </w:pPr>
          </w:p>
        </w:tc>
        <w:tc>
          <w:tcPr>
            <w:tcW w:w="548" w:type="pct"/>
            <w:tcBorders>
              <w:top w:val="single" w:sz="4" w:space="0" w:color="auto"/>
              <w:left w:val="single" w:sz="4" w:space="0" w:color="auto"/>
              <w:bottom w:val="single" w:sz="4" w:space="0" w:color="auto"/>
              <w:right w:val="single" w:sz="4" w:space="0" w:color="auto"/>
            </w:tcBorders>
          </w:tcPr>
          <w:p w14:paraId="55B5EA8E" w14:textId="77777777" w:rsidR="009B41E2" w:rsidRPr="00FF5647" w:rsidRDefault="009B41E2" w:rsidP="009B41E2">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sz w:val="24"/>
                <w:szCs w:val="24"/>
              </w:rPr>
            </w:pPr>
            <w:r w:rsidRPr="00FF5647">
              <w:rPr>
                <w:rFonts w:ascii="Times New Roman" w:eastAsia="Times New Roman" w:hAnsi="Times New Roman"/>
                <w:b/>
                <w:sz w:val="24"/>
                <w:szCs w:val="24"/>
              </w:rPr>
              <w:t xml:space="preserve">Ministerul Justiției </w:t>
            </w:r>
          </w:p>
          <w:p w14:paraId="590BA66A" w14:textId="77777777" w:rsidR="009B41E2" w:rsidRPr="00FF5647" w:rsidRDefault="009B41E2" w:rsidP="009B41E2">
            <w:pPr>
              <w:ind w:firstLine="0"/>
              <w:rPr>
                <w:b/>
                <w:sz w:val="24"/>
                <w:szCs w:val="24"/>
              </w:rPr>
            </w:pPr>
          </w:p>
        </w:tc>
        <w:tc>
          <w:tcPr>
            <w:tcW w:w="539" w:type="pct"/>
            <w:tcBorders>
              <w:top w:val="single" w:sz="4" w:space="0" w:color="auto"/>
              <w:left w:val="single" w:sz="4" w:space="0" w:color="auto"/>
              <w:bottom w:val="single" w:sz="4" w:space="0" w:color="auto"/>
              <w:right w:val="single" w:sz="4" w:space="0" w:color="auto"/>
            </w:tcBorders>
          </w:tcPr>
          <w:p w14:paraId="2EFC1271" w14:textId="3EF437E1" w:rsidR="009B41E2" w:rsidRPr="00FF5647" w:rsidRDefault="009B41E2" w:rsidP="009B41E2">
            <w:pPr>
              <w:spacing w:before="1"/>
              <w:ind w:right="-37" w:firstLine="0"/>
              <w:jc w:val="left"/>
              <w:rPr>
                <w:b/>
                <w:sz w:val="24"/>
                <w:szCs w:val="24"/>
              </w:rPr>
            </w:pPr>
            <w:r w:rsidRPr="00FF5647">
              <w:rPr>
                <w:rFonts w:ascii="Times New Roman" w:eastAsia="Times New Roman" w:hAnsi="Times New Roman"/>
                <w:b/>
                <w:sz w:val="24"/>
                <w:szCs w:val="24"/>
              </w:rPr>
              <w:t>Nr. 04/1-1075 din 03.11.2025</w:t>
            </w:r>
          </w:p>
        </w:tc>
        <w:tc>
          <w:tcPr>
            <w:tcW w:w="2199" w:type="pct"/>
            <w:tcBorders>
              <w:top w:val="single" w:sz="4" w:space="0" w:color="auto"/>
              <w:left w:val="single" w:sz="4" w:space="0" w:color="auto"/>
              <w:bottom w:val="single" w:sz="4" w:space="0" w:color="auto"/>
              <w:right w:val="single" w:sz="4" w:space="0" w:color="auto"/>
            </w:tcBorders>
          </w:tcPr>
          <w:p w14:paraId="3A109AF7"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Cu referire la proiectul Ordinului ministrului sănătății cu privire la aprobarea și recunoașterea Listelor substanțelor active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comunicăm următoarele. </w:t>
            </w:r>
          </w:p>
          <w:p w14:paraId="2A15C29C"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Potrivit Notei de fundamentare, proiectul ordinului a fost elaborat în scopul transpunerii în legislația națională a Anexei I din Regulamentul (UE) nr. 528/2012 al Parlamentului European și al Consiliului din 22 mai 2012 privind punerea 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care stabilește Lista substanțelor active prevăzute la articolul 25 litera (a). </w:t>
            </w:r>
          </w:p>
          <w:p w14:paraId="1FD79C16"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În conformitate cu art. 25 lit. (a) din Regulamentul (UE) nr. 528/2012, în cazul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eligibile, se poate depune o cerere de autorizare în cadrul unei proceduri simplificate de autorizare. Un produs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este eligibil dacă sunt îndeplinite următoarele condiții: </w:t>
            </w:r>
          </w:p>
          <w:p w14:paraId="2D8BC16C"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(a) toate substanțele active conținute de produsul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figurează în anexa I și satisfac orice restricție specificată în respectiva anexă; </w:t>
            </w:r>
          </w:p>
          <w:p w14:paraId="6588265F"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b) produsul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nu conține nicio substanță care prezintă motive de îngrijorare;</w:t>
            </w:r>
          </w:p>
          <w:p w14:paraId="3334F80F"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 (c) produsul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nu conține niciun nanomaterial;</w:t>
            </w:r>
          </w:p>
          <w:p w14:paraId="121D205C"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 (d) produsul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este suficient de eficace; precum și</w:t>
            </w:r>
          </w:p>
          <w:p w14:paraId="026F12C9"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 (e) manipularea și utilizarea preconizată a produsului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nu necesită echipament individual de protecție. </w:t>
            </w:r>
          </w:p>
          <w:p w14:paraId="60B5EACF" w14:textId="77777777" w:rsidR="00177BB7"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 xml:space="preserve">Procedura simplificată de înregistrare 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 </w:t>
            </w:r>
            <w:r w:rsidRPr="00FF5647">
              <w:rPr>
                <w:rFonts w:ascii="Times New Roman" w:hAnsi="Times New Roman" w:cs="Times New Roman"/>
                <w:lang w:val="ro-MD"/>
              </w:rPr>
              <w:lastRenderedPageBreak/>
              <w:t>fost preluată similar în legislația națională prin dispozițiile capitolului IV</w:t>
            </w:r>
            <w:r w:rsidRPr="00FF5647">
              <w:rPr>
                <w:rFonts w:ascii="Times New Roman" w:hAnsi="Times New Roman" w:cs="Times New Roman"/>
                <w:vertAlign w:val="superscript"/>
                <w:lang w:val="ro-MD"/>
              </w:rPr>
              <w:t>1</w:t>
            </w:r>
            <w:r w:rsidRPr="00FF5647">
              <w:rPr>
                <w:rFonts w:ascii="Times New Roman" w:hAnsi="Times New Roman" w:cs="Times New Roman"/>
                <w:lang w:val="ro-MD"/>
              </w:rPr>
              <w:t xml:space="preserve"> din Regulamentul sanitar privind punerea 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aprobat prin Hotărâre Guvernului nr. 344/2020. </w:t>
            </w:r>
          </w:p>
          <w:p w14:paraId="7A3066AF" w14:textId="53C2514D"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right="146"/>
              <w:jc w:val="both"/>
              <w:rPr>
                <w:rFonts w:ascii="Times New Roman" w:hAnsi="Times New Roman" w:cs="Times New Roman"/>
                <w:lang w:val="ro-MD"/>
              </w:rPr>
            </w:pPr>
            <w:r w:rsidRPr="00FF5647">
              <w:rPr>
                <w:rFonts w:ascii="Times New Roman" w:hAnsi="Times New Roman" w:cs="Times New Roman"/>
                <w:lang w:val="ro-MD"/>
              </w:rPr>
              <w:t>Astfel, potrivit pct. 57</w:t>
            </w:r>
            <w:r w:rsidRPr="00FF5647">
              <w:rPr>
                <w:rFonts w:ascii="Times New Roman" w:hAnsi="Times New Roman" w:cs="Times New Roman"/>
                <w:vertAlign w:val="superscript"/>
                <w:lang w:val="ro-MD"/>
              </w:rPr>
              <w:t>1</w:t>
            </w:r>
            <w:r w:rsidRPr="00FF5647">
              <w:rPr>
                <w:rFonts w:ascii="Times New Roman" w:hAnsi="Times New Roman" w:cs="Times New Roman"/>
                <w:lang w:val="ro-MD"/>
              </w:rPr>
              <w:t xml:space="preserve"> din Regulamentul nominalizat, în cazul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eligibile se poate depune o cerere de înregistrare prin procedura simplificată. Un produs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este eligibil dacă înainte de a fi plasat pe piață respectă următoarele condiții:</w:t>
            </w:r>
          </w:p>
          <w:p w14:paraId="2DE03439" w14:textId="77777777" w:rsidR="009B41E2" w:rsidRPr="00FF5647" w:rsidRDefault="009B41E2" w:rsidP="009B41E2">
            <w:pPr>
              <w:pStyle w:val="Corptext"/>
              <w:numPr>
                <w:ilvl w:val="0"/>
                <w:numId w:val="33"/>
              </w:numPr>
              <w:pBdr>
                <w:top w:val="none" w:sz="4" w:space="0" w:color="000000"/>
                <w:left w:val="none" w:sz="4" w:space="0" w:color="000000"/>
                <w:bottom w:val="none" w:sz="4" w:space="0" w:color="000000"/>
                <w:right w:val="none" w:sz="4" w:space="0" w:color="000000"/>
              </w:pBdr>
              <w:tabs>
                <w:tab w:val="left" w:pos="244"/>
              </w:tabs>
              <w:ind w:left="1" w:right="146" w:hanging="1"/>
              <w:jc w:val="both"/>
              <w:rPr>
                <w:rFonts w:ascii="Times New Roman" w:hAnsi="Times New Roman" w:cs="Times New Roman"/>
                <w:lang w:val="ro-MD"/>
              </w:rPr>
            </w:pPr>
            <w:r w:rsidRPr="00FF5647">
              <w:rPr>
                <w:rFonts w:ascii="Times New Roman" w:hAnsi="Times New Roman" w:cs="Times New Roman"/>
                <w:lang w:val="ro-MD"/>
              </w:rPr>
              <w:t xml:space="preserve">toate substanțele active conținute de produsul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se regăsesc în Lista substanțelor active care pot fi utilizate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aprobată de către ministrul sănătății, și satisfac orice restricție specificată; </w:t>
            </w:r>
          </w:p>
          <w:p w14:paraId="0D4047CD"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2) produsul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nu conține substanțe considerate a fi periculoase sau care ar putea genera riscuri pentru sănătatea umană ori pentru mediu;</w:t>
            </w:r>
          </w:p>
          <w:p w14:paraId="760F35D2"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3) produsul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nu conține niciun nanomaterial; </w:t>
            </w:r>
          </w:p>
          <w:p w14:paraId="4090BBE4"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4) produsul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este eficace la expunerea reglementată;</w:t>
            </w:r>
          </w:p>
          <w:p w14:paraId="0B84E463"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5) manipularea și utilizarea preconizată a produsului </w:t>
            </w:r>
            <w:proofErr w:type="spellStart"/>
            <w:r w:rsidRPr="00FF5647">
              <w:rPr>
                <w:rFonts w:ascii="Times New Roman" w:hAnsi="Times New Roman" w:cs="Times New Roman"/>
                <w:lang w:val="ro-MD"/>
              </w:rPr>
              <w:t>biocid</w:t>
            </w:r>
            <w:proofErr w:type="spellEnd"/>
            <w:r w:rsidRPr="00FF5647">
              <w:rPr>
                <w:rFonts w:ascii="Times New Roman" w:hAnsi="Times New Roman" w:cs="Times New Roman"/>
                <w:lang w:val="ro-MD"/>
              </w:rPr>
              <w:t xml:space="preserve"> nu necesită echipament individual de protecție. </w:t>
            </w:r>
          </w:p>
          <w:p w14:paraId="043A532E"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Pe de altă parte, potrivit Notei de fundamentare, proiectul ordinului ministrului sănătății este elaborat în temeiul </w:t>
            </w:r>
            <w:proofErr w:type="spellStart"/>
            <w:r w:rsidRPr="00FF5647">
              <w:rPr>
                <w:rFonts w:ascii="Times New Roman" w:hAnsi="Times New Roman" w:cs="Times New Roman"/>
                <w:lang w:val="ro-MD"/>
              </w:rPr>
              <w:t>pct</w:t>
            </w:r>
            <w:proofErr w:type="spellEnd"/>
            <w:r w:rsidRPr="00FF5647">
              <w:rPr>
                <w:rFonts w:ascii="Times New Roman" w:hAnsi="Times New Roman" w:cs="Times New Roman"/>
                <w:lang w:val="ro-MD"/>
              </w:rPr>
              <w:t xml:space="preserve"> 2 </w:t>
            </w:r>
            <w:proofErr w:type="spellStart"/>
            <w:r w:rsidRPr="00FF5647">
              <w:rPr>
                <w:rFonts w:ascii="Times New Roman" w:hAnsi="Times New Roman" w:cs="Times New Roman"/>
                <w:lang w:val="ro-MD"/>
              </w:rPr>
              <w:t>sbp</w:t>
            </w:r>
            <w:proofErr w:type="spellEnd"/>
            <w:r w:rsidRPr="00FF5647">
              <w:rPr>
                <w:rFonts w:ascii="Times New Roman" w:hAnsi="Times New Roman" w:cs="Times New Roman"/>
                <w:lang w:val="ro-MD"/>
              </w:rPr>
              <w:t xml:space="preserve">. 1) din Regulamentul sanitar privind punerea la dispoziție pe piața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aprobat prin Hotărârea Guvernului nr. 344/2020, conform căruia „Prezentul Regulament stabilește norme referitoare la:</w:t>
            </w:r>
          </w:p>
          <w:p w14:paraId="4C95BB71" w14:textId="77777777" w:rsidR="009B41E2" w:rsidRPr="00FF5647" w:rsidRDefault="009B41E2" w:rsidP="009B41E2">
            <w:pPr>
              <w:pStyle w:val="Corptext"/>
              <w:numPr>
                <w:ilvl w:val="0"/>
                <w:numId w:val="34"/>
              </w:numPr>
              <w:pBdr>
                <w:top w:val="none" w:sz="4" w:space="0" w:color="000000"/>
                <w:left w:val="none" w:sz="4" w:space="0" w:color="000000"/>
                <w:bottom w:val="none" w:sz="4" w:space="0" w:color="000000"/>
                <w:right w:val="none" w:sz="4" w:space="0" w:color="000000"/>
              </w:pBdr>
              <w:tabs>
                <w:tab w:val="left" w:pos="244"/>
              </w:tabs>
              <w:ind w:left="0" w:right="146" w:firstLine="1"/>
              <w:jc w:val="both"/>
              <w:rPr>
                <w:rFonts w:ascii="Times New Roman" w:hAnsi="Times New Roman" w:cs="Times New Roman"/>
                <w:lang w:val="ro-MD"/>
              </w:rPr>
            </w:pPr>
            <w:r w:rsidRPr="00FF5647">
              <w:rPr>
                <w:rFonts w:ascii="Times New Roman" w:hAnsi="Times New Roman" w:cs="Times New Roman"/>
                <w:lang w:val="ro-MD"/>
              </w:rPr>
              <w:t xml:space="preserve">folosirea Listei substanțelor active care pot fi utilizate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stabilită la nivelul Uniunii Europene, care urmează a fi transpusă prin ordin al ministerului sănătății;”(sublinierea ne aparține). </w:t>
            </w:r>
          </w:p>
          <w:p w14:paraId="2744AC94"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Conform art. 2 lit. (a) din Regulamentul (UE) nr. 528/2012, „prezentul Regulament stabilește norme referitoare la stabilirea, la nivelul Uniunii, a unei liste a substanțelor active care pot fi utilizate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Capitolul II din Regulamentul (UE) nr. 528/2012 reglementează unele aspecte privind aprobarea substanțelor active care ulterior vor putea fi </w:t>
            </w:r>
            <w:r w:rsidRPr="00FF5647">
              <w:rPr>
                <w:rFonts w:ascii="Times New Roman" w:hAnsi="Times New Roman" w:cs="Times New Roman"/>
                <w:lang w:val="ro-MD"/>
              </w:rPr>
              <w:lastRenderedPageBreak/>
              <w:t xml:space="preserve">utilizate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condițiile de aprobare, criteriile de excludere, cerințele privind datele furnizate la depunerea unei cereri, depunerea și validarea cererilor, evaluarea cererilor și aprobarea unei substanțe active. </w:t>
            </w:r>
            <w:r w:rsidRPr="00FF5647">
              <w:rPr>
                <w:rFonts w:ascii="Times New Roman" w:hAnsi="Times New Roman" w:cs="Times New Roman"/>
                <w:b/>
                <w:bCs/>
                <w:lang w:val="ro-MD"/>
              </w:rPr>
              <w:t>Substanțele active aprobate sunt incluse într-o listă a Uniunii de substanțe active aprobate. Comisia menține actualizată lista și asigură faptul că aceasta este disponibilă publicului în format electronic (art. 9 alin. (2) din Regulamentul (UE) nr. 528/2012).</w:t>
            </w:r>
            <w:r w:rsidRPr="00FF5647">
              <w:rPr>
                <w:rFonts w:ascii="Times New Roman" w:hAnsi="Times New Roman" w:cs="Times New Roman"/>
                <w:lang w:val="ro-MD"/>
              </w:rPr>
              <w:t xml:space="preserve"> </w:t>
            </w:r>
          </w:p>
          <w:p w14:paraId="109D6B08"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În contextul celor menționate, raportat la (i) denumirea proiectului ordinului (cu privire la aprobarea și recunoașterea Listelor substanțelor active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și la (ii) pct. 1 din proiectului ordinului care stabilește aprobarea Listei substanțelor active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eligibile procedurii simplificate de înregistrare), se recomandă autorului de a identifica în mod explicit obiectul ce urmează a fi reglementat prin proiectul de act normative în cauză, or, în opinia noastră Lista substanțelor active care pot fi utilizate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este diferită (și mult mai largă) de Lista substanțelor active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eligibile procedurii simplificate de înregistrare.</w:t>
            </w:r>
          </w:p>
          <w:p w14:paraId="021FCD67"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Din perspectiva rigorilor tehnicii legislative, conținutul textului este susceptibil de îmbunătățiri în privința redactării și al normelor de tehnică legislativă. </w:t>
            </w:r>
          </w:p>
          <w:p w14:paraId="1917A470"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În clauza de adoptare se va indica doar temeiul juridic concret pentru emiterea acestui act normativ, referințele la alte norme ale actelor normative care nu constituie temei juridic de adoptare a actului normativ elaborat (nu constituie temei juridic pentru obiectul de reglementare al proiectului), nu se vor indica în clauza de adoptare. Astfel în clauza de adoptare: </w:t>
            </w:r>
          </w:p>
          <w:p w14:paraId="3B0C2320"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1) în textul „pct. 2, </w:t>
            </w:r>
            <w:proofErr w:type="spellStart"/>
            <w:r w:rsidRPr="00FF5647">
              <w:rPr>
                <w:rFonts w:ascii="Times New Roman" w:hAnsi="Times New Roman" w:cs="Times New Roman"/>
                <w:lang w:val="ro-MD"/>
              </w:rPr>
              <w:t>sbpt</w:t>
            </w:r>
            <w:proofErr w:type="spellEnd"/>
            <w:r w:rsidRPr="00FF5647">
              <w:rPr>
                <w:rFonts w:ascii="Times New Roman" w:hAnsi="Times New Roman" w:cs="Times New Roman"/>
                <w:lang w:val="ro-MD"/>
              </w:rPr>
              <w:t xml:space="preserve">. 2) din Hotărârea Guvernului nr. 344/2020 pentru aprobarea Regulamentului sanitar privind punerea 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se va revizui trimiterea la „</w:t>
            </w:r>
            <w:proofErr w:type="spellStart"/>
            <w:r w:rsidRPr="00FF5647">
              <w:rPr>
                <w:rFonts w:ascii="Times New Roman" w:hAnsi="Times New Roman" w:cs="Times New Roman"/>
                <w:lang w:val="ro-MD"/>
              </w:rPr>
              <w:t>sbpt</w:t>
            </w:r>
            <w:proofErr w:type="spellEnd"/>
            <w:r w:rsidRPr="00FF5647">
              <w:rPr>
                <w:rFonts w:ascii="Times New Roman" w:hAnsi="Times New Roman" w:cs="Times New Roman"/>
                <w:lang w:val="ro-MD"/>
              </w:rPr>
              <w:t>.</w:t>
            </w:r>
          </w:p>
          <w:p w14:paraId="5BAC4336"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2)”, iar textul „Hotărârea Guvernului nr. 344/2020 pentru aprobarea Regulamentului sanitar privind punerea la dispoziție </w:t>
            </w:r>
            <w:r w:rsidRPr="00FF5647">
              <w:rPr>
                <w:rFonts w:ascii="Times New Roman" w:hAnsi="Times New Roman" w:cs="Times New Roman"/>
                <w:lang w:val="ro-MD"/>
              </w:rPr>
              <w:lastRenderedPageBreak/>
              <w:t xml:space="preserve">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se va substitui cu textul „Regulamentul sanitar privind punerea la dispoziție pe piață și utilizarea produselor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aprobat prin Hotărârea Guvernului nr. 344/2020”; 2) referința la Regulamentul cu privire la organizarea și funcționarea Ministerului Sănătății, aprobat prin Hotărârea Guvernului nr. 148/2021 se va exclude. </w:t>
            </w:r>
            <w:proofErr w:type="spellStart"/>
            <w:r w:rsidRPr="00FF5647">
              <w:rPr>
                <w:rFonts w:ascii="Times New Roman" w:hAnsi="Times New Roman" w:cs="Times New Roman"/>
                <w:lang w:val="ro-MD"/>
              </w:rPr>
              <w:t>Sbp</w:t>
            </w:r>
            <w:proofErr w:type="spellEnd"/>
            <w:r w:rsidRPr="00FF5647">
              <w:rPr>
                <w:rFonts w:ascii="Times New Roman" w:hAnsi="Times New Roman" w:cs="Times New Roman"/>
                <w:lang w:val="ro-MD"/>
              </w:rPr>
              <w:t>. 1.2 după cuvintele „se completează cu” se va completa cu substantivul „textul”.</w:t>
            </w:r>
          </w:p>
          <w:p w14:paraId="7A9B5E7B"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Clauza de armonizare se va expune conform recomandărilor Centrului de armonizare a legislației. În acest sens, se va completa cu textul „așa cum a fost modificat ultima dată prin Regulamentul delegat (UE) 2024/1398 al Comisiei din 14 martie 2024”.</w:t>
            </w:r>
          </w:p>
          <w:p w14:paraId="35849C28"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La pct. 1, textul „ , conform anexei” se va substitui cu textul „(se anexează)”. La pct. 2 cu referire la recunoașterea și preluarea integrală la nivel național a Listei substanțelor active aprobată de Comisia Europeană și publicată pe site-ul web oficial al Agenției Europene pentru Produse Chimice, este de menționat faptul că preluarea, încorporarea normelor și procedurilor stabilite de actele juridice europene în sistemul juridic al Republicii Moldova are loc prin transpunerea legislației UE. De asemenea, la analiza suplimentară a pct. 2, în partea ce vizează termenul „Agenției European </w:t>
            </w:r>
            <w:proofErr w:type="spellStart"/>
            <w:r w:rsidRPr="00FF5647">
              <w:rPr>
                <w:rFonts w:ascii="Times New Roman" w:hAnsi="Times New Roman" w:cs="Times New Roman"/>
                <w:lang w:val="ro-MD"/>
              </w:rPr>
              <w:t>Chemical</w:t>
            </w:r>
            <w:proofErr w:type="spellEnd"/>
            <w:r w:rsidRPr="00FF5647">
              <w:rPr>
                <w:rFonts w:ascii="Times New Roman" w:hAnsi="Times New Roman" w:cs="Times New Roman"/>
                <w:lang w:val="ro-MD"/>
              </w:rPr>
              <w:t xml:space="preserve"> Agency” se va lua în considerare art. 54 alin. (1) lit. e) din Legea nr. 100/2017 cu privire la actele normative. </w:t>
            </w:r>
          </w:p>
          <w:p w14:paraId="3B676D98"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Prin prisma art. 56 alin. (4) din Legea nr. 100/2017 pct. 4 este excedent, motiv pentru care se recomandă a fi exclus din proiectul ordinului. </w:t>
            </w:r>
          </w:p>
          <w:p w14:paraId="09E42981"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La Lista substanțelor active conținute în produsele </w:t>
            </w:r>
            <w:proofErr w:type="spellStart"/>
            <w:r w:rsidRPr="00FF5647">
              <w:rPr>
                <w:rFonts w:ascii="Times New Roman" w:hAnsi="Times New Roman" w:cs="Times New Roman"/>
                <w:lang w:val="ro-MD"/>
              </w:rPr>
              <w:t>biocide</w:t>
            </w:r>
            <w:proofErr w:type="spellEnd"/>
            <w:r w:rsidRPr="00FF5647">
              <w:rPr>
                <w:rFonts w:ascii="Times New Roman" w:hAnsi="Times New Roman" w:cs="Times New Roman"/>
                <w:lang w:val="ro-MD"/>
              </w:rPr>
              <w:t xml:space="preserve"> eligibile procedurii simplificate de înregistrare (în continuare - anexă): </w:t>
            </w:r>
          </w:p>
          <w:p w14:paraId="1118DFB5"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 xml:space="preserve">Parafa de aprobare a anexei se va expune conform formulei: „Aprobată prin Ordinul ministrului sănătății nr. __ /___ ”. </w:t>
            </w:r>
          </w:p>
          <w:p w14:paraId="024ACBD2"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t>La Categoria 2, uleiul de in și azotul generat din aerul ambiental nu au fost identificate în lista substanțelor incluse în anexa nr. 6 din Legea nr. 277/2018 privind substanțele chimice.</w:t>
            </w:r>
          </w:p>
          <w:p w14:paraId="0A79D916" w14:textId="77777777" w:rsidR="009B41E2" w:rsidRPr="00FF5647" w:rsidRDefault="009B41E2" w:rsidP="009B41E2">
            <w:pPr>
              <w:pStyle w:val="Corptext"/>
              <w:pBdr>
                <w:top w:val="none" w:sz="4" w:space="0" w:color="000000"/>
                <w:left w:val="none" w:sz="4" w:space="0" w:color="000000"/>
                <w:bottom w:val="none" w:sz="4" w:space="0" w:color="000000"/>
                <w:right w:val="none" w:sz="4" w:space="0" w:color="000000"/>
              </w:pBdr>
              <w:tabs>
                <w:tab w:val="left" w:pos="244"/>
              </w:tabs>
              <w:ind w:left="1" w:right="146"/>
              <w:jc w:val="both"/>
              <w:rPr>
                <w:rFonts w:ascii="Times New Roman" w:hAnsi="Times New Roman" w:cs="Times New Roman"/>
                <w:lang w:val="ro-MD"/>
              </w:rPr>
            </w:pPr>
            <w:r w:rsidRPr="00FF5647">
              <w:rPr>
                <w:rFonts w:ascii="Times New Roman" w:hAnsi="Times New Roman" w:cs="Times New Roman"/>
                <w:lang w:val="ro-MD"/>
              </w:rPr>
              <w:lastRenderedPageBreak/>
              <w:t xml:space="preserve">La Categoria 4, substanța „Suc de mere concentrat”, trimiterea la „partea I punctul 2 din anexa I la Directiva 2001/112/CE a Consiliului” se va substitui cu actul normativ național ce ar reglementa noțiunea „suc de mere concentrate”, eventual, la pct. 3 </w:t>
            </w:r>
            <w:proofErr w:type="spellStart"/>
            <w:r w:rsidRPr="00FF5647">
              <w:rPr>
                <w:rFonts w:ascii="Times New Roman" w:hAnsi="Times New Roman" w:cs="Times New Roman"/>
                <w:lang w:val="ro-MD"/>
              </w:rPr>
              <w:t>sbp</w:t>
            </w:r>
            <w:proofErr w:type="spellEnd"/>
            <w:r w:rsidRPr="00FF5647">
              <w:rPr>
                <w:rFonts w:ascii="Times New Roman" w:hAnsi="Times New Roman" w:cs="Times New Roman"/>
                <w:lang w:val="ro-MD"/>
              </w:rPr>
              <w:t>. 11) din Cerințele de calitate pentru sucuri și anumite produse similare destinate consumului uman, aprobate prin Hotărârea Guvernului nr. 1111/2010.</w:t>
            </w:r>
          </w:p>
          <w:p w14:paraId="175C3C0A" w14:textId="7F89D165" w:rsidR="009B41E2" w:rsidRPr="00FF5647" w:rsidRDefault="009B41E2" w:rsidP="009B41E2">
            <w:pPr>
              <w:tabs>
                <w:tab w:val="left" w:pos="1995"/>
              </w:tabs>
              <w:ind w:firstLine="0"/>
              <w:rPr>
                <w:sz w:val="24"/>
                <w:szCs w:val="24"/>
                <w:lang w:val="ro-RO"/>
              </w:rPr>
            </w:pPr>
            <w:r w:rsidRPr="00FF5647">
              <w:rPr>
                <w:rFonts w:ascii="Times New Roman" w:hAnsi="Times New Roman"/>
                <w:sz w:val="24"/>
                <w:szCs w:val="24"/>
              </w:rPr>
              <w:t>La Categoria 5, substanța căreia i-a fost atribuit numărul CE 222-222-0 se recomandă a fi preluată în mod fidel din anexa I din Regulamentul (UE) nr. 528/2012. Obiecție similară o înaintăm și pentru titlul Categoriei 7.</w:t>
            </w:r>
          </w:p>
        </w:tc>
        <w:tc>
          <w:tcPr>
            <w:tcW w:w="1485" w:type="pct"/>
            <w:tcBorders>
              <w:top w:val="single" w:sz="4" w:space="0" w:color="auto"/>
              <w:left w:val="single" w:sz="4" w:space="0" w:color="auto"/>
              <w:bottom w:val="single" w:sz="4" w:space="0" w:color="auto"/>
              <w:right w:val="single" w:sz="8" w:space="0" w:color="000000"/>
            </w:tcBorders>
          </w:tcPr>
          <w:p w14:paraId="37BFB960" w14:textId="1A12A64C" w:rsidR="00177BB7" w:rsidRPr="00FF5647" w:rsidRDefault="00177BB7" w:rsidP="00177BB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lastRenderedPageBreak/>
              <w:t xml:space="preserve">Se acceptă </w:t>
            </w:r>
          </w:p>
          <w:p w14:paraId="51375B9C" w14:textId="77777777" w:rsidR="00177BB7" w:rsidRPr="00FF5647" w:rsidRDefault="00177BB7" w:rsidP="00177B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53A373AB" w14:textId="77777777" w:rsidR="009B41E2" w:rsidRPr="00FF5647" w:rsidRDefault="009B41E2" w:rsidP="009B41E2">
            <w:pPr>
              <w:ind w:firstLine="0"/>
              <w:rPr>
                <w:b/>
                <w:bCs/>
                <w:sz w:val="24"/>
                <w:szCs w:val="24"/>
              </w:rPr>
            </w:pPr>
          </w:p>
          <w:p w14:paraId="5623C396" w14:textId="77777777" w:rsidR="00C15EB8" w:rsidRPr="00FF5647" w:rsidRDefault="00C15EB8" w:rsidP="009B41E2">
            <w:pPr>
              <w:ind w:firstLine="0"/>
              <w:rPr>
                <w:b/>
                <w:bCs/>
                <w:sz w:val="24"/>
                <w:szCs w:val="24"/>
              </w:rPr>
            </w:pPr>
          </w:p>
          <w:p w14:paraId="3AD6F489" w14:textId="77777777" w:rsidR="00C15EB8" w:rsidRPr="00FF5647" w:rsidRDefault="00C15EB8" w:rsidP="009B41E2">
            <w:pPr>
              <w:ind w:firstLine="0"/>
              <w:rPr>
                <w:b/>
                <w:bCs/>
                <w:sz w:val="24"/>
                <w:szCs w:val="24"/>
              </w:rPr>
            </w:pPr>
          </w:p>
          <w:p w14:paraId="5A5D914F" w14:textId="77777777" w:rsidR="00C15EB8" w:rsidRPr="00FF5647" w:rsidRDefault="00C15EB8" w:rsidP="009B41E2">
            <w:pPr>
              <w:ind w:firstLine="0"/>
              <w:rPr>
                <w:b/>
                <w:bCs/>
                <w:sz w:val="24"/>
                <w:szCs w:val="24"/>
              </w:rPr>
            </w:pPr>
          </w:p>
          <w:p w14:paraId="572161BF" w14:textId="77777777" w:rsidR="00C15EB8" w:rsidRPr="00FF5647" w:rsidRDefault="00C15EB8" w:rsidP="009B41E2">
            <w:pPr>
              <w:ind w:firstLine="0"/>
              <w:rPr>
                <w:b/>
                <w:bCs/>
                <w:sz w:val="24"/>
                <w:szCs w:val="24"/>
              </w:rPr>
            </w:pPr>
          </w:p>
          <w:p w14:paraId="11137C89" w14:textId="77777777" w:rsidR="00C15EB8" w:rsidRPr="00FF5647" w:rsidRDefault="00C15EB8" w:rsidP="009B41E2">
            <w:pPr>
              <w:ind w:firstLine="0"/>
              <w:rPr>
                <w:b/>
                <w:bCs/>
                <w:sz w:val="24"/>
                <w:szCs w:val="24"/>
              </w:rPr>
            </w:pPr>
          </w:p>
          <w:p w14:paraId="333ED382" w14:textId="77777777" w:rsidR="00C15EB8" w:rsidRPr="00FF5647" w:rsidRDefault="00C15EB8" w:rsidP="009B41E2">
            <w:pPr>
              <w:ind w:firstLine="0"/>
              <w:rPr>
                <w:b/>
                <w:bCs/>
                <w:sz w:val="24"/>
                <w:szCs w:val="24"/>
              </w:rPr>
            </w:pPr>
          </w:p>
          <w:p w14:paraId="58ADC891" w14:textId="77777777" w:rsidR="00C15EB8" w:rsidRPr="00FF5647" w:rsidRDefault="00C15EB8" w:rsidP="009B41E2">
            <w:pPr>
              <w:ind w:firstLine="0"/>
              <w:rPr>
                <w:b/>
                <w:bCs/>
                <w:sz w:val="24"/>
                <w:szCs w:val="24"/>
              </w:rPr>
            </w:pPr>
          </w:p>
          <w:p w14:paraId="4109BFDD" w14:textId="77777777" w:rsidR="00C15EB8" w:rsidRPr="00FF5647" w:rsidRDefault="00C15EB8" w:rsidP="009B41E2">
            <w:pPr>
              <w:ind w:firstLine="0"/>
              <w:rPr>
                <w:b/>
                <w:bCs/>
                <w:sz w:val="24"/>
                <w:szCs w:val="24"/>
              </w:rPr>
            </w:pPr>
          </w:p>
          <w:p w14:paraId="0F110564" w14:textId="77777777" w:rsidR="00C15EB8" w:rsidRPr="00FF5647" w:rsidRDefault="00C15EB8" w:rsidP="009B41E2">
            <w:pPr>
              <w:ind w:firstLine="0"/>
              <w:rPr>
                <w:b/>
                <w:bCs/>
                <w:sz w:val="24"/>
                <w:szCs w:val="24"/>
              </w:rPr>
            </w:pPr>
          </w:p>
          <w:p w14:paraId="2F453BE4" w14:textId="77777777" w:rsidR="00C15EB8" w:rsidRPr="00FF5647" w:rsidRDefault="00C15EB8" w:rsidP="009B41E2">
            <w:pPr>
              <w:ind w:firstLine="0"/>
              <w:rPr>
                <w:b/>
                <w:bCs/>
                <w:sz w:val="24"/>
                <w:szCs w:val="24"/>
              </w:rPr>
            </w:pPr>
          </w:p>
          <w:p w14:paraId="31871DC8" w14:textId="77777777" w:rsidR="00C15EB8" w:rsidRPr="00FF5647" w:rsidRDefault="00C15EB8" w:rsidP="009B41E2">
            <w:pPr>
              <w:ind w:firstLine="0"/>
              <w:rPr>
                <w:b/>
                <w:bCs/>
                <w:sz w:val="24"/>
                <w:szCs w:val="24"/>
              </w:rPr>
            </w:pPr>
          </w:p>
          <w:p w14:paraId="19AF7BF4" w14:textId="77777777" w:rsidR="00C15EB8" w:rsidRPr="00FF5647" w:rsidRDefault="00C15EB8" w:rsidP="009B41E2">
            <w:pPr>
              <w:ind w:firstLine="0"/>
              <w:rPr>
                <w:b/>
                <w:bCs/>
                <w:sz w:val="24"/>
                <w:szCs w:val="24"/>
              </w:rPr>
            </w:pPr>
          </w:p>
          <w:p w14:paraId="48FEDF12" w14:textId="77777777" w:rsidR="00C15EB8" w:rsidRPr="00FF5647" w:rsidRDefault="00C15EB8" w:rsidP="009B41E2">
            <w:pPr>
              <w:ind w:firstLine="0"/>
              <w:rPr>
                <w:b/>
                <w:bCs/>
                <w:sz w:val="24"/>
                <w:szCs w:val="24"/>
              </w:rPr>
            </w:pPr>
          </w:p>
          <w:p w14:paraId="1B8B3F6E" w14:textId="77777777" w:rsidR="00C15EB8" w:rsidRPr="00FF5647" w:rsidRDefault="00C15EB8" w:rsidP="009B41E2">
            <w:pPr>
              <w:ind w:firstLine="0"/>
              <w:rPr>
                <w:b/>
                <w:bCs/>
                <w:sz w:val="24"/>
                <w:szCs w:val="24"/>
              </w:rPr>
            </w:pPr>
          </w:p>
          <w:p w14:paraId="384FA6F2" w14:textId="77777777" w:rsidR="00C15EB8" w:rsidRPr="00FF5647" w:rsidRDefault="00C15EB8" w:rsidP="009B41E2">
            <w:pPr>
              <w:ind w:firstLine="0"/>
              <w:rPr>
                <w:b/>
                <w:bCs/>
                <w:sz w:val="24"/>
                <w:szCs w:val="24"/>
              </w:rPr>
            </w:pPr>
          </w:p>
          <w:p w14:paraId="252FD3BC" w14:textId="77777777" w:rsidR="00C15EB8" w:rsidRPr="00FF5647" w:rsidRDefault="00C15EB8" w:rsidP="009B41E2">
            <w:pPr>
              <w:ind w:firstLine="0"/>
              <w:rPr>
                <w:b/>
                <w:bCs/>
                <w:sz w:val="24"/>
                <w:szCs w:val="24"/>
              </w:rPr>
            </w:pPr>
          </w:p>
          <w:p w14:paraId="7B230C8F" w14:textId="77777777" w:rsidR="00C15EB8" w:rsidRPr="00FF5647" w:rsidRDefault="00C15EB8" w:rsidP="009B41E2">
            <w:pPr>
              <w:ind w:firstLine="0"/>
              <w:rPr>
                <w:b/>
                <w:bCs/>
                <w:sz w:val="24"/>
                <w:szCs w:val="24"/>
              </w:rPr>
            </w:pPr>
          </w:p>
          <w:p w14:paraId="1679BE36" w14:textId="77777777" w:rsidR="00C15EB8" w:rsidRPr="00FF5647" w:rsidRDefault="00C15EB8" w:rsidP="009B41E2">
            <w:pPr>
              <w:ind w:firstLine="0"/>
              <w:rPr>
                <w:b/>
                <w:bCs/>
                <w:sz w:val="24"/>
                <w:szCs w:val="24"/>
              </w:rPr>
            </w:pPr>
          </w:p>
          <w:p w14:paraId="4F5D45BF" w14:textId="77777777" w:rsidR="00C15EB8" w:rsidRPr="00FF5647" w:rsidRDefault="00C15EB8" w:rsidP="009B41E2">
            <w:pPr>
              <w:ind w:firstLine="0"/>
              <w:rPr>
                <w:b/>
                <w:bCs/>
                <w:sz w:val="24"/>
                <w:szCs w:val="24"/>
              </w:rPr>
            </w:pPr>
          </w:p>
          <w:p w14:paraId="47C74A90" w14:textId="77777777" w:rsidR="00C15EB8" w:rsidRPr="00FF5647" w:rsidRDefault="00C15EB8" w:rsidP="009B41E2">
            <w:pPr>
              <w:ind w:firstLine="0"/>
              <w:rPr>
                <w:b/>
                <w:bCs/>
                <w:sz w:val="24"/>
                <w:szCs w:val="24"/>
              </w:rPr>
            </w:pPr>
          </w:p>
          <w:p w14:paraId="44FE259C" w14:textId="77777777" w:rsidR="00C15EB8" w:rsidRPr="00FF5647" w:rsidRDefault="00C15EB8" w:rsidP="009B41E2">
            <w:pPr>
              <w:ind w:firstLine="0"/>
              <w:rPr>
                <w:b/>
                <w:bCs/>
                <w:sz w:val="24"/>
                <w:szCs w:val="24"/>
              </w:rPr>
            </w:pPr>
          </w:p>
          <w:p w14:paraId="3E65C1E9" w14:textId="77777777" w:rsidR="00C15EB8" w:rsidRPr="00FF5647" w:rsidRDefault="00C15EB8" w:rsidP="009B41E2">
            <w:pPr>
              <w:ind w:firstLine="0"/>
              <w:rPr>
                <w:b/>
                <w:bCs/>
                <w:sz w:val="24"/>
                <w:szCs w:val="24"/>
              </w:rPr>
            </w:pPr>
          </w:p>
          <w:p w14:paraId="2EDF04A0" w14:textId="77777777" w:rsidR="00C15EB8" w:rsidRPr="00FF5647" w:rsidRDefault="00C15EB8" w:rsidP="009B41E2">
            <w:pPr>
              <w:ind w:firstLine="0"/>
              <w:rPr>
                <w:b/>
                <w:bCs/>
                <w:sz w:val="24"/>
                <w:szCs w:val="24"/>
              </w:rPr>
            </w:pPr>
          </w:p>
          <w:p w14:paraId="5C74519A" w14:textId="77777777" w:rsidR="00C15EB8" w:rsidRPr="00FF5647" w:rsidRDefault="00C15EB8" w:rsidP="009B41E2">
            <w:pPr>
              <w:ind w:firstLine="0"/>
              <w:rPr>
                <w:b/>
                <w:bCs/>
                <w:sz w:val="24"/>
                <w:szCs w:val="24"/>
              </w:rPr>
            </w:pPr>
          </w:p>
          <w:p w14:paraId="341BF075" w14:textId="77777777" w:rsidR="00C15EB8" w:rsidRPr="00FF5647" w:rsidRDefault="00C15EB8" w:rsidP="009B41E2">
            <w:pPr>
              <w:ind w:firstLine="0"/>
              <w:rPr>
                <w:b/>
                <w:bCs/>
                <w:sz w:val="24"/>
                <w:szCs w:val="24"/>
              </w:rPr>
            </w:pPr>
          </w:p>
          <w:p w14:paraId="10E915FD" w14:textId="77777777" w:rsidR="00C15EB8" w:rsidRPr="00FF5647" w:rsidRDefault="00C15EB8" w:rsidP="009B41E2">
            <w:pPr>
              <w:ind w:firstLine="0"/>
              <w:rPr>
                <w:b/>
                <w:bCs/>
                <w:sz w:val="24"/>
                <w:szCs w:val="24"/>
              </w:rPr>
            </w:pPr>
          </w:p>
          <w:p w14:paraId="09A7C71A" w14:textId="77777777" w:rsidR="00C15EB8" w:rsidRPr="00FF5647" w:rsidRDefault="00C15EB8" w:rsidP="009B41E2">
            <w:pPr>
              <w:ind w:firstLine="0"/>
              <w:rPr>
                <w:b/>
                <w:bCs/>
                <w:sz w:val="24"/>
                <w:szCs w:val="24"/>
              </w:rPr>
            </w:pPr>
          </w:p>
          <w:p w14:paraId="524B27F5" w14:textId="77777777" w:rsidR="00C15EB8" w:rsidRPr="00FF5647" w:rsidRDefault="00C15EB8" w:rsidP="009B41E2">
            <w:pPr>
              <w:ind w:firstLine="0"/>
              <w:rPr>
                <w:b/>
                <w:bCs/>
                <w:sz w:val="24"/>
                <w:szCs w:val="24"/>
              </w:rPr>
            </w:pPr>
          </w:p>
          <w:p w14:paraId="0AF34CC8" w14:textId="77777777" w:rsidR="00C15EB8" w:rsidRPr="00FF5647" w:rsidRDefault="00C15EB8" w:rsidP="009B41E2">
            <w:pPr>
              <w:ind w:firstLine="0"/>
              <w:rPr>
                <w:b/>
                <w:bCs/>
                <w:sz w:val="24"/>
                <w:szCs w:val="24"/>
              </w:rPr>
            </w:pPr>
          </w:p>
          <w:p w14:paraId="39B6239D" w14:textId="77777777" w:rsidR="00C15EB8" w:rsidRPr="00FF5647" w:rsidRDefault="00C15EB8" w:rsidP="009B41E2">
            <w:pPr>
              <w:ind w:firstLine="0"/>
              <w:rPr>
                <w:b/>
                <w:bCs/>
                <w:sz w:val="24"/>
                <w:szCs w:val="24"/>
              </w:rPr>
            </w:pPr>
          </w:p>
          <w:p w14:paraId="402D98B0" w14:textId="77777777" w:rsidR="00C15EB8" w:rsidRPr="00FF5647" w:rsidRDefault="00C15EB8" w:rsidP="009B41E2">
            <w:pPr>
              <w:ind w:firstLine="0"/>
              <w:rPr>
                <w:b/>
                <w:bCs/>
                <w:sz w:val="24"/>
                <w:szCs w:val="24"/>
              </w:rPr>
            </w:pPr>
          </w:p>
          <w:p w14:paraId="40912935" w14:textId="77777777" w:rsidR="00C15EB8" w:rsidRPr="00FF5647" w:rsidRDefault="00C15EB8" w:rsidP="009B41E2">
            <w:pPr>
              <w:ind w:firstLine="0"/>
              <w:rPr>
                <w:b/>
                <w:bCs/>
                <w:sz w:val="24"/>
                <w:szCs w:val="24"/>
              </w:rPr>
            </w:pPr>
          </w:p>
          <w:p w14:paraId="795DB8A6" w14:textId="77777777" w:rsidR="00C15EB8" w:rsidRPr="00FF5647" w:rsidRDefault="00C15EB8" w:rsidP="009B41E2">
            <w:pPr>
              <w:ind w:firstLine="0"/>
              <w:rPr>
                <w:b/>
                <w:bCs/>
                <w:sz w:val="24"/>
                <w:szCs w:val="24"/>
              </w:rPr>
            </w:pPr>
          </w:p>
          <w:p w14:paraId="5B481CB2" w14:textId="77777777" w:rsidR="00C15EB8" w:rsidRPr="00FF5647" w:rsidRDefault="00C15EB8" w:rsidP="009B41E2">
            <w:pPr>
              <w:ind w:firstLine="0"/>
              <w:rPr>
                <w:b/>
                <w:bCs/>
                <w:sz w:val="24"/>
                <w:szCs w:val="24"/>
              </w:rPr>
            </w:pPr>
          </w:p>
          <w:p w14:paraId="245BDD02" w14:textId="77777777" w:rsidR="00C15EB8" w:rsidRPr="00FF5647" w:rsidRDefault="00C15EB8" w:rsidP="009B41E2">
            <w:pPr>
              <w:ind w:firstLine="0"/>
              <w:rPr>
                <w:b/>
                <w:bCs/>
                <w:sz w:val="24"/>
                <w:szCs w:val="24"/>
              </w:rPr>
            </w:pPr>
          </w:p>
          <w:p w14:paraId="2283AE9C" w14:textId="77777777" w:rsidR="00C15EB8" w:rsidRPr="00FF5647" w:rsidRDefault="00C15EB8" w:rsidP="009B41E2">
            <w:pPr>
              <w:ind w:firstLine="0"/>
              <w:rPr>
                <w:b/>
                <w:bCs/>
                <w:sz w:val="24"/>
                <w:szCs w:val="24"/>
              </w:rPr>
            </w:pPr>
          </w:p>
          <w:p w14:paraId="78D0B981" w14:textId="77777777" w:rsidR="00C15EB8" w:rsidRPr="00FF5647" w:rsidRDefault="00C15EB8" w:rsidP="009B41E2">
            <w:pPr>
              <w:ind w:firstLine="0"/>
              <w:rPr>
                <w:b/>
                <w:bCs/>
                <w:sz w:val="24"/>
                <w:szCs w:val="24"/>
              </w:rPr>
            </w:pPr>
          </w:p>
          <w:p w14:paraId="3ACEE35C" w14:textId="77777777" w:rsidR="00C15EB8" w:rsidRPr="00FF5647" w:rsidRDefault="00C15EB8" w:rsidP="009B41E2">
            <w:pPr>
              <w:ind w:firstLine="0"/>
              <w:rPr>
                <w:b/>
                <w:bCs/>
                <w:sz w:val="24"/>
                <w:szCs w:val="24"/>
              </w:rPr>
            </w:pPr>
          </w:p>
          <w:p w14:paraId="2CB8A823" w14:textId="77777777" w:rsidR="00C15EB8" w:rsidRPr="00FF5647" w:rsidRDefault="00C15EB8" w:rsidP="009B41E2">
            <w:pPr>
              <w:ind w:firstLine="0"/>
              <w:rPr>
                <w:b/>
                <w:bCs/>
                <w:sz w:val="24"/>
                <w:szCs w:val="24"/>
              </w:rPr>
            </w:pPr>
          </w:p>
          <w:p w14:paraId="677CCDF3" w14:textId="77777777" w:rsidR="00C15EB8" w:rsidRPr="00FF5647" w:rsidRDefault="00C15EB8" w:rsidP="009B41E2">
            <w:pPr>
              <w:ind w:firstLine="0"/>
              <w:rPr>
                <w:b/>
                <w:bCs/>
                <w:sz w:val="24"/>
                <w:szCs w:val="24"/>
              </w:rPr>
            </w:pPr>
          </w:p>
          <w:p w14:paraId="2467ADEF" w14:textId="77777777" w:rsidR="00C15EB8" w:rsidRPr="00FF5647" w:rsidRDefault="00C15EB8" w:rsidP="009B41E2">
            <w:pPr>
              <w:ind w:firstLine="0"/>
              <w:rPr>
                <w:b/>
                <w:bCs/>
                <w:sz w:val="24"/>
                <w:szCs w:val="24"/>
              </w:rPr>
            </w:pPr>
          </w:p>
          <w:p w14:paraId="64478F6F" w14:textId="77777777" w:rsidR="00C15EB8" w:rsidRPr="00FF5647" w:rsidRDefault="00C15EB8" w:rsidP="009B41E2">
            <w:pPr>
              <w:ind w:firstLine="0"/>
              <w:rPr>
                <w:b/>
                <w:bCs/>
                <w:sz w:val="24"/>
                <w:szCs w:val="24"/>
              </w:rPr>
            </w:pPr>
          </w:p>
          <w:p w14:paraId="1915975C" w14:textId="77777777" w:rsidR="00C15EB8" w:rsidRPr="00FF5647" w:rsidRDefault="00C15EB8" w:rsidP="009B41E2">
            <w:pPr>
              <w:ind w:firstLine="0"/>
              <w:rPr>
                <w:b/>
                <w:bCs/>
                <w:sz w:val="24"/>
                <w:szCs w:val="24"/>
              </w:rPr>
            </w:pPr>
          </w:p>
          <w:p w14:paraId="30F7BDF3" w14:textId="77777777" w:rsidR="00C15EB8" w:rsidRPr="00FF5647" w:rsidRDefault="00C15EB8" w:rsidP="009B41E2">
            <w:pPr>
              <w:ind w:firstLine="0"/>
              <w:rPr>
                <w:b/>
                <w:bCs/>
                <w:sz w:val="24"/>
                <w:szCs w:val="24"/>
              </w:rPr>
            </w:pPr>
          </w:p>
          <w:p w14:paraId="237B1EDB" w14:textId="77777777" w:rsidR="00C15EB8" w:rsidRPr="00FF5647" w:rsidRDefault="00C15EB8" w:rsidP="009B41E2">
            <w:pPr>
              <w:ind w:firstLine="0"/>
              <w:rPr>
                <w:b/>
                <w:bCs/>
                <w:sz w:val="24"/>
                <w:szCs w:val="24"/>
              </w:rPr>
            </w:pPr>
          </w:p>
          <w:p w14:paraId="609039A5" w14:textId="77777777" w:rsidR="00C15EB8" w:rsidRPr="00FF5647" w:rsidRDefault="00C15EB8" w:rsidP="009B41E2">
            <w:pPr>
              <w:ind w:firstLine="0"/>
              <w:rPr>
                <w:b/>
                <w:bCs/>
                <w:sz w:val="24"/>
                <w:szCs w:val="24"/>
              </w:rPr>
            </w:pPr>
          </w:p>
          <w:p w14:paraId="608FD453" w14:textId="77777777" w:rsidR="00C15EB8" w:rsidRPr="00FF5647" w:rsidRDefault="00C15EB8" w:rsidP="009B41E2">
            <w:pPr>
              <w:ind w:firstLine="0"/>
              <w:rPr>
                <w:b/>
                <w:bCs/>
                <w:sz w:val="24"/>
                <w:szCs w:val="24"/>
              </w:rPr>
            </w:pPr>
          </w:p>
          <w:p w14:paraId="610B968C" w14:textId="77777777" w:rsidR="00C15EB8" w:rsidRPr="00FF5647" w:rsidRDefault="00C15EB8" w:rsidP="009B41E2">
            <w:pPr>
              <w:ind w:firstLine="0"/>
              <w:rPr>
                <w:b/>
                <w:bCs/>
                <w:sz w:val="24"/>
                <w:szCs w:val="24"/>
              </w:rPr>
            </w:pPr>
          </w:p>
          <w:p w14:paraId="27AED875" w14:textId="77777777" w:rsidR="00C15EB8" w:rsidRPr="00FF5647" w:rsidRDefault="00C15EB8" w:rsidP="009B41E2">
            <w:pPr>
              <w:ind w:firstLine="0"/>
              <w:rPr>
                <w:b/>
                <w:bCs/>
                <w:sz w:val="24"/>
                <w:szCs w:val="24"/>
              </w:rPr>
            </w:pPr>
          </w:p>
          <w:p w14:paraId="5AA093F9" w14:textId="77777777" w:rsidR="00C15EB8" w:rsidRPr="00FF5647" w:rsidRDefault="00C15EB8" w:rsidP="009B41E2">
            <w:pPr>
              <w:ind w:firstLine="0"/>
              <w:rPr>
                <w:b/>
                <w:bCs/>
                <w:sz w:val="24"/>
                <w:szCs w:val="24"/>
              </w:rPr>
            </w:pPr>
          </w:p>
          <w:p w14:paraId="4F41ECA0" w14:textId="77777777" w:rsidR="00C15EB8" w:rsidRPr="00FF5647" w:rsidRDefault="00C15EB8" w:rsidP="009B41E2">
            <w:pPr>
              <w:ind w:firstLine="0"/>
              <w:rPr>
                <w:b/>
                <w:bCs/>
                <w:sz w:val="24"/>
                <w:szCs w:val="24"/>
              </w:rPr>
            </w:pPr>
          </w:p>
          <w:p w14:paraId="6C3B61DC" w14:textId="77777777" w:rsidR="00C15EB8" w:rsidRPr="00FF5647" w:rsidRDefault="00C15EB8" w:rsidP="009B41E2">
            <w:pPr>
              <w:ind w:firstLine="0"/>
              <w:rPr>
                <w:b/>
                <w:bCs/>
                <w:sz w:val="24"/>
                <w:szCs w:val="24"/>
              </w:rPr>
            </w:pPr>
          </w:p>
          <w:p w14:paraId="7DAE5FEC" w14:textId="77777777" w:rsidR="00C15EB8" w:rsidRPr="00FF5647" w:rsidRDefault="00C15EB8" w:rsidP="009B41E2">
            <w:pPr>
              <w:ind w:firstLine="0"/>
              <w:rPr>
                <w:b/>
                <w:bCs/>
                <w:sz w:val="24"/>
                <w:szCs w:val="24"/>
              </w:rPr>
            </w:pPr>
          </w:p>
          <w:p w14:paraId="717FECD4" w14:textId="77777777" w:rsidR="00C15EB8" w:rsidRPr="00FF5647" w:rsidRDefault="00C15EB8" w:rsidP="009B41E2">
            <w:pPr>
              <w:ind w:firstLine="0"/>
              <w:rPr>
                <w:b/>
                <w:bCs/>
                <w:sz w:val="24"/>
                <w:szCs w:val="24"/>
              </w:rPr>
            </w:pPr>
          </w:p>
          <w:p w14:paraId="42E12C0D" w14:textId="77777777" w:rsidR="00C15EB8" w:rsidRPr="00FF5647" w:rsidRDefault="00C15EB8" w:rsidP="009B41E2">
            <w:pPr>
              <w:ind w:firstLine="0"/>
              <w:rPr>
                <w:b/>
                <w:bCs/>
                <w:sz w:val="24"/>
                <w:szCs w:val="24"/>
              </w:rPr>
            </w:pPr>
          </w:p>
          <w:p w14:paraId="389E90A1" w14:textId="77777777" w:rsidR="00C15EB8" w:rsidRPr="00FF5647" w:rsidRDefault="00C15EB8" w:rsidP="009B41E2">
            <w:pPr>
              <w:ind w:firstLine="0"/>
              <w:rPr>
                <w:b/>
                <w:bCs/>
                <w:sz w:val="24"/>
                <w:szCs w:val="24"/>
              </w:rPr>
            </w:pPr>
          </w:p>
          <w:p w14:paraId="672BC470" w14:textId="77777777" w:rsidR="00C15EB8" w:rsidRPr="00FF5647" w:rsidRDefault="00C15EB8" w:rsidP="009B41E2">
            <w:pPr>
              <w:ind w:firstLine="0"/>
              <w:rPr>
                <w:b/>
                <w:bCs/>
                <w:sz w:val="24"/>
                <w:szCs w:val="24"/>
              </w:rPr>
            </w:pPr>
          </w:p>
          <w:p w14:paraId="6C93B614" w14:textId="77777777" w:rsidR="00C15EB8" w:rsidRPr="00FF5647" w:rsidRDefault="00C15EB8" w:rsidP="009B41E2">
            <w:pPr>
              <w:ind w:firstLine="0"/>
              <w:rPr>
                <w:b/>
                <w:bCs/>
                <w:sz w:val="24"/>
                <w:szCs w:val="24"/>
              </w:rPr>
            </w:pPr>
          </w:p>
          <w:p w14:paraId="62EA66C3" w14:textId="77777777" w:rsidR="00C15EB8" w:rsidRPr="00FF5647" w:rsidRDefault="00C15EB8" w:rsidP="009B41E2">
            <w:pPr>
              <w:ind w:firstLine="0"/>
              <w:rPr>
                <w:b/>
                <w:bCs/>
                <w:sz w:val="24"/>
                <w:szCs w:val="24"/>
              </w:rPr>
            </w:pPr>
          </w:p>
          <w:p w14:paraId="0B05F2C8" w14:textId="77777777" w:rsidR="00C15EB8" w:rsidRPr="00FF5647" w:rsidRDefault="00C15EB8" w:rsidP="009B41E2">
            <w:pPr>
              <w:ind w:firstLine="0"/>
              <w:rPr>
                <w:b/>
                <w:bCs/>
                <w:sz w:val="24"/>
                <w:szCs w:val="24"/>
              </w:rPr>
            </w:pPr>
          </w:p>
          <w:p w14:paraId="6824AB62" w14:textId="77777777" w:rsidR="00C15EB8" w:rsidRPr="00FF5647" w:rsidRDefault="00C15EB8" w:rsidP="009B41E2">
            <w:pPr>
              <w:ind w:firstLine="0"/>
              <w:rPr>
                <w:b/>
                <w:bCs/>
                <w:sz w:val="24"/>
                <w:szCs w:val="24"/>
              </w:rPr>
            </w:pPr>
          </w:p>
          <w:p w14:paraId="7AFB94FD" w14:textId="77777777" w:rsidR="00C15EB8" w:rsidRPr="00FF5647" w:rsidRDefault="00C15EB8" w:rsidP="009B41E2">
            <w:pPr>
              <w:ind w:firstLine="0"/>
              <w:rPr>
                <w:b/>
                <w:bCs/>
                <w:sz w:val="24"/>
                <w:szCs w:val="24"/>
              </w:rPr>
            </w:pPr>
          </w:p>
          <w:p w14:paraId="43341EFD" w14:textId="77777777" w:rsidR="00C15EB8" w:rsidRPr="00FF5647" w:rsidRDefault="00C15EB8" w:rsidP="009B41E2">
            <w:pPr>
              <w:ind w:firstLine="0"/>
              <w:rPr>
                <w:b/>
                <w:bCs/>
                <w:sz w:val="24"/>
                <w:szCs w:val="24"/>
              </w:rPr>
            </w:pPr>
          </w:p>
          <w:p w14:paraId="52DA3E2F"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19906B97"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262AD616" w14:textId="77777777" w:rsidR="00C15EB8" w:rsidRPr="00FF5647" w:rsidRDefault="00C15EB8" w:rsidP="009B41E2">
            <w:pPr>
              <w:ind w:firstLine="0"/>
              <w:rPr>
                <w:b/>
                <w:bCs/>
                <w:sz w:val="24"/>
                <w:szCs w:val="24"/>
              </w:rPr>
            </w:pPr>
          </w:p>
          <w:p w14:paraId="1592E64A" w14:textId="77777777" w:rsidR="00C15EB8" w:rsidRPr="00FF5647" w:rsidRDefault="00C15EB8" w:rsidP="009B41E2">
            <w:pPr>
              <w:ind w:firstLine="0"/>
              <w:rPr>
                <w:b/>
                <w:bCs/>
                <w:sz w:val="24"/>
                <w:szCs w:val="24"/>
              </w:rPr>
            </w:pPr>
          </w:p>
          <w:p w14:paraId="79A5EA2B" w14:textId="77777777" w:rsidR="00C15EB8" w:rsidRPr="00FF5647" w:rsidRDefault="00C15EB8" w:rsidP="009B41E2">
            <w:pPr>
              <w:ind w:firstLine="0"/>
              <w:rPr>
                <w:b/>
                <w:bCs/>
                <w:sz w:val="24"/>
                <w:szCs w:val="24"/>
              </w:rPr>
            </w:pPr>
          </w:p>
          <w:p w14:paraId="68997389" w14:textId="77777777" w:rsidR="00C15EB8" w:rsidRPr="00FF5647" w:rsidRDefault="00C15EB8" w:rsidP="009B41E2">
            <w:pPr>
              <w:ind w:firstLine="0"/>
              <w:rPr>
                <w:b/>
                <w:bCs/>
                <w:sz w:val="24"/>
                <w:szCs w:val="24"/>
              </w:rPr>
            </w:pPr>
          </w:p>
          <w:p w14:paraId="3E36F99E" w14:textId="77777777" w:rsidR="00C15EB8" w:rsidRPr="00FF5647" w:rsidRDefault="00C15EB8" w:rsidP="009B41E2">
            <w:pPr>
              <w:ind w:firstLine="0"/>
              <w:rPr>
                <w:b/>
                <w:bCs/>
                <w:sz w:val="24"/>
                <w:szCs w:val="24"/>
              </w:rPr>
            </w:pPr>
          </w:p>
          <w:p w14:paraId="18275010" w14:textId="77777777" w:rsidR="00C15EB8" w:rsidRPr="00FF5647" w:rsidRDefault="00C15EB8" w:rsidP="009B41E2">
            <w:pPr>
              <w:ind w:firstLine="0"/>
              <w:rPr>
                <w:b/>
                <w:bCs/>
                <w:sz w:val="24"/>
                <w:szCs w:val="24"/>
              </w:rPr>
            </w:pPr>
          </w:p>
          <w:p w14:paraId="59185A7C" w14:textId="77777777" w:rsidR="00C15EB8" w:rsidRPr="00FF5647" w:rsidRDefault="00C15EB8" w:rsidP="009B41E2">
            <w:pPr>
              <w:ind w:firstLine="0"/>
              <w:rPr>
                <w:b/>
                <w:bCs/>
                <w:sz w:val="24"/>
                <w:szCs w:val="24"/>
              </w:rPr>
            </w:pPr>
          </w:p>
          <w:p w14:paraId="38B185C5" w14:textId="77777777" w:rsidR="00C15EB8" w:rsidRPr="00FF5647" w:rsidRDefault="00C15EB8" w:rsidP="009B41E2">
            <w:pPr>
              <w:ind w:firstLine="0"/>
              <w:rPr>
                <w:b/>
                <w:bCs/>
                <w:sz w:val="24"/>
                <w:szCs w:val="24"/>
              </w:rPr>
            </w:pPr>
          </w:p>
          <w:p w14:paraId="101963DF" w14:textId="77777777" w:rsidR="00C15EB8" w:rsidRPr="00FF5647" w:rsidRDefault="00C15EB8" w:rsidP="009B41E2">
            <w:pPr>
              <w:ind w:firstLine="0"/>
              <w:rPr>
                <w:b/>
                <w:bCs/>
                <w:sz w:val="24"/>
                <w:szCs w:val="24"/>
              </w:rPr>
            </w:pPr>
          </w:p>
          <w:p w14:paraId="41697303"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b/>
                <w:bCs/>
                <w:sz w:val="24"/>
                <w:szCs w:val="24"/>
              </w:rPr>
            </w:pPr>
          </w:p>
          <w:p w14:paraId="6983F434"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b/>
                <w:bCs/>
                <w:sz w:val="24"/>
                <w:szCs w:val="24"/>
              </w:rPr>
            </w:pPr>
          </w:p>
          <w:p w14:paraId="52B6347C"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b/>
                <w:bCs/>
                <w:sz w:val="24"/>
                <w:szCs w:val="24"/>
              </w:rPr>
            </w:pPr>
          </w:p>
          <w:p w14:paraId="7855B3B8" w14:textId="3308494C"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0ADCA510"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1A638E45" w14:textId="77777777" w:rsidR="00C15EB8" w:rsidRPr="00FF5647" w:rsidRDefault="00C15EB8" w:rsidP="009B41E2">
            <w:pPr>
              <w:ind w:firstLine="0"/>
              <w:rPr>
                <w:b/>
                <w:bCs/>
                <w:sz w:val="24"/>
                <w:szCs w:val="24"/>
              </w:rPr>
            </w:pPr>
          </w:p>
          <w:p w14:paraId="25DE0E60" w14:textId="77777777" w:rsidR="00C15EB8" w:rsidRPr="00FF5647" w:rsidRDefault="00C15EB8" w:rsidP="009B41E2">
            <w:pPr>
              <w:ind w:firstLine="0"/>
              <w:rPr>
                <w:b/>
                <w:bCs/>
                <w:sz w:val="24"/>
                <w:szCs w:val="24"/>
              </w:rPr>
            </w:pPr>
          </w:p>
          <w:p w14:paraId="382CE9F7" w14:textId="77777777" w:rsidR="00C15EB8" w:rsidRPr="00FF5647" w:rsidRDefault="00C15EB8" w:rsidP="009B41E2">
            <w:pPr>
              <w:ind w:firstLine="0"/>
              <w:rPr>
                <w:b/>
                <w:bCs/>
                <w:sz w:val="24"/>
                <w:szCs w:val="24"/>
              </w:rPr>
            </w:pPr>
          </w:p>
          <w:p w14:paraId="7CDD3224" w14:textId="77777777" w:rsidR="00C15EB8" w:rsidRPr="00FF5647" w:rsidRDefault="00C15EB8" w:rsidP="009B41E2">
            <w:pPr>
              <w:ind w:firstLine="0"/>
              <w:rPr>
                <w:b/>
                <w:bCs/>
                <w:sz w:val="24"/>
                <w:szCs w:val="24"/>
              </w:rPr>
            </w:pPr>
          </w:p>
          <w:p w14:paraId="4E7AB003" w14:textId="77777777" w:rsidR="00C15EB8" w:rsidRPr="00FF5647" w:rsidRDefault="00C15EB8" w:rsidP="009B41E2">
            <w:pPr>
              <w:ind w:firstLine="0"/>
              <w:rPr>
                <w:b/>
                <w:bCs/>
                <w:sz w:val="24"/>
                <w:szCs w:val="24"/>
              </w:rPr>
            </w:pPr>
          </w:p>
          <w:p w14:paraId="68AB7DFD" w14:textId="77777777" w:rsidR="00C15EB8" w:rsidRPr="00FF5647" w:rsidRDefault="00C15EB8" w:rsidP="009B41E2">
            <w:pPr>
              <w:ind w:firstLine="0"/>
              <w:rPr>
                <w:b/>
                <w:bCs/>
                <w:sz w:val="24"/>
                <w:szCs w:val="24"/>
              </w:rPr>
            </w:pPr>
          </w:p>
          <w:p w14:paraId="134C69FC" w14:textId="77777777" w:rsidR="00C15EB8" w:rsidRPr="00FF5647" w:rsidRDefault="00C15EB8" w:rsidP="009B41E2">
            <w:pPr>
              <w:ind w:firstLine="0"/>
              <w:rPr>
                <w:b/>
                <w:bCs/>
                <w:sz w:val="24"/>
                <w:szCs w:val="24"/>
              </w:rPr>
            </w:pPr>
          </w:p>
          <w:p w14:paraId="6267FA26" w14:textId="77777777" w:rsidR="00C15EB8" w:rsidRPr="00FF5647" w:rsidRDefault="00C15EB8" w:rsidP="009B41E2">
            <w:pPr>
              <w:ind w:firstLine="0"/>
              <w:rPr>
                <w:b/>
                <w:bCs/>
                <w:sz w:val="24"/>
                <w:szCs w:val="24"/>
              </w:rPr>
            </w:pPr>
          </w:p>
          <w:p w14:paraId="441756CC" w14:textId="77777777" w:rsidR="00C15EB8" w:rsidRPr="00FF5647" w:rsidRDefault="00C15EB8" w:rsidP="009B41E2">
            <w:pPr>
              <w:ind w:firstLine="0"/>
              <w:rPr>
                <w:b/>
                <w:bCs/>
                <w:sz w:val="24"/>
                <w:szCs w:val="24"/>
              </w:rPr>
            </w:pPr>
          </w:p>
          <w:p w14:paraId="4498B8BF" w14:textId="77777777" w:rsidR="00C15EB8" w:rsidRPr="00FF5647" w:rsidRDefault="00C15EB8" w:rsidP="009B41E2">
            <w:pPr>
              <w:ind w:firstLine="0"/>
              <w:rPr>
                <w:b/>
                <w:bCs/>
                <w:sz w:val="24"/>
                <w:szCs w:val="24"/>
              </w:rPr>
            </w:pPr>
          </w:p>
          <w:p w14:paraId="0372C00B" w14:textId="77777777" w:rsidR="00C15EB8" w:rsidRPr="00FF5647" w:rsidRDefault="00C15EB8" w:rsidP="009B41E2">
            <w:pPr>
              <w:ind w:firstLine="0"/>
              <w:rPr>
                <w:b/>
                <w:bCs/>
                <w:sz w:val="24"/>
                <w:szCs w:val="24"/>
              </w:rPr>
            </w:pPr>
          </w:p>
          <w:p w14:paraId="3AA6A82F" w14:textId="77777777" w:rsidR="00C15EB8" w:rsidRPr="00FF5647" w:rsidRDefault="00C15EB8" w:rsidP="009B41E2">
            <w:pPr>
              <w:ind w:firstLine="0"/>
              <w:rPr>
                <w:b/>
                <w:bCs/>
                <w:sz w:val="24"/>
                <w:szCs w:val="24"/>
              </w:rPr>
            </w:pPr>
          </w:p>
          <w:p w14:paraId="5548D17D" w14:textId="77777777" w:rsidR="00C15EB8" w:rsidRPr="00FF5647" w:rsidRDefault="00C15EB8" w:rsidP="009B41E2">
            <w:pPr>
              <w:ind w:firstLine="0"/>
              <w:rPr>
                <w:b/>
                <w:bCs/>
                <w:sz w:val="24"/>
                <w:szCs w:val="24"/>
              </w:rPr>
            </w:pPr>
          </w:p>
          <w:p w14:paraId="4D54A0DA" w14:textId="77777777" w:rsidR="00C15EB8" w:rsidRPr="00FF5647" w:rsidRDefault="00C15EB8" w:rsidP="009B41E2">
            <w:pPr>
              <w:ind w:firstLine="0"/>
              <w:rPr>
                <w:b/>
                <w:bCs/>
                <w:sz w:val="24"/>
                <w:szCs w:val="24"/>
              </w:rPr>
            </w:pPr>
          </w:p>
          <w:p w14:paraId="4F73CA18" w14:textId="77777777" w:rsidR="00C15EB8" w:rsidRPr="00FF5647" w:rsidRDefault="00C15EB8" w:rsidP="009B41E2">
            <w:pPr>
              <w:ind w:firstLine="0"/>
              <w:rPr>
                <w:b/>
                <w:bCs/>
                <w:sz w:val="24"/>
                <w:szCs w:val="24"/>
              </w:rPr>
            </w:pPr>
          </w:p>
          <w:p w14:paraId="5BA47737" w14:textId="77777777" w:rsidR="002226FE" w:rsidRPr="00FF5647" w:rsidRDefault="002226FE" w:rsidP="009B41E2">
            <w:pPr>
              <w:ind w:firstLine="0"/>
              <w:rPr>
                <w:b/>
                <w:bCs/>
                <w:sz w:val="24"/>
                <w:szCs w:val="24"/>
              </w:rPr>
            </w:pPr>
          </w:p>
          <w:p w14:paraId="7604B8C1" w14:textId="77777777" w:rsidR="00C15EB8" w:rsidRPr="00FF5647" w:rsidRDefault="00C15EB8" w:rsidP="009B41E2">
            <w:pPr>
              <w:ind w:firstLine="0"/>
              <w:rPr>
                <w:b/>
                <w:bCs/>
                <w:sz w:val="24"/>
                <w:szCs w:val="24"/>
              </w:rPr>
            </w:pPr>
          </w:p>
          <w:p w14:paraId="1FB46B81" w14:textId="77777777" w:rsidR="00C15EB8" w:rsidRPr="00FF5647" w:rsidRDefault="00C15EB8" w:rsidP="009B41E2">
            <w:pPr>
              <w:ind w:firstLine="0"/>
              <w:rPr>
                <w:b/>
                <w:bCs/>
                <w:sz w:val="24"/>
                <w:szCs w:val="24"/>
              </w:rPr>
            </w:pPr>
          </w:p>
          <w:p w14:paraId="440B1801"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78A4AD56"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281197A2" w14:textId="77777777" w:rsidR="00C15EB8" w:rsidRPr="00FF5647" w:rsidRDefault="00C15EB8" w:rsidP="009B41E2">
            <w:pPr>
              <w:ind w:firstLine="0"/>
              <w:rPr>
                <w:b/>
                <w:bCs/>
                <w:sz w:val="24"/>
                <w:szCs w:val="24"/>
              </w:rPr>
            </w:pPr>
          </w:p>
          <w:p w14:paraId="12980A8A" w14:textId="77777777" w:rsidR="00C15EB8" w:rsidRPr="00FF5647" w:rsidRDefault="00C15EB8" w:rsidP="009B41E2">
            <w:pPr>
              <w:ind w:firstLine="0"/>
              <w:rPr>
                <w:b/>
                <w:bCs/>
                <w:sz w:val="36"/>
                <w:szCs w:val="36"/>
              </w:rPr>
            </w:pPr>
          </w:p>
          <w:p w14:paraId="6DD917E9"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3C77464C"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4D9BF478" w14:textId="77777777" w:rsidR="00C15EB8" w:rsidRPr="00FF5647" w:rsidRDefault="00C15EB8" w:rsidP="009B41E2">
            <w:pPr>
              <w:ind w:firstLine="0"/>
              <w:rPr>
                <w:b/>
                <w:bCs/>
                <w:sz w:val="24"/>
                <w:szCs w:val="24"/>
              </w:rPr>
            </w:pPr>
          </w:p>
          <w:p w14:paraId="25800047" w14:textId="77777777" w:rsidR="00C15EB8" w:rsidRPr="00FF5647" w:rsidRDefault="00C15EB8" w:rsidP="009B41E2">
            <w:pPr>
              <w:ind w:firstLine="0"/>
              <w:rPr>
                <w:b/>
                <w:bCs/>
                <w:sz w:val="24"/>
                <w:szCs w:val="24"/>
              </w:rPr>
            </w:pPr>
          </w:p>
          <w:p w14:paraId="5CDEAE03" w14:textId="77777777" w:rsidR="00C15EB8" w:rsidRPr="00FF5647" w:rsidRDefault="00C15EB8" w:rsidP="009B41E2">
            <w:pPr>
              <w:ind w:firstLine="0"/>
              <w:rPr>
                <w:b/>
                <w:bCs/>
                <w:sz w:val="24"/>
                <w:szCs w:val="24"/>
              </w:rPr>
            </w:pPr>
          </w:p>
          <w:p w14:paraId="0B437A04" w14:textId="77777777" w:rsidR="00C15EB8" w:rsidRPr="00FF5647" w:rsidRDefault="00C15EB8" w:rsidP="009B41E2">
            <w:pPr>
              <w:ind w:firstLine="0"/>
              <w:rPr>
                <w:b/>
                <w:bCs/>
                <w:sz w:val="24"/>
                <w:szCs w:val="24"/>
              </w:rPr>
            </w:pPr>
          </w:p>
          <w:p w14:paraId="1890542B" w14:textId="77777777" w:rsidR="00C15EB8" w:rsidRPr="00FF5647" w:rsidRDefault="00C15EB8" w:rsidP="009B41E2">
            <w:pPr>
              <w:ind w:firstLine="0"/>
              <w:rPr>
                <w:b/>
                <w:bCs/>
                <w:sz w:val="24"/>
                <w:szCs w:val="24"/>
              </w:rPr>
            </w:pPr>
          </w:p>
          <w:p w14:paraId="4E121C26" w14:textId="77777777" w:rsidR="00C15EB8" w:rsidRPr="00FF5647" w:rsidRDefault="00C15EB8" w:rsidP="009B41E2">
            <w:pPr>
              <w:ind w:firstLine="0"/>
              <w:rPr>
                <w:b/>
                <w:bCs/>
                <w:sz w:val="24"/>
                <w:szCs w:val="24"/>
              </w:rPr>
            </w:pPr>
          </w:p>
          <w:p w14:paraId="3ECA193D" w14:textId="77777777" w:rsidR="00C15EB8" w:rsidRPr="00FF5647" w:rsidRDefault="00C15EB8" w:rsidP="009B41E2">
            <w:pPr>
              <w:ind w:firstLine="0"/>
              <w:rPr>
                <w:b/>
                <w:bCs/>
                <w:sz w:val="24"/>
                <w:szCs w:val="24"/>
              </w:rPr>
            </w:pPr>
          </w:p>
          <w:p w14:paraId="5AC19CA0" w14:textId="77777777" w:rsidR="00C15EB8" w:rsidRPr="00FF5647" w:rsidRDefault="00C15EB8" w:rsidP="009B41E2">
            <w:pPr>
              <w:ind w:firstLine="0"/>
              <w:rPr>
                <w:b/>
                <w:bCs/>
                <w:sz w:val="24"/>
                <w:szCs w:val="24"/>
              </w:rPr>
            </w:pPr>
          </w:p>
          <w:p w14:paraId="0439823C" w14:textId="77777777" w:rsidR="00C15EB8" w:rsidRPr="00FF5647" w:rsidRDefault="00C15EB8" w:rsidP="009B41E2">
            <w:pPr>
              <w:ind w:firstLine="0"/>
              <w:rPr>
                <w:b/>
                <w:bCs/>
                <w:sz w:val="24"/>
                <w:szCs w:val="24"/>
              </w:rPr>
            </w:pPr>
          </w:p>
          <w:p w14:paraId="6F3FE403" w14:textId="77777777" w:rsidR="00C15EB8" w:rsidRPr="00FF5647" w:rsidRDefault="00C15EB8" w:rsidP="009B41E2">
            <w:pPr>
              <w:ind w:firstLine="0"/>
              <w:rPr>
                <w:b/>
                <w:bCs/>
                <w:sz w:val="24"/>
                <w:szCs w:val="24"/>
              </w:rPr>
            </w:pPr>
          </w:p>
          <w:p w14:paraId="0C4BF3DD" w14:textId="77777777" w:rsidR="00C15EB8" w:rsidRPr="00FF5647" w:rsidRDefault="00C15EB8" w:rsidP="009B41E2">
            <w:pPr>
              <w:ind w:firstLine="0"/>
              <w:rPr>
                <w:b/>
                <w:bCs/>
                <w:sz w:val="24"/>
                <w:szCs w:val="24"/>
              </w:rPr>
            </w:pPr>
          </w:p>
          <w:p w14:paraId="4CE104E7" w14:textId="77777777" w:rsidR="00C15EB8" w:rsidRPr="00FF5647" w:rsidRDefault="00C15EB8" w:rsidP="009B41E2">
            <w:pPr>
              <w:ind w:firstLine="0"/>
              <w:rPr>
                <w:b/>
                <w:bCs/>
                <w:sz w:val="24"/>
                <w:szCs w:val="24"/>
              </w:rPr>
            </w:pPr>
          </w:p>
          <w:p w14:paraId="1FD112AB"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32C5F4AD"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46A7E554" w14:textId="77777777" w:rsidR="00C15EB8" w:rsidRPr="00FF5647" w:rsidRDefault="00C15EB8" w:rsidP="009B41E2">
            <w:pPr>
              <w:ind w:firstLine="0"/>
              <w:rPr>
                <w:b/>
                <w:bCs/>
                <w:sz w:val="24"/>
                <w:szCs w:val="24"/>
              </w:rPr>
            </w:pPr>
          </w:p>
          <w:p w14:paraId="2D9360BA"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09F27BF8"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7F6ABE3A"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3D10BA0C"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27F16F5C" w14:textId="77777777" w:rsidR="00C15EB8" w:rsidRPr="00FF5647" w:rsidRDefault="00C15EB8" w:rsidP="009B41E2">
            <w:pPr>
              <w:ind w:firstLine="0"/>
              <w:rPr>
                <w:b/>
                <w:bCs/>
                <w:sz w:val="24"/>
                <w:szCs w:val="24"/>
              </w:rPr>
            </w:pPr>
          </w:p>
          <w:p w14:paraId="7AC8B458"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lastRenderedPageBreak/>
              <w:t xml:space="preserve">Se acceptă </w:t>
            </w:r>
          </w:p>
          <w:p w14:paraId="00BB93CD"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5FDC90F1" w14:textId="77777777" w:rsidR="00C15EB8" w:rsidRPr="00FF5647" w:rsidRDefault="00C15EB8" w:rsidP="009B41E2">
            <w:pPr>
              <w:ind w:firstLine="0"/>
              <w:rPr>
                <w:b/>
                <w:bCs/>
                <w:sz w:val="24"/>
                <w:szCs w:val="24"/>
              </w:rPr>
            </w:pPr>
          </w:p>
          <w:p w14:paraId="4FC6C28E" w14:textId="77777777" w:rsidR="00C15EB8" w:rsidRPr="00FF5647" w:rsidRDefault="00C15EB8" w:rsidP="009B41E2">
            <w:pPr>
              <w:ind w:firstLine="0"/>
              <w:rPr>
                <w:b/>
                <w:bCs/>
                <w:sz w:val="24"/>
                <w:szCs w:val="24"/>
              </w:rPr>
            </w:pPr>
          </w:p>
          <w:p w14:paraId="2455A5EC" w14:textId="77777777" w:rsidR="00C15EB8" w:rsidRPr="00FF5647" w:rsidRDefault="00C15EB8" w:rsidP="009B41E2">
            <w:pPr>
              <w:ind w:firstLine="0"/>
              <w:rPr>
                <w:b/>
                <w:bCs/>
                <w:sz w:val="24"/>
                <w:szCs w:val="24"/>
              </w:rPr>
            </w:pPr>
          </w:p>
          <w:p w14:paraId="7B0C8431" w14:textId="77777777" w:rsidR="00C15EB8" w:rsidRPr="00FF5647" w:rsidRDefault="00C15EB8" w:rsidP="009B41E2">
            <w:pPr>
              <w:ind w:firstLine="0"/>
              <w:rPr>
                <w:b/>
                <w:bCs/>
                <w:sz w:val="24"/>
                <w:szCs w:val="24"/>
              </w:rPr>
            </w:pPr>
          </w:p>
          <w:p w14:paraId="4B4A4563" w14:textId="77777777" w:rsidR="00C15EB8" w:rsidRPr="00FF5647" w:rsidRDefault="00C15EB8" w:rsidP="009B41E2">
            <w:pPr>
              <w:ind w:firstLine="0"/>
              <w:rPr>
                <w:b/>
                <w:bCs/>
                <w:sz w:val="24"/>
                <w:szCs w:val="24"/>
              </w:rPr>
            </w:pPr>
          </w:p>
          <w:p w14:paraId="7B54B2F0" w14:textId="77777777" w:rsidR="00C15EB8" w:rsidRPr="00FF5647"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FF5647">
              <w:rPr>
                <w:rFonts w:ascii="Times New Roman" w:hAnsi="Times New Roman"/>
                <w:b/>
                <w:bCs/>
                <w:sz w:val="24"/>
                <w:szCs w:val="24"/>
              </w:rPr>
              <w:t xml:space="preserve">Se acceptă </w:t>
            </w:r>
          </w:p>
          <w:p w14:paraId="7B61A86E" w14:textId="77777777" w:rsidR="00C15EB8" w:rsidRPr="00DF65FA" w:rsidRDefault="00C15EB8" w:rsidP="00C15EB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FF5647">
              <w:rPr>
                <w:rFonts w:ascii="Times New Roman" w:hAnsi="Times New Roman"/>
                <w:sz w:val="24"/>
                <w:szCs w:val="24"/>
              </w:rPr>
              <w:t>Proiectul de ordin a fost ajustat.</w:t>
            </w:r>
          </w:p>
          <w:p w14:paraId="48780DF2" w14:textId="77777777" w:rsidR="00C15EB8" w:rsidRPr="009B7181" w:rsidRDefault="00C15EB8" w:rsidP="009B41E2">
            <w:pPr>
              <w:ind w:firstLine="0"/>
              <w:rPr>
                <w:b/>
                <w:bCs/>
                <w:sz w:val="24"/>
                <w:szCs w:val="24"/>
              </w:rPr>
            </w:pPr>
          </w:p>
        </w:tc>
      </w:tr>
    </w:tbl>
    <w:p w14:paraId="192CC3E9" w14:textId="69529688" w:rsidR="006419C3" w:rsidRPr="00473815" w:rsidRDefault="006419C3" w:rsidP="006419C3">
      <w:pPr>
        <w:pBdr>
          <w:top w:val="none" w:sz="4" w:space="17" w:color="000000"/>
          <w:left w:val="none" w:sz="4" w:space="0" w:color="000000"/>
          <w:bottom w:val="none" w:sz="4" w:space="0" w:color="000000"/>
          <w:right w:val="none" w:sz="4" w:space="0" w:color="000000"/>
        </w:pBdr>
        <w:tabs>
          <w:tab w:val="left" w:pos="884"/>
          <w:tab w:val="left" w:pos="1134"/>
          <w:tab w:val="left" w:pos="1196"/>
        </w:tabs>
        <w:ind w:firstLine="0"/>
        <w:rPr>
          <w:sz w:val="6"/>
          <w:szCs w:val="6"/>
        </w:rPr>
      </w:pPr>
    </w:p>
    <w:sectPr w:rsidR="006419C3" w:rsidRPr="00473815" w:rsidSect="002226FE">
      <w:headerReference w:type="default" r:id="rId11"/>
      <w:footerReference w:type="default" r:id="rId12"/>
      <w:headerReference w:type="first" r:id="rId13"/>
      <w:footerReference w:type="first" r:id="rId14"/>
      <w:pgSz w:w="16840" w:h="11907" w:orient="landscape"/>
      <w:pgMar w:top="426" w:right="1418" w:bottom="567" w:left="1418" w:header="45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6074" w14:textId="77777777" w:rsidR="000677C0" w:rsidRPr="002D4AEF" w:rsidRDefault="000677C0">
      <w:r w:rsidRPr="002D4AEF">
        <w:separator/>
      </w:r>
    </w:p>
  </w:endnote>
  <w:endnote w:type="continuationSeparator" w:id="0">
    <w:p w14:paraId="09C4A7B1" w14:textId="77777777" w:rsidR="000677C0" w:rsidRPr="002D4AEF" w:rsidRDefault="000677C0">
      <w:r w:rsidRPr="002D4A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DDDC" w14:textId="1B43FF0C" w:rsidR="002226FE" w:rsidRDefault="002226FE">
    <w:pPr>
      <w:pStyle w:val="Subsol"/>
      <w:jc w:val="right"/>
    </w:pPr>
  </w:p>
  <w:p w14:paraId="42F7EAB5" w14:textId="77777777" w:rsidR="002226FE" w:rsidRDefault="002226F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50028"/>
      <w:docPartObj>
        <w:docPartGallery w:val="Page Numbers (Bottom of Page)"/>
        <w:docPartUnique/>
      </w:docPartObj>
    </w:sdtPr>
    <w:sdtContent>
      <w:p w14:paraId="001F4F69" w14:textId="4A359180" w:rsidR="002226FE" w:rsidRDefault="002226FE">
        <w:pPr>
          <w:pStyle w:val="Subsol"/>
          <w:jc w:val="right"/>
        </w:pPr>
        <w:r>
          <w:fldChar w:fldCharType="begin"/>
        </w:r>
        <w:r>
          <w:instrText>PAGE   \* MERGEFORMAT</w:instrText>
        </w:r>
        <w:r>
          <w:fldChar w:fldCharType="separate"/>
        </w:r>
        <w:r>
          <w:rPr>
            <w:lang w:val="ro-RO"/>
          </w:rPr>
          <w:t>2</w:t>
        </w:r>
        <w:r>
          <w:fldChar w:fldCharType="end"/>
        </w:r>
      </w:p>
    </w:sdtContent>
  </w:sdt>
  <w:p w14:paraId="290356A2" w14:textId="77777777" w:rsidR="002226FE" w:rsidRDefault="002226F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470D" w14:textId="77777777" w:rsidR="000677C0" w:rsidRPr="002D4AEF" w:rsidRDefault="000677C0">
      <w:r w:rsidRPr="002D4AEF">
        <w:separator/>
      </w:r>
    </w:p>
  </w:footnote>
  <w:footnote w:type="continuationSeparator" w:id="0">
    <w:p w14:paraId="22C022FC" w14:textId="77777777" w:rsidR="000677C0" w:rsidRPr="002D4AEF" w:rsidRDefault="000677C0">
      <w:r w:rsidRPr="002D4A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2D4AEF" w:rsidRDefault="00D07A16" w:rsidP="009D4C0F">
    <w:pPr>
      <w:pStyle w:val="Antet"/>
      <w:ind w:firstLine="0"/>
      <w:jc w:val="center"/>
      <w:rPr>
        <w:sz w:val="22"/>
        <w:szCs w:val="22"/>
      </w:rPr>
    </w:pPr>
    <w:r w:rsidRPr="002D4AEF">
      <w:rPr>
        <w:sz w:val="22"/>
        <w:szCs w:val="22"/>
      </w:rPr>
      <w:fldChar w:fldCharType="begin"/>
    </w:r>
    <w:r w:rsidRPr="002D4AEF">
      <w:rPr>
        <w:sz w:val="22"/>
        <w:szCs w:val="22"/>
      </w:rPr>
      <w:instrText>PAGE   \* MERGEFORMAT</w:instrText>
    </w:r>
    <w:r w:rsidRPr="002D4AEF">
      <w:rPr>
        <w:sz w:val="22"/>
        <w:szCs w:val="22"/>
      </w:rPr>
      <w:fldChar w:fldCharType="separate"/>
    </w:r>
    <w:r w:rsidR="005E46BE" w:rsidRPr="002D4AEF">
      <w:rPr>
        <w:sz w:val="22"/>
        <w:szCs w:val="22"/>
      </w:rPr>
      <w:t>23</w:t>
    </w:r>
    <w:r w:rsidRPr="002D4AEF">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2D4AEF" w:rsidRDefault="00D07A16">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C8F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F58F5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8B0945"/>
    <w:multiLevelType w:val="hybridMultilevel"/>
    <w:tmpl w:val="F4200472"/>
    <w:lvl w:ilvl="0" w:tplc="4C6C18E4">
      <w:start w:val="1"/>
      <w:numFmt w:val="upperRoman"/>
      <w:lvlText w:val="%1."/>
      <w:lvlJc w:val="left"/>
      <w:pPr>
        <w:ind w:left="720" w:hanging="360"/>
      </w:pPr>
      <w:rPr>
        <w:rFonts w:hint="default"/>
        <w:b/>
        <w:spacing w:val="-1"/>
        <w:w w:val="100"/>
        <w:lang w:val="ro-RO" w:eastAsia="en-US" w:bidi="ar-SA"/>
      </w:rPr>
    </w:lvl>
    <w:lvl w:ilvl="1" w:tplc="04180019">
      <w:start w:val="1"/>
      <w:numFmt w:val="lowerLetter"/>
      <w:lvlText w:val="%2."/>
      <w:lvlJc w:val="left"/>
      <w:pPr>
        <w:ind w:left="1440" w:hanging="360"/>
      </w:pPr>
    </w:lvl>
    <w:lvl w:ilvl="2" w:tplc="FE4C3E58">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570F5E"/>
    <w:multiLevelType w:val="hybridMultilevel"/>
    <w:tmpl w:val="FA46E22A"/>
    <w:lvl w:ilvl="0" w:tplc="42E6E306">
      <w:start w:val="1"/>
      <w:numFmt w:val="lowerLetter"/>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4" w15:restartNumberingAfterBreak="0">
    <w:nsid w:val="14CA40EE"/>
    <w:multiLevelType w:val="hybridMultilevel"/>
    <w:tmpl w:val="6F2C6862"/>
    <w:lvl w:ilvl="0" w:tplc="FFFFFFFF">
      <w:start w:val="1"/>
      <w:numFmt w:val="decimal"/>
      <w:lvlText w:val="%1."/>
      <w:lvlJc w:val="left"/>
      <w:pPr>
        <w:ind w:left="360" w:hanging="360"/>
      </w:pPr>
      <w:rPr>
        <w:rFonts w:ascii="Times New Roman" w:hAnsi="Times New Roman" w:cs="Times New Roman" w:hint="default"/>
        <w:b/>
        <w:bCs w:val="0"/>
      </w:r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182A3E45"/>
    <w:multiLevelType w:val="hybridMultilevel"/>
    <w:tmpl w:val="9702A024"/>
    <w:lvl w:ilvl="0" w:tplc="FFFFFFFF">
      <w:start w:val="1"/>
      <w:numFmt w:val="decimal"/>
      <w:lvlText w:val="%1."/>
      <w:lvlJc w:val="left"/>
      <w:pPr>
        <w:ind w:left="927"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8334CE"/>
    <w:multiLevelType w:val="hybridMultilevel"/>
    <w:tmpl w:val="F6941A6C"/>
    <w:lvl w:ilvl="0" w:tplc="4C6C18E4">
      <w:start w:val="1"/>
      <w:numFmt w:val="upperRoman"/>
      <w:lvlText w:val="%1."/>
      <w:lvlJc w:val="left"/>
      <w:pPr>
        <w:ind w:left="720" w:hanging="360"/>
      </w:pPr>
      <w:rPr>
        <w:rFonts w:hint="default"/>
        <w:b/>
        <w:spacing w:val="-1"/>
        <w:w w:val="100"/>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536CC8"/>
    <w:multiLevelType w:val="hybridMultilevel"/>
    <w:tmpl w:val="A05422F0"/>
    <w:lvl w:ilvl="0" w:tplc="C1F8BB5A">
      <w:start w:val="1"/>
      <w:numFmt w:val="upperRoman"/>
      <w:lvlText w:val="%1."/>
      <w:lvlJc w:val="left"/>
      <w:pPr>
        <w:ind w:left="1080" w:hanging="720"/>
      </w:pPr>
      <w:rPr>
        <w:rFonts w:hint="default"/>
      </w:rPr>
    </w:lvl>
    <w:lvl w:ilvl="1" w:tplc="B83AFBE2">
      <w:start w:val="1"/>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A570482"/>
    <w:multiLevelType w:val="hybridMultilevel"/>
    <w:tmpl w:val="5C1E4346"/>
    <w:lvl w:ilvl="0" w:tplc="B83AFBE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A75EF5"/>
    <w:multiLevelType w:val="hybridMultilevel"/>
    <w:tmpl w:val="936C133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E40DCF"/>
    <w:multiLevelType w:val="hybridMultilevel"/>
    <w:tmpl w:val="9702A024"/>
    <w:lvl w:ilvl="0" w:tplc="FFFFFFFF">
      <w:start w:val="1"/>
      <w:numFmt w:val="decimal"/>
      <w:lvlText w:val="%1."/>
      <w:lvlJc w:val="left"/>
      <w:pPr>
        <w:ind w:left="927"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4504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CE30B13"/>
    <w:multiLevelType w:val="hybridMultilevel"/>
    <w:tmpl w:val="CD7459B8"/>
    <w:lvl w:ilvl="0" w:tplc="EBF6029E">
      <w:start w:val="1"/>
      <w:numFmt w:val="decimal"/>
      <w:lvlText w:val="%1)"/>
      <w:lvlJc w:val="left"/>
      <w:pPr>
        <w:ind w:left="361" w:hanging="360"/>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13" w15:restartNumberingAfterBreak="0">
    <w:nsid w:val="46403FBC"/>
    <w:multiLevelType w:val="hybridMultilevel"/>
    <w:tmpl w:val="36A83512"/>
    <w:lvl w:ilvl="0" w:tplc="4C6C18E4">
      <w:start w:val="1"/>
      <w:numFmt w:val="upperRoman"/>
      <w:lvlText w:val="%1."/>
      <w:lvlJc w:val="left"/>
      <w:pPr>
        <w:ind w:left="720" w:hanging="360"/>
      </w:pPr>
      <w:rPr>
        <w:rFonts w:hint="default"/>
        <w:b/>
        <w:spacing w:val="-1"/>
        <w:w w:val="100"/>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FBE79E4"/>
    <w:multiLevelType w:val="hybridMultilevel"/>
    <w:tmpl w:val="E0D26E5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5D2F34"/>
    <w:multiLevelType w:val="multilevel"/>
    <w:tmpl w:val="F3F0DACA"/>
    <w:lvl w:ilvl="0">
      <w:start w:val="3"/>
      <w:numFmt w:val="decimal"/>
      <w:lvlText w:val="%1"/>
      <w:lvlJc w:val="left"/>
      <w:pPr>
        <w:ind w:left="262" w:hanging="514"/>
      </w:pPr>
      <w:rPr>
        <w:rFonts w:hint="default"/>
        <w:lang w:val="ro-RO" w:eastAsia="en-US" w:bidi="ar-SA"/>
      </w:rPr>
    </w:lvl>
    <w:lvl w:ilvl="1">
      <w:start w:val="1"/>
      <w:numFmt w:val="decimal"/>
      <w:lvlText w:val="%1.%2."/>
      <w:lvlJc w:val="left"/>
      <w:pPr>
        <w:ind w:left="262" w:hanging="514"/>
      </w:pPr>
      <w:rPr>
        <w:rFonts w:ascii="Times New Roman" w:eastAsia="Times New Roman" w:hAnsi="Times New Roman" w:cs="Times New Roman" w:hint="default"/>
        <w:b w:val="0"/>
        <w:bCs w:val="0"/>
        <w:i w:val="0"/>
        <w:iCs w:val="0"/>
        <w:spacing w:val="0"/>
        <w:w w:val="100"/>
        <w:sz w:val="22"/>
        <w:szCs w:val="22"/>
        <w:lang w:val="ro-RO" w:eastAsia="en-US" w:bidi="ar-SA"/>
      </w:rPr>
    </w:lvl>
    <w:lvl w:ilvl="2">
      <w:numFmt w:val="bullet"/>
      <w:lvlText w:val="•"/>
      <w:lvlJc w:val="left"/>
      <w:pPr>
        <w:ind w:left="2224" w:hanging="514"/>
      </w:pPr>
      <w:rPr>
        <w:rFonts w:hint="default"/>
        <w:lang w:val="ro-RO" w:eastAsia="en-US" w:bidi="ar-SA"/>
      </w:rPr>
    </w:lvl>
    <w:lvl w:ilvl="3">
      <w:numFmt w:val="bullet"/>
      <w:lvlText w:val="•"/>
      <w:lvlJc w:val="left"/>
      <w:pPr>
        <w:ind w:left="3206" w:hanging="514"/>
      </w:pPr>
      <w:rPr>
        <w:rFonts w:hint="default"/>
        <w:lang w:val="ro-RO" w:eastAsia="en-US" w:bidi="ar-SA"/>
      </w:rPr>
    </w:lvl>
    <w:lvl w:ilvl="4">
      <w:numFmt w:val="bullet"/>
      <w:lvlText w:val="•"/>
      <w:lvlJc w:val="left"/>
      <w:pPr>
        <w:ind w:left="4188" w:hanging="514"/>
      </w:pPr>
      <w:rPr>
        <w:rFonts w:hint="default"/>
        <w:lang w:val="ro-RO" w:eastAsia="en-US" w:bidi="ar-SA"/>
      </w:rPr>
    </w:lvl>
    <w:lvl w:ilvl="5">
      <w:numFmt w:val="bullet"/>
      <w:lvlText w:val="•"/>
      <w:lvlJc w:val="left"/>
      <w:pPr>
        <w:ind w:left="5170" w:hanging="514"/>
      </w:pPr>
      <w:rPr>
        <w:rFonts w:hint="default"/>
        <w:lang w:val="ro-RO" w:eastAsia="en-US" w:bidi="ar-SA"/>
      </w:rPr>
    </w:lvl>
    <w:lvl w:ilvl="6">
      <w:numFmt w:val="bullet"/>
      <w:lvlText w:val="•"/>
      <w:lvlJc w:val="left"/>
      <w:pPr>
        <w:ind w:left="6152" w:hanging="514"/>
      </w:pPr>
      <w:rPr>
        <w:rFonts w:hint="default"/>
        <w:lang w:val="ro-RO" w:eastAsia="en-US" w:bidi="ar-SA"/>
      </w:rPr>
    </w:lvl>
    <w:lvl w:ilvl="7">
      <w:numFmt w:val="bullet"/>
      <w:lvlText w:val="•"/>
      <w:lvlJc w:val="left"/>
      <w:pPr>
        <w:ind w:left="7134" w:hanging="514"/>
      </w:pPr>
      <w:rPr>
        <w:rFonts w:hint="default"/>
        <w:lang w:val="ro-RO" w:eastAsia="en-US" w:bidi="ar-SA"/>
      </w:rPr>
    </w:lvl>
    <w:lvl w:ilvl="8">
      <w:numFmt w:val="bullet"/>
      <w:lvlText w:val="•"/>
      <w:lvlJc w:val="left"/>
      <w:pPr>
        <w:ind w:left="8116" w:hanging="514"/>
      </w:pPr>
      <w:rPr>
        <w:rFonts w:hint="default"/>
        <w:lang w:val="ro-RO" w:eastAsia="en-US" w:bidi="ar-SA"/>
      </w:rPr>
    </w:lvl>
  </w:abstractNum>
  <w:abstractNum w:abstractNumId="16" w15:restartNumberingAfterBreak="0">
    <w:nsid w:val="54737D79"/>
    <w:multiLevelType w:val="hybridMultilevel"/>
    <w:tmpl w:val="63EE0746"/>
    <w:lvl w:ilvl="0" w:tplc="E1701F26">
      <w:start w:val="1"/>
      <w:numFmt w:val="lowerLetter"/>
      <w:lvlText w:val="%1)"/>
      <w:lvlJc w:val="left"/>
      <w:pPr>
        <w:ind w:left="400" w:hanging="360"/>
      </w:pPr>
      <w:rPr>
        <w:rFonts w:hint="default"/>
        <w:b/>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7" w15:restartNumberingAfterBreak="0">
    <w:nsid w:val="570E0594"/>
    <w:multiLevelType w:val="hybridMultilevel"/>
    <w:tmpl w:val="FF365118"/>
    <w:lvl w:ilvl="0" w:tplc="92D46876">
      <w:start w:val="1"/>
      <w:numFmt w:val="upperRoman"/>
      <w:lvlText w:val="%1."/>
      <w:lvlJc w:val="left"/>
      <w:pPr>
        <w:ind w:left="760" w:hanging="72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8" w15:restartNumberingAfterBreak="0">
    <w:nsid w:val="59987586"/>
    <w:multiLevelType w:val="hybridMultilevel"/>
    <w:tmpl w:val="0C6A891C"/>
    <w:lvl w:ilvl="0" w:tplc="E84069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F30D25"/>
    <w:multiLevelType w:val="hybridMultilevel"/>
    <w:tmpl w:val="9702A024"/>
    <w:lvl w:ilvl="0" w:tplc="FFFFFFFF">
      <w:start w:val="1"/>
      <w:numFmt w:val="decimal"/>
      <w:lvlText w:val="%1."/>
      <w:lvlJc w:val="left"/>
      <w:pPr>
        <w:ind w:left="927"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1C096E"/>
    <w:multiLevelType w:val="hybridMultilevel"/>
    <w:tmpl w:val="DB4EE7F2"/>
    <w:lvl w:ilvl="0" w:tplc="4C6C18E4">
      <w:start w:val="1"/>
      <w:numFmt w:val="upperRoman"/>
      <w:lvlText w:val="%1."/>
      <w:lvlJc w:val="left"/>
      <w:pPr>
        <w:ind w:left="720" w:hanging="360"/>
      </w:pPr>
      <w:rPr>
        <w:rFonts w:hint="default"/>
        <w:b/>
        <w:spacing w:val="-1"/>
        <w:w w:val="100"/>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F5C0710"/>
    <w:multiLevelType w:val="multilevel"/>
    <w:tmpl w:val="E37CCAEE"/>
    <w:lvl w:ilvl="0">
      <w:start w:val="1"/>
      <w:numFmt w:val="decimal"/>
      <w:lvlText w:val="%1."/>
      <w:lvlJc w:val="left"/>
      <w:pPr>
        <w:ind w:left="786"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6154233E"/>
    <w:multiLevelType w:val="hybridMultilevel"/>
    <w:tmpl w:val="3884AE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3782C54"/>
    <w:multiLevelType w:val="hybridMultilevel"/>
    <w:tmpl w:val="BE6241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51C2531"/>
    <w:multiLevelType w:val="hybridMultilevel"/>
    <w:tmpl w:val="D542DD32"/>
    <w:lvl w:ilvl="0" w:tplc="4C6C18E4">
      <w:start w:val="1"/>
      <w:numFmt w:val="upperRoman"/>
      <w:lvlText w:val="%1."/>
      <w:lvlJc w:val="left"/>
      <w:pPr>
        <w:ind w:left="341" w:hanging="341"/>
      </w:pPr>
      <w:rPr>
        <w:rFonts w:hint="default"/>
        <w:b/>
        <w:spacing w:val="-1"/>
        <w:w w:val="100"/>
        <w:lang w:val="ro-RO" w:eastAsia="en-US" w:bidi="ar-SA"/>
      </w:rPr>
    </w:lvl>
    <w:lvl w:ilvl="1" w:tplc="6E9A7FB4">
      <w:start w:val="1"/>
      <w:numFmt w:val="lowerLetter"/>
      <w:lvlText w:val="%2)"/>
      <w:lvlJc w:val="left"/>
      <w:pPr>
        <w:ind w:left="1061" w:hanging="360"/>
      </w:pPr>
      <w:rPr>
        <w:rFonts w:ascii="Calibri" w:eastAsia="Calibri" w:hAnsi="Calibri" w:cs="Calibri" w:hint="default"/>
        <w:b w:val="0"/>
        <w:bCs w:val="0"/>
        <w:i w:val="0"/>
        <w:iCs w:val="0"/>
        <w:spacing w:val="-1"/>
        <w:w w:val="100"/>
        <w:sz w:val="22"/>
        <w:szCs w:val="22"/>
        <w:lang w:val="ro-RO" w:eastAsia="en-US" w:bidi="ar-SA"/>
      </w:rPr>
    </w:lvl>
    <w:lvl w:ilvl="2" w:tplc="B324E782">
      <w:numFmt w:val="bullet"/>
      <w:lvlText w:val="•"/>
      <w:lvlJc w:val="left"/>
      <w:pPr>
        <w:ind w:left="2022" w:hanging="360"/>
      </w:pPr>
      <w:rPr>
        <w:rFonts w:hint="default"/>
        <w:lang w:val="ro-RO" w:eastAsia="en-US" w:bidi="ar-SA"/>
      </w:rPr>
    </w:lvl>
    <w:lvl w:ilvl="3" w:tplc="23BE9C86">
      <w:numFmt w:val="bullet"/>
      <w:lvlText w:val="•"/>
      <w:lvlJc w:val="left"/>
      <w:pPr>
        <w:ind w:left="2984" w:hanging="360"/>
      </w:pPr>
      <w:rPr>
        <w:rFonts w:hint="default"/>
        <w:lang w:val="ro-RO" w:eastAsia="en-US" w:bidi="ar-SA"/>
      </w:rPr>
    </w:lvl>
    <w:lvl w:ilvl="4" w:tplc="66FA198E">
      <w:numFmt w:val="bullet"/>
      <w:lvlText w:val="•"/>
      <w:lvlJc w:val="left"/>
      <w:pPr>
        <w:ind w:left="3946" w:hanging="360"/>
      </w:pPr>
      <w:rPr>
        <w:rFonts w:hint="default"/>
        <w:lang w:val="ro-RO" w:eastAsia="en-US" w:bidi="ar-SA"/>
      </w:rPr>
    </w:lvl>
    <w:lvl w:ilvl="5" w:tplc="ACCA479A">
      <w:numFmt w:val="bullet"/>
      <w:lvlText w:val="•"/>
      <w:lvlJc w:val="left"/>
      <w:pPr>
        <w:ind w:left="4908" w:hanging="360"/>
      </w:pPr>
      <w:rPr>
        <w:rFonts w:hint="default"/>
        <w:lang w:val="ro-RO" w:eastAsia="en-US" w:bidi="ar-SA"/>
      </w:rPr>
    </w:lvl>
    <w:lvl w:ilvl="6" w:tplc="58F4F886">
      <w:numFmt w:val="bullet"/>
      <w:lvlText w:val="•"/>
      <w:lvlJc w:val="left"/>
      <w:pPr>
        <w:ind w:left="5871" w:hanging="360"/>
      </w:pPr>
      <w:rPr>
        <w:rFonts w:hint="default"/>
        <w:lang w:val="ro-RO" w:eastAsia="en-US" w:bidi="ar-SA"/>
      </w:rPr>
    </w:lvl>
    <w:lvl w:ilvl="7" w:tplc="C952EC0C">
      <w:numFmt w:val="bullet"/>
      <w:lvlText w:val="•"/>
      <w:lvlJc w:val="left"/>
      <w:pPr>
        <w:ind w:left="6833" w:hanging="360"/>
      </w:pPr>
      <w:rPr>
        <w:rFonts w:hint="default"/>
        <w:lang w:val="ro-RO" w:eastAsia="en-US" w:bidi="ar-SA"/>
      </w:rPr>
    </w:lvl>
    <w:lvl w:ilvl="8" w:tplc="432085B4">
      <w:numFmt w:val="bullet"/>
      <w:lvlText w:val="•"/>
      <w:lvlJc w:val="left"/>
      <w:pPr>
        <w:ind w:left="7795" w:hanging="360"/>
      </w:pPr>
      <w:rPr>
        <w:rFonts w:hint="default"/>
        <w:lang w:val="ro-RO" w:eastAsia="en-US" w:bidi="ar-SA"/>
      </w:rPr>
    </w:lvl>
  </w:abstractNum>
  <w:abstractNum w:abstractNumId="25" w15:restartNumberingAfterBreak="0">
    <w:nsid w:val="67C37362"/>
    <w:multiLevelType w:val="hybridMultilevel"/>
    <w:tmpl w:val="9814B528"/>
    <w:lvl w:ilvl="0" w:tplc="4C6C18E4">
      <w:start w:val="1"/>
      <w:numFmt w:val="upperRoman"/>
      <w:lvlText w:val="%1."/>
      <w:lvlJc w:val="left"/>
      <w:pPr>
        <w:ind w:left="720" w:hanging="360"/>
      </w:pPr>
      <w:rPr>
        <w:rFonts w:hint="default"/>
        <w:b/>
        <w:spacing w:val="-1"/>
        <w:w w:val="100"/>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7553D2"/>
    <w:multiLevelType w:val="hybridMultilevel"/>
    <w:tmpl w:val="F024365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B3F2027"/>
    <w:multiLevelType w:val="hybridMultilevel"/>
    <w:tmpl w:val="4BC2C4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F31741B"/>
    <w:multiLevelType w:val="hybridMultilevel"/>
    <w:tmpl w:val="08E6A026"/>
    <w:lvl w:ilvl="0" w:tplc="4C6C18E4">
      <w:start w:val="1"/>
      <w:numFmt w:val="upperRoman"/>
      <w:lvlText w:val="%1."/>
      <w:lvlJc w:val="left"/>
      <w:pPr>
        <w:ind w:left="720" w:hanging="360"/>
      </w:pPr>
      <w:rPr>
        <w:rFonts w:hint="default"/>
        <w:b/>
        <w:spacing w:val="-1"/>
        <w:w w:val="100"/>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D04F9D"/>
    <w:multiLevelType w:val="hybridMultilevel"/>
    <w:tmpl w:val="9702A024"/>
    <w:lvl w:ilvl="0" w:tplc="FFFFFFFF">
      <w:start w:val="1"/>
      <w:numFmt w:val="decimal"/>
      <w:lvlText w:val="%1."/>
      <w:lvlJc w:val="left"/>
      <w:pPr>
        <w:ind w:left="927"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B01D55"/>
    <w:multiLevelType w:val="multilevel"/>
    <w:tmpl w:val="63D2F9F2"/>
    <w:lvl w:ilvl="0">
      <w:start w:val="1"/>
      <w:numFmt w:val="decimal"/>
      <w:lvlText w:val="%1."/>
      <w:lvlJc w:val="left"/>
      <w:pPr>
        <w:ind w:left="496" w:hanging="360"/>
      </w:pPr>
      <w:rPr>
        <w:rFonts w:hint="default"/>
        <w:b/>
      </w:rPr>
    </w:lvl>
    <w:lvl w:ilvl="1">
      <w:start w:val="1"/>
      <w:numFmt w:val="decimal"/>
      <w:isLgl/>
      <w:lvlText w:val="%1.%2."/>
      <w:lvlJc w:val="left"/>
      <w:pPr>
        <w:ind w:left="571" w:hanging="435"/>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576" w:hanging="144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936" w:hanging="1800"/>
      </w:pPr>
      <w:rPr>
        <w:rFonts w:hint="default"/>
      </w:rPr>
    </w:lvl>
  </w:abstractNum>
  <w:abstractNum w:abstractNumId="31" w15:restartNumberingAfterBreak="0">
    <w:nsid w:val="72C23FD7"/>
    <w:multiLevelType w:val="hybridMultilevel"/>
    <w:tmpl w:val="9C6EBEA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49420B9"/>
    <w:multiLevelType w:val="hybridMultilevel"/>
    <w:tmpl w:val="6F2C6862"/>
    <w:lvl w:ilvl="0" w:tplc="101A227A">
      <w:start w:val="1"/>
      <w:numFmt w:val="decimal"/>
      <w:lvlText w:val="%1."/>
      <w:lvlJc w:val="left"/>
      <w:pPr>
        <w:ind w:left="927" w:hanging="360"/>
      </w:pPr>
      <w:rPr>
        <w:rFonts w:ascii="Times New Roman" w:hAnsi="Times New Roman" w:cs="Times New Roman"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A2AC3"/>
    <w:multiLevelType w:val="hybridMultilevel"/>
    <w:tmpl w:val="9702A024"/>
    <w:lvl w:ilvl="0" w:tplc="FFFFFFFF">
      <w:start w:val="1"/>
      <w:numFmt w:val="decimal"/>
      <w:lvlText w:val="%1."/>
      <w:lvlJc w:val="left"/>
      <w:pPr>
        <w:ind w:left="927"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571E4E"/>
    <w:multiLevelType w:val="hybridMultilevel"/>
    <w:tmpl w:val="85CC59B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520582603">
    <w:abstractNumId w:val="32"/>
  </w:num>
  <w:num w:numId="2" w16cid:durableId="270556697">
    <w:abstractNumId w:val="24"/>
  </w:num>
  <w:num w:numId="3" w16cid:durableId="244650185">
    <w:abstractNumId w:val="17"/>
  </w:num>
  <w:num w:numId="4" w16cid:durableId="296180973">
    <w:abstractNumId w:val="3"/>
  </w:num>
  <w:num w:numId="5" w16cid:durableId="278529489">
    <w:abstractNumId w:val="16"/>
  </w:num>
  <w:num w:numId="6" w16cid:durableId="208882765">
    <w:abstractNumId w:val="15"/>
  </w:num>
  <w:num w:numId="7" w16cid:durableId="657996455">
    <w:abstractNumId w:val="0"/>
  </w:num>
  <w:num w:numId="8" w16cid:durableId="889338125">
    <w:abstractNumId w:val="11"/>
  </w:num>
  <w:num w:numId="9" w16cid:durableId="1021316245">
    <w:abstractNumId w:val="1"/>
  </w:num>
  <w:num w:numId="10" w16cid:durableId="1271661489">
    <w:abstractNumId w:val="27"/>
  </w:num>
  <w:num w:numId="11" w16cid:durableId="2001346822">
    <w:abstractNumId w:val="28"/>
  </w:num>
  <w:num w:numId="12" w16cid:durableId="1999452951">
    <w:abstractNumId w:val="25"/>
  </w:num>
  <w:num w:numId="13" w16cid:durableId="1567567880">
    <w:abstractNumId w:val="18"/>
  </w:num>
  <w:num w:numId="14" w16cid:durableId="705372063">
    <w:abstractNumId w:val="6"/>
  </w:num>
  <w:num w:numId="15" w16cid:durableId="108471837">
    <w:abstractNumId w:val="2"/>
  </w:num>
  <w:num w:numId="16" w16cid:durableId="763455418">
    <w:abstractNumId w:val="7"/>
  </w:num>
  <w:num w:numId="17" w16cid:durableId="787897342">
    <w:abstractNumId w:val="31"/>
  </w:num>
  <w:num w:numId="18" w16cid:durableId="365646507">
    <w:abstractNumId w:val="13"/>
  </w:num>
  <w:num w:numId="19" w16cid:durableId="1900090570">
    <w:abstractNumId w:val="8"/>
  </w:num>
  <w:num w:numId="20" w16cid:durableId="335883151">
    <w:abstractNumId w:val="20"/>
  </w:num>
  <w:num w:numId="21" w16cid:durableId="473717721">
    <w:abstractNumId w:val="26"/>
  </w:num>
  <w:num w:numId="22" w16cid:durableId="1026979954">
    <w:abstractNumId w:val="23"/>
  </w:num>
  <w:num w:numId="23" w16cid:durableId="211501221">
    <w:abstractNumId w:val="22"/>
  </w:num>
  <w:num w:numId="24" w16cid:durableId="57746458">
    <w:abstractNumId w:val="34"/>
  </w:num>
  <w:num w:numId="25" w16cid:durableId="1274555436">
    <w:abstractNumId w:val="30"/>
  </w:num>
  <w:num w:numId="26" w16cid:durableId="1133332104">
    <w:abstractNumId w:val="21"/>
  </w:num>
  <w:num w:numId="27" w16cid:durableId="1095595018">
    <w:abstractNumId w:val="33"/>
  </w:num>
  <w:num w:numId="28" w16cid:durableId="343675032">
    <w:abstractNumId w:val="5"/>
  </w:num>
  <w:num w:numId="29" w16cid:durableId="1870339204">
    <w:abstractNumId w:val="19"/>
  </w:num>
  <w:num w:numId="30" w16cid:durableId="1859467190">
    <w:abstractNumId w:val="29"/>
  </w:num>
  <w:num w:numId="31" w16cid:durableId="1570922056">
    <w:abstractNumId w:val="10"/>
  </w:num>
  <w:num w:numId="32" w16cid:durableId="260723382">
    <w:abstractNumId w:val="9"/>
  </w:num>
  <w:num w:numId="33" w16cid:durableId="898516011">
    <w:abstractNumId w:val="14"/>
  </w:num>
  <w:num w:numId="34" w16cid:durableId="1059936031">
    <w:abstractNumId w:val="12"/>
  </w:num>
  <w:num w:numId="35" w16cid:durableId="8583960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02D0"/>
    <w:rsid w:val="00013460"/>
    <w:rsid w:val="00013804"/>
    <w:rsid w:val="00013AC9"/>
    <w:rsid w:val="0001747F"/>
    <w:rsid w:val="00020F91"/>
    <w:rsid w:val="00021A0F"/>
    <w:rsid w:val="0002435C"/>
    <w:rsid w:val="0002660D"/>
    <w:rsid w:val="00032B46"/>
    <w:rsid w:val="0004077D"/>
    <w:rsid w:val="0004289C"/>
    <w:rsid w:val="00043AC7"/>
    <w:rsid w:val="00044D19"/>
    <w:rsid w:val="00051D51"/>
    <w:rsid w:val="00052045"/>
    <w:rsid w:val="00054810"/>
    <w:rsid w:val="00054C3D"/>
    <w:rsid w:val="000666B7"/>
    <w:rsid w:val="000677C0"/>
    <w:rsid w:val="00070260"/>
    <w:rsid w:val="000713DA"/>
    <w:rsid w:val="00071EAA"/>
    <w:rsid w:val="0007236F"/>
    <w:rsid w:val="00075A5F"/>
    <w:rsid w:val="00081267"/>
    <w:rsid w:val="00085029"/>
    <w:rsid w:val="000A3286"/>
    <w:rsid w:val="000A32DC"/>
    <w:rsid w:val="000A6BA5"/>
    <w:rsid w:val="000B1844"/>
    <w:rsid w:val="000B2865"/>
    <w:rsid w:val="000B2CA2"/>
    <w:rsid w:val="000B31A9"/>
    <w:rsid w:val="000B3D87"/>
    <w:rsid w:val="000B50EE"/>
    <w:rsid w:val="000C041B"/>
    <w:rsid w:val="000C2AB4"/>
    <w:rsid w:val="000C2B62"/>
    <w:rsid w:val="000C59F3"/>
    <w:rsid w:val="000D19D8"/>
    <w:rsid w:val="000D5C74"/>
    <w:rsid w:val="000E03A6"/>
    <w:rsid w:val="000E1D40"/>
    <w:rsid w:val="000E2800"/>
    <w:rsid w:val="000E3069"/>
    <w:rsid w:val="000F2A3D"/>
    <w:rsid w:val="000F497A"/>
    <w:rsid w:val="00102AD8"/>
    <w:rsid w:val="00113956"/>
    <w:rsid w:val="0011501C"/>
    <w:rsid w:val="00116035"/>
    <w:rsid w:val="001211EA"/>
    <w:rsid w:val="0012621F"/>
    <w:rsid w:val="00134681"/>
    <w:rsid w:val="00140750"/>
    <w:rsid w:val="00143389"/>
    <w:rsid w:val="00143CC4"/>
    <w:rsid w:val="0015146D"/>
    <w:rsid w:val="00157D40"/>
    <w:rsid w:val="00162BE7"/>
    <w:rsid w:val="00163D38"/>
    <w:rsid w:val="00164D17"/>
    <w:rsid w:val="0017006C"/>
    <w:rsid w:val="00174A3A"/>
    <w:rsid w:val="00174E20"/>
    <w:rsid w:val="00177BB7"/>
    <w:rsid w:val="001802C2"/>
    <w:rsid w:val="00184334"/>
    <w:rsid w:val="00184992"/>
    <w:rsid w:val="00185AC8"/>
    <w:rsid w:val="00191428"/>
    <w:rsid w:val="001916DF"/>
    <w:rsid w:val="001924CB"/>
    <w:rsid w:val="00193F55"/>
    <w:rsid w:val="001A25C3"/>
    <w:rsid w:val="001A37C7"/>
    <w:rsid w:val="001A54C2"/>
    <w:rsid w:val="001B3BE4"/>
    <w:rsid w:val="001B5818"/>
    <w:rsid w:val="001B66A4"/>
    <w:rsid w:val="001B6DB2"/>
    <w:rsid w:val="001B6E6E"/>
    <w:rsid w:val="001C3F21"/>
    <w:rsid w:val="001C4EEE"/>
    <w:rsid w:val="001D2FA2"/>
    <w:rsid w:val="001E05D6"/>
    <w:rsid w:val="001E4497"/>
    <w:rsid w:val="001F0570"/>
    <w:rsid w:val="001F2097"/>
    <w:rsid w:val="001F270C"/>
    <w:rsid w:val="001F3D62"/>
    <w:rsid w:val="002000EB"/>
    <w:rsid w:val="00200223"/>
    <w:rsid w:val="00200516"/>
    <w:rsid w:val="0020268E"/>
    <w:rsid w:val="002041F5"/>
    <w:rsid w:val="00205100"/>
    <w:rsid w:val="0020794F"/>
    <w:rsid w:val="00214862"/>
    <w:rsid w:val="00214B05"/>
    <w:rsid w:val="00215486"/>
    <w:rsid w:val="002164C9"/>
    <w:rsid w:val="00216F20"/>
    <w:rsid w:val="002170A5"/>
    <w:rsid w:val="002226FE"/>
    <w:rsid w:val="00230761"/>
    <w:rsid w:val="00231E83"/>
    <w:rsid w:val="00236E65"/>
    <w:rsid w:val="002372B8"/>
    <w:rsid w:val="00240AC0"/>
    <w:rsid w:val="002453BD"/>
    <w:rsid w:val="0024640A"/>
    <w:rsid w:val="00257353"/>
    <w:rsid w:val="002721D2"/>
    <w:rsid w:val="0027425A"/>
    <w:rsid w:val="00277074"/>
    <w:rsid w:val="0028093A"/>
    <w:rsid w:val="00281792"/>
    <w:rsid w:val="00281C80"/>
    <w:rsid w:val="00284DD7"/>
    <w:rsid w:val="00291ECD"/>
    <w:rsid w:val="002950E0"/>
    <w:rsid w:val="002954C4"/>
    <w:rsid w:val="002A1D57"/>
    <w:rsid w:val="002B07BD"/>
    <w:rsid w:val="002B5444"/>
    <w:rsid w:val="002B547F"/>
    <w:rsid w:val="002C102B"/>
    <w:rsid w:val="002C21E9"/>
    <w:rsid w:val="002D38C5"/>
    <w:rsid w:val="002D4AEF"/>
    <w:rsid w:val="002E3E67"/>
    <w:rsid w:val="002E4217"/>
    <w:rsid w:val="002E505B"/>
    <w:rsid w:val="002F1B96"/>
    <w:rsid w:val="002F30F7"/>
    <w:rsid w:val="002F3DAA"/>
    <w:rsid w:val="002F5F1E"/>
    <w:rsid w:val="002F7FB5"/>
    <w:rsid w:val="00301D7D"/>
    <w:rsid w:val="00310298"/>
    <w:rsid w:val="0031555D"/>
    <w:rsid w:val="00315655"/>
    <w:rsid w:val="00315B32"/>
    <w:rsid w:val="00315BDC"/>
    <w:rsid w:val="003169FE"/>
    <w:rsid w:val="00324559"/>
    <w:rsid w:val="003250DB"/>
    <w:rsid w:val="00327C88"/>
    <w:rsid w:val="00330A29"/>
    <w:rsid w:val="00331314"/>
    <w:rsid w:val="00334C0F"/>
    <w:rsid w:val="003358FF"/>
    <w:rsid w:val="00347B79"/>
    <w:rsid w:val="003509A8"/>
    <w:rsid w:val="00354545"/>
    <w:rsid w:val="00355122"/>
    <w:rsid w:val="00356271"/>
    <w:rsid w:val="0036135C"/>
    <w:rsid w:val="00362D0C"/>
    <w:rsid w:val="003642FE"/>
    <w:rsid w:val="0036518F"/>
    <w:rsid w:val="0036768D"/>
    <w:rsid w:val="003723D6"/>
    <w:rsid w:val="00374362"/>
    <w:rsid w:val="00377B12"/>
    <w:rsid w:val="00380147"/>
    <w:rsid w:val="00381C7D"/>
    <w:rsid w:val="00385C9B"/>
    <w:rsid w:val="003872BA"/>
    <w:rsid w:val="00387D77"/>
    <w:rsid w:val="003905C4"/>
    <w:rsid w:val="003922EF"/>
    <w:rsid w:val="00394A57"/>
    <w:rsid w:val="00397415"/>
    <w:rsid w:val="00397ABD"/>
    <w:rsid w:val="003A2CB2"/>
    <w:rsid w:val="003A4D1C"/>
    <w:rsid w:val="003A71F7"/>
    <w:rsid w:val="003B257A"/>
    <w:rsid w:val="003B7521"/>
    <w:rsid w:val="003C0C4D"/>
    <w:rsid w:val="003C11CC"/>
    <w:rsid w:val="003C13BF"/>
    <w:rsid w:val="003C3DB4"/>
    <w:rsid w:val="003C3EB9"/>
    <w:rsid w:val="003D0909"/>
    <w:rsid w:val="003D47EA"/>
    <w:rsid w:val="003D5E8B"/>
    <w:rsid w:val="003D64FA"/>
    <w:rsid w:val="003E359F"/>
    <w:rsid w:val="003E3748"/>
    <w:rsid w:val="003E4DA7"/>
    <w:rsid w:val="003F0CD8"/>
    <w:rsid w:val="00405019"/>
    <w:rsid w:val="004068EF"/>
    <w:rsid w:val="00406BA9"/>
    <w:rsid w:val="00407E5F"/>
    <w:rsid w:val="00410C9A"/>
    <w:rsid w:val="00411E5D"/>
    <w:rsid w:val="004172A7"/>
    <w:rsid w:val="00421AB5"/>
    <w:rsid w:val="00423A2D"/>
    <w:rsid w:val="00424212"/>
    <w:rsid w:val="00424CF9"/>
    <w:rsid w:val="00430140"/>
    <w:rsid w:val="00430F88"/>
    <w:rsid w:val="0043208D"/>
    <w:rsid w:val="004333B4"/>
    <w:rsid w:val="00434203"/>
    <w:rsid w:val="00452C3E"/>
    <w:rsid w:val="00452C6C"/>
    <w:rsid w:val="0045451B"/>
    <w:rsid w:val="00454AD5"/>
    <w:rsid w:val="00455862"/>
    <w:rsid w:val="0045784F"/>
    <w:rsid w:val="00464294"/>
    <w:rsid w:val="00467B49"/>
    <w:rsid w:val="004733B0"/>
    <w:rsid w:val="004735CE"/>
    <w:rsid w:val="00473815"/>
    <w:rsid w:val="00474658"/>
    <w:rsid w:val="00476174"/>
    <w:rsid w:val="0047797E"/>
    <w:rsid w:val="00477C94"/>
    <w:rsid w:val="00481973"/>
    <w:rsid w:val="004866D3"/>
    <w:rsid w:val="00497F06"/>
    <w:rsid w:val="004A0273"/>
    <w:rsid w:val="004A0FFF"/>
    <w:rsid w:val="004A3757"/>
    <w:rsid w:val="004A3E10"/>
    <w:rsid w:val="004B0A11"/>
    <w:rsid w:val="004B1283"/>
    <w:rsid w:val="004B68D8"/>
    <w:rsid w:val="004B7676"/>
    <w:rsid w:val="004B7745"/>
    <w:rsid w:val="004C6034"/>
    <w:rsid w:val="004D2165"/>
    <w:rsid w:val="004D3941"/>
    <w:rsid w:val="004E1E42"/>
    <w:rsid w:val="004E20FB"/>
    <w:rsid w:val="004E2421"/>
    <w:rsid w:val="004E6489"/>
    <w:rsid w:val="004E6662"/>
    <w:rsid w:val="004F0C4F"/>
    <w:rsid w:val="004F19CC"/>
    <w:rsid w:val="004F39D0"/>
    <w:rsid w:val="004F568A"/>
    <w:rsid w:val="004F7769"/>
    <w:rsid w:val="00501DE7"/>
    <w:rsid w:val="005020EC"/>
    <w:rsid w:val="00505720"/>
    <w:rsid w:val="0051601C"/>
    <w:rsid w:val="00516555"/>
    <w:rsid w:val="005256CF"/>
    <w:rsid w:val="0053396B"/>
    <w:rsid w:val="005378A7"/>
    <w:rsid w:val="00542C43"/>
    <w:rsid w:val="00543C0C"/>
    <w:rsid w:val="005502D9"/>
    <w:rsid w:val="00550F7D"/>
    <w:rsid w:val="00551299"/>
    <w:rsid w:val="00555DF5"/>
    <w:rsid w:val="00561C0C"/>
    <w:rsid w:val="00561F52"/>
    <w:rsid w:val="005627FE"/>
    <w:rsid w:val="00572006"/>
    <w:rsid w:val="00573E74"/>
    <w:rsid w:val="0057790F"/>
    <w:rsid w:val="00582470"/>
    <w:rsid w:val="00594B33"/>
    <w:rsid w:val="00594DE5"/>
    <w:rsid w:val="00596533"/>
    <w:rsid w:val="005A12D7"/>
    <w:rsid w:val="005A29D6"/>
    <w:rsid w:val="005B0C92"/>
    <w:rsid w:val="005B7E20"/>
    <w:rsid w:val="005C0016"/>
    <w:rsid w:val="005C1D42"/>
    <w:rsid w:val="005C412B"/>
    <w:rsid w:val="005C4835"/>
    <w:rsid w:val="005C5A53"/>
    <w:rsid w:val="005C7769"/>
    <w:rsid w:val="005D5F1D"/>
    <w:rsid w:val="005D6C98"/>
    <w:rsid w:val="005E1DBC"/>
    <w:rsid w:val="005E37E8"/>
    <w:rsid w:val="005E3B0A"/>
    <w:rsid w:val="005E46BE"/>
    <w:rsid w:val="005E6EB3"/>
    <w:rsid w:val="005F0EF8"/>
    <w:rsid w:val="005F0F53"/>
    <w:rsid w:val="005F584A"/>
    <w:rsid w:val="0060625D"/>
    <w:rsid w:val="00611BAA"/>
    <w:rsid w:val="00612D18"/>
    <w:rsid w:val="00615BB7"/>
    <w:rsid w:val="00616A16"/>
    <w:rsid w:val="00621954"/>
    <w:rsid w:val="00622554"/>
    <w:rsid w:val="00623361"/>
    <w:rsid w:val="00624BA9"/>
    <w:rsid w:val="0062575C"/>
    <w:rsid w:val="006257F0"/>
    <w:rsid w:val="006339EB"/>
    <w:rsid w:val="00640766"/>
    <w:rsid w:val="006419C3"/>
    <w:rsid w:val="00642883"/>
    <w:rsid w:val="00644D5F"/>
    <w:rsid w:val="00644F95"/>
    <w:rsid w:val="0064666D"/>
    <w:rsid w:val="00646AFE"/>
    <w:rsid w:val="00646B01"/>
    <w:rsid w:val="00650A6D"/>
    <w:rsid w:val="00654623"/>
    <w:rsid w:val="006559E3"/>
    <w:rsid w:val="00655DF5"/>
    <w:rsid w:val="00655E3D"/>
    <w:rsid w:val="00656E0A"/>
    <w:rsid w:val="00657577"/>
    <w:rsid w:val="0066216E"/>
    <w:rsid w:val="00663DB4"/>
    <w:rsid w:val="006660B2"/>
    <w:rsid w:val="0067056E"/>
    <w:rsid w:val="006739CA"/>
    <w:rsid w:val="0068258E"/>
    <w:rsid w:val="00684C81"/>
    <w:rsid w:val="006855AC"/>
    <w:rsid w:val="006862BD"/>
    <w:rsid w:val="00691790"/>
    <w:rsid w:val="006933C3"/>
    <w:rsid w:val="006956E6"/>
    <w:rsid w:val="00697045"/>
    <w:rsid w:val="006A27BD"/>
    <w:rsid w:val="006A337B"/>
    <w:rsid w:val="006A4E08"/>
    <w:rsid w:val="006A57D6"/>
    <w:rsid w:val="006A58BC"/>
    <w:rsid w:val="006B190F"/>
    <w:rsid w:val="006B2739"/>
    <w:rsid w:val="006B3F0C"/>
    <w:rsid w:val="006C3EBD"/>
    <w:rsid w:val="006C40C7"/>
    <w:rsid w:val="006D1AF6"/>
    <w:rsid w:val="006D3EB7"/>
    <w:rsid w:val="006D530D"/>
    <w:rsid w:val="006D715A"/>
    <w:rsid w:val="006D7B49"/>
    <w:rsid w:val="006E0A2E"/>
    <w:rsid w:val="006E1269"/>
    <w:rsid w:val="006E5FD7"/>
    <w:rsid w:val="006E7D38"/>
    <w:rsid w:val="006F0870"/>
    <w:rsid w:val="006F1F8F"/>
    <w:rsid w:val="006F1F93"/>
    <w:rsid w:val="006F43CA"/>
    <w:rsid w:val="006F572E"/>
    <w:rsid w:val="006F7EF4"/>
    <w:rsid w:val="007007DF"/>
    <w:rsid w:val="00701004"/>
    <w:rsid w:val="007026DD"/>
    <w:rsid w:val="00702770"/>
    <w:rsid w:val="00703FCE"/>
    <w:rsid w:val="007063EE"/>
    <w:rsid w:val="00706661"/>
    <w:rsid w:val="00707B68"/>
    <w:rsid w:val="007126C4"/>
    <w:rsid w:val="00714267"/>
    <w:rsid w:val="007229C9"/>
    <w:rsid w:val="00723D14"/>
    <w:rsid w:val="007258CF"/>
    <w:rsid w:val="00731C3A"/>
    <w:rsid w:val="00734093"/>
    <w:rsid w:val="00737731"/>
    <w:rsid w:val="00740210"/>
    <w:rsid w:val="007411D5"/>
    <w:rsid w:val="00743B04"/>
    <w:rsid w:val="00744080"/>
    <w:rsid w:val="00755F2B"/>
    <w:rsid w:val="00756648"/>
    <w:rsid w:val="007610C5"/>
    <w:rsid w:val="007724CE"/>
    <w:rsid w:val="0077672D"/>
    <w:rsid w:val="00780C21"/>
    <w:rsid w:val="00786865"/>
    <w:rsid w:val="00787ADA"/>
    <w:rsid w:val="0079167D"/>
    <w:rsid w:val="007A0931"/>
    <w:rsid w:val="007A4309"/>
    <w:rsid w:val="007B627D"/>
    <w:rsid w:val="007B6E7F"/>
    <w:rsid w:val="007C53A1"/>
    <w:rsid w:val="007C58BD"/>
    <w:rsid w:val="007C5D4B"/>
    <w:rsid w:val="007C7CFA"/>
    <w:rsid w:val="007D0044"/>
    <w:rsid w:val="007D00B1"/>
    <w:rsid w:val="007D0E36"/>
    <w:rsid w:val="007D61BD"/>
    <w:rsid w:val="007E3F69"/>
    <w:rsid w:val="007E61D6"/>
    <w:rsid w:val="007E7735"/>
    <w:rsid w:val="007F1254"/>
    <w:rsid w:val="007F1374"/>
    <w:rsid w:val="007F374B"/>
    <w:rsid w:val="00800EE1"/>
    <w:rsid w:val="00801119"/>
    <w:rsid w:val="008050D2"/>
    <w:rsid w:val="00811CAE"/>
    <w:rsid w:val="00825DC9"/>
    <w:rsid w:val="0083053F"/>
    <w:rsid w:val="00831DF3"/>
    <w:rsid w:val="008326E7"/>
    <w:rsid w:val="0084241F"/>
    <w:rsid w:val="0084349E"/>
    <w:rsid w:val="0084434E"/>
    <w:rsid w:val="008506B1"/>
    <w:rsid w:val="008507B0"/>
    <w:rsid w:val="008510CC"/>
    <w:rsid w:val="00857FA9"/>
    <w:rsid w:val="00860C47"/>
    <w:rsid w:val="00863417"/>
    <w:rsid w:val="0086343C"/>
    <w:rsid w:val="00863D76"/>
    <w:rsid w:val="0086509B"/>
    <w:rsid w:val="0087296A"/>
    <w:rsid w:val="00876262"/>
    <w:rsid w:val="0088338D"/>
    <w:rsid w:val="00890C14"/>
    <w:rsid w:val="00891049"/>
    <w:rsid w:val="00891C01"/>
    <w:rsid w:val="00897403"/>
    <w:rsid w:val="008A0D33"/>
    <w:rsid w:val="008A0F4E"/>
    <w:rsid w:val="008A27F1"/>
    <w:rsid w:val="008A3ACC"/>
    <w:rsid w:val="008A40C0"/>
    <w:rsid w:val="008A5923"/>
    <w:rsid w:val="008B0CCF"/>
    <w:rsid w:val="008B1120"/>
    <w:rsid w:val="008B1AA1"/>
    <w:rsid w:val="008B1BFF"/>
    <w:rsid w:val="008B4BE6"/>
    <w:rsid w:val="008B586C"/>
    <w:rsid w:val="008B7188"/>
    <w:rsid w:val="008C11A0"/>
    <w:rsid w:val="008C26AD"/>
    <w:rsid w:val="008C2DD5"/>
    <w:rsid w:val="008D3CAF"/>
    <w:rsid w:val="008D489B"/>
    <w:rsid w:val="008E08FC"/>
    <w:rsid w:val="008E0E8F"/>
    <w:rsid w:val="008E336A"/>
    <w:rsid w:val="008E5391"/>
    <w:rsid w:val="008F12A1"/>
    <w:rsid w:val="008F2164"/>
    <w:rsid w:val="008F3624"/>
    <w:rsid w:val="008F73D1"/>
    <w:rsid w:val="009002CA"/>
    <w:rsid w:val="00903AF9"/>
    <w:rsid w:val="0090579F"/>
    <w:rsid w:val="009143C9"/>
    <w:rsid w:val="0091498C"/>
    <w:rsid w:val="00915A40"/>
    <w:rsid w:val="009201C9"/>
    <w:rsid w:val="00930424"/>
    <w:rsid w:val="00935413"/>
    <w:rsid w:val="00935F7D"/>
    <w:rsid w:val="00942BCB"/>
    <w:rsid w:val="00942F03"/>
    <w:rsid w:val="00950385"/>
    <w:rsid w:val="00950A30"/>
    <w:rsid w:val="00953155"/>
    <w:rsid w:val="00961B81"/>
    <w:rsid w:val="00962ED5"/>
    <w:rsid w:val="0096321E"/>
    <w:rsid w:val="0096324B"/>
    <w:rsid w:val="00963CC5"/>
    <w:rsid w:val="00963F35"/>
    <w:rsid w:val="0096570F"/>
    <w:rsid w:val="00971561"/>
    <w:rsid w:val="00971EAE"/>
    <w:rsid w:val="009745EA"/>
    <w:rsid w:val="00975A87"/>
    <w:rsid w:val="009761DA"/>
    <w:rsid w:val="00983DFF"/>
    <w:rsid w:val="009858FE"/>
    <w:rsid w:val="009860EA"/>
    <w:rsid w:val="00990719"/>
    <w:rsid w:val="00991A97"/>
    <w:rsid w:val="00992BE1"/>
    <w:rsid w:val="0099315C"/>
    <w:rsid w:val="009A475E"/>
    <w:rsid w:val="009A769F"/>
    <w:rsid w:val="009B41E2"/>
    <w:rsid w:val="009B5080"/>
    <w:rsid w:val="009B7181"/>
    <w:rsid w:val="009C02E5"/>
    <w:rsid w:val="009C0C8D"/>
    <w:rsid w:val="009C0E0E"/>
    <w:rsid w:val="009C26E3"/>
    <w:rsid w:val="009C6DD1"/>
    <w:rsid w:val="009C7CD6"/>
    <w:rsid w:val="009D2789"/>
    <w:rsid w:val="009D4C0F"/>
    <w:rsid w:val="009D7C44"/>
    <w:rsid w:val="009E7B86"/>
    <w:rsid w:val="009F366D"/>
    <w:rsid w:val="009F45EC"/>
    <w:rsid w:val="009F4A8C"/>
    <w:rsid w:val="00A06362"/>
    <w:rsid w:val="00A116F8"/>
    <w:rsid w:val="00A13A74"/>
    <w:rsid w:val="00A13D8B"/>
    <w:rsid w:val="00A147C6"/>
    <w:rsid w:val="00A2390C"/>
    <w:rsid w:val="00A2438C"/>
    <w:rsid w:val="00A244A2"/>
    <w:rsid w:val="00A24A81"/>
    <w:rsid w:val="00A2651B"/>
    <w:rsid w:val="00A34443"/>
    <w:rsid w:val="00A345F7"/>
    <w:rsid w:val="00A35048"/>
    <w:rsid w:val="00A404F7"/>
    <w:rsid w:val="00A41BC6"/>
    <w:rsid w:val="00A42581"/>
    <w:rsid w:val="00A51447"/>
    <w:rsid w:val="00A53F34"/>
    <w:rsid w:val="00A540EB"/>
    <w:rsid w:val="00A5539A"/>
    <w:rsid w:val="00A60B97"/>
    <w:rsid w:val="00A71E51"/>
    <w:rsid w:val="00A7227E"/>
    <w:rsid w:val="00A764E4"/>
    <w:rsid w:val="00A77F56"/>
    <w:rsid w:val="00A80057"/>
    <w:rsid w:val="00A954D1"/>
    <w:rsid w:val="00A95A2D"/>
    <w:rsid w:val="00A95B60"/>
    <w:rsid w:val="00A97259"/>
    <w:rsid w:val="00AA0B65"/>
    <w:rsid w:val="00AA232A"/>
    <w:rsid w:val="00AA34B1"/>
    <w:rsid w:val="00AA719D"/>
    <w:rsid w:val="00AB06B2"/>
    <w:rsid w:val="00AB1C3D"/>
    <w:rsid w:val="00AB29A8"/>
    <w:rsid w:val="00AB2ABC"/>
    <w:rsid w:val="00AB6441"/>
    <w:rsid w:val="00AB7D22"/>
    <w:rsid w:val="00AC22A5"/>
    <w:rsid w:val="00AC2670"/>
    <w:rsid w:val="00AE1C50"/>
    <w:rsid w:val="00AE1F78"/>
    <w:rsid w:val="00AE2489"/>
    <w:rsid w:val="00AE5FE9"/>
    <w:rsid w:val="00AF23AF"/>
    <w:rsid w:val="00AF27B4"/>
    <w:rsid w:val="00AF4D58"/>
    <w:rsid w:val="00AF4E3A"/>
    <w:rsid w:val="00AF4F3A"/>
    <w:rsid w:val="00AF5335"/>
    <w:rsid w:val="00AF6A53"/>
    <w:rsid w:val="00B00257"/>
    <w:rsid w:val="00B025E9"/>
    <w:rsid w:val="00B035BC"/>
    <w:rsid w:val="00B039D7"/>
    <w:rsid w:val="00B04BD0"/>
    <w:rsid w:val="00B05681"/>
    <w:rsid w:val="00B07F61"/>
    <w:rsid w:val="00B11EFC"/>
    <w:rsid w:val="00B15210"/>
    <w:rsid w:val="00B15B82"/>
    <w:rsid w:val="00B1623B"/>
    <w:rsid w:val="00B165AC"/>
    <w:rsid w:val="00B20F7B"/>
    <w:rsid w:val="00B231CB"/>
    <w:rsid w:val="00B24403"/>
    <w:rsid w:val="00B25206"/>
    <w:rsid w:val="00B255EE"/>
    <w:rsid w:val="00B26A2B"/>
    <w:rsid w:val="00B32239"/>
    <w:rsid w:val="00B33828"/>
    <w:rsid w:val="00B34DD2"/>
    <w:rsid w:val="00B40006"/>
    <w:rsid w:val="00B4141C"/>
    <w:rsid w:val="00B42890"/>
    <w:rsid w:val="00B42DDB"/>
    <w:rsid w:val="00B472D0"/>
    <w:rsid w:val="00B50EDF"/>
    <w:rsid w:val="00B51179"/>
    <w:rsid w:val="00B5199C"/>
    <w:rsid w:val="00B609F4"/>
    <w:rsid w:val="00B6145A"/>
    <w:rsid w:val="00B61570"/>
    <w:rsid w:val="00B6585E"/>
    <w:rsid w:val="00B70413"/>
    <w:rsid w:val="00B72578"/>
    <w:rsid w:val="00B744FB"/>
    <w:rsid w:val="00B8259C"/>
    <w:rsid w:val="00B84A8E"/>
    <w:rsid w:val="00B84F41"/>
    <w:rsid w:val="00B85252"/>
    <w:rsid w:val="00B92D67"/>
    <w:rsid w:val="00B93834"/>
    <w:rsid w:val="00B952D8"/>
    <w:rsid w:val="00B9615A"/>
    <w:rsid w:val="00BA1CBE"/>
    <w:rsid w:val="00BA2012"/>
    <w:rsid w:val="00BA282B"/>
    <w:rsid w:val="00BA349E"/>
    <w:rsid w:val="00BA3831"/>
    <w:rsid w:val="00BA500B"/>
    <w:rsid w:val="00BA5B5B"/>
    <w:rsid w:val="00BB008B"/>
    <w:rsid w:val="00BB0093"/>
    <w:rsid w:val="00BB10CE"/>
    <w:rsid w:val="00BB1E7D"/>
    <w:rsid w:val="00BB2181"/>
    <w:rsid w:val="00BB3C82"/>
    <w:rsid w:val="00BB57F6"/>
    <w:rsid w:val="00BB6117"/>
    <w:rsid w:val="00BC19F7"/>
    <w:rsid w:val="00BC2684"/>
    <w:rsid w:val="00BC35AA"/>
    <w:rsid w:val="00BC5BB3"/>
    <w:rsid w:val="00BD2F0F"/>
    <w:rsid w:val="00BD53BD"/>
    <w:rsid w:val="00BD5CF4"/>
    <w:rsid w:val="00BD5DEF"/>
    <w:rsid w:val="00BE10D3"/>
    <w:rsid w:val="00BE4802"/>
    <w:rsid w:val="00BE720C"/>
    <w:rsid w:val="00BF09B1"/>
    <w:rsid w:val="00BF170E"/>
    <w:rsid w:val="00BF509C"/>
    <w:rsid w:val="00BF5AD7"/>
    <w:rsid w:val="00BF7CF6"/>
    <w:rsid w:val="00C0161D"/>
    <w:rsid w:val="00C069DB"/>
    <w:rsid w:val="00C119D6"/>
    <w:rsid w:val="00C141D0"/>
    <w:rsid w:val="00C14814"/>
    <w:rsid w:val="00C15EB8"/>
    <w:rsid w:val="00C20F98"/>
    <w:rsid w:val="00C21F77"/>
    <w:rsid w:val="00C249C9"/>
    <w:rsid w:val="00C25A86"/>
    <w:rsid w:val="00C27BEF"/>
    <w:rsid w:val="00C32A74"/>
    <w:rsid w:val="00C3313F"/>
    <w:rsid w:val="00C33BEA"/>
    <w:rsid w:val="00C3747D"/>
    <w:rsid w:val="00C424F1"/>
    <w:rsid w:val="00C4424F"/>
    <w:rsid w:val="00C445CC"/>
    <w:rsid w:val="00C44DE8"/>
    <w:rsid w:val="00C4599F"/>
    <w:rsid w:val="00C45F82"/>
    <w:rsid w:val="00C475F7"/>
    <w:rsid w:val="00C52317"/>
    <w:rsid w:val="00C52F1D"/>
    <w:rsid w:val="00C53E01"/>
    <w:rsid w:val="00C61DF3"/>
    <w:rsid w:val="00C643B1"/>
    <w:rsid w:val="00C67ED0"/>
    <w:rsid w:val="00C74A0C"/>
    <w:rsid w:val="00C80A84"/>
    <w:rsid w:val="00C81CDA"/>
    <w:rsid w:val="00C83148"/>
    <w:rsid w:val="00C8370F"/>
    <w:rsid w:val="00C846A9"/>
    <w:rsid w:val="00C84F09"/>
    <w:rsid w:val="00C87B56"/>
    <w:rsid w:val="00C91448"/>
    <w:rsid w:val="00C91B15"/>
    <w:rsid w:val="00C92EAD"/>
    <w:rsid w:val="00C97610"/>
    <w:rsid w:val="00CA2522"/>
    <w:rsid w:val="00CA2822"/>
    <w:rsid w:val="00CB128D"/>
    <w:rsid w:val="00CB27E3"/>
    <w:rsid w:val="00CB3AB2"/>
    <w:rsid w:val="00CB6841"/>
    <w:rsid w:val="00CC1B3D"/>
    <w:rsid w:val="00CC3995"/>
    <w:rsid w:val="00CC6C4A"/>
    <w:rsid w:val="00CC6D81"/>
    <w:rsid w:val="00CC7AC8"/>
    <w:rsid w:val="00CD0459"/>
    <w:rsid w:val="00CD1F68"/>
    <w:rsid w:val="00CD3E6A"/>
    <w:rsid w:val="00CD43D0"/>
    <w:rsid w:val="00CD6133"/>
    <w:rsid w:val="00CD7DDF"/>
    <w:rsid w:val="00CE0952"/>
    <w:rsid w:val="00CE1C4A"/>
    <w:rsid w:val="00CE224F"/>
    <w:rsid w:val="00CE52DA"/>
    <w:rsid w:val="00CF1BF6"/>
    <w:rsid w:val="00CF26DC"/>
    <w:rsid w:val="00CF6376"/>
    <w:rsid w:val="00CF6CCE"/>
    <w:rsid w:val="00CF73D1"/>
    <w:rsid w:val="00D00C36"/>
    <w:rsid w:val="00D0145D"/>
    <w:rsid w:val="00D02424"/>
    <w:rsid w:val="00D07A16"/>
    <w:rsid w:val="00D12DE0"/>
    <w:rsid w:val="00D12F07"/>
    <w:rsid w:val="00D14E81"/>
    <w:rsid w:val="00D1647F"/>
    <w:rsid w:val="00D16C96"/>
    <w:rsid w:val="00D20F95"/>
    <w:rsid w:val="00D36081"/>
    <w:rsid w:val="00D3779C"/>
    <w:rsid w:val="00D37DCA"/>
    <w:rsid w:val="00D44309"/>
    <w:rsid w:val="00D512DE"/>
    <w:rsid w:val="00D54373"/>
    <w:rsid w:val="00D55E3E"/>
    <w:rsid w:val="00D62225"/>
    <w:rsid w:val="00D65D20"/>
    <w:rsid w:val="00D65E25"/>
    <w:rsid w:val="00D745DA"/>
    <w:rsid w:val="00D77DA5"/>
    <w:rsid w:val="00D8428F"/>
    <w:rsid w:val="00D84420"/>
    <w:rsid w:val="00D8448C"/>
    <w:rsid w:val="00D85438"/>
    <w:rsid w:val="00D8732D"/>
    <w:rsid w:val="00D927DB"/>
    <w:rsid w:val="00D92DBF"/>
    <w:rsid w:val="00D942D4"/>
    <w:rsid w:val="00DA0D76"/>
    <w:rsid w:val="00DA1274"/>
    <w:rsid w:val="00DA133C"/>
    <w:rsid w:val="00DA2B1D"/>
    <w:rsid w:val="00DA30A3"/>
    <w:rsid w:val="00DB0DEB"/>
    <w:rsid w:val="00DB77B9"/>
    <w:rsid w:val="00DB7BC7"/>
    <w:rsid w:val="00DB7EE7"/>
    <w:rsid w:val="00DC0474"/>
    <w:rsid w:val="00DC3E82"/>
    <w:rsid w:val="00DC529B"/>
    <w:rsid w:val="00DD2336"/>
    <w:rsid w:val="00DD563C"/>
    <w:rsid w:val="00DE06EE"/>
    <w:rsid w:val="00DE121C"/>
    <w:rsid w:val="00DE651F"/>
    <w:rsid w:val="00DF0141"/>
    <w:rsid w:val="00DF0807"/>
    <w:rsid w:val="00DF513B"/>
    <w:rsid w:val="00DF65FA"/>
    <w:rsid w:val="00DF71E8"/>
    <w:rsid w:val="00E01AD4"/>
    <w:rsid w:val="00E0352C"/>
    <w:rsid w:val="00E07BB2"/>
    <w:rsid w:val="00E11E1A"/>
    <w:rsid w:val="00E12C95"/>
    <w:rsid w:val="00E14566"/>
    <w:rsid w:val="00E14911"/>
    <w:rsid w:val="00E22660"/>
    <w:rsid w:val="00E232E0"/>
    <w:rsid w:val="00E23A5B"/>
    <w:rsid w:val="00E242E7"/>
    <w:rsid w:val="00E2558B"/>
    <w:rsid w:val="00E3030C"/>
    <w:rsid w:val="00E32EAF"/>
    <w:rsid w:val="00E34BF8"/>
    <w:rsid w:val="00E36C8B"/>
    <w:rsid w:val="00E44F7F"/>
    <w:rsid w:val="00E45F49"/>
    <w:rsid w:val="00E50CC8"/>
    <w:rsid w:val="00E51FE8"/>
    <w:rsid w:val="00E5244F"/>
    <w:rsid w:val="00E54C35"/>
    <w:rsid w:val="00E55E57"/>
    <w:rsid w:val="00E56249"/>
    <w:rsid w:val="00E64D2C"/>
    <w:rsid w:val="00E65A45"/>
    <w:rsid w:val="00E67ACE"/>
    <w:rsid w:val="00E67BA7"/>
    <w:rsid w:val="00E70868"/>
    <w:rsid w:val="00E74FB5"/>
    <w:rsid w:val="00E757FD"/>
    <w:rsid w:val="00E7623B"/>
    <w:rsid w:val="00E84140"/>
    <w:rsid w:val="00E858D0"/>
    <w:rsid w:val="00E86F5E"/>
    <w:rsid w:val="00E91496"/>
    <w:rsid w:val="00E91619"/>
    <w:rsid w:val="00E9343B"/>
    <w:rsid w:val="00E93D69"/>
    <w:rsid w:val="00E94FA8"/>
    <w:rsid w:val="00E94FD4"/>
    <w:rsid w:val="00EB4FD7"/>
    <w:rsid w:val="00EB555A"/>
    <w:rsid w:val="00EB5562"/>
    <w:rsid w:val="00EC564B"/>
    <w:rsid w:val="00EC6F58"/>
    <w:rsid w:val="00ED4634"/>
    <w:rsid w:val="00ED7CB3"/>
    <w:rsid w:val="00EE1123"/>
    <w:rsid w:val="00EE1706"/>
    <w:rsid w:val="00EE3A4F"/>
    <w:rsid w:val="00EE3BE9"/>
    <w:rsid w:val="00EE48BC"/>
    <w:rsid w:val="00EF0036"/>
    <w:rsid w:val="00EF0C91"/>
    <w:rsid w:val="00EF2660"/>
    <w:rsid w:val="00EF26A2"/>
    <w:rsid w:val="00F0292D"/>
    <w:rsid w:val="00F06892"/>
    <w:rsid w:val="00F1668A"/>
    <w:rsid w:val="00F269DE"/>
    <w:rsid w:val="00F26A4B"/>
    <w:rsid w:val="00F27B82"/>
    <w:rsid w:val="00F31636"/>
    <w:rsid w:val="00F31E1E"/>
    <w:rsid w:val="00F376E3"/>
    <w:rsid w:val="00F37ED4"/>
    <w:rsid w:val="00F40A46"/>
    <w:rsid w:val="00F41D12"/>
    <w:rsid w:val="00F45235"/>
    <w:rsid w:val="00F50B3C"/>
    <w:rsid w:val="00F5347C"/>
    <w:rsid w:val="00F546D7"/>
    <w:rsid w:val="00F5592A"/>
    <w:rsid w:val="00F57E9D"/>
    <w:rsid w:val="00F66E1A"/>
    <w:rsid w:val="00F6750B"/>
    <w:rsid w:val="00F71EBB"/>
    <w:rsid w:val="00F728DA"/>
    <w:rsid w:val="00F74C80"/>
    <w:rsid w:val="00F80847"/>
    <w:rsid w:val="00F848DF"/>
    <w:rsid w:val="00F8554D"/>
    <w:rsid w:val="00F8576A"/>
    <w:rsid w:val="00F903F2"/>
    <w:rsid w:val="00F91C69"/>
    <w:rsid w:val="00F91D34"/>
    <w:rsid w:val="00F94B7F"/>
    <w:rsid w:val="00F9644C"/>
    <w:rsid w:val="00FA5CFE"/>
    <w:rsid w:val="00FB4E60"/>
    <w:rsid w:val="00FC4ACC"/>
    <w:rsid w:val="00FC5D7E"/>
    <w:rsid w:val="00FD0892"/>
    <w:rsid w:val="00FD5533"/>
    <w:rsid w:val="00FD6782"/>
    <w:rsid w:val="00FE5A84"/>
    <w:rsid w:val="00FF14B2"/>
    <w:rsid w:val="00FF3986"/>
    <w:rsid w:val="00FF5256"/>
    <w:rsid w:val="00FF56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7503F67-A3E7-4564-9318-47B4080D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paragraph" w:customStyle="1" w:styleId="Default">
    <w:name w:val="Default"/>
    <w:rsid w:val="008A3ACC"/>
    <w:pPr>
      <w:autoSpaceDE w:val="0"/>
      <w:autoSpaceDN w:val="0"/>
      <w:adjustRightInd w:val="0"/>
      <w:ind w:firstLine="0"/>
      <w:jc w:val="left"/>
    </w:pPr>
    <w:rPr>
      <w:color w:val="000000"/>
      <w:sz w:val="24"/>
      <w:szCs w:val="24"/>
      <w:lang w:val="en-US"/>
    </w:rPr>
  </w:style>
  <w:style w:type="table" w:customStyle="1" w:styleId="TableNormal1">
    <w:name w:val="Table Normal1"/>
    <w:uiPriority w:val="2"/>
    <w:semiHidden/>
    <w:unhideWhenUsed/>
    <w:qFormat/>
    <w:rsid w:val="00BE10D3"/>
    <w:pPr>
      <w:widowControl w:val="0"/>
      <w:autoSpaceDE w:val="0"/>
      <w:autoSpaceDN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10D3"/>
    <w:pPr>
      <w:widowControl w:val="0"/>
      <w:autoSpaceDE w:val="0"/>
      <w:autoSpaceDN w:val="0"/>
      <w:spacing w:before="53"/>
      <w:ind w:left="100" w:firstLine="0"/>
      <w:jc w:val="left"/>
    </w:pPr>
    <w:rPr>
      <w:rFonts w:ascii="Calibri Light" w:eastAsia="Calibri Light" w:hAnsi="Calibri Light" w:cs="Calibri Light"/>
      <w:sz w:val="22"/>
      <w:szCs w:val="22"/>
      <w:lang w:val="ro-RO"/>
    </w:rPr>
  </w:style>
  <w:style w:type="paragraph" w:styleId="Corptext">
    <w:name w:val="Body Text"/>
    <w:basedOn w:val="Normal"/>
    <w:link w:val="CorptextCaracter"/>
    <w:uiPriority w:val="1"/>
    <w:qFormat/>
    <w:rsid w:val="00BE10D3"/>
    <w:pPr>
      <w:widowControl w:val="0"/>
      <w:autoSpaceDE w:val="0"/>
      <w:autoSpaceDN w:val="0"/>
      <w:ind w:firstLine="0"/>
      <w:jc w:val="left"/>
    </w:pPr>
    <w:rPr>
      <w:rFonts w:ascii="Calibri Light" w:eastAsia="Calibri Light" w:hAnsi="Calibri Light" w:cs="Calibri Light"/>
      <w:sz w:val="24"/>
      <w:szCs w:val="24"/>
      <w:lang w:val="ro-RO"/>
    </w:rPr>
  </w:style>
  <w:style w:type="character" w:customStyle="1" w:styleId="CorptextCaracter">
    <w:name w:val="Corp text Caracter"/>
    <w:basedOn w:val="Fontdeparagrafimplicit"/>
    <w:link w:val="Corptext"/>
    <w:uiPriority w:val="1"/>
    <w:rsid w:val="00BE10D3"/>
    <w:rPr>
      <w:rFonts w:ascii="Calibri Light" w:eastAsia="Calibri Light" w:hAnsi="Calibri Light" w:cs="Calibri Light"/>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080">
      <w:bodyDiv w:val="1"/>
      <w:marLeft w:val="0"/>
      <w:marRight w:val="0"/>
      <w:marTop w:val="0"/>
      <w:marBottom w:val="0"/>
      <w:divBdr>
        <w:top w:val="none" w:sz="0" w:space="0" w:color="auto"/>
        <w:left w:val="none" w:sz="0" w:space="0" w:color="auto"/>
        <w:bottom w:val="none" w:sz="0" w:space="0" w:color="auto"/>
        <w:right w:val="none" w:sz="0" w:space="0" w:color="auto"/>
      </w:divBdr>
    </w:div>
    <w:div w:id="3173487">
      <w:bodyDiv w:val="1"/>
      <w:marLeft w:val="0"/>
      <w:marRight w:val="0"/>
      <w:marTop w:val="0"/>
      <w:marBottom w:val="0"/>
      <w:divBdr>
        <w:top w:val="none" w:sz="0" w:space="0" w:color="auto"/>
        <w:left w:val="none" w:sz="0" w:space="0" w:color="auto"/>
        <w:bottom w:val="none" w:sz="0" w:space="0" w:color="auto"/>
        <w:right w:val="none" w:sz="0" w:space="0" w:color="auto"/>
      </w:divBdr>
    </w:div>
    <w:div w:id="179703858">
      <w:bodyDiv w:val="1"/>
      <w:marLeft w:val="0"/>
      <w:marRight w:val="0"/>
      <w:marTop w:val="0"/>
      <w:marBottom w:val="0"/>
      <w:divBdr>
        <w:top w:val="none" w:sz="0" w:space="0" w:color="auto"/>
        <w:left w:val="none" w:sz="0" w:space="0" w:color="auto"/>
        <w:bottom w:val="none" w:sz="0" w:space="0" w:color="auto"/>
        <w:right w:val="none" w:sz="0" w:space="0" w:color="auto"/>
      </w:divBdr>
    </w:div>
    <w:div w:id="292296782">
      <w:bodyDiv w:val="1"/>
      <w:marLeft w:val="0"/>
      <w:marRight w:val="0"/>
      <w:marTop w:val="0"/>
      <w:marBottom w:val="0"/>
      <w:divBdr>
        <w:top w:val="none" w:sz="0" w:space="0" w:color="auto"/>
        <w:left w:val="none" w:sz="0" w:space="0" w:color="auto"/>
        <w:bottom w:val="none" w:sz="0" w:space="0" w:color="auto"/>
        <w:right w:val="none" w:sz="0" w:space="0" w:color="auto"/>
      </w:divBdr>
    </w:div>
    <w:div w:id="490489013">
      <w:bodyDiv w:val="1"/>
      <w:marLeft w:val="0"/>
      <w:marRight w:val="0"/>
      <w:marTop w:val="0"/>
      <w:marBottom w:val="0"/>
      <w:divBdr>
        <w:top w:val="none" w:sz="0" w:space="0" w:color="auto"/>
        <w:left w:val="none" w:sz="0" w:space="0" w:color="auto"/>
        <w:bottom w:val="none" w:sz="0" w:space="0" w:color="auto"/>
        <w:right w:val="none" w:sz="0" w:space="0" w:color="auto"/>
      </w:divBdr>
    </w:div>
    <w:div w:id="697509827">
      <w:bodyDiv w:val="1"/>
      <w:marLeft w:val="0"/>
      <w:marRight w:val="0"/>
      <w:marTop w:val="0"/>
      <w:marBottom w:val="0"/>
      <w:divBdr>
        <w:top w:val="none" w:sz="0" w:space="0" w:color="auto"/>
        <w:left w:val="none" w:sz="0" w:space="0" w:color="auto"/>
        <w:bottom w:val="none" w:sz="0" w:space="0" w:color="auto"/>
        <w:right w:val="none" w:sz="0" w:space="0" w:color="auto"/>
      </w:divBdr>
    </w:div>
    <w:div w:id="711732522">
      <w:bodyDiv w:val="1"/>
      <w:marLeft w:val="0"/>
      <w:marRight w:val="0"/>
      <w:marTop w:val="0"/>
      <w:marBottom w:val="0"/>
      <w:divBdr>
        <w:top w:val="none" w:sz="0" w:space="0" w:color="auto"/>
        <w:left w:val="none" w:sz="0" w:space="0" w:color="auto"/>
        <w:bottom w:val="none" w:sz="0" w:space="0" w:color="auto"/>
        <w:right w:val="none" w:sz="0" w:space="0" w:color="auto"/>
      </w:divBdr>
    </w:div>
    <w:div w:id="779422965">
      <w:bodyDiv w:val="1"/>
      <w:marLeft w:val="0"/>
      <w:marRight w:val="0"/>
      <w:marTop w:val="0"/>
      <w:marBottom w:val="0"/>
      <w:divBdr>
        <w:top w:val="none" w:sz="0" w:space="0" w:color="auto"/>
        <w:left w:val="none" w:sz="0" w:space="0" w:color="auto"/>
        <w:bottom w:val="none" w:sz="0" w:space="0" w:color="auto"/>
        <w:right w:val="none" w:sz="0" w:space="0" w:color="auto"/>
      </w:divBdr>
    </w:div>
    <w:div w:id="918757972">
      <w:bodyDiv w:val="1"/>
      <w:marLeft w:val="0"/>
      <w:marRight w:val="0"/>
      <w:marTop w:val="0"/>
      <w:marBottom w:val="0"/>
      <w:divBdr>
        <w:top w:val="none" w:sz="0" w:space="0" w:color="auto"/>
        <w:left w:val="none" w:sz="0" w:space="0" w:color="auto"/>
        <w:bottom w:val="none" w:sz="0" w:space="0" w:color="auto"/>
        <w:right w:val="none" w:sz="0" w:space="0" w:color="auto"/>
      </w:divBdr>
    </w:div>
    <w:div w:id="987369325">
      <w:bodyDiv w:val="1"/>
      <w:marLeft w:val="0"/>
      <w:marRight w:val="0"/>
      <w:marTop w:val="0"/>
      <w:marBottom w:val="0"/>
      <w:divBdr>
        <w:top w:val="none" w:sz="0" w:space="0" w:color="auto"/>
        <w:left w:val="none" w:sz="0" w:space="0" w:color="auto"/>
        <w:bottom w:val="none" w:sz="0" w:space="0" w:color="auto"/>
        <w:right w:val="none" w:sz="0" w:space="0" w:color="auto"/>
      </w:divBdr>
    </w:div>
    <w:div w:id="1142580029">
      <w:bodyDiv w:val="1"/>
      <w:marLeft w:val="0"/>
      <w:marRight w:val="0"/>
      <w:marTop w:val="0"/>
      <w:marBottom w:val="0"/>
      <w:divBdr>
        <w:top w:val="none" w:sz="0" w:space="0" w:color="auto"/>
        <w:left w:val="none" w:sz="0" w:space="0" w:color="auto"/>
        <w:bottom w:val="none" w:sz="0" w:space="0" w:color="auto"/>
        <w:right w:val="none" w:sz="0" w:space="0" w:color="auto"/>
      </w:divBdr>
    </w:div>
    <w:div w:id="1189762257">
      <w:bodyDiv w:val="1"/>
      <w:marLeft w:val="0"/>
      <w:marRight w:val="0"/>
      <w:marTop w:val="0"/>
      <w:marBottom w:val="0"/>
      <w:divBdr>
        <w:top w:val="none" w:sz="0" w:space="0" w:color="auto"/>
        <w:left w:val="none" w:sz="0" w:space="0" w:color="auto"/>
        <w:bottom w:val="none" w:sz="0" w:space="0" w:color="auto"/>
        <w:right w:val="none" w:sz="0" w:space="0" w:color="auto"/>
      </w:divBdr>
    </w:div>
    <w:div w:id="1195145609">
      <w:bodyDiv w:val="1"/>
      <w:marLeft w:val="0"/>
      <w:marRight w:val="0"/>
      <w:marTop w:val="0"/>
      <w:marBottom w:val="0"/>
      <w:divBdr>
        <w:top w:val="none" w:sz="0" w:space="0" w:color="auto"/>
        <w:left w:val="none" w:sz="0" w:space="0" w:color="auto"/>
        <w:bottom w:val="none" w:sz="0" w:space="0" w:color="auto"/>
        <w:right w:val="none" w:sz="0" w:space="0" w:color="auto"/>
      </w:divBdr>
    </w:div>
    <w:div w:id="1245412631">
      <w:bodyDiv w:val="1"/>
      <w:marLeft w:val="0"/>
      <w:marRight w:val="0"/>
      <w:marTop w:val="0"/>
      <w:marBottom w:val="0"/>
      <w:divBdr>
        <w:top w:val="none" w:sz="0" w:space="0" w:color="auto"/>
        <w:left w:val="none" w:sz="0" w:space="0" w:color="auto"/>
        <w:bottom w:val="none" w:sz="0" w:space="0" w:color="auto"/>
        <w:right w:val="none" w:sz="0" w:space="0" w:color="auto"/>
      </w:divBdr>
    </w:div>
    <w:div w:id="140621963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131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671668EB-2BB7-4F78-BF7D-32C8484B461A}">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17</Pages>
  <Words>4807</Words>
  <Characters>29074</Characters>
  <Application>Microsoft Office Word</Application>
  <DocSecurity>0</DocSecurity>
  <Lines>1068</Lines>
  <Paragraphs>213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Mariana GÎNCU</cp:lastModifiedBy>
  <cp:revision>5</cp:revision>
  <cp:lastPrinted>2025-11-25T15:09:00Z</cp:lastPrinted>
  <dcterms:created xsi:type="dcterms:W3CDTF">2025-11-24T13:00:00Z</dcterms:created>
  <dcterms:modified xsi:type="dcterms:W3CDTF">2025-11-25T15:46:00Z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ies>
</file>