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2BE8" w14:textId="77777777" w:rsidR="00EB049A" w:rsidRPr="00333D48" w:rsidRDefault="00EB049A" w:rsidP="006E6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2977"/>
        </w:tabs>
        <w:ind w:left="-284" w:right="282"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333D48">
        <w:rPr>
          <w:b/>
          <w:color w:val="000000" w:themeColor="text1"/>
          <w:sz w:val="24"/>
          <w:szCs w:val="24"/>
          <w:lang w:val="ro-MD"/>
        </w:rPr>
        <w:t>NOTA DE FUNDAMENTARE</w:t>
      </w:r>
    </w:p>
    <w:p w14:paraId="37CC8E8C" w14:textId="795540EC" w:rsidR="00DF3CB0" w:rsidRDefault="00EB049A" w:rsidP="006E6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2977"/>
        </w:tabs>
        <w:ind w:left="-284" w:right="566" w:firstLine="0"/>
        <w:jc w:val="center"/>
        <w:rPr>
          <w:b/>
          <w:position w:val="-1"/>
          <w:sz w:val="24"/>
          <w:szCs w:val="24"/>
          <w:lang w:val="ro-MD"/>
        </w:rPr>
      </w:pPr>
      <w:r w:rsidRPr="00333D48">
        <w:rPr>
          <w:b/>
          <w:color w:val="000000" w:themeColor="text1"/>
          <w:sz w:val="24"/>
          <w:szCs w:val="24"/>
          <w:lang w:val="ro-MD"/>
        </w:rPr>
        <w:t xml:space="preserve">la proiectul </w:t>
      </w:r>
      <w:r w:rsidR="00C54EAE" w:rsidRPr="00333D48">
        <w:rPr>
          <w:b/>
          <w:color w:val="000000" w:themeColor="text1"/>
          <w:sz w:val="24"/>
          <w:szCs w:val="24"/>
          <w:lang w:val="ro-MD"/>
        </w:rPr>
        <w:t xml:space="preserve">Hotărârii </w:t>
      </w:r>
      <w:r w:rsidR="00301824" w:rsidRPr="00333D48">
        <w:rPr>
          <w:b/>
          <w:color w:val="000000" w:themeColor="text1"/>
          <w:sz w:val="24"/>
          <w:szCs w:val="24"/>
          <w:lang w:val="ro-MD"/>
        </w:rPr>
        <w:t>Guvernului cu privire la</w:t>
      </w:r>
      <w:r w:rsidR="00AE3815" w:rsidRPr="00333D48">
        <w:rPr>
          <w:b/>
          <w:color w:val="000000" w:themeColor="text1"/>
          <w:sz w:val="24"/>
          <w:szCs w:val="24"/>
          <w:lang w:val="ro-MD"/>
        </w:rPr>
        <w:t xml:space="preserve"> modificarea </w:t>
      </w:r>
      <w:r w:rsidR="00193A69">
        <w:rPr>
          <w:b/>
          <w:position w:val="-1"/>
          <w:sz w:val="24"/>
          <w:szCs w:val="24"/>
          <w:lang w:val="ro-MD"/>
        </w:rPr>
        <w:t>unor H</w:t>
      </w:r>
      <w:r w:rsidR="00F90A73">
        <w:rPr>
          <w:b/>
          <w:position w:val="-1"/>
          <w:sz w:val="24"/>
          <w:szCs w:val="24"/>
          <w:lang w:val="ro-MD"/>
        </w:rPr>
        <w:t>otărâri ale Guvernului</w:t>
      </w:r>
      <w:r w:rsidR="00DF3CB0">
        <w:rPr>
          <w:b/>
          <w:position w:val="-1"/>
          <w:sz w:val="24"/>
          <w:szCs w:val="24"/>
          <w:lang w:val="ro-MD"/>
        </w:rPr>
        <w:t xml:space="preserve"> </w:t>
      </w:r>
    </w:p>
    <w:p w14:paraId="54E8239C" w14:textId="3D8558B7" w:rsidR="00EB049A" w:rsidRPr="00A2181F" w:rsidRDefault="00DF3CB0" w:rsidP="006E6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2977"/>
        </w:tabs>
        <w:ind w:left="-284" w:right="566" w:firstLine="0"/>
        <w:jc w:val="center"/>
        <w:rPr>
          <w:b/>
          <w:position w:val="-1"/>
          <w:sz w:val="24"/>
          <w:szCs w:val="24"/>
          <w:lang w:val="ro-MD"/>
        </w:rPr>
      </w:pPr>
      <w:r w:rsidRPr="00A2181F">
        <w:rPr>
          <w:b/>
          <w:color w:val="000000" w:themeColor="text1"/>
          <w:sz w:val="24"/>
          <w:szCs w:val="24"/>
          <w:lang w:val="ro-MD"/>
        </w:rPr>
        <w:t>(indemnizație viageră)</w:t>
      </w:r>
    </w:p>
    <w:tbl>
      <w:tblPr>
        <w:tblStyle w:val="a5"/>
        <w:tblW w:w="10774" w:type="dxa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EB049A" w:rsidRPr="0044447B" w14:paraId="03A9419E" w14:textId="77777777" w:rsidTr="00A7443A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0344" w14:textId="77777777" w:rsidR="00EB049A" w:rsidRPr="00AE1A49" w:rsidRDefault="00EB049A" w:rsidP="002112C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1. Denumirea sau numele autorului și, după caz, a/al participanților la elaborarea proiectului actului normativ.</w:t>
            </w:r>
          </w:p>
        </w:tc>
      </w:tr>
      <w:tr w:rsidR="00EB049A" w:rsidRPr="0044447B" w14:paraId="2ED18B37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EBD2" w14:textId="362D620A" w:rsidR="00EB049A" w:rsidRPr="00AE1A49" w:rsidRDefault="00EB049A" w:rsidP="00DF3CB0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Proiectul Hotărârii Guvernului a fost elaborat de către Ministerul Educației și Cercetării.</w:t>
            </w:r>
          </w:p>
        </w:tc>
      </w:tr>
      <w:tr w:rsidR="00EB049A" w:rsidRPr="0044447B" w14:paraId="3DAFB01C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921A" w14:textId="77777777" w:rsidR="00EB049A" w:rsidRPr="00AE1A49" w:rsidRDefault="00EB049A" w:rsidP="002112C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2. Condițiile ce au impus elaborarea proiectului actului normativ.</w:t>
            </w:r>
          </w:p>
        </w:tc>
      </w:tr>
      <w:tr w:rsidR="00EB049A" w:rsidRPr="0044447B" w14:paraId="6A8080ED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2A6" w14:textId="77777777" w:rsidR="00EB049A" w:rsidRPr="00AE1A49" w:rsidRDefault="00EB049A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2.1. Temeiul legal sau, după caz, sursa proiectului actului normativ.</w:t>
            </w:r>
          </w:p>
        </w:tc>
      </w:tr>
      <w:tr w:rsidR="0041638F" w:rsidRPr="00D76F2C" w14:paraId="7966413A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D33E" w14:textId="1D70B024" w:rsidR="00080C73" w:rsidRPr="00AE1A49" w:rsidRDefault="0041638F" w:rsidP="00097748">
            <w:pPr>
              <w:ind w:firstLine="0"/>
              <w:rPr>
                <w:sz w:val="24"/>
                <w:szCs w:val="24"/>
                <w:lang w:val="ro-RO"/>
              </w:rPr>
            </w:pPr>
            <w:r w:rsidRPr="00AE1A49">
              <w:rPr>
                <w:sz w:val="24"/>
                <w:szCs w:val="24"/>
                <w:lang w:val="ro-RO"/>
              </w:rPr>
              <w:t xml:space="preserve">Parlamentul Republicii </w:t>
            </w:r>
            <w:r w:rsidR="00441F7D" w:rsidRPr="00AE1A49">
              <w:rPr>
                <w:sz w:val="24"/>
                <w:szCs w:val="24"/>
                <w:lang w:val="ro-RO"/>
              </w:rPr>
              <w:t>Moldova a aprobat Legea nr.110</w:t>
            </w:r>
            <w:r w:rsidRPr="00AE1A49">
              <w:rPr>
                <w:sz w:val="24"/>
                <w:szCs w:val="24"/>
                <w:lang w:val="ro-RO"/>
              </w:rPr>
              <w:t>/2025 cu privire la educația fizică și sport</w:t>
            </w:r>
            <w:r w:rsidR="00D03D8E" w:rsidRPr="00AE1A49">
              <w:rPr>
                <w:sz w:val="24"/>
                <w:szCs w:val="24"/>
                <w:lang w:val="ro-RO"/>
              </w:rPr>
              <w:t>, fiind abrogată Legea nr.330/1999 cu priv</w:t>
            </w:r>
            <w:r w:rsidR="00FF1C2F" w:rsidRPr="00AE1A49">
              <w:rPr>
                <w:sz w:val="24"/>
                <w:szCs w:val="24"/>
                <w:lang w:val="ro-RO"/>
              </w:rPr>
              <w:t>ire la cultura fizică și sport</w:t>
            </w:r>
            <w:r w:rsidR="008C2D34">
              <w:rPr>
                <w:sz w:val="24"/>
                <w:szCs w:val="24"/>
                <w:lang w:val="ro-RO"/>
              </w:rPr>
              <w:t>,</w:t>
            </w:r>
            <w:r w:rsidR="0058723F">
              <w:rPr>
                <w:sz w:val="24"/>
                <w:szCs w:val="24"/>
                <w:lang w:val="ro-RO"/>
              </w:rPr>
              <w:t xml:space="preserve"> cu modificările</w:t>
            </w:r>
            <w:r w:rsidR="008C2D34">
              <w:rPr>
                <w:sz w:val="24"/>
                <w:szCs w:val="24"/>
                <w:lang w:val="ro-RO"/>
              </w:rPr>
              <w:t xml:space="preserve"> ulterioare</w:t>
            </w:r>
            <w:r w:rsidR="00FF1C2F" w:rsidRPr="00AE1A49">
              <w:rPr>
                <w:sz w:val="24"/>
                <w:szCs w:val="24"/>
                <w:lang w:val="ro-RO"/>
              </w:rPr>
              <w:t>.</w:t>
            </w:r>
          </w:p>
          <w:p w14:paraId="3939CC7A" w14:textId="02B96552" w:rsidR="0058723F" w:rsidRPr="00AE1A49" w:rsidRDefault="00D03D8E" w:rsidP="00097748">
            <w:pPr>
              <w:ind w:firstLine="0"/>
              <w:rPr>
                <w:sz w:val="24"/>
                <w:szCs w:val="24"/>
                <w:lang w:val="ro-RO"/>
              </w:rPr>
            </w:pPr>
            <w:r w:rsidRPr="00AE1A49">
              <w:rPr>
                <w:sz w:val="24"/>
                <w:szCs w:val="24"/>
                <w:lang w:val="ro-RO"/>
              </w:rPr>
              <w:t xml:space="preserve">În </w:t>
            </w:r>
            <w:r w:rsidR="00D7683F">
              <w:rPr>
                <w:sz w:val="24"/>
                <w:szCs w:val="24"/>
                <w:lang w:val="ro-RO"/>
              </w:rPr>
              <w:t>art.49 și art.</w:t>
            </w:r>
            <w:r w:rsidR="0097663A">
              <w:rPr>
                <w:sz w:val="24"/>
                <w:szCs w:val="24"/>
                <w:lang w:val="ro-RO"/>
              </w:rPr>
              <w:t xml:space="preserve">50 din </w:t>
            </w:r>
            <w:r w:rsidRPr="00AE1A49">
              <w:rPr>
                <w:sz w:val="24"/>
                <w:szCs w:val="24"/>
                <w:lang w:val="ro-RO"/>
              </w:rPr>
              <w:t xml:space="preserve">Legea </w:t>
            </w:r>
            <w:r w:rsidR="00441F7D" w:rsidRPr="00AE1A49">
              <w:rPr>
                <w:sz w:val="24"/>
                <w:szCs w:val="24"/>
                <w:lang w:val="ro-RO"/>
              </w:rPr>
              <w:t>nr.110</w:t>
            </w:r>
            <w:r w:rsidRPr="00AE1A49">
              <w:rPr>
                <w:sz w:val="24"/>
                <w:szCs w:val="24"/>
                <w:lang w:val="ro-RO"/>
              </w:rPr>
              <w:t>/2025</w:t>
            </w:r>
            <w:r w:rsidR="0041638F" w:rsidRPr="00AE1A49">
              <w:rPr>
                <w:sz w:val="24"/>
                <w:szCs w:val="24"/>
                <w:lang w:val="ro-RO"/>
              </w:rPr>
              <w:t xml:space="preserve"> este reglementat dreptul sportivilor de performanță</w:t>
            </w:r>
            <w:r w:rsidR="0097663A">
              <w:rPr>
                <w:sz w:val="24"/>
                <w:szCs w:val="24"/>
                <w:lang w:val="ro-RO"/>
              </w:rPr>
              <w:t xml:space="preserve"> și antreno</w:t>
            </w:r>
            <w:r w:rsidR="00D7683F">
              <w:rPr>
                <w:sz w:val="24"/>
                <w:szCs w:val="24"/>
                <w:lang w:val="ro-RO"/>
              </w:rPr>
              <w:t>rilor</w:t>
            </w:r>
            <w:r w:rsidR="0041638F" w:rsidRPr="00AE1A49">
              <w:rPr>
                <w:sz w:val="24"/>
                <w:szCs w:val="24"/>
                <w:lang w:val="ro-RO"/>
              </w:rPr>
              <w:t xml:space="preserve"> la </w:t>
            </w:r>
            <w:r w:rsidR="0097663A">
              <w:rPr>
                <w:sz w:val="24"/>
                <w:szCs w:val="24"/>
                <w:u w:val="single"/>
                <w:lang w:val="ro-RO"/>
              </w:rPr>
              <w:t>indemnizații viagere</w:t>
            </w:r>
            <w:r w:rsidR="005A6091" w:rsidRPr="00AE1A49">
              <w:rPr>
                <w:sz w:val="24"/>
                <w:szCs w:val="24"/>
                <w:lang w:val="ro-RO"/>
              </w:rPr>
              <w:t xml:space="preserve">, </w:t>
            </w:r>
            <w:r w:rsidR="0097663A">
              <w:rPr>
                <w:sz w:val="24"/>
                <w:szCs w:val="24"/>
                <w:lang w:val="ro-RO"/>
              </w:rPr>
              <w:t>fiind stabilite condițiile de acordare și</w:t>
            </w:r>
            <w:r w:rsidR="005A6091" w:rsidRPr="00AE1A49">
              <w:rPr>
                <w:sz w:val="24"/>
                <w:szCs w:val="24"/>
                <w:lang w:val="ro-RO"/>
              </w:rPr>
              <w:t xml:space="preserve"> c</w:t>
            </w:r>
            <w:r w:rsidR="0041638F" w:rsidRPr="00AE1A49">
              <w:rPr>
                <w:sz w:val="24"/>
                <w:szCs w:val="24"/>
                <w:lang w:val="ro-RO"/>
              </w:rPr>
              <w:t>u</w:t>
            </w:r>
            <w:r w:rsidR="005A6091" w:rsidRPr="00AE1A49">
              <w:rPr>
                <w:sz w:val="24"/>
                <w:szCs w:val="24"/>
                <w:lang w:val="ro-RO"/>
              </w:rPr>
              <w:t>a</w:t>
            </w:r>
            <w:r w:rsidR="0097663A">
              <w:rPr>
                <w:sz w:val="24"/>
                <w:szCs w:val="24"/>
                <w:lang w:val="ro-RO"/>
              </w:rPr>
              <w:t>ntumul acestora</w:t>
            </w:r>
            <w:r w:rsidRPr="00AE1A49">
              <w:rPr>
                <w:sz w:val="24"/>
                <w:szCs w:val="24"/>
                <w:lang w:val="ro-RO"/>
              </w:rPr>
              <w:t xml:space="preserve"> (cum a</w:t>
            </w:r>
            <w:r w:rsidR="008C2D34">
              <w:rPr>
                <w:sz w:val="24"/>
                <w:szCs w:val="24"/>
                <w:lang w:val="ro-RO"/>
              </w:rPr>
              <w:t>u</w:t>
            </w:r>
            <w:r w:rsidRPr="00AE1A49">
              <w:rPr>
                <w:sz w:val="24"/>
                <w:szCs w:val="24"/>
                <w:lang w:val="ro-RO"/>
              </w:rPr>
              <w:t xml:space="preserve"> fost prevăzut</w:t>
            </w:r>
            <w:r w:rsidR="008C2D34">
              <w:rPr>
                <w:sz w:val="24"/>
                <w:szCs w:val="24"/>
                <w:lang w:val="ro-RO"/>
              </w:rPr>
              <w:t>e anterior</w:t>
            </w:r>
            <w:r w:rsidRPr="00AE1A49">
              <w:rPr>
                <w:sz w:val="24"/>
                <w:szCs w:val="24"/>
                <w:lang w:val="ro-RO"/>
              </w:rPr>
              <w:t xml:space="preserve"> în </w:t>
            </w:r>
            <w:r w:rsidR="0097663A">
              <w:rPr>
                <w:sz w:val="24"/>
                <w:szCs w:val="24"/>
                <w:lang w:val="ro-RO"/>
              </w:rPr>
              <w:t xml:space="preserve">art. 34 - </w:t>
            </w:r>
            <w:r w:rsidRPr="00AE1A49">
              <w:rPr>
                <w:sz w:val="24"/>
                <w:szCs w:val="24"/>
                <w:lang w:val="ro-RO"/>
              </w:rPr>
              <w:t>art.</w:t>
            </w:r>
            <w:r w:rsidR="0044447B">
              <w:rPr>
                <w:sz w:val="24"/>
                <w:szCs w:val="24"/>
                <w:lang w:val="ro-RO"/>
              </w:rPr>
              <w:t xml:space="preserve"> </w:t>
            </w:r>
            <w:r w:rsidR="0097663A">
              <w:rPr>
                <w:sz w:val="24"/>
                <w:szCs w:val="24"/>
                <w:lang w:val="ro-RO"/>
              </w:rPr>
              <w:t>34</w:t>
            </w:r>
            <w:r w:rsidRPr="00AE1A49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AE1A49">
              <w:rPr>
                <w:sz w:val="24"/>
                <w:szCs w:val="24"/>
                <w:lang w:val="ro-RO"/>
              </w:rPr>
              <w:t xml:space="preserve"> din Legea nr.</w:t>
            </w:r>
            <w:r w:rsidR="0097663A">
              <w:rPr>
                <w:sz w:val="24"/>
                <w:szCs w:val="24"/>
                <w:lang w:val="ro-RO"/>
              </w:rPr>
              <w:t xml:space="preserve"> </w:t>
            </w:r>
            <w:r w:rsidRPr="00AE1A49">
              <w:rPr>
                <w:sz w:val="24"/>
                <w:szCs w:val="24"/>
                <w:lang w:val="ro-RO"/>
              </w:rPr>
              <w:t>330/1999)</w:t>
            </w:r>
            <w:r w:rsidR="0041638F" w:rsidRPr="00AE1A49">
              <w:rPr>
                <w:sz w:val="24"/>
                <w:szCs w:val="24"/>
                <w:lang w:val="ro-RO"/>
              </w:rPr>
              <w:t>.</w:t>
            </w:r>
          </w:p>
        </w:tc>
      </w:tr>
      <w:tr w:rsidR="0041638F" w:rsidRPr="0044447B" w14:paraId="79DD95A7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43" w14:textId="77777777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41638F" w:rsidRPr="009342DA" w14:paraId="1108D73E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9339" w14:textId="1FDBE081" w:rsidR="007A62E0" w:rsidRPr="00A952DD" w:rsidRDefault="00100C3F" w:rsidP="000977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position w:val="-1"/>
                <w:sz w:val="24"/>
                <w:szCs w:val="24"/>
                <w:lang w:val="ro-RO"/>
              </w:rPr>
            </w:pPr>
            <w:r w:rsidRPr="00A952DD">
              <w:rPr>
                <w:position w:val="-1"/>
                <w:sz w:val="24"/>
                <w:szCs w:val="24"/>
                <w:lang w:val="ro-RO"/>
              </w:rPr>
              <w:t>Pentru a asigura o concordanță cu Legea nr.</w:t>
            </w:r>
            <w:r w:rsidR="00A952DD" w:rsidRPr="00A952DD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110/2025</w:t>
            </w:r>
            <w:r w:rsidR="00E11955">
              <w:rPr>
                <w:position w:val="-1"/>
                <w:sz w:val="24"/>
                <w:szCs w:val="24"/>
                <w:lang w:val="ro-RO"/>
              </w:rPr>
              <w:t xml:space="preserve"> cu privire la educația fizică și sport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, p</w:t>
            </w:r>
            <w:r w:rsidR="004B79DE" w:rsidRPr="00A952DD">
              <w:rPr>
                <w:position w:val="-1"/>
                <w:sz w:val="24"/>
                <w:szCs w:val="24"/>
                <w:lang w:val="ro-RO"/>
              </w:rPr>
              <w:t>roiectul propune</w:t>
            </w:r>
            <w:r w:rsidR="007A62E0" w:rsidRPr="00A952DD">
              <w:rPr>
                <w:position w:val="-1"/>
                <w:sz w:val="24"/>
                <w:szCs w:val="24"/>
                <w:lang w:val="ro-RO"/>
              </w:rPr>
              <w:t xml:space="preserve"> modificări </w:t>
            </w:r>
            <w:r w:rsidR="002B61BD" w:rsidRPr="00A952DD">
              <w:rPr>
                <w:position w:val="-1"/>
                <w:sz w:val="24"/>
                <w:szCs w:val="24"/>
                <w:lang w:val="ro-RO"/>
              </w:rPr>
              <w:t xml:space="preserve">cu caracter </w:t>
            </w:r>
            <w:proofErr w:type="spellStart"/>
            <w:r w:rsidR="002B61BD" w:rsidRPr="00A952DD">
              <w:rPr>
                <w:position w:val="-1"/>
                <w:sz w:val="24"/>
                <w:szCs w:val="24"/>
                <w:lang w:val="ro-RO"/>
              </w:rPr>
              <w:t>tehnic</w:t>
            </w:r>
            <w:r w:rsidR="008C2D34" w:rsidRPr="00A952DD">
              <w:rPr>
                <w:position w:val="-1"/>
                <w:sz w:val="24"/>
                <w:szCs w:val="24"/>
                <w:lang w:val="ro-RO"/>
              </w:rPr>
              <w:t>o</w:t>
            </w:r>
            <w:proofErr w:type="spellEnd"/>
            <w:r w:rsidR="008C2D34" w:rsidRPr="00A952DD">
              <w:rPr>
                <w:position w:val="-1"/>
                <w:sz w:val="24"/>
                <w:szCs w:val="24"/>
                <w:lang w:val="ro-RO"/>
              </w:rPr>
              <w:t>-juridic</w:t>
            </w:r>
            <w:r w:rsidR="002B61BD" w:rsidRPr="00A952DD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4B79DE" w:rsidRPr="00A952DD">
              <w:rPr>
                <w:position w:val="-1"/>
                <w:sz w:val="24"/>
                <w:szCs w:val="24"/>
                <w:lang w:val="ro-RO"/>
              </w:rPr>
              <w:t>la</w:t>
            </w:r>
            <w:r w:rsidR="00385A68" w:rsidRPr="00A952DD">
              <w:rPr>
                <w:position w:val="-1"/>
                <w:sz w:val="24"/>
                <w:szCs w:val="24"/>
                <w:lang w:val="ro-RO"/>
              </w:rPr>
              <w:t xml:space="preserve"> Ho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tărârea Guvernului nr.</w:t>
            </w:r>
            <w:r w:rsidR="00E11955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9401C1" w:rsidRPr="00A952DD">
              <w:rPr>
                <w:position w:val="-1"/>
                <w:sz w:val="24"/>
                <w:szCs w:val="24"/>
                <w:lang w:val="ro-RO"/>
              </w:rPr>
              <w:t>917/2</w:t>
            </w:r>
            <w:r w:rsidR="00D7683F" w:rsidRPr="00A952DD">
              <w:rPr>
                <w:position w:val="-1"/>
                <w:sz w:val="24"/>
                <w:szCs w:val="24"/>
                <w:lang w:val="ro-RO"/>
              </w:rPr>
              <w:t>014</w:t>
            </w:r>
            <w:r w:rsidR="00F90A73">
              <w:rPr>
                <w:position w:val="-1"/>
                <w:sz w:val="24"/>
                <w:szCs w:val="24"/>
                <w:lang w:val="ro-RO"/>
              </w:rPr>
              <w:t xml:space="preserve"> pentru aprobarea Regulamentului cu privire la modul de calcul și de plată a indemnizației viagere sportivilor de performanță</w:t>
            </w:r>
            <w:r w:rsidR="00E11955">
              <w:rPr>
                <w:position w:val="-1"/>
                <w:sz w:val="24"/>
                <w:szCs w:val="24"/>
                <w:lang w:val="ro-RO"/>
              </w:rPr>
              <w:t>,</w:t>
            </w:r>
            <w:r w:rsidR="00D7683F" w:rsidRPr="00A952DD">
              <w:rPr>
                <w:position w:val="-1"/>
                <w:sz w:val="24"/>
                <w:szCs w:val="24"/>
                <w:lang w:val="ro-RO"/>
              </w:rPr>
              <w:t xml:space="preserve"> Hotărârea Guvernului nr.</w:t>
            </w:r>
            <w:r w:rsidR="00E11955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9401C1" w:rsidRPr="00A952DD">
              <w:rPr>
                <w:position w:val="-1"/>
                <w:sz w:val="24"/>
                <w:szCs w:val="24"/>
                <w:lang w:val="ro-RO"/>
              </w:rPr>
              <w:t>642/2019</w:t>
            </w:r>
            <w:r w:rsidR="00F90A73">
              <w:rPr>
                <w:position w:val="-1"/>
                <w:sz w:val="24"/>
                <w:szCs w:val="24"/>
                <w:lang w:val="ro-RO"/>
              </w:rPr>
              <w:t xml:space="preserve"> pentru aprobarea Regulamentului privind modul de calcul și de plată a indemnizației viagere antrenorilor sportivilor de performanță</w:t>
            </w:r>
            <w:r w:rsidR="009401C1" w:rsidRPr="00A952DD">
              <w:rPr>
                <w:position w:val="-1"/>
                <w:sz w:val="24"/>
                <w:szCs w:val="24"/>
                <w:lang w:val="ro-RO"/>
              </w:rPr>
              <w:t xml:space="preserve"> și abrogarea Hotărârii Guvernului nr.</w:t>
            </w:r>
            <w:r w:rsidR="00A952DD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9401C1" w:rsidRPr="00A952DD">
              <w:rPr>
                <w:position w:val="-1"/>
                <w:sz w:val="24"/>
                <w:szCs w:val="24"/>
                <w:lang w:val="ro-RO"/>
              </w:rPr>
              <w:t>176/2019</w:t>
            </w:r>
            <w:r w:rsidR="00F90A73">
              <w:rPr>
                <w:position w:val="-1"/>
                <w:sz w:val="24"/>
                <w:szCs w:val="24"/>
                <w:lang w:val="ro-RO"/>
              </w:rPr>
              <w:t xml:space="preserve"> cu privire la aprobarea Regulamentului de activitate a federațiilor sportive </w:t>
            </w:r>
            <w:r w:rsidR="00E11955">
              <w:rPr>
                <w:position w:val="-1"/>
                <w:sz w:val="24"/>
                <w:szCs w:val="24"/>
                <w:lang w:val="ro-RO"/>
              </w:rPr>
              <w:t>naționale</w:t>
            </w:r>
            <w:r w:rsidR="00385A68" w:rsidRPr="00A952DD">
              <w:rPr>
                <w:position w:val="-1"/>
                <w:sz w:val="24"/>
                <w:szCs w:val="24"/>
                <w:lang w:val="ro-RO"/>
              </w:rPr>
              <w:t>.</w:t>
            </w:r>
          </w:p>
          <w:p w14:paraId="0E997F29" w14:textId="23B66B6E" w:rsidR="00D76F2C" w:rsidRPr="00A952DD" w:rsidRDefault="009342DA" w:rsidP="000977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A952DD">
              <w:rPr>
                <w:sz w:val="24"/>
                <w:szCs w:val="24"/>
                <w:lang w:val="ro-RO"/>
              </w:rPr>
              <w:t>Conform</w:t>
            </w:r>
            <w:r w:rsidR="003B6252">
              <w:rPr>
                <w:sz w:val="24"/>
                <w:szCs w:val="24"/>
                <w:lang w:val="ro-RO"/>
              </w:rPr>
              <w:t xml:space="preserve"> art.49 și art.50</w:t>
            </w:r>
            <w:r w:rsidR="00D76F2C" w:rsidRPr="00A952DD">
              <w:rPr>
                <w:sz w:val="24"/>
                <w:szCs w:val="24"/>
                <w:lang w:val="ro-RO"/>
              </w:rPr>
              <w:t xml:space="preserve"> din Legea nr.</w:t>
            </w:r>
            <w:r w:rsidR="00A952DD">
              <w:rPr>
                <w:sz w:val="24"/>
                <w:szCs w:val="24"/>
                <w:lang w:val="ro-RO"/>
              </w:rPr>
              <w:t xml:space="preserve"> </w:t>
            </w:r>
            <w:r w:rsidR="00D76F2C" w:rsidRPr="00A952DD">
              <w:rPr>
                <w:sz w:val="24"/>
                <w:szCs w:val="24"/>
                <w:lang w:val="ro-RO"/>
              </w:rPr>
              <w:t>110/2025, sportivii de performanță sancționați pentru dop</w:t>
            </w:r>
            <w:r w:rsidRPr="00A952DD">
              <w:rPr>
                <w:sz w:val="24"/>
                <w:szCs w:val="24"/>
                <w:lang w:val="ro-RO"/>
              </w:rPr>
              <w:t>aj și antrenorii acestora sunt</w:t>
            </w:r>
            <w:r w:rsidR="00D76F2C" w:rsidRPr="00A952DD">
              <w:rPr>
                <w:sz w:val="24"/>
                <w:szCs w:val="24"/>
                <w:lang w:val="ro-RO"/>
              </w:rPr>
              <w:t xml:space="preserve"> lipsiți d</w:t>
            </w:r>
            <w:r w:rsidRPr="00A952DD">
              <w:rPr>
                <w:sz w:val="24"/>
                <w:szCs w:val="24"/>
                <w:lang w:val="ro-RO"/>
              </w:rPr>
              <w:t>e indemnizație viageră inclusiv</w:t>
            </w:r>
            <w:r w:rsidR="00D76F2C" w:rsidRPr="00A952DD">
              <w:rPr>
                <w:sz w:val="24"/>
                <w:szCs w:val="24"/>
                <w:lang w:val="ro-RO"/>
              </w:rPr>
              <w:t xml:space="preserve"> </w:t>
            </w:r>
            <w:r w:rsidR="00D7683F" w:rsidRPr="00A952DD">
              <w:rPr>
                <w:sz w:val="24"/>
                <w:szCs w:val="24"/>
                <w:lang w:val="ro-RO"/>
              </w:rPr>
              <w:t>în perioada</w:t>
            </w:r>
            <w:r w:rsidR="00D76F2C" w:rsidRPr="00A952DD">
              <w:rPr>
                <w:sz w:val="24"/>
                <w:szCs w:val="24"/>
                <w:lang w:val="ro-RO"/>
              </w:rPr>
              <w:t xml:space="preserve"> </w:t>
            </w:r>
            <w:r w:rsidR="00D7683F" w:rsidRPr="00A952DD">
              <w:rPr>
                <w:sz w:val="24"/>
                <w:szCs w:val="24"/>
                <w:lang w:val="ro-RO"/>
              </w:rPr>
              <w:t>beneficie</w:t>
            </w:r>
            <w:r w:rsidR="00D76F2C" w:rsidRPr="00A952DD">
              <w:rPr>
                <w:sz w:val="24"/>
                <w:szCs w:val="24"/>
                <w:lang w:val="ro-RO"/>
              </w:rPr>
              <w:t>r</w:t>
            </w:r>
            <w:r w:rsidR="00D7683F" w:rsidRPr="00A952DD">
              <w:rPr>
                <w:sz w:val="24"/>
                <w:szCs w:val="24"/>
                <w:lang w:val="ro-RO"/>
              </w:rPr>
              <w:t>i</w:t>
            </w:r>
            <w:r w:rsidR="0019294D">
              <w:rPr>
                <w:sz w:val="24"/>
                <w:szCs w:val="24"/>
                <w:lang w:val="ro-RO"/>
              </w:rPr>
              <w:t>i</w:t>
            </w:r>
            <w:r w:rsidR="00D76F2C" w:rsidRPr="00A952DD">
              <w:rPr>
                <w:sz w:val="24"/>
                <w:szCs w:val="24"/>
                <w:lang w:val="ro-RO"/>
              </w:rPr>
              <w:t>.</w:t>
            </w:r>
          </w:p>
          <w:p w14:paraId="788B3637" w14:textId="1EC5DFEB" w:rsidR="00D76F2C" w:rsidRPr="003701DC" w:rsidRDefault="00D76F2C" w:rsidP="000977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position w:val="-1"/>
                <w:sz w:val="24"/>
                <w:szCs w:val="24"/>
                <w:lang w:val="ro-RO"/>
              </w:rPr>
            </w:pPr>
            <w:r w:rsidRPr="00A952DD">
              <w:rPr>
                <w:sz w:val="24"/>
                <w:szCs w:val="24"/>
                <w:lang w:val="ro-RO"/>
              </w:rPr>
              <w:t xml:space="preserve">Astfel, urmează 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Hotărârea Guvernului nr.917/2</w:t>
            </w:r>
            <w:r w:rsidR="00D7683F" w:rsidRPr="00A952DD">
              <w:rPr>
                <w:position w:val="-1"/>
                <w:sz w:val="24"/>
                <w:szCs w:val="24"/>
                <w:lang w:val="ro-RO"/>
              </w:rPr>
              <w:t>014 și Hotărârea Guvernului nr.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642/2019 să fie aduse în concordanță cu modificările respective.</w:t>
            </w:r>
          </w:p>
          <w:p w14:paraId="529DF690" w14:textId="5C7173D0" w:rsidR="009342DA" w:rsidRPr="009342DA" w:rsidRDefault="009342DA" w:rsidP="000977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3701DC">
              <w:rPr>
                <w:position w:val="-1"/>
                <w:sz w:val="24"/>
                <w:szCs w:val="24"/>
                <w:lang w:val="ro-RO"/>
              </w:rPr>
              <w:t>De asemenea, Ministerul E</w:t>
            </w:r>
            <w:r w:rsidR="0019294D" w:rsidRPr="003701DC">
              <w:rPr>
                <w:position w:val="-1"/>
                <w:sz w:val="24"/>
                <w:szCs w:val="24"/>
                <w:lang w:val="ro-RO"/>
              </w:rPr>
              <w:t>ducației și Cercetării a elaborat proiectul</w:t>
            </w:r>
            <w:r w:rsidRPr="003701DC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3701DC" w:rsidRPr="003701DC">
              <w:rPr>
                <w:position w:val="-1"/>
                <w:sz w:val="24"/>
                <w:szCs w:val="24"/>
                <w:lang w:val="ro-RO"/>
              </w:rPr>
              <w:t>Ordinului</w:t>
            </w:r>
            <w:r w:rsidRPr="003701DC">
              <w:rPr>
                <w:position w:val="-1"/>
                <w:sz w:val="24"/>
                <w:szCs w:val="24"/>
                <w:lang w:val="ro-RO"/>
              </w:rPr>
              <w:t xml:space="preserve"> cu privire la aprobarea Regulamentului de activitate a f</w:t>
            </w:r>
            <w:r w:rsidR="0019294D" w:rsidRPr="003701DC">
              <w:rPr>
                <w:position w:val="-1"/>
                <w:sz w:val="24"/>
                <w:szCs w:val="24"/>
                <w:lang w:val="ro-RO"/>
              </w:rPr>
              <w:t>ederațiilor sportive naționale</w:t>
            </w:r>
            <w:r w:rsidR="003701DC" w:rsidRPr="003701DC">
              <w:rPr>
                <w:position w:val="-1"/>
                <w:sz w:val="24"/>
                <w:szCs w:val="24"/>
                <w:lang w:val="ro-RO"/>
              </w:rPr>
              <w:t xml:space="preserve">, care urmează </w:t>
            </w:r>
            <w:r w:rsidR="003701DC">
              <w:rPr>
                <w:position w:val="-1"/>
                <w:sz w:val="24"/>
                <w:szCs w:val="24"/>
                <w:lang w:val="ro-RO"/>
              </w:rPr>
              <w:t>a fi aprobat</w:t>
            </w:r>
            <w:r>
              <w:rPr>
                <w:color w:val="FF0000"/>
                <w:position w:val="-1"/>
                <w:sz w:val="24"/>
                <w:szCs w:val="24"/>
                <w:lang w:val="ro-RO"/>
              </w:rPr>
              <w:t xml:space="preserve">. </w:t>
            </w:r>
            <w:r w:rsidRPr="00A952DD">
              <w:rPr>
                <w:position w:val="-1"/>
                <w:sz w:val="24"/>
                <w:szCs w:val="24"/>
                <w:lang w:val="ro-RO"/>
              </w:rPr>
              <w:t>Astfel, Hotărârea Guvernului nr.176/2019 cu privire la aprobarea Regulamentului de activitate al federațiilor sportive naționale, urmează a fi abrogat.</w:t>
            </w:r>
          </w:p>
        </w:tc>
      </w:tr>
      <w:tr w:rsidR="0041638F" w:rsidRPr="0044447B" w14:paraId="0943DA51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32B4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3. Obiectivele urmărite și soluțiile propuse</w:t>
            </w:r>
          </w:p>
        </w:tc>
      </w:tr>
      <w:tr w:rsidR="0041638F" w:rsidRPr="0044447B" w14:paraId="28032E27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0E60" w14:textId="77777777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3.1. Principalele prevederi ale proiectului și evidențierea elementelor noi.</w:t>
            </w:r>
          </w:p>
        </w:tc>
      </w:tr>
      <w:tr w:rsidR="0041638F" w:rsidRPr="0044447B" w14:paraId="2BF99808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3E62" w14:textId="7A36C898" w:rsidR="008C2D34" w:rsidRDefault="008C2D34" w:rsidP="00334B88">
            <w:pPr>
              <w:pStyle w:val="ab"/>
              <w:spacing w:before="0" w:beforeAutospacing="0" w:after="0" w:afterAutospacing="0"/>
              <w:jc w:val="both"/>
              <w:rPr>
                <w:position w:val="-1"/>
              </w:rPr>
            </w:pPr>
            <w:r w:rsidRPr="008C2D34">
              <w:rPr>
                <w:b/>
                <w:lang w:val="ro-MD"/>
              </w:rPr>
              <w:t>1)</w:t>
            </w:r>
            <w:r>
              <w:rPr>
                <w:lang w:val="ro-MD"/>
              </w:rPr>
              <w:t xml:space="preserve"> </w:t>
            </w:r>
            <w:r w:rsidR="002B61BD" w:rsidRPr="002B61BD">
              <w:rPr>
                <w:lang w:val="ro-MD"/>
              </w:rPr>
              <w:t>Proiectul prevede ajustarea clauzei de emitere</w:t>
            </w:r>
            <w:r w:rsidR="003701DC">
              <w:rPr>
                <w:lang w:val="en-US"/>
              </w:rPr>
              <w:t xml:space="preserve"> a </w:t>
            </w:r>
            <w:r w:rsidR="002B61BD" w:rsidRPr="00AE1A49">
              <w:rPr>
                <w:position w:val="-1"/>
              </w:rPr>
              <w:t>Ho</w:t>
            </w:r>
            <w:r w:rsidR="002B61BD">
              <w:rPr>
                <w:position w:val="-1"/>
              </w:rPr>
              <w:t>tărârii</w:t>
            </w:r>
            <w:r w:rsidR="002B61BD" w:rsidRPr="00AE1A49">
              <w:rPr>
                <w:position w:val="-1"/>
              </w:rPr>
              <w:t xml:space="preserve"> Guvernului nr.</w:t>
            </w:r>
            <w:r w:rsidR="00726CC5">
              <w:rPr>
                <w:position w:val="-1"/>
              </w:rPr>
              <w:t xml:space="preserve">917/2014 </w:t>
            </w:r>
            <w:r w:rsidR="003701DC">
              <w:rPr>
                <w:position w:val="-1"/>
              </w:rPr>
              <w:t>pentru aprobarea Regulamentului cu privire la modul de calcul și de plată a indemnizației viagere sportivilor de performanță,</w:t>
            </w:r>
            <w:r w:rsidR="00726CC5">
              <w:rPr>
                <w:position w:val="-1"/>
              </w:rPr>
              <w:t xml:space="preserve"> Hotărârii</w:t>
            </w:r>
            <w:r w:rsidR="00D7683F">
              <w:rPr>
                <w:position w:val="-1"/>
              </w:rPr>
              <w:t xml:space="preserve"> Guvernului nr</w:t>
            </w:r>
            <w:r w:rsidR="004114F7">
              <w:rPr>
                <w:position w:val="-1"/>
              </w:rPr>
              <w:t>.</w:t>
            </w:r>
            <w:r w:rsidR="002B61BD">
              <w:rPr>
                <w:position w:val="-1"/>
              </w:rPr>
              <w:t>642/2019</w:t>
            </w:r>
            <w:r w:rsidR="003701DC">
              <w:rPr>
                <w:position w:val="-1"/>
              </w:rPr>
              <w:t xml:space="preserve"> pentru aprobarea Regulamentului privind modul de calcul și de plată a indemnizației viagere antrenorilor sportivilor de performanță</w:t>
            </w:r>
            <w:r>
              <w:rPr>
                <w:position w:val="-1"/>
              </w:rPr>
              <w:t>, la prevederile Legii nr.110/2025</w:t>
            </w:r>
            <w:r w:rsidR="003701DC">
              <w:rPr>
                <w:position w:val="-1"/>
              </w:rPr>
              <w:t xml:space="preserve"> cu privire la educația fizică și sport</w:t>
            </w:r>
            <w:r w:rsidR="006530FD">
              <w:rPr>
                <w:position w:val="-1"/>
              </w:rPr>
              <w:t>.</w:t>
            </w:r>
          </w:p>
          <w:p w14:paraId="3504EA6E" w14:textId="77777777" w:rsidR="003B6252" w:rsidRDefault="008C2D34" w:rsidP="00334B88">
            <w:pPr>
              <w:pStyle w:val="ab"/>
              <w:spacing w:before="0" w:beforeAutospacing="0" w:after="0" w:afterAutospacing="0"/>
              <w:jc w:val="both"/>
              <w:rPr>
                <w:position w:val="-1"/>
              </w:rPr>
            </w:pPr>
            <w:r w:rsidRPr="008C2D34">
              <w:rPr>
                <w:b/>
                <w:position w:val="-1"/>
              </w:rPr>
              <w:t>2)</w:t>
            </w:r>
            <w:r>
              <w:rPr>
                <w:position w:val="-1"/>
              </w:rPr>
              <w:t xml:space="preserve"> P</w:t>
            </w:r>
            <w:r w:rsidR="006530FD">
              <w:rPr>
                <w:position w:val="-1"/>
              </w:rPr>
              <w:t>roiectul prevede că Ministerul Educației ș</w:t>
            </w:r>
            <w:r w:rsidR="008B452B">
              <w:rPr>
                <w:position w:val="-1"/>
              </w:rPr>
              <w:t>i Cercetării, la etapa soli</w:t>
            </w:r>
            <w:r w:rsidR="000E2829">
              <w:rPr>
                <w:position w:val="-1"/>
              </w:rPr>
              <w:t>cit</w:t>
            </w:r>
            <w:r w:rsidR="003701DC">
              <w:rPr>
                <w:position w:val="-1"/>
              </w:rPr>
              <w:t>ării indemnizației viagere</w:t>
            </w:r>
            <w:r w:rsidR="003B6252">
              <w:rPr>
                <w:position w:val="-1"/>
              </w:rPr>
              <w:t xml:space="preserve"> refuză</w:t>
            </w:r>
            <w:r w:rsidR="003701DC">
              <w:rPr>
                <w:position w:val="-1"/>
              </w:rPr>
              <w:t xml:space="preserve"> sportivii de performanță </w:t>
            </w:r>
            <w:r w:rsidR="003B6252">
              <w:rPr>
                <w:position w:val="-1"/>
              </w:rPr>
              <w:t xml:space="preserve">și antrenorii </w:t>
            </w:r>
            <w:r w:rsidR="003701DC">
              <w:rPr>
                <w:position w:val="-1"/>
              </w:rPr>
              <w:t xml:space="preserve">de </w:t>
            </w:r>
            <w:r w:rsidR="00071EC3">
              <w:rPr>
                <w:position w:val="-1"/>
              </w:rPr>
              <w:t>dre</w:t>
            </w:r>
            <w:r w:rsidR="000E2829">
              <w:rPr>
                <w:position w:val="-1"/>
              </w:rPr>
              <w:t>ptul la indemnizație viageră</w:t>
            </w:r>
            <w:r w:rsidR="00D7683F">
              <w:rPr>
                <w:position w:val="-1"/>
              </w:rPr>
              <w:t>, iar</w:t>
            </w:r>
            <w:r w:rsidR="00071EC3">
              <w:rPr>
                <w:position w:val="-1"/>
              </w:rPr>
              <w:t xml:space="preserve"> </w:t>
            </w:r>
            <w:r w:rsidR="00FE77C4">
              <w:rPr>
                <w:position w:val="-1"/>
              </w:rPr>
              <w:t xml:space="preserve">în timpul beneficierii </w:t>
            </w:r>
            <w:r w:rsidR="00D7683F">
              <w:rPr>
                <w:position w:val="-1"/>
              </w:rPr>
              <w:t>acesteia</w:t>
            </w:r>
            <w:r w:rsidR="000E2829">
              <w:rPr>
                <w:position w:val="-1"/>
              </w:rPr>
              <w:t xml:space="preserve"> </w:t>
            </w:r>
            <w:r w:rsidR="003B6252">
              <w:rPr>
                <w:position w:val="-1"/>
              </w:rPr>
              <w:t>va anula</w:t>
            </w:r>
            <w:r w:rsidR="008B452B">
              <w:rPr>
                <w:position w:val="-1"/>
              </w:rPr>
              <w:t xml:space="preserve"> definitiv plata acesteia, pentru sportivii de performanță și antrenorii,</w:t>
            </w:r>
            <w:r w:rsidR="00071EC3">
              <w:rPr>
                <w:position w:val="-1"/>
              </w:rPr>
              <w:t xml:space="preserve"> </w:t>
            </w:r>
            <w:r w:rsidR="00726CC5">
              <w:rPr>
                <w:position w:val="-1"/>
              </w:rPr>
              <w:t>care au încălcat legislația antidoping</w:t>
            </w:r>
            <w:r w:rsidR="00D7683F">
              <w:rPr>
                <w:position w:val="-1"/>
              </w:rPr>
              <w:t xml:space="preserve">, </w:t>
            </w:r>
            <w:r w:rsidR="005D77AB">
              <w:rPr>
                <w:position w:val="-1"/>
              </w:rPr>
              <w:t>în activitatea sportivă,</w:t>
            </w:r>
            <w:r w:rsidR="00726CC5">
              <w:rPr>
                <w:position w:val="-1"/>
              </w:rPr>
              <w:t xml:space="preserve"> </w:t>
            </w:r>
            <w:r w:rsidR="00071EC3">
              <w:rPr>
                <w:position w:val="-1"/>
              </w:rPr>
              <w:t>conform p</w:t>
            </w:r>
            <w:r w:rsidR="003B6252">
              <w:rPr>
                <w:position w:val="-1"/>
              </w:rPr>
              <w:t>revederilor art.49</w:t>
            </w:r>
            <w:r w:rsidR="00071EC3">
              <w:rPr>
                <w:position w:val="-1"/>
              </w:rPr>
              <w:t xml:space="preserve"> și art.50 </w:t>
            </w:r>
            <w:r w:rsidR="00FE77C4">
              <w:rPr>
                <w:position w:val="-1"/>
              </w:rPr>
              <w:t>alin.(8), (9) din Legea nr.110/2025</w:t>
            </w:r>
            <w:r w:rsidR="00071EC3">
              <w:rPr>
                <w:position w:val="-1"/>
              </w:rPr>
              <w:t>.</w:t>
            </w:r>
            <w:r w:rsidR="000E2829">
              <w:rPr>
                <w:position w:val="-1"/>
              </w:rPr>
              <w:t xml:space="preserve"> </w:t>
            </w:r>
          </w:p>
          <w:p w14:paraId="0A510B39" w14:textId="18A23F27" w:rsidR="00A02B89" w:rsidRPr="000E2829" w:rsidRDefault="000E2829" w:rsidP="00334B88">
            <w:pPr>
              <w:pStyle w:val="ab"/>
              <w:spacing w:before="0" w:beforeAutospacing="0" w:after="0" w:afterAutospacing="0"/>
              <w:jc w:val="both"/>
              <w:rPr>
                <w:position w:val="-1"/>
              </w:rPr>
            </w:pPr>
            <w:r>
              <w:rPr>
                <w:position w:val="-1"/>
              </w:rPr>
              <w:t xml:space="preserve">Astfel, proiectul propune modificări și completări </w:t>
            </w:r>
            <w:r w:rsidR="003B6C98">
              <w:rPr>
                <w:position w:val="-1"/>
              </w:rPr>
              <w:t>la</w:t>
            </w:r>
            <w:r>
              <w:rPr>
                <w:position w:val="-1"/>
              </w:rPr>
              <w:t xml:space="preserve"> pct.25 și </w:t>
            </w:r>
            <w:r w:rsidR="003B6C98">
              <w:rPr>
                <w:position w:val="-1"/>
              </w:rPr>
              <w:t xml:space="preserve">la </w:t>
            </w:r>
            <w:r>
              <w:rPr>
                <w:position w:val="-1"/>
              </w:rPr>
              <w:t>pct.25</w:t>
            </w:r>
            <w:r>
              <w:rPr>
                <w:position w:val="-1"/>
                <w:vertAlign w:val="superscript"/>
              </w:rPr>
              <w:t>1</w:t>
            </w:r>
            <w:r>
              <w:rPr>
                <w:position w:val="-1"/>
              </w:rPr>
              <w:t xml:space="preserve"> din </w:t>
            </w:r>
            <w:r w:rsidRPr="00AE1A49">
              <w:rPr>
                <w:position w:val="-1"/>
              </w:rPr>
              <w:t>Ho</w:t>
            </w:r>
            <w:r>
              <w:rPr>
                <w:position w:val="-1"/>
              </w:rPr>
              <w:t>tărârea</w:t>
            </w:r>
            <w:r w:rsidRPr="00AE1A49">
              <w:rPr>
                <w:position w:val="-1"/>
              </w:rPr>
              <w:t xml:space="preserve"> Guvernului nr.</w:t>
            </w:r>
            <w:r>
              <w:rPr>
                <w:position w:val="-1"/>
              </w:rPr>
              <w:t xml:space="preserve">917/2014 </w:t>
            </w:r>
            <w:r w:rsidR="003B6C98">
              <w:rPr>
                <w:position w:val="-1"/>
              </w:rPr>
              <w:t xml:space="preserve">precum </w:t>
            </w:r>
            <w:r>
              <w:rPr>
                <w:position w:val="-1"/>
              </w:rPr>
              <w:t xml:space="preserve">și </w:t>
            </w:r>
            <w:r w:rsidR="003B6C98">
              <w:rPr>
                <w:position w:val="-1"/>
              </w:rPr>
              <w:t>la</w:t>
            </w:r>
            <w:r>
              <w:rPr>
                <w:position w:val="-1"/>
              </w:rPr>
              <w:t xml:space="preserve"> pct.6 și </w:t>
            </w:r>
            <w:r w:rsidR="003B6C98">
              <w:rPr>
                <w:position w:val="-1"/>
              </w:rPr>
              <w:t xml:space="preserve">la </w:t>
            </w:r>
            <w:r>
              <w:rPr>
                <w:position w:val="-1"/>
              </w:rPr>
              <w:t>pct.</w:t>
            </w:r>
            <w:r w:rsidRPr="000E2829">
              <w:rPr>
                <w:position w:val="-1"/>
              </w:rPr>
              <w:t>6</w:t>
            </w:r>
            <w:r>
              <w:rPr>
                <w:position w:val="-1"/>
                <w:vertAlign w:val="superscript"/>
              </w:rPr>
              <w:t>1</w:t>
            </w:r>
            <w:r w:rsidR="003B6C98">
              <w:rPr>
                <w:position w:val="-1"/>
              </w:rPr>
              <w:t xml:space="preserve"> din Hotărârea Guvernului nr.</w:t>
            </w:r>
            <w:r>
              <w:rPr>
                <w:position w:val="-1"/>
              </w:rPr>
              <w:t>642/2019</w:t>
            </w:r>
            <w:r w:rsidR="003701DC">
              <w:rPr>
                <w:position w:val="-1"/>
              </w:rPr>
              <w:t>.</w:t>
            </w:r>
          </w:p>
          <w:p w14:paraId="5FC3DF78" w14:textId="2E15F4E0" w:rsidR="004C204A" w:rsidRDefault="008C2D34" w:rsidP="00334B88">
            <w:pPr>
              <w:pStyle w:val="ab"/>
              <w:spacing w:before="0" w:beforeAutospacing="0" w:after="0" w:afterAutospacing="0"/>
              <w:jc w:val="both"/>
              <w:rPr>
                <w:position w:val="-1"/>
              </w:rPr>
            </w:pPr>
            <w:r w:rsidRPr="008C2D34">
              <w:rPr>
                <w:b/>
                <w:position w:val="-1"/>
              </w:rPr>
              <w:t>3)</w:t>
            </w:r>
            <w:r>
              <w:rPr>
                <w:position w:val="-1"/>
              </w:rPr>
              <w:t xml:space="preserve"> P</w:t>
            </w:r>
            <w:r w:rsidR="004C204A">
              <w:rPr>
                <w:position w:val="-1"/>
              </w:rPr>
              <w:t>roiectul prevede excluderea pct.26-pct.</w:t>
            </w:r>
            <w:r w:rsidR="005D77AB">
              <w:rPr>
                <w:position w:val="-1"/>
              </w:rPr>
              <w:t>29 din Hotărârea Guvernului nr.</w:t>
            </w:r>
            <w:r w:rsidR="004C204A">
              <w:rPr>
                <w:position w:val="-1"/>
              </w:rPr>
              <w:t xml:space="preserve">917/2014 din următoarele motive. </w:t>
            </w:r>
            <w:r w:rsidR="00451E1D">
              <w:rPr>
                <w:position w:val="-1"/>
              </w:rPr>
              <w:t>Prin Legea nr.161/</w:t>
            </w:r>
            <w:r w:rsidR="00A02B89">
              <w:rPr>
                <w:position w:val="-1"/>
              </w:rPr>
              <w:t>2023 p</w:t>
            </w:r>
            <w:r>
              <w:rPr>
                <w:position w:val="-1"/>
              </w:rPr>
              <w:t>entru modificarea</w:t>
            </w:r>
            <w:r w:rsidR="00A02B89">
              <w:rPr>
                <w:position w:val="-1"/>
              </w:rPr>
              <w:t xml:space="preserve"> Legii nr.330/1999</w:t>
            </w:r>
            <w:r>
              <w:rPr>
                <w:position w:val="-1"/>
              </w:rPr>
              <w:t>,</w:t>
            </w:r>
            <w:r w:rsidR="00A02B89">
              <w:rPr>
                <w:position w:val="-1"/>
              </w:rPr>
              <w:t xml:space="preserve"> au fost revăzute cuantumurile indemnizațiilor viagere. Potrivit pct.26-</w:t>
            </w:r>
            <w:r w:rsidR="00D61A0E">
              <w:rPr>
                <w:position w:val="-1"/>
              </w:rPr>
              <w:t>pct.</w:t>
            </w:r>
            <w:r w:rsidR="00A02B89">
              <w:rPr>
                <w:position w:val="-1"/>
              </w:rPr>
              <w:t>29 din Hotărârea Guvernului nr.</w:t>
            </w:r>
            <w:r w:rsidR="00D61A0E">
              <w:rPr>
                <w:position w:val="-1"/>
              </w:rPr>
              <w:t>917/2014</w:t>
            </w:r>
            <w:r w:rsidR="00A02B89">
              <w:rPr>
                <w:position w:val="-1"/>
              </w:rPr>
              <w:t>, Ministerul Tineretului Sportului</w:t>
            </w:r>
            <w:r w:rsidR="001B51EA">
              <w:rPr>
                <w:position w:val="-1"/>
              </w:rPr>
              <w:t>, în anii 2013-2014,</w:t>
            </w:r>
            <w:r w:rsidR="00A02B89">
              <w:rPr>
                <w:position w:val="-1"/>
              </w:rPr>
              <w:t xml:space="preserve"> a recalculat indemnizațiile viagere pentru sportivii de performanță. </w:t>
            </w:r>
          </w:p>
          <w:p w14:paraId="353EBECC" w14:textId="1B5FF0DF" w:rsidR="00A02B89" w:rsidRDefault="00471EFE" w:rsidP="00334B88">
            <w:pPr>
              <w:pStyle w:val="ab"/>
              <w:spacing w:before="0" w:beforeAutospacing="0" w:after="0" w:afterAutospacing="0"/>
              <w:jc w:val="both"/>
              <w:rPr>
                <w:lang w:val="ro-MD"/>
              </w:rPr>
            </w:pPr>
            <w:r>
              <w:rPr>
                <w:lang w:val="ro-MD"/>
              </w:rPr>
              <w:t>Având în vedere faptul că</w:t>
            </w:r>
            <w:r w:rsidR="008C2D34">
              <w:rPr>
                <w:position w:val="-1"/>
              </w:rPr>
              <w:t xml:space="preserve"> Legea</w:t>
            </w:r>
            <w:r w:rsidR="00A02B89">
              <w:rPr>
                <w:position w:val="-1"/>
              </w:rPr>
              <w:t xml:space="preserve"> nr.</w:t>
            </w:r>
            <w:r w:rsidR="00A952DD">
              <w:rPr>
                <w:position w:val="-1"/>
              </w:rPr>
              <w:t xml:space="preserve"> </w:t>
            </w:r>
            <w:r w:rsidR="00A02B89">
              <w:rPr>
                <w:position w:val="-1"/>
              </w:rPr>
              <w:t>330/1999</w:t>
            </w:r>
            <w:r>
              <w:rPr>
                <w:position w:val="-1"/>
              </w:rPr>
              <w:t>, cu modificările ulterioare (Legea nr.161/2013</w:t>
            </w:r>
            <w:r w:rsidRPr="00471EFE">
              <w:rPr>
                <w:position w:val="-1"/>
                <w:lang w:val="ro-MD"/>
              </w:rPr>
              <w:t>)</w:t>
            </w:r>
            <w:r w:rsidR="00A02B89" w:rsidRPr="00471EFE">
              <w:rPr>
                <w:position w:val="-1"/>
                <w:lang w:val="ro-MD"/>
              </w:rPr>
              <w:t xml:space="preserve"> </w:t>
            </w:r>
            <w:r w:rsidR="00A02B89" w:rsidRPr="00471EFE">
              <w:rPr>
                <w:lang w:val="ro-MD"/>
              </w:rPr>
              <w:t xml:space="preserve">a fost </w:t>
            </w:r>
            <w:r w:rsidR="005E78F0" w:rsidRPr="00471EFE">
              <w:rPr>
                <w:lang w:val="ro-MD"/>
              </w:rPr>
              <w:t>abrogată</w:t>
            </w:r>
            <w:r w:rsidR="00A02B89" w:rsidRPr="00471EFE">
              <w:rPr>
                <w:lang w:val="ro-MD"/>
              </w:rPr>
              <w:t>,</w:t>
            </w:r>
            <w:r w:rsidRPr="00471EFE">
              <w:rPr>
                <w:lang w:val="ro-MD"/>
              </w:rPr>
              <w:t xml:space="preserve"> punctele respective urmează a fi excluse </w:t>
            </w:r>
            <w:r w:rsidR="00C42C70" w:rsidRPr="00471EFE">
              <w:rPr>
                <w:lang w:val="ro-MD"/>
              </w:rPr>
              <w:t>deoarece</w:t>
            </w:r>
            <w:r w:rsidR="00E11B31">
              <w:rPr>
                <w:lang w:val="ro-MD"/>
              </w:rPr>
              <w:t xml:space="preserve"> nu prezintă</w:t>
            </w:r>
            <w:r w:rsidRPr="00471EFE">
              <w:rPr>
                <w:lang w:val="ro-MD"/>
              </w:rPr>
              <w:t xml:space="preserve"> o importanță juridică</w:t>
            </w:r>
            <w:r w:rsidR="00233EC2">
              <w:rPr>
                <w:lang w:val="ro-MD"/>
              </w:rPr>
              <w:t xml:space="preserve"> ori alt impact</w:t>
            </w:r>
            <w:r w:rsidRPr="00471EFE">
              <w:rPr>
                <w:lang w:val="ro-MD"/>
              </w:rPr>
              <w:t xml:space="preserve"> în actul normativ prenotat.</w:t>
            </w:r>
          </w:p>
          <w:p w14:paraId="0E0FA18C" w14:textId="2285F0BA" w:rsidR="00D61A0E" w:rsidRPr="000765A7" w:rsidRDefault="00C94CC3" w:rsidP="00334B88">
            <w:pPr>
              <w:pStyle w:val="ab"/>
              <w:spacing w:before="0" w:beforeAutospacing="0" w:after="0" w:afterAutospacing="0"/>
              <w:jc w:val="both"/>
              <w:rPr>
                <w:lang w:val="ro-MD"/>
              </w:rPr>
            </w:pPr>
            <w:r>
              <w:rPr>
                <w:b/>
                <w:lang w:val="ro-MD"/>
              </w:rPr>
              <w:t>4)</w:t>
            </w:r>
            <w:r w:rsidR="00233EC2">
              <w:rPr>
                <w:lang w:val="ro-MD"/>
              </w:rPr>
              <w:t xml:space="preserve"> </w:t>
            </w:r>
            <w:r w:rsidR="005D77AB">
              <w:rPr>
                <w:lang w:val="ro-MD"/>
              </w:rPr>
              <w:t>P</w:t>
            </w:r>
            <w:r w:rsidR="002B2249" w:rsidRPr="002B2249">
              <w:rPr>
                <w:lang w:val="ro-MD"/>
              </w:rPr>
              <w:t>roiectul propune ab</w:t>
            </w:r>
            <w:r w:rsidR="00C42C70" w:rsidRPr="002B2249">
              <w:rPr>
                <w:lang w:val="ro-MD"/>
              </w:rPr>
              <w:t>r</w:t>
            </w:r>
            <w:r w:rsidR="002B2249" w:rsidRPr="002B2249">
              <w:rPr>
                <w:lang w:val="ro-MD"/>
              </w:rPr>
              <w:t>o</w:t>
            </w:r>
            <w:r w:rsidR="00C42C70" w:rsidRPr="002B2249">
              <w:rPr>
                <w:lang w:val="ro-MD"/>
              </w:rPr>
              <w:t xml:space="preserve">garea </w:t>
            </w:r>
            <w:r w:rsidR="002B2249" w:rsidRPr="002B2249">
              <w:rPr>
                <w:lang w:val="ro-MD"/>
              </w:rPr>
              <w:t>Hotărârii Guvernului nr.176/2019</w:t>
            </w:r>
            <w:r w:rsidR="00451C53">
              <w:rPr>
                <w:lang w:val="ro-MD"/>
              </w:rPr>
              <w:t xml:space="preserve"> cu privire la aprobarea Regulamentului de activitate al federațiilor sportive naționale</w:t>
            </w:r>
            <w:r w:rsidR="002B2249" w:rsidRPr="002B2249">
              <w:rPr>
                <w:lang w:val="ro-MD"/>
              </w:rPr>
              <w:t xml:space="preserve"> </w:t>
            </w:r>
            <w:r w:rsidR="002B2249">
              <w:rPr>
                <w:lang w:val="ro-MD"/>
              </w:rPr>
              <w:t xml:space="preserve">din următoarele motive. </w:t>
            </w:r>
            <w:r w:rsidR="002B2249" w:rsidRPr="00420B0E">
              <w:rPr>
                <w:lang w:val="ro-MD"/>
              </w:rPr>
              <w:t>Potrivit pct</w:t>
            </w:r>
            <w:r w:rsidR="00E94C9B" w:rsidRPr="00420B0E">
              <w:rPr>
                <w:lang w:val="ro-MD"/>
              </w:rPr>
              <w:t>.</w:t>
            </w:r>
            <w:r w:rsidR="002B2249" w:rsidRPr="00420B0E">
              <w:rPr>
                <w:lang w:val="ro-MD"/>
              </w:rPr>
              <w:t xml:space="preserve">25 alin.(4) din Legea nr.110/2025, Ministerul Educației și Cercetării </w:t>
            </w:r>
            <w:r w:rsidR="003701DC">
              <w:rPr>
                <w:lang w:val="ro-MD"/>
              </w:rPr>
              <w:t>va aproba</w:t>
            </w:r>
            <w:r w:rsidR="002B2249" w:rsidRPr="00420B0E">
              <w:rPr>
                <w:lang w:val="ro-MD"/>
              </w:rPr>
              <w:t xml:space="preserve"> Regulamentul de activitate al federațiilor sportive </w:t>
            </w:r>
            <w:r w:rsidR="002B2249" w:rsidRPr="000765A7">
              <w:rPr>
                <w:lang w:val="ro-MD"/>
              </w:rPr>
              <w:t>naționale</w:t>
            </w:r>
            <w:r w:rsidR="009342DA" w:rsidRPr="000765A7">
              <w:rPr>
                <w:lang w:val="ro-MD"/>
              </w:rPr>
              <w:t>.</w:t>
            </w:r>
          </w:p>
          <w:p w14:paraId="1AA31EFC" w14:textId="371F9457" w:rsidR="00D61A0E" w:rsidRPr="00D61A0E" w:rsidRDefault="00D61A0E" w:rsidP="00334B88">
            <w:pPr>
              <w:pStyle w:val="ab"/>
              <w:spacing w:before="0" w:beforeAutospacing="0" w:after="0" w:afterAutospacing="0"/>
              <w:jc w:val="both"/>
              <w:rPr>
                <w:lang w:val="ro-MD"/>
              </w:rPr>
            </w:pPr>
            <w:r w:rsidRPr="00D61A0E">
              <w:rPr>
                <w:lang w:val="ro-MD"/>
              </w:rPr>
              <w:t xml:space="preserve">Astfel, abrogând </w:t>
            </w:r>
            <w:r>
              <w:rPr>
                <w:lang w:val="ro-MD"/>
              </w:rPr>
              <w:t>Hotărârea</w:t>
            </w:r>
            <w:r w:rsidRPr="00D61A0E">
              <w:rPr>
                <w:lang w:val="ro-MD"/>
              </w:rPr>
              <w:t xml:space="preserve"> </w:t>
            </w:r>
            <w:r w:rsidRPr="002B2249">
              <w:rPr>
                <w:lang w:val="ro-MD"/>
              </w:rPr>
              <w:t>Guvernului nr.176/2019</w:t>
            </w:r>
            <w:r w:rsidR="00451C53">
              <w:rPr>
                <w:lang w:val="ro-MD"/>
              </w:rPr>
              <w:t>,</w:t>
            </w:r>
            <w:r>
              <w:rPr>
                <w:lang w:val="ro-MD"/>
              </w:rPr>
              <w:t xml:space="preserve"> </w:t>
            </w:r>
            <w:r w:rsidR="001B51EA">
              <w:rPr>
                <w:lang w:val="ro-MD"/>
              </w:rPr>
              <w:t>excludem paralelismul juridic și</w:t>
            </w:r>
            <w:r>
              <w:rPr>
                <w:lang w:val="ro-MD"/>
              </w:rPr>
              <w:t xml:space="preserve"> actele normative care nu produc efect juridic</w:t>
            </w:r>
            <w:r w:rsidR="001B51EA">
              <w:rPr>
                <w:lang w:val="ro-MD"/>
              </w:rPr>
              <w:t xml:space="preserve"> din sistemul </w:t>
            </w:r>
            <w:r w:rsidR="00E11B31">
              <w:rPr>
                <w:lang w:val="ro-MD"/>
              </w:rPr>
              <w:t xml:space="preserve">național </w:t>
            </w:r>
            <w:r w:rsidR="001B51EA">
              <w:rPr>
                <w:lang w:val="ro-MD"/>
              </w:rPr>
              <w:t>de drept</w:t>
            </w:r>
            <w:r w:rsidRPr="00D61A0E">
              <w:rPr>
                <w:lang w:val="ro-MD"/>
              </w:rPr>
              <w:t>.</w:t>
            </w:r>
          </w:p>
          <w:p w14:paraId="5F75242C" w14:textId="02578017" w:rsidR="004114F7" w:rsidRPr="004114F7" w:rsidRDefault="00C94CC3" w:rsidP="00334B88">
            <w:pPr>
              <w:pStyle w:val="ab"/>
              <w:spacing w:before="0" w:beforeAutospacing="0" w:after="0" w:afterAutospacing="0"/>
              <w:jc w:val="both"/>
            </w:pPr>
            <w:r w:rsidRPr="00D61A0E">
              <w:rPr>
                <w:b/>
                <w:lang w:val="ro-MD"/>
              </w:rPr>
              <w:t>5)</w:t>
            </w:r>
            <w:r w:rsidRPr="00D61A0E">
              <w:rPr>
                <w:lang w:val="ro-MD"/>
              </w:rPr>
              <w:t xml:space="preserve"> </w:t>
            </w:r>
            <w:r w:rsidR="00DF05D9" w:rsidRPr="00D61A0E">
              <w:t>Prezentul proiect intră în vigoare la data publicării</w:t>
            </w:r>
            <w:r w:rsidR="002B61BD" w:rsidRPr="00D61A0E">
              <w:t xml:space="preserve"> în </w:t>
            </w:r>
            <w:r w:rsidR="002B61BD" w:rsidRPr="005D77AB">
              <w:t xml:space="preserve">Monitorul Oficial, pentru a asigura </w:t>
            </w:r>
            <w:r w:rsidR="00420B0E" w:rsidRPr="005D77AB">
              <w:t xml:space="preserve">o </w:t>
            </w:r>
            <w:r w:rsidR="002B61BD" w:rsidRPr="005D77AB">
              <w:t>apli</w:t>
            </w:r>
            <w:r w:rsidR="00420B0E" w:rsidRPr="005D77AB">
              <w:t>care rapidă și o concordanță a</w:t>
            </w:r>
            <w:r w:rsidR="002B61BD" w:rsidRPr="005D77AB">
              <w:t xml:space="preserve"> Legii nr.</w:t>
            </w:r>
            <w:r w:rsidR="00B13B63">
              <w:t xml:space="preserve"> </w:t>
            </w:r>
            <w:r w:rsidR="002B61BD" w:rsidRPr="005D77AB">
              <w:t>110/2025, cu actele normative din subordine</w:t>
            </w:r>
            <w:r w:rsidR="00DF05D9" w:rsidRPr="005D77AB">
              <w:t>.</w:t>
            </w:r>
          </w:p>
        </w:tc>
      </w:tr>
      <w:tr w:rsidR="0041638F" w:rsidRPr="00AE1A49" w14:paraId="38CEE9F9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41E6" w14:textId="77777777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lastRenderedPageBreak/>
              <w:t>3.2. Opțiunile alternative analizate și motivele pentru care acestea nu au fost luate în considerare.</w:t>
            </w:r>
          </w:p>
        </w:tc>
      </w:tr>
      <w:tr w:rsidR="0041638F" w:rsidRPr="005A6ABE" w14:paraId="226EE3A1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D1FE" w14:textId="6BB7F4AE" w:rsidR="0041638F" w:rsidRPr="00AE1A49" w:rsidRDefault="0041638F" w:rsidP="00097748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A fost examinată num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 xml:space="preserve">ai opțiunea de a stabili o concordanță cu caracter </w:t>
            </w:r>
            <w:proofErr w:type="spellStart"/>
            <w:r w:rsidR="00420B0E">
              <w:rPr>
                <w:color w:val="000000" w:themeColor="text1"/>
                <w:sz w:val="24"/>
                <w:szCs w:val="24"/>
                <w:lang w:val="ro-MD"/>
              </w:rPr>
              <w:t>tehnico</w:t>
            </w:r>
            <w:proofErr w:type="spellEnd"/>
            <w:r w:rsidR="00420B0E">
              <w:rPr>
                <w:color w:val="000000" w:themeColor="text1"/>
                <w:sz w:val="24"/>
                <w:szCs w:val="24"/>
                <w:lang w:val="ro-MD"/>
              </w:rPr>
              <w:t>-juridic</w:t>
            </w:r>
            <w:r w:rsidR="00415FA2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din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>tre</w:t>
            </w:r>
            <w:r w:rsidR="00415FA2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Legea nr.</w:t>
            </w:r>
            <w:r w:rsidR="00B13B63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415FA2" w:rsidRPr="00AE1A49">
              <w:rPr>
                <w:color w:val="000000" w:themeColor="text1"/>
                <w:sz w:val="24"/>
                <w:szCs w:val="24"/>
                <w:lang w:val="ro-MD"/>
              </w:rPr>
              <w:t>110</w:t>
            </w:r>
            <w:r w:rsidR="009612FF" w:rsidRPr="00AE1A49">
              <w:rPr>
                <w:color w:val="000000" w:themeColor="text1"/>
                <w:sz w:val="24"/>
                <w:szCs w:val="24"/>
                <w:lang w:val="ro-MD"/>
              </w:rPr>
              <w:t>/2025</w:t>
            </w:r>
            <w:r w:rsidR="00E11B31">
              <w:rPr>
                <w:color w:val="000000" w:themeColor="text1"/>
                <w:sz w:val="24"/>
                <w:szCs w:val="24"/>
                <w:lang w:val="ro-MD"/>
              </w:rPr>
              <w:t xml:space="preserve"> cu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 xml:space="preserve"> Hotărârea Guvernului nr.</w:t>
            </w:r>
            <w:r w:rsidR="00B13B63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>917/2</w:t>
            </w:r>
            <w:r w:rsidR="00B13B63">
              <w:rPr>
                <w:color w:val="000000" w:themeColor="text1"/>
                <w:sz w:val="24"/>
                <w:szCs w:val="24"/>
                <w:lang w:val="ro-MD"/>
              </w:rPr>
              <w:t>014, Hotărârea Guvernului nr. 642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 xml:space="preserve">/2019 </w:t>
            </w:r>
            <w:r w:rsidR="005D77AB">
              <w:rPr>
                <w:color w:val="000000" w:themeColor="text1"/>
                <w:sz w:val="24"/>
                <w:szCs w:val="24"/>
                <w:lang w:val="ro-MD"/>
              </w:rPr>
              <w:t xml:space="preserve">precum 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>și abrogarea Hotărârii Guvernului nr.</w:t>
            </w:r>
            <w:r w:rsidR="00A952DD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13B63">
              <w:rPr>
                <w:color w:val="000000" w:themeColor="text1"/>
                <w:sz w:val="24"/>
                <w:szCs w:val="24"/>
                <w:lang w:val="ro-MD"/>
              </w:rPr>
              <w:t>716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>/2019</w:t>
            </w: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. Alte opțiuni alternative nu au fost examinate.</w:t>
            </w:r>
          </w:p>
        </w:tc>
      </w:tr>
      <w:tr w:rsidR="0041638F" w:rsidRPr="00AE1A49" w14:paraId="3343AF20" w14:textId="77777777" w:rsidTr="00A7443A">
        <w:trPr>
          <w:trHeight w:val="196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FC3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41638F" w:rsidRPr="00AE1A49" w14:paraId="5903B766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3CCF" w14:textId="0865B109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4.1. Impactul asupra sectorului public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44447B" w14:paraId="50D479AF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BAF6" w14:textId="024A1AA8" w:rsidR="0041638F" w:rsidRPr="00AE1A49" w:rsidRDefault="00420B0E" w:rsidP="005F1DB3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Modificările propuse în pro</w:t>
            </w:r>
            <w:r w:rsidR="00306840">
              <w:rPr>
                <w:color w:val="000000" w:themeColor="text1"/>
                <w:sz w:val="24"/>
                <w:szCs w:val="24"/>
                <w:lang w:val="ro-MD"/>
              </w:rPr>
              <w:t>iect vor crea o aplicabilitate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3701DC">
              <w:rPr>
                <w:color w:val="000000" w:themeColor="text1"/>
                <w:sz w:val="24"/>
                <w:szCs w:val="24"/>
                <w:lang w:val="ro-MD"/>
              </w:rPr>
              <w:t>a</w:t>
            </w:r>
            <w:r w:rsidR="005D77AB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Legii nr.</w:t>
            </w:r>
            <w:r w:rsidR="000765A7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110/2025 în d</w:t>
            </w:r>
            <w:r w:rsidR="00E11B31">
              <w:rPr>
                <w:color w:val="000000" w:themeColor="text1"/>
                <w:sz w:val="24"/>
                <w:szCs w:val="24"/>
                <w:lang w:val="ro-MD"/>
              </w:rPr>
              <w:t>omeniul indemnizațiilor viagere,</w:t>
            </w:r>
            <w:r w:rsidR="00306840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3701DC">
              <w:rPr>
                <w:color w:val="000000" w:themeColor="text1"/>
                <w:sz w:val="24"/>
                <w:szCs w:val="24"/>
                <w:lang w:val="ro-MD"/>
              </w:rPr>
              <w:t>va exclude paralelismul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juridic referitor la activitatea federațiilor sportive</w:t>
            </w:r>
            <w:r w:rsidR="009C0E97">
              <w:rPr>
                <w:color w:val="000000" w:themeColor="text1"/>
                <w:sz w:val="24"/>
                <w:szCs w:val="24"/>
                <w:lang w:val="ro-MD"/>
              </w:rPr>
              <w:t xml:space="preserve"> naționale</w:t>
            </w:r>
            <w:r w:rsidR="00E11B31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44447B" w14:paraId="6214877C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1468" w14:textId="54743016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4.2. Impactul financiar și argumentarea costurilor estimative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3506F8" w14:paraId="49149320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0CC5" w14:textId="30B0D1EA" w:rsidR="004078F2" w:rsidRDefault="003701DC" w:rsidP="00DE3A7A">
            <w:pP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Având în vedere faptul că </w:t>
            </w:r>
            <w:r w:rsidR="004078F2">
              <w:rPr>
                <w:sz w:val="24"/>
                <w:szCs w:val="24"/>
                <w:lang w:val="ro-RO"/>
              </w:rPr>
              <w:t xml:space="preserve">proiectul </w:t>
            </w:r>
            <w:r w:rsidR="00B13B63">
              <w:rPr>
                <w:sz w:val="24"/>
                <w:szCs w:val="24"/>
                <w:lang w:val="ro-RO"/>
              </w:rPr>
              <w:t xml:space="preserve">propune modificări cu caracter </w:t>
            </w:r>
            <w:proofErr w:type="spellStart"/>
            <w:r w:rsidR="00B13B63">
              <w:rPr>
                <w:sz w:val="24"/>
                <w:szCs w:val="24"/>
                <w:lang w:val="ro-RO"/>
              </w:rPr>
              <w:t>tehnico</w:t>
            </w:r>
            <w:proofErr w:type="spellEnd"/>
            <w:r w:rsidR="00B13B63">
              <w:rPr>
                <w:sz w:val="24"/>
                <w:szCs w:val="24"/>
                <w:lang w:val="ro-RO"/>
              </w:rPr>
              <w:t>-juridic, implementarea proiectului nu necesită cheltuieli suplimentare din bugetul de stat.</w:t>
            </w:r>
          </w:p>
          <w:p w14:paraId="0FFA0D34" w14:textId="53B7085B" w:rsidR="00DE3A7A" w:rsidRPr="00DE3A7A" w:rsidRDefault="00DE3A7A" w:rsidP="00DE3A7A">
            <w:pPr>
              <w:ind w:firstLine="0"/>
              <w:rPr>
                <w:sz w:val="24"/>
                <w:szCs w:val="24"/>
                <w:lang w:val="ro-RO"/>
              </w:rPr>
            </w:pPr>
            <w:r w:rsidRPr="00DE3A7A">
              <w:rPr>
                <w:sz w:val="24"/>
                <w:szCs w:val="24"/>
                <w:lang w:val="ro-RO"/>
              </w:rPr>
              <w:t>Implementarea proiectului nu necesită cheltuieli bugetare suplimentare. Pentru achitarea indemnizațiilor viagere pentru sportivii de performanță și antrenori mijloace financiare sunt prevăzute în bugetul de stat.</w:t>
            </w:r>
          </w:p>
          <w:p w14:paraId="06D94A67" w14:textId="3076212A" w:rsidR="00DE3A7A" w:rsidRPr="00DE3A7A" w:rsidRDefault="00DE3A7A" w:rsidP="00DE3A7A">
            <w:pPr>
              <w:ind w:firstLine="0"/>
              <w:rPr>
                <w:sz w:val="24"/>
                <w:szCs w:val="24"/>
                <w:lang w:val="ro-RO"/>
              </w:rPr>
            </w:pPr>
            <w:r w:rsidRPr="00DE3A7A">
              <w:rPr>
                <w:sz w:val="24"/>
                <w:szCs w:val="24"/>
                <w:lang w:val="ro-RO"/>
              </w:rPr>
              <w:t>L</w:t>
            </w:r>
            <w:r w:rsidR="00D874DE">
              <w:rPr>
                <w:sz w:val="24"/>
                <w:szCs w:val="24"/>
                <w:lang w:val="ro-RO"/>
              </w:rPr>
              <w:t>a etapa actuală, 69 pers</w:t>
            </w:r>
            <w:r w:rsidR="00D51E87">
              <w:rPr>
                <w:sz w:val="24"/>
                <w:szCs w:val="24"/>
                <w:lang w:val="ro-RO"/>
              </w:rPr>
              <w:t>oane (47 sportivi</w:t>
            </w:r>
            <w:r w:rsidR="00D874DE">
              <w:rPr>
                <w:sz w:val="24"/>
                <w:szCs w:val="24"/>
                <w:lang w:val="ro-RO"/>
              </w:rPr>
              <w:t xml:space="preserve"> + 22</w:t>
            </w:r>
            <w:r w:rsidRPr="00DE3A7A">
              <w:rPr>
                <w:sz w:val="24"/>
                <w:szCs w:val="24"/>
                <w:lang w:val="ro-RO"/>
              </w:rPr>
              <w:t xml:space="preserve"> antrenori) beneficiază de indemnizație viageră din bugetul de stat.</w:t>
            </w:r>
          </w:p>
          <w:p w14:paraId="59080D79" w14:textId="6836D40F" w:rsidR="00DE3A7A" w:rsidRPr="00DE3A7A" w:rsidRDefault="00DE3A7A" w:rsidP="00DE3A7A">
            <w:pPr>
              <w:ind w:firstLine="0"/>
              <w:rPr>
                <w:sz w:val="24"/>
                <w:szCs w:val="24"/>
                <w:lang w:val="ro-RO"/>
              </w:rPr>
            </w:pPr>
            <w:r w:rsidRPr="00DE3A7A">
              <w:rPr>
                <w:sz w:val="24"/>
                <w:szCs w:val="24"/>
                <w:lang w:val="ro-RO"/>
              </w:rPr>
              <w:t>Potrivit Hotărârii Guvernului nr.917/2014 și Hotărârii Guvernului nr.642/2019, mijloacele financiare pentru achitarea indemnizației viagere se alocă din bugetul de stat și se achită de către CNAS.</w:t>
            </w:r>
          </w:p>
          <w:p w14:paraId="7FF08468" w14:textId="25AB9F96" w:rsidR="0041638F" w:rsidRPr="00AE1A49" w:rsidRDefault="00DE3A7A" w:rsidP="00DE3A7A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 w:rsidRPr="00DE3A7A">
              <w:rPr>
                <w:sz w:val="24"/>
                <w:szCs w:val="24"/>
                <w:lang w:val="ro-RO"/>
              </w:rPr>
              <w:t xml:space="preserve">Astfel, în anul 2025, în bugetul de stat au fost prevăzute </w:t>
            </w:r>
            <w:r w:rsidRPr="00D51E87">
              <w:rPr>
                <w:sz w:val="24"/>
                <w:szCs w:val="24"/>
                <w:lang w:val="ro-RO"/>
              </w:rPr>
              <w:t xml:space="preserve">circa </w:t>
            </w:r>
            <w:r w:rsidR="00D51E87" w:rsidRPr="00D51E87">
              <w:rPr>
                <w:sz w:val="24"/>
                <w:szCs w:val="24"/>
                <w:lang w:val="ro-RO"/>
              </w:rPr>
              <w:t>14 846,8</w:t>
            </w:r>
            <w:r w:rsidR="007D7147" w:rsidRPr="00D51E87">
              <w:rPr>
                <w:sz w:val="24"/>
                <w:szCs w:val="24"/>
                <w:lang w:val="ro-RO"/>
              </w:rPr>
              <w:t xml:space="preserve"> mii</w:t>
            </w:r>
            <w:r w:rsidRPr="00D51E87">
              <w:rPr>
                <w:sz w:val="24"/>
                <w:szCs w:val="24"/>
                <w:lang w:val="ro-RO"/>
              </w:rPr>
              <w:t xml:space="preserve"> lei</w:t>
            </w:r>
            <w:r w:rsidR="00F008AB" w:rsidRPr="00D51E87">
              <w:rPr>
                <w:sz w:val="24"/>
                <w:szCs w:val="24"/>
                <w:lang w:val="ro-RO"/>
              </w:rPr>
              <w:t>, CNAS</w:t>
            </w:r>
            <w:r w:rsidRPr="00D51E87">
              <w:rPr>
                <w:sz w:val="24"/>
                <w:szCs w:val="24"/>
                <w:lang w:val="ro-RO"/>
              </w:rPr>
              <w:t xml:space="preserve"> </w:t>
            </w:r>
            <w:r w:rsidRPr="00DE3A7A">
              <w:rPr>
                <w:sz w:val="24"/>
                <w:szCs w:val="24"/>
                <w:lang w:val="ro-RO"/>
              </w:rPr>
              <w:t>pentru realizarea achitărilor către sportivi și antrenori.</w:t>
            </w:r>
          </w:p>
        </w:tc>
      </w:tr>
      <w:tr w:rsidR="0041638F" w:rsidRPr="00AE1A49" w14:paraId="4D694644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A84" w14:textId="40454F1B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4.3. Impactul asupra sectorului privat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17104CA8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026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AE1A49" w14:paraId="6F27179A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D41" w14:textId="3DF8986C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4.4. Impactul social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44447B" w14:paraId="1C535C3F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6BDA" w14:textId="0F4E9F4C" w:rsidR="0041638F" w:rsidRPr="00AE1A49" w:rsidRDefault="0041638F" w:rsidP="00AC21FD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Prezent</w:t>
            </w:r>
            <w:r w:rsidR="00BE20A3" w:rsidRPr="00AE1A49">
              <w:rPr>
                <w:color w:val="000000" w:themeColor="text1"/>
                <w:sz w:val="24"/>
                <w:szCs w:val="24"/>
                <w:lang w:val="ro-MD"/>
              </w:rPr>
              <w:t>ul proiect</w:t>
            </w: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va avea un impact 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>p</w:t>
            </w:r>
            <w:r w:rsidR="009C0E97">
              <w:rPr>
                <w:color w:val="000000" w:themeColor="text1"/>
                <w:sz w:val="24"/>
                <w:szCs w:val="24"/>
                <w:lang w:val="ro-MD"/>
              </w:rPr>
              <w:t>ozitiv în societate, consolidând sistemul de protecție</w:t>
            </w:r>
            <w:r w:rsidR="00420B0E">
              <w:rPr>
                <w:color w:val="000000" w:themeColor="text1"/>
                <w:sz w:val="24"/>
                <w:szCs w:val="24"/>
                <w:lang w:val="ro-MD"/>
              </w:rPr>
              <w:t xml:space="preserve"> socială a sportivilor de performanță și antrenorii acestora</w:t>
            </w:r>
            <w:r w:rsidR="009C0E97">
              <w:rPr>
                <w:color w:val="000000" w:themeColor="text1"/>
                <w:sz w:val="24"/>
                <w:szCs w:val="24"/>
                <w:lang w:val="ro-MD"/>
              </w:rPr>
              <w:t xml:space="preserve"> și evitarea paralelismului juridic</w:t>
            </w: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2744B850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8C64" w14:textId="5DBDB789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4.4.1. Impactul asupra datelor cu caracter personal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79F11AAB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A2B1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AE1A49" w14:paraId="557E0D36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FF11" w14:textId="04FC4A5E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4.4.2. Impactul asupra echității și egalității de gen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6FD4BEE4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A8E2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AE1A49" w14:paraId="178963A1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408" w14:textId="5236F63C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4.5. Impactul asupra mediului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38133249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E079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44447B" w14:paraId="7CA0149D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FA6D" w14:textId="2191321E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4.6. Alte impacturi și informații relevante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597F41F8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D641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44447B" w14:paraId="22EDBD62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B671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41638F" w:rsidRPr="0044447B" w14:paraId="79D01976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1227" w14:textId="5A3C65F7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715274EC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C605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44447B" w14:paraId="0B5CAF1E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6A0A" w14:textId="5A208FFE" w:rsidR="0041638F" w:rsidRPr="00AE1A49" w:rsidRDefault="0041638F" w:rsidP="00301824">
            <w:pPr>
              <w:ind w:firstLine="0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>5.2. Măsuri normative care urmăresc</w:t>
            </w:r>
            <w:r w:rsidR="00AC1BF0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crearea cadrului juridic</w:t>
            </w:r>
            <w:r w:rsidRPr="00AE1A49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necesar pentru implementarea legislației UE</w:t>
            </w:r>
            <w:r w:rsidR="00D5350C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6937549A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CF30" w14:textId="77777777" w:rsidR="0041638F" w:rsidRPr="00AE1A49" w:rsidRDefault="0041638F" w:rsidP="0041638F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41638F" w:rsidRPr="0044447B" w14:paraId="732200E8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9501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41638F" w:rsidRPr="0044447B" w14:paraId="002C5A2C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869C" w14:textId="1A7231E5" w:rsidR="002D58F8" w:rsidRPr="00C4028B" w:rsidRDefault="0041638F" w:rsidP="002B31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color w:val="000000" w:themeColor="text1"/>
                <w:sz w:val="24"/>
                <w:szCs w:val="24"/>
                <w:u w:val="single"/>
                <w:lang w:val="ro-MD"/>
              </w:rPr>
            </w:pP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În scopul respectăr</w:t>
            </w:r>
            <w:r w:rsidR="005B0EBE" w:rsidRPr="00AE1A49">
              <w:rPr>
                <w:color w:val="000000" w:themeColor="text1"/>
                <w:sz w:val="24"/>
                <w:szCs w:val="24"/>
                <w:lang w:val="ro-MD"/>
              </w:rPr>
              <w:t>ii Legii nr.239/2008</w:t>
            </w: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, a fost plasat anunțul privind inițierea procesului de elaborare al proiectului Hotărâri</w:t>
            </w:r>
            <w:r w:rsidR="002B3113" w:rsidRPr="00AE1A49">
              <w:rPr>
                <w:color w:val="000000" w:themeColor="text1"/>
                <w:sz w:val="24"/>
                <w:szCs w:val="24"/>
                <w:lang w:val="ro-MD"/>
              </w:rPr>
              <w:t>i Guvernului pentru</w:t>
            </w:r>
            <w:r w:rsidR="002B3113" w:rsidRPr="00AE1A49">
              <w:rPr>
                <w:position w:val="-1"/>
                <w:sz w:val="24"/>
                <w:szCs w:val="24"/>
                <w:lang w:val="ro-RO"/>
              </w:rPr>
              <w:t xml:space="preserve"> </w:t>
            </w:r>
            <w:r w:rsidR="00420B0E">
              <w:rPr>
                <w:position w:val="-1"/>
                <w:sz w:val="24"/>
                <w:szCs w:val="24"/>
                <w:lang w:val="ro-RO"/>
              </w:rPr>
              <w:t>modificarea unor hotărâri ale Guvernului</w:t>
            </w:r>
            <w:r w:rsidR="002B3113" w:rsidRPr="00AE1A49">
              <w:rPr>
                <w:position w:val="-1"/>
                <w:sz w:val="24"/>
                <w:szCs w:val="24"/>
                <w:lang w:val="ro-RO"/>
              </w:rPr>
              <w:t xml:space="preserve">, </w:t>
            </w:r>
            <w:r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pe pagina web </w:t>
            </w:r>
            <w:hyperlink r:id="rId8" w:history="1">
              <w:r w:rsidRPr="00AE1A49">
                <w:rPr>
                  <w:rStyle w:val="a7"/>
                  <w:color w:val="000000" w:themeColor="text1"/>
                  <w:sz w:val="24"/>
                  <w:szCs w:val="24"/>
                  <w:lang w:val="ro-MD"/>
                </w:rPr>
                <w:t>www.mec.gov.md</w:t>
              </w:r>
            </w:hyperlink>
            <w:r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la secțiunea Transparența decizională și pe portalul guvernamental </w:t>
            </w:r>
            <w:hyperlink r:id="rId9" w:history="1">
              <w:r w:rsidRPr="00AE1A49">
                <w:rPr>
                  <w:color w:val="000000" w:themeColor="text1"/>
                  <w:sz w:val="24"/>
                  <w:szCs w:val="24"/>
                  <w:u w:val="single"/>
                  <w:lang w:val="ro-MD"/>
                </w:rPr>
                <w:t>www.particip.gov.md</w:t>
              </w:r>
            </w:hyperlink>
            <w:r w:rsidRPr="00AE1A49">
              <w:rPr>
                <w:color w:val="000000" w:themeColor="text1"/>
                <w:sz w:val="24"/>
                <w:szCs w:val="24"/>
                <w:lang w:val="ro-MD"/>
              </w:rPr>
              <w:t>, fi</w:t>
            </w:r>
            <w:r w:rsidR="00E96DDE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ind accesibil </w:t>
            </w:r>
            <w:bookmarkStart w:id="0" w:name="_GoBack"/>
            <w:r w:rsidR="00A7443A" w:rsidRPr="00C4028B">
              <w:rPr>
                <w:i/>
                <w:color w:val="006400"/>
                <w:sz w:val="24"/>
                <w:szCs w:val="24"/>
                <w:u w:val="single"/>
                <w:shd w:val="clear" w:color="auto" w:fill="FFFFFF"/>
              </w:rPr>
              <w:t>https://particip.gov.md/ro/document/stages/*/15072</w:t>
            </w:r>
          </w:p>
          <w:bookmarkEnd w:id="0"/>
          <w:p w14:paraId="0F63BBE8" w14:textId="29F0EDFE" w:rsidR="0041638F" w:rsidRPr="00AE1A49" w:rsidRDefault="00420B0E" w:rsidP="005F1DB3">
            <w:pPr>
              <w:ind w:firstLine="0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Proiectul va fi</w:t>
            </w:r>
            <w:r w:rsidR="0041638F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supus procedurii de avizare</w:t>
            </w:r>
            <w:r w:rsidR="00BE20A3" w:rsidRPr="00AE1A49">
              <w:rPr>
                <w:color w:val="000000" w:themeColor="text1"/>
                <w:sz w:val="24"/>
                <w:szCs w:val="24"/>
                <w:lang w:val="ro-MD"/>
              </w:rPr>
              <w:t>,</w:t>
            </w:r>
            <w:r w:rsidR="0041638F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 în conformitate cu prevederile Legii nr.1</w:t>
            </w:r>
            <w:r w:rsidR="005B0EBE" w:rsidRPr="00AE1A49">
              <w:rPr>
                <w:color w:val="000000" w:themeColor="text1"/>
                <w:sz w:val="24"/>
                <w:szCs w:val="24"/>
                <w:lang w:val="ro-MD"/>
              </w:rPr>
              <w:t>00/2017</w:t>
            </w:r>
            <w:r w:rsidR="00C97C4A" w:rsidRPr="00AE1A49">
              <w:rPr>
                <w:color w:val="000000" w:themeColor="text1"/>
                <w:sz w:val="24"/>
                <w:szCs w:val="24"/>
                <w:lang w:val="ro-MD"/>
              </w:rPr>
              <w:t xml:space="preserve">, de către </w:t>
            </w:r>
            <w:r w:rsidR="00722C79">
              <w:rPr>
                <w:color w:val="000000" w:themeColor="text1"/>
                <w:sz w:val="24"/>
                <w:szCs w:val="24"/>
                <w:lang w:val="ro-MD"/>
              </w:rPr>
              <w:t xml:space="preserve">Agenția Națională Antidoping și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Ministerul Finanțelor</w:t>
            </w:r>
            <w:r w:rsidR="0041638F" w:rsidRPr="00AE1A49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1638F" w:rsidRPr="00AE1A49" w14:paraId="5716F790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7E0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41638F" w:rsidRPr="00AE1A49" w14:paraId="33C6D243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39B6" w14:textId="77777777" w:rsidR="0041638F" w:rsidRPr="00AE1A49" w:rsidRDefault="0041638F" w:rsidP="005F1DB3">
            <w:pPr>
              <w:tabs>
                <w:tab w:val="left" w:pos="1080"/>
              </w:tabs>
              <w:ind w:firstLine="0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Cs/>
                <w:color w:val="000000" w:themeColor="text1"/>
                <w:sz w:val="24"/>
                <w:szCs w:val="24"/>
                <w:lang w:val="ro-MD"/>
              </w:rPr>
              <w:t>Proiectul Hotărârii Guvernului va fi spus expertizei juridice și expertizei anticorupție.</w:t>
            </w:r>
          </w:p>
        </w:tc>
      </w:tr>
      <w:tr w:rsidR="0041638F" w:rsidRPr="00AE1A49" w14:paraId="720EBE2C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1154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41638F" w:rsidRPr="0044447B" w14:paraId="07DB5462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8529" w14:textId="101C9DEA" w:rsidR="0041638F" w:rsidRPr="00AE1A49" w:rsidRDefault="00F43BF6" w:rsidP="005F1DB3">
            <w:pPr>
              <w:ind w:firstLine="0"/>
              <w:rPr>
                <w:sz w:val="24"/>
                <w:szCs w:val="24"/>
                <w:lang w:val="ro-MD"/>
              </w:rPr>
            </w:pPr>
            <w:r w:rsidRPr="00AE1A49">
              <w:rPr>
                <w:sz w:val="24"/>
                <w:szCs w:val="24"/>
                <w:lang w:val="ro-MD"/>
              </w:rPr>
              <w:t>Pentru executarea</w:t>
            </w:r>
            <w:r w:rsidR="0041638F" w:rsidRPr="00AE1A49">
              <w:rPr>
                <w:sz w:val="24"/>
                <w:szCs w:val="24"/>
                <w:lang w:val="ro-MD"/>
              </w:rPr>
              <w:t xml:space="preserve"> proiectului Hotărârii Guvernului </w:t>
            </w:r>
            <w:r w:rsidR="002B3113" w:rsidRPr="00AE1A49">
              <w:rPr>
                <w:sz w:val="24"/>
                <w:szCs w:val="24"/>
                <w:lang w:val="ro-MD"/>
              </w:rPr>
              <w:t xml:space="preserve">nu </w:t>
            </w:r>
            <w:r w:rsidR="0041638F" w:rsidRPr="00AE1A49">
              <w:rPr>
                <w:sz w:val="24"/>
                <w:szCs w:val="24"/>
                <w:lang w:val="ro-MD"/>
              </w:rPr>
              <w:t>este n</w:t>
            </w:r>
            <w:r w:rsidR="002B3113" w:rsidRPr="00AE1A49">
              <w:rPr>
                <w:sz w:val="24"/>
                <w:szCs w:val="24"/>
                <w:lang w:val="ro-MD"/>
              </w:rPr>
              <w:t>ecesară modificarea</w:t>
            </w:r>
            <w:r w:rsidR="0041638F" w:rsidRPr="00AE1A49">
              <w:rPr>
                <w:sz w:val="24"/>
                <w:szCs w:val="24"/>
                <w:lang w:val="ro-MD"/>
              </w:rPr>
              <w:t xml:space="preserve"> acte</w:t>
            </w:r>
            <w:r w:rsidR="002B3113" w:rsidRPr="00AE1A49">
              <w:rPr>
                <w:sz w:val="24"/>
                <w:szCs w:val="24"/>
                <w:lang w:val="ro-MD"/>
              </w:rPr>
              <w:t>lor</w:t>
            </w:r>
            <w:r w:rsidR="00BE20A3" w:rsidRPr="00AE1A49">
              <w:rPr>
                <w:sz w:val="24"/>
                <w:szCs w:val="24"/>
                <w:lang w:val="ro-MD"/>
              </w:rPr>
              <w:t xml:space="preserve"> normative.</w:t>
            </w:r>
          </w:p>
        </w:tc>
      </w:tr>
      <w:tr w:rsidR="0041638F" w:rsidRPr="0044447B" w14:paraId="493598B4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E8F4" w14:textId="77777777" w:rsidR="0041638F" w:rsidRPr="00AE1A49" w:rsidRDefault="0041638F" w:rsidP="0041638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E1A49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9. Măsurile necesare pentru implementarea prevederilor proiectului actului normativ.</w:t>
            </w:r>
          </w:p>
        </w:tc>
      </w:tr>
      <w:tr w:rsidR="0041638F" w:rsidRPr="0044447B" w14:paraId="08DA7713" w14:textId="77777777" w:rsidTr="00A7443A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B7" w14:textId="621FB109" w:rsidR="000C0121" w:rsidRPr="00AE1A49" w:rsidRDefault="0041638F" w:rsidP="000C0121">
            <w:pPr>
              <w:ind w:firstLine="0"/>
              <w:rPr>
                <w:sz w:val="24"/>
                <w:szCs w:val="24"/>
                <w:lang w:val="ro-MD"/>
              </w:rPr>
            </w:pPr>
            <w:r w:rsidRPr="00AE1A49">
              <w:rPr>
                <w:sz w:val="24"/>
                <w:szCs w:val="24"/>
                <w:lang w:val="ro-MD"/>
              </w:rPr>
              <w:t>P</w:t>
            </w:r>
            <w:r w:rsidR="00BE20A3" w:rsidRPr="00AE1A49">
              <w:rPr>
                <w:sz w:val="24"/>
                <w:szCs w:val="24"/>
                <w:lang w:val="ro-MD"/>
              </w:rPr>
              <w:t>entru implementarea Hotărârii</w:t>
            </w:r>
            <w:r w:rsidRPr="00AE1A49">
              <w:rPr>
                <w:sz w:val="24"/>
                <w:szCs w:val="24"/>
                <w:lang w:val="ro-MD"/>
              </w:rPr>
              <w:t xml:space="preserve"> Guvern</w:t>
            </w:r>
            <w:r w:rsidR="00BE20A3" w:rsidRPr="00AE1A49">
              <w:rPr>
                <w:sz w:val="24"/>
                <w:szCs w:val="24"/>
                <w:lang w:val="ro-MD"/>
              </w:rPr>
              <w:t>ului</w:t>
            </w:r>
            <w:r w:rsidRPr="00AE1A49">
              <w:rPr>
                <w:sz w:val="24"/>
                <w:szCs w:val="24"/>
                <w:lang w:val="ro-MD"/>
              </w:rPr>
              <w:t>, de către Ministerul</w:t>
            </w:r>
            <w:r w:rsidR="00B01444" w:rsidRPr="00AE1A49">
              <w:rPr>
                <w:sz w:val="24"/>
                <w:szCs w:val="24"/>
                <w:lang w:val="ro-MD"/>
              </w:rPr>
              <w:t xml:space="preserve"> Educației și Cercetării nu vor fi întreprinse alte măsuri.</w:t>
            </w:r>
          </w:p>
        </w:tc>
      </w:tr>
    </w:tbl>
    <w:p w14:paraId="4C6F6888" w14:textId="585EDDDB" w:rsidR="006850CF" w:rsidRDefault="006850CF" w:rsidP="00EB04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MD"/>
        </w:rPr>
      </w:pPr>
    </w:p>
    <w:p w14:paraId="6D64C88D" w14:textId="77777777" w:rsidR="00AC1BF0" w:rsidRPr="00AE1A49" w:rsidRDefault="00AC1BF0" w:rsidP="00EB04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MD"/>
        </w:rPr>
      </w:pPr>
    </w:p>
    <w:p w14:paraId="483EE91F" w14:textId="41EF0449" w:rsidR="008C0CAB" w:rsidRPr="00AE1A49" w:rsidRDefault="00EB049A" w:rsidP="00D535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-284"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AE1A49">
        <w:rPr>
          <w:b/>
          <w:color w:val="000000" w:themeColor="text1"/>
          <w:sz w:val="24"/>
          <w:szCs w:val="24"/>
          <w:lang w:val="ro-MD"/>
        </w:rPr>
        <w:t>Ministru                                   Dan Perciun</w:t>
      </w:r>
    </w:p>
    <w:sectPr w:rsidR="008C0CAB" w:rsidRPr="00AE1A49" w:rsidSect="00AC1BF0">
      <w:headerReference w:type="default" r:id="rId10"/>
      <w:headerReference w:type="first" r:id="rId11"/>
      <w:pgSz w:w="11907" w:h="16840" w:orient="landscape"/>
      <w:pgMar w:top="-284" w:right="0" w:bottom="426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6CB35" w14:textId="77777777" w:rsidR="0042762B" w:rsidRDefault="0042762B">
      <w:r>
        <w:separator/>
      </w:r>
    </w:p>
  </w:endnote>
  <w:endnote w:type="continuationSeparator" w:id="0">
    <w:p w14:paraId="6F7C5EC1" w14:textId="77777777" w:rsidR="0042762B" w:rsidRDefault="0042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ABE34" w14:textId="77777777" w:rsidR="0042762B" w:rsidRDefault="0042762B">
      <w:r>
        <w:separator/>
      </w:r>
    </w:p>
  </w:footnote>
  <w:footnote w:type="continuationSeparator" w:id="0">
    <w:p w14:paraId="0906012F" w14:textId="77777777" w:rsidR="0042762B" w:rsidRDefault="0042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47F66" w14:textId="77777777" w:rsidR="000A4E2C" w:rsidRDefault="0042762B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29F94" w14:textId="77777777" w:rsidR="000A4E2C" w:rsidRDefault="0042762B">
    <w:pPr>
      <w:pStyle w:val="a3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76171"/>
    <w:multiLevelType w:val="hybridMultilevel"/>
    <w:tmpl w:val="2CEE2728"/>
    <w:lvl w:ilvl="0" w:tplc="6BB8F7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7411E"/>
    <w:multiLevelType w:val="multilevel"/>
    <w:tmpl w:val="96884768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626875DA"/>
    <w:multiLevelType w:val="hybridMultilevel"/>
    <w:tmpl w:val="DA8EF4BE"/>
    <w:lvl w:ilvl="0" w:tplc="92403EE2">
      <w:start w:val="8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>
    <w:nsid w:val="7AFF4A98"/>
    <w:multiLevelType w:val="hybridMultilevel"/>
    <w:tmpl w:val="8CA2B93C"/>
    <w:lvl w:ilvl="0" w:tplc="3DFEA45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6"/>
    <w:rsid w:val="00004BE4"/>
    <w:rsid w:val="00006492"/>
    <w:rsid w:val="000315D3"/>
    <w:rsid w:val="000371E1"/>
    <w:rsid w:val="000471CF"/>
    <w:rsid w:val="000540C6"/>
    <w:rsid w:val="00060D28"/>
    <w:rsid w:val="000616F9"/>
    <w:rsid w:val="00066D17"/>
    <w:rsid w:val="00071EC3"/>
    <w:rsid w:val="00073847"/>
    <w:rsid w:val="000765A7"/>
    <w:rsid w:val="00076742"/>
    <w:rsid w:val="00080C73"/>
    <w:rsid w:val="00097748"/>
    <w:rsid w:val="000A119A"/>
    <w:rsid w:val="000A1F30"/>
    <w:rsid w:val="000A3B08"/>
    <w:rsid w:val="000A6415"/>
    <w:rsid w:val="000C0121"/>
    <w:rsid w:val="000D6E53"/>
    <w:rsid w:val="000E0FFD"/>
    <w:rsid w:val="000E2829"/>
    <w:rsid w:val="00100C3F"/>
    <w:rsid w:val="00123EF7"/>
    <w:rsid w:val="00137FCB"/>
    <w:rsid w:val="001432DD"/>
    <w:rsid w:val="00151DFF"/>
    <w:rsid w:val="00171EA7"/>
    <w:rsid w:val="0019294D"/>
    <w:rsid w:val="00193A69"/>
    <w:rsid w:val="001A3EBF"/>
    <w:rsid w:val="001B51EA"/>
    <w:rsid w:val="001C2980"/>
    <w:rsid w:val="001D6CB6"/>
    <w:rsid w:val="001E59C7"/>
    <w:rsid w:val="00233EC2"/>
    <w:rsid w:val="00240BBB"/>
    <w:rsid w:val="00244D1A"/>
    <w:rsid w:val="002549AF"/>
    <w:rsid w:val="00263158"/>
    <w:rsid w:val="002666A8"/>
    <w:rsid w:val="002B2249"/>
    <w:rsid w:val="002B3113"/>
    <w:rsid w:val="002B61BD"/>
    <w:rsid w:val="002C0D18"/>
    <w:rsid w:val="002D58F8"/>
    <w:rsid w:val="003016DA"/>
    <w:rsid w:val="0030174A"/>
    <w:rsid w:val="00301824"/>
    <w:rsid w:val="00303311"/>
    <w:rsid w:val="00304752"/>
    <w:rsid w:val="00306840"/>
    <w:rsid w:val="00307E6D"/>
    <w:rsid w:val="003144B6"/>
    <w:rsid w:val="00314F1D"/>
    <w:rsid w:val="00333D48"/>
    <w:rsid w:val="00334B88"/>
    <w:rsid w:val="003506F8"/>
    <w:rsid w:val="003701DC"/>
    <w:rsid w:val="00385A68"/>
    <w:rsid w:val="003909E3"/>
    <w:rsid w:val="003B6252"/>
    <w:rsid w:val="003B6C98"/>
    <w:rsid w:val="003B6F85"/>
    <w:rsid w:val="003C6C75"/>
    <w:rsid w:val="003D6496"/>
    <w:rsid w:val="003E410C"/>
    <w:rsid w:val="003E746F"/>
    <w:rsid w:val="003F0D00"/>
    <w:rsid w:val="004078F2"/>
    <w:rsid w:val="004114F7"/>
    <w:rsid w:val="00415FA2"/>
    <w:rsid w:val="0041638F"/>
    <w:rsid w:val="00420B0E"/>
    <w:rsid w:val="00423FF8"/>
    <w:rsid w:val="0042762B"/>
    <w:rsid w:val="0043637C"/>
    <w:rsid w:val="00441F7D"/>
    <w:rsid w:val="0044447B"/>
    <w:rsid w:val="004453A3"/>
    <w:rsid w:val="00447289"/>
    <w:rsid w:val="00451C53"/>
    <w:rsid w:val="00451E1D"/>
    <w:rsid w:val="00471EFE"/>
    <w:rsid w:val="004A1DC3"/>
    <w:rsid w:val="004B79DE"/>
    <w:rsid w:val="004C204A"/>
    <w:rsid w:val="004C353A"/>
    <w:rsid w:val="004D08C4"/>
    <w:rsid w:val="004F0639"/>
    <w:rsid w:val="00500D36"/>
    <w:rsid w:val="005159B4"/>
    <w:rsid w:val="00523226"/>
    <w:rsid w:val="00524D39"/>
    <w:rsid w:val="005351AC"/>
    <w:rsid w:val="00543920"/>
    <w:rsid w:val="00583315"/>
    <w:rsid w:val="00584C36"/>
    <w:rsid w:val="0058723F"/>
    <w:rsid w:val="005A6091"/>
    <w:rsid w:val="005A6ABE"/>
    <w:rsid w:val="005B0EBE"/>
    <w:rsid w:val="005C72EF"/>
    <w:rsid w:val="005D77AB"/>
    <w:rsid w:val="005E78F0"/>
    <w:rsid w:val="005F1DB3"/>
    <w:rsid w:val="00601CC9"/>
    <w:rsid w:val="0061691E"/>
    <w:rsid w:val="00636AC0"/>
    <w:rsid w:val="006530FD"/>
    <w:rsid w:val="00656595"/>
    <w:rsid w:val="00656623"/>
    <w:rsid w:val="00660AD0"/>
    <w:rsid w:val="006850CF"/>
    <w:rsid w:val="006917D5"/>
    <w:rsid w:val="006C0CD1"/>
    <w:rsid w:val="006E60CF"/>
    <w:rsid w:val="006F5C9F"/>
    <w:rsid w:val="007065E5"/>
    <w:rsid w:val="00707092"/>
    <w:rsid w:val="0070731C"/>
    <w:rsid w:val="00714AF8"/>
    <w:rsid w:val="00722C79"/>
    <w:rsid w:val="00726CC5"/>
    <w:rsid w:val="00733F1E"/>
    <w:rsid w:val="007449C0"/>
    <w:rsid w:val="0074788F"/>
    <w:rsid w:val="0077111C"/>
    <w:rsid w:val="00772425"/>
    <w:rsid w:val="00782F5A"/>
    <w:rsid w:val="007A5B94"/>
    <w:rsid w:val="007A62E0"/>
    <w:rsid w:val="007D363C"/>
    <w:rsid w:val="007D7147"/>
    <w:rsid w:val="007E6ED7"/>
    <w:rsid w:val="007F5D2F"/>
    <w:rsid w:val="00814C2E"/>
    <w:rsid w:val="00821CA1"/>
    <w:rsid w:val="00850812"/>
    <w:rsid w:val="008564C0"/>
    <w:rsid w:val="008736A1"/>
    <w:rsid w:val="00890EA2"/>
    <w:rsid w:val="008975E5"/>
    <w:rsid w:val="008B452B"/>
    <w:rsid w:val="008C0CAB"/>
    <w:rsid w:val="008C2D34"/>
    <w:rsid w:val="008C399D"/>
    <w:rsid w:val="008E1DFD"/>
    <w:rsid w:val="008F2E0C"/>
    <w:rsid w:val="008F379A"/>
    <w:rsid w:val="00923088"/>
    <w:rsid w:val="009342DA"/>
    <w:rsid w:val="009401C1"/>
    <w:rsid w:val="009612FF"/>
    <w:rsid w:val="009619C4"/>
    <w:rsid w:val="00966072"/>
    <w:rsid w:val="0097663A"/>
    <w:rsid w:val="00985E6F"/>
    <w:rsid w:val="009A6C06"/>
    <w:rsid w:val="009C0E97"/>
    <w:rsid w:val="009C359A"/>
    <w:rsid w:val="009D093F"/>
    <w:rsid w:val="009E1192"/>
    <w:rsid w:val="009E4F8E"/>
    <w:rsid w:val="009F2B22"/>
    <w:rsid w:val="00A01193"/>
    <w:rsid w:val="00A02B89"/>
    <w:rsid w:val="00A047A9"/>
    <w:rsid w:val="00A135BC"/>
    <w:rsid w:val="00A2181F"/>
    <w:rsid w:val="00A46F48"/>
    <w:rsid w:val="00A7443A"/>
    <w:rsid w:val="00A952DD"/>
    <w:rsid w:val="00AC1BF0"/>
    <w:rsid w:val="00AC21FD"/>
    <w:rsid w:val="00AC5CA9"/>
    <w:rsid w:val="00AC5EB1"/>
    <w:rsid w:val="00AC7E96"/>
    <w:rsid w:val="00AD7565"/>
    <w:rsid w:val="00AE1A49"/>
    <w:rsid w:val="00AE3815"/>
    <w:rsid w:val="00AF693A"/>
    <w:rsid w:val="00B01444"/>
    <w:rsid w:val="00B0678A"/>
    <w:rsid w:val="00B13B63"/>
    <w:rsid w:val="00B16C67"/>
    <w:rsid w:val="00B418BB"/>
    <w:rsid w:val="00B5238A"/>
    <w:rsid w:val="00B54771"/>
    <w:rsid w:val="00B670A2"/>
    <w:rsid w:val="00BA7C18"/>
    <w:rsid w:val="00BB14FD"/>
    <w:rsid w:val="00BC1699"/>
    <w:rsid w:val="00BE20A3"/>
    <w:rsid w:val="00BF5BFF"/>
    <w:rsid w:val="00BF5C82"/>
    <w:rsid w:val="00C238E5"/>
    <w:rsid w:val="00C34F8E"/>
    <w:rsid w:val="00C4028B"/>
    <w:rsid w:val="00C408FD"/>
    <w:rsid w:val="00C42C70"/>
    <w:rsid w:val="00C54EAE"/>
    <w:rsid w:val="00C624AF"/>
    <w:rsid w:val="00C633ED"/>
    <w:rsid w:val="00C94CC3"/>
    <w:rsid w:val="00C97C4A"/>
    <w:rsid w:val="00CA6418"/>
    <w:rsid w:val="00CE22F4"/>
    <w:rsid w:val="00D03D8E"/>
    <w:rsid w:val="00D159D6"/>
    <w:rsid w:val="00D51E87"/>
    <w:rsid w:val="00D5350C"/>
    <w:rsid w:val="00D61A0E"/>
    <w:rsid w:val="00D74E65"/>
    <w:rsid w:val="00D7683F"/>
    <w:rsid w:val="00D76F2C"/>
    <w:rsid w:val="00D770EE"/>
    <w:rsid w:val="00D874DE"/>
    <w:rsid w:val="00DB1B00"/>
    <w:rsid w:val="00DC5C3E"/>
    <w:rsid w:val="00DD247B"/>
    <w:rsid w:val="00DD24C2"/>
    <w:rsid w:val="00DE0BF0"/>
    <w:rsid w:val="00DE3A7A"/>
    <w:rsid w:val="00DE51D2"/>
    <w:rsid w:val="00DF05D9"/>
    <w:rsid w:val="00DF170E"/>
    <w:rsid w:val="00DF3CB0"/>
    <w:rsid w:val="00E11955"/>
    <w:rsid w:val="00E11B31"/>
    <w:rsid w:val="00E131A2"/>
    <w:rsid w:val="00E33FA1"/>
    <w:rsid w:val="00E35AF9"/>
    <w:rsid w:val="00E41DD9"/>
    <w:rsid w:val="00E43AC0"/>
    <w:rsid w:val="00E76765"/>
    <w:rsid w:val="00E85D48"/>
    <w:rsid w:val="00E91DDF"/>
    <w:rsid w:val="00E94C9B"/>
    <w:rsid w:val="00E96DDE"/>
    <w:rsid w:val="00EA43A3"/>
    <w:rsid w:val="00EB049A"/>
    <w:rsid w:val="00ED247B"/>
    <w:rsid w:val="00EF368A"/>
    <w:rsid w:val="00F008AB"/>
    <w:rsid w:val="00F01BCF"/>
    <w:rsid w:val="00F2732E"/>
    <w:rsid w:val="00F422B7"/>
    <w:rsid w:val="00F43BF6"/>
    <w:rsid w:val="00F63FBB"/>
    <w:rsid w:val="00F72243"/>
    <w:rsid w:val="00F81203"/>
    <w:rsid w:val="00F822B9"/>
    <w:rsid w:val="00F90A73"/>
    <w:rsid w:val="00FA1094"/>
    <w:rsid w:val="00FB10D2"/>
    <w:rsid w:val="00FB29B1"/>
    <w:rsid w:val="00FB463D"/>
    <w:rsid w:val="00FC1458"/>
    <w:rsid w:val="00FC3C59"/>
    <w:rsid w:val="00FC44D8"/>
    <w:rsid w:val="00FE11A0"/>
    <w:rsid w:val="00FE5823"/>
    <w:rsid w:val="00FE69BE"/>
    <w:rsid w:val="00FE6D30"/>
    <w:rsid w:val="00FE77C4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3F5F"/>
  <w15:chartTrackingRefBased/>
  <w15:docId w15:val="{D95EE49E-8701-4EA3-8712-01E9183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EB049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049A"/>
    <w:pPr>
      <w:ind w:left="720"/>
      <w:contextualSpacing/>
    </w:pPr>
  </w:style>
  <w:style w:type="character" w:styleId="a7">
    <w:name w:val="Hyperlink"/>
    <w:basedOn w:val="a0"/>
    <w:uiPriority w:val="99"/>
    <w:rsid w:val="00EB04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F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F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F1D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F43BF6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DF05D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CF67-E669-42B2-9B56-84763BD3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MECC</cp:lastModifiedBy>
  <cp:revision>69</cp:revision>
  <cp:lastPrinted>2025-08-20T13:42:00Z</cp:lastPrinted>
  <dcterms:created xsi:type="dcterms:W3CDTF">2025-08-18T11:07:00Z</dcterms:created>
  <dcterms:modified xsi:type="dcterms:W3CDTF">2025-10-30T13:14:00Z</dcterms:modified>
</cp:coreProperties>
</file>