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BD" w:rsidRPr="00EA6B47" w:rsidRDefault="00904454" w:rsidP="00D53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Nota</w:t>
      </w:r>
      <w:r w:rsidR="00D22FE7" w:rsidRPr="00EA6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803">
        <w:rPr>
          <w:rFonts w:ascii="Times New Roman" w:hAnsi="Times New Roman" w:cs="Times New Roman"/>
          <w:b/>
          <w:sz w:val="28"/>
          <w:szCs w:val="28"/>
        </w:rPr>
        <w:t>de fundamentare</w:t>
      </w:r>
    </w:p>
    <w:p w:rsidR="00A30E10" w:rsidRPr="00EA6B47" w:rsidRDefault="00F64C86" w:rsidP="00151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B47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r w:rsidR="0051146B" w:rsidRPr="00EA6B47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1B1316">
        <w:rPr>
          <w:rFonts w:ascii="Times New Roman" w:hAnsi="Times New Roman" w:cs="Times New Roman"/>
          <w:b/>
          <w:sz w:val="28"/>
          <w:szCs w:val="28"/>
        </w:rPr>
        <w:t>O</w:t>
      </w:r>
      <w:r w:rsidR="005F64CB" w:rsidRPr="00EA6B47">
        <w:rPr>
          <w:rFonts w:ascii="Times New Roman" w:hAnsi="Times New Roman" w:cs="Times New Roman"/>
          <w:b/>
          <w:sz w:val="28"/>
          <w:szCs w:val="28"/>
        </w:rPr>
        <w:t>rdin</w:t>
      </w:r>
      <w:r w:rsidR="00E0779B">
        <w:rPr>
          <w:rFonts w:ascii="Times New Roman" w:hAnsi="Times New Roman" w:cs="Times New Roman"/>
          <w:b/>
          <w:sz w:val="28"/>
          <w:szCs w:val="28"/>
        </w:rPr>
        <w:t xml:space="preserve"> al Ministrului Finanțelor</w:t>
      </w:r>
      <w:r w:rsidR="005F64CB" w:rsidRPr="00EA6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6FF">
        <w:rPr>
          <w:rFonts w:ascii="Times New Roman" w:hAnsi="Times New Roman" w:cs="Times New Roman"/>
          <w:b/>
          <w:sz w:val="28"/>
          <w:szCs w:val="28"/>
        </w:rPr>
        <w:t>cu</w:t>
      </w:r>
      <w:r w:rsidR="001E6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2AF" w:rsidRPr="001512AF">
        <w:rPr>
          <w:rFonts w:ascii="Times New Roman" w:hAnsi="Times New Roman" w:cs="Times New Roman"/>
          <w:b/>
          <w:sz w:val="28"/>
          <w:szCs w:val="28"/>
        </w:rPr>
        <w:t>pr</w:t>
      </w:r>
      <w:r w:rsidR="001B1316">
        <w:rPr>
          <w:rFonts w:ascii="Times New Roman" w:hAnsi="Times New Roman" w:cs="Times New Roman"/>
          <w:b/>
          <w:sz w:val="28"/>
          <w:szCs w:val="28"/>
        </w:rPr>
        <w:t>ivire la abrogarea unor O</w:t>
      </w:r>
      <w:r w:rsidR="001512AF">
        <w:rPr>
          <w:rFonts w:ascii="Times New Roman" w:hAnsi="Times New Roman" w:cs="Times New Roman"/>
          <w:b/>
          <w:sz w:val="28"/>
          <w:szCs w:val="28"/>
        </w:rPr>
        <w:t xml:space="preserve">rdine </w:t>
      </w:r>
      <w:r w:rsidR="001512AF" w:rsidRPr="001512AF">
        <w:rPr>
          <w:rFonts w:ascii="Times New Roman" w:hAnsi="Times New Roman" w:cs="Times New Roman"/>
          <w:b/>
          <w:sz w:val="28"/>
          <w:szCs w:val="28"/>
        </w:rPr>
        <w:t>ale Ministrului Finanțelor</w:t>
      </w:r>
    </w:p>
    <w:tbl>
      <w:tblPr>
        <w:tblStyle w:val="TableGrid"/>
        <w:tblW w:w="9527" w:type="dxa"/>
        <w:tblInd w:w="-176" w:type="dxa"/>
        <w:tblLook w:val="04A0" w:firstRow="1" w:lastRow="0" w:firstColumn="1" w:lastColumn="0" w:noHBand="0" w:noVBand="1"/>
      </w:tblPr>
      <w:tblGrid>
        <w:gridCol w:w="9527"/>
      </w:tblGrid>
      <w:tr w:rsidR="00F64C86" w:rsidRPr="00EA6B47" w:rsidTr="006B74A9">
        <w:tc>
          <w:tcPr>
            <w:tcW w:w="9527" w:type="dxa"/>
          </w:tcPr>
          <w:p w:rsidR="00F64C86" w:rsidRPr="00483716" w:rsidRDefault="000F3002" w:rsidP="001223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Denumirea sau numele autorului </w:t>
            </w:r>
            <w:proofErr w:type="spellStart"/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după caz, a/al </w:t>
            </w:r>
            <w:proofErr w:type="spellStart"/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>participanţilor</w:t>
            </w:r>
            <w:proofErr w:type="spellEnd"/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 elaborarea proiectului actului normativ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1A1991" w:rsidRDefault="00EB3016" w:rsidP="00CB1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sz w:val="28"/>
                <w:szCs w:val="28"/>
              </w:rPr>
              <w:t>Ministerul Finanțelor</w:t>
            </w:r>
            <w:r w:rsidR="00A76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483716" w:rsidRDefault="005F5A04" w:rsidP="0012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DC7458" w:rsidRPr="004837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C7458" w:rsidRPr="004837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Condiţiile</w:t>
            </w:r>
            <w:proofErr w:type="spellEnd"/>
            <w:r w:rsidR="00DC7458" w:rsidRPr="004837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ce au impus elaborarea proiectului actului normativ</w:t>
            </w:r>
          </w:p>
        </w:tc>
      </w:tr>
      <w:tr w:rsidR="00F64C86" w:rsidRPr="00EA6B47" w:rsidTr="00ED0935">
        <w:trPr>
          <w:trHeight w:val="285"/>
        </w:trPr>
        <w:tc>
          <w:tcPr>
            <w:tcW w:w="9527" w:type="dxa"/>
          </w:tcPr>
          <w:p w:rsidR="00DC7458" w:rsidRPr="000F7A48" w:rsidRDefault="00DC7458" w:rsidP="00122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2.1</w:t>
            </w:r>
            <w:r w:rsidR="00CB16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Temeiul legal sau, după caz, sursa proiectului actului normativ</w:t>
            </w:r>
          </w:p>
        </w:tc>
      </w:tr>
      <w:tr w:rsidR="00ED0935" w:rsidRPr="00EA6B47" w:rsidTr="00FF36FF">
        <w:trPr>
          <w:trHeight w:val="635"/>
        </w:trPr>
        <w:tc>
          <w:tcPr>
            <w:tcW w:w="9527" w:type="dxa"/>
          </w:tcPr>
          <w:p w:rsidR="00ED0935" w:rsidRPr="00ED0935" w:rsidRDefault="00ED0935" w:rsidP="00FF36F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Proiectul </w:t>
            </w:r>
            <w:r w:rsidR="00FF36F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 ordin</w:t>
            </w:r>
            <w:r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B02FF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 fost</w:t>
            </w:r>
            <w:r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elaborat </w:t>
            </w:r>
            <w:r w:rsid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</w:t>
            </w:r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n temeiul art.8 alin.(1) </w:t>
            </w:r>
            <w:proofErr w:type="spellStart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lit.b</w:t>
            </w:r>
            <w:proofErr w:type="spellEnd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)</w:t>
            </w:r>
            <w:r w:rsidR="001512A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 art.12 alin.(1)</w:t>
            </w:r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al</w:t>
            </w:r>
            <w:r w:rsidR="001512A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</w:t>
            </w:r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Legii </w:t>
            </w:r>
            <w:proofErr w:type="spellStart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contabilităţii</w:t>
            </w:r>
            <w:proofErr w:type="spellEnd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proofErr w:type="spellStart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şi</w:t>
            </w:r>
            <w:proofErr w:type="spellEnd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raportării financiare nr.287/</w:t>
            </w:r>
            <w:r w:rsidR="00B02FF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2017</w:t>
            </w:r>
            <w:r w:rsidR="00FF36F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</w:tr>
      <w:tr w:rsidR="00ED0935" w:rsidRPr="00EA6B47" w:rsidTr="00ED0935">
        <w:trPr>
          <w:trHeight w:val="671"/>
        </w:trPr>
        <w:tc>
          <w:tcPr>
            <w:tcW w:w="9527" w:type="dxa"/>
          </w:tcPr>
          <w:p w:rsidR="00ED0935" w:rsidRPr="000F7A48" w:rsidRDefault="00ED0935" w:rsidP="00ED09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2.2</w:t>
            </w:r>
            <w:r w:rsidR="00CB16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Descrierea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situaţiei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actuale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şi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 problemelor care impun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intervenţia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inclusiv a cadrului normativ aplicabil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şi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deficienţelor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/lacunelor normative</w:t>
            </w:r>
          </w:p>
        </w:tc>
      </w:tr>
      <w:tr w:rsidR="00ED0935" w:rsidRPr="00EA6B47" w:rsidTr="00FF36FF">
        <w:trPr>
          <w:trHeight w:val="635"/>
        </w:trPr>
        <w:tc>
          <w:tcPr>
            <w:tcW w:w="9527" w:type="dxa"/>
          </w:tcPr>
          <w:p w:rsidR="00ED0935" w:rsidRPr="000F7A48" w:rsidRDefault="00B02FF2" w:rsidP="00FF36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</w:t>
            </w:r>
            <w:r w:rsidR="00ED0935"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ro</w:t>
            </w:r>
            <w:r w:rsidR="00FF36F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iectul de ordin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 fost elaborat în scopul</w:t>
            </w:r>
            <w:r w:rsidR="0090445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FF36F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aducerii în concordanță cu prevederile cadrului normativ existent. 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1A1991" w:rsidRDefault="00C97F7C" w:rsidP="0012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5E6BC3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Obiectivele urmărite </w:t>
            </w:r>
            <w:proofErr w:type="spellStart"/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soluţiile</w:t>
            </w:r>
            <w:proofErr w:type="spellEnd"/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propuse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Default="00346698" w:rsidP="003466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3.1. Principalele prevederi ale proiectului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evidenţierea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elementelor noi</w:t>
            </w:r>
          </w:p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Urmare a abrogării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lit.d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) din art.12 alin.(1) al Legii contabilității și raportării financiare nr.287/2017 care prevedea că documentele primare cu regim special se întocmesc conform formularelor tipizate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se utilizează, inclusiv, în cazul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achiziţionării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activelor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serviciilor de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locaţiune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de la furnizori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cetăţeni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, precum și excluderea ulter</w:t>
            </w:r>
            <w:r w:rsidR="00495E2C">
              <w:rPr>
                <w:rFonts w:ascii="Times New Roman" w:hAnsi="Times New Roman" w:cs="Times New Roman"/>
                <w:sz w:val="28"/>
                <w:szCs w:val="28"/>
              </w:rPr>
              <w:t>ioară a formularelor tipizate: „A</w:t>
            </w: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ct de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achiziţie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a mărfurilor</w:t>
            </w:r>
            <w:r w:rsidR="00495E2C">
              <w:rPr>
                <w:rFonts w:ascii="Times New Roman" w:hAnsi="Times New Roman" w:cs="Times New Roman"/>
                <w:sz w:val="28"/>
                <w:szCs w:val="28"/>
              </w:rPr>
              <w:t>” și „B</w:t>
            </w: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orderou de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achiziţie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al laptelui</w:t>
            </w:r>
            <w:r w:rsidR="00495E2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din Nomenclatorul formularelor tipizate de documente primare cu regim special, aprobat prin Hotărârea Guvernului nr.294/1998 cu privire la executarea Decretului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Preşedintelui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Republicii Moldova nr.406/1997, a apărut necesitatea abrogării Ordinelor Ministrului Finanțelor privind aprobarea formularelor tipizate menționate supra.</w:t>
            </w:r>
          </w:p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Totodată, art. 11 alin. (4) din Legea prenotată, stabilește că entitatea utilizează formulare tipizate de documente primare aprobate de Ministerul Finanțelor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alte autorități publice sau poate elabora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utiliza formulare de documente primare, aprobate de conducerea acesteia, cu respectarea prevederilor alin. (7) </w:t>
            </w:r>
            <w:proofErr w:type="spellStart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(8).</w:t>
            </w:r>
          </w:p>
          <w:p w:rsidR="00346698" w:rsidRPr="00346698" w:rsidRDefault="00346698" w:rsidP="00B34B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Astfel, entitățile  de sine</w:t>
            </w:r>
            <w:r w:rsidR="002F0E0A">
              <w:rPr>
                <w:rFonts w:ascii="Times New Roman" w:hAnsi="Times New Roman" w:cs="Times New Roman"/>
                <w:sz w:val="28"/>
                <w:szCs w:val="28"/>
              </w:rPr>
              <w:t xml:space="preserve"> stătător pot elabora formularele</w:t>
            </w: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respectiv</w:t>
            </w:r>
            <w:r w:rsidR="002F0E0A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bookmarkStart w:id="0" w:name="_GoBack"/>
            <w:bookmarkEnd w:id="0"/>
            <w:r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în dependență de </w:t>
            </w:r>
            <w:proofErr w:type="spellStart"/>
            <w:r w:rsidR="00B34BAA">
              <w:rPr>
                <w:rFonts w:ascii="Times New Roman" w:hAnsi="Times New Roman" w:cs="Times New Roman"/>
                <w:sz w:val="28"/>
                <w:szCs w:val="28"/>
              </w:rPr>
              <w:t>particularit</w:t>
            </w:r>
            <w:r w:rsidR="00B34BA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ățile</w:t>
            </w:r>
            <w:proofErr w:type="spellEnd"/>
            <w:r w:rsidR="00B34BA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activității</w:t>
            </w:r>
            <w:r w:rsidR="00B34BAA">
              <w:rPr>
                <w:rFonts w:ascii="Times New Roman" w:hAnsi="Times New Roman" w:cs="Times New Roman"/>
                <w:sz w:val="28"/>
                <w:szCs w:val="28"/>
              </w:rPr>
              <w:t xml:space="preserve"> și necesitățile </w:t>
            </w: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informaționale proprii.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3.2.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Opţiunile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alternative analizate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motivele pentru care acestea nu au fost luate în considerare</w:t>
            </w:r>
          </w:p>
        </w:tc>
      </w:tr>
      <w:tr w:rsidR="00F64C86" w:rsidRPr="00EA6B47" w:rsidTr="00346698">
        <w:trPr>
          <w:trHeight w:val="66"/>
        </w:trPr>
        <w:tc>
          <w:tcPr>
            <w:tcW w:w="9527" w:type="dxa"/>
          </w:tcPr>
          <w:p w:rsidR="00346698" w:rsidRPr="00B02FF2" w:rsidRDefault="00346698" w:rsidP="003466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Nu au fost identificate.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1A1991" w:rsidRDefault="002A199F" w:rsidP="0012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DC7458" w:rsidRPr="001A1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Ana</w:t>
            </w:r>
            <w:r w:rsidR="00C83B4D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liza impactului de reglementare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4.1. Impactul asupra sectorului public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4.2. Impactul financiar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argumentarea costurilor estimative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4.3. Impactul asupra sectorului privat</w:t>
            </w:r>
          </w:p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Modificările propuse prin abrogarea Ordinelor Ministrului Finanțelor va simplifica procesul de administrare a afacerilor, precum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și va simplifica interacțiunea </w:t>
            </w: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mediului de afaceri cu autoritățile statului.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4.4. Impactul social </w:t>
            </w:r>
          </w:p>
          <w:p w:rsidR="00346698" w:rsidRP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4.4.1. Impactul asupra datelor cu caracter personal</w:t>
            </w:r>
          </w:p>
          <w:p w:rsidR="00346698" w:rsidRPr="00346698" w:rsidRDefault="00346698" w:rsidP="0034669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4.4.2. Impactul asupra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echităţii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egalităţii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de gen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4.5. Impactul asupra mediului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4.6. Alte impacturi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şi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informaţii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relevante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A76463" w:rsidP="00A76463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Compatibilitatea proiectului actului normativ cu </w:t>
            </w:r>
            <w:proofErr w:type="spellStart"/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legislaţia</w:t>
            </w:r>
            <w:proofErr w:type="spellEnd"/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UE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5.1. Măsuri normative necesare pentru transpunerea actelor juridice ale UE în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legislaţia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naţională</w:t>
            </w:r>
            <w:proofErr w:type="spellEnd"/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5.2. Măsuri normative care urmăresc crearea cadrului juridic intern necesar pentru implementarea </w:t>
            </w:r>
            <w:proofErr w:type="spellStart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legislaţiei</w:t>
            </w:r>
            <w:proofErr w:type="spellEnd"/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UE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Proiectul de ordin în cauză nu are drept scop armonizarea legislației naționale cu legislația Uniunii Europene.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A76463" w:rsidP="00A764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Avizarea </w:t>
            </w:r>
            <w:proofErr w:type="spellStart"/>
            <w:r w:rsidRPr="001A1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şi</w:t>
            </w:r>
            <w:proofErr w:type="spellEnd"/>
            <w:r w:rsidRPr="001A1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consultarea publică a proiectului actului normativ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A76463" w:rsidP="003118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Proiectul </w:t>
            </w:r>
            <w:r w:rsidR="00A75BC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urmează a fi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supus avizării și consultării publice în conformitate cu art.32 din Legea nr.100/2017 cu privire la actele normative, prin expediere părților interesate și prin publicare pe pagina web oficială a Ministerului Finanțelor</w:t>
            </w:r>
            <w:r w:rsidR="00306340"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 pe portalul guvernamental particip.gov.md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  <w:p w:rsidR="00A76463" w:rsidRDefault="00A76463" w:rsidP="003118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scopul respectării prevederilor Legii nr.239/2008 privind transparența în procesul decizion</w:t>
            </w:r>
            <w:r w:rsidR="0030634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al, proiectul </w:t>
            </w:r>
            <w:r w:rsidR="00B34BA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de ordin și </w:t>
            </w:r>
            <w:r w:rsidR="00A75BC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nota de fundamentare vor fi plasate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pe pagina web oficială a Ministerului Finanțelor (compartimentul </w:t>
            </w:r>
            <w:r w:rsidRPr="001A1991">
              <w:rPr>
                <w:rFonts w:ascii="Times New Roman" w:hAnsi="Times New Roman" w:cs="Times New Roman"/>
                <w:sz w:val="28"/>
                <w:szCs w:val="28"/>
              </w:rPr>
              <w:t>„Transparența decizională”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) și pe portalul guvernamental particip.gov.md.</w:t>
            </w:r>
          </w:p>
          <w:p w:rsidR="00A75BC8" w:rsidRPr="00B34BAA" w:rsidRDefault="00311806" w:rsidP="005C7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D9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Anunțul de inițiere a proiectului de ordin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 fost publicat pe pagina web oficială a Ministerului</w:t>
            </w:r>
            <w:r w:rsidR="00A76D9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hyperlink r:id="rId6" w:history="1">
              <w:r w:rsidR="00A76D9C" w:rsidRPr="00B61192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MD"/>
                </w:rPr>
                <w:t>https://mf.gov.md/ro/content/anun%C8%9B-privind-ini%C8%9Bierea-elabor%C4%83rii-proiectului-690</w:t>
              </w:r>
            </w:hyperlink>
            <w:r w:rsidR="00A76D9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31180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și pe</w:t>
            </w:r>
            <w:r w:rsidR="00A76D9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platforma particip.gov.md</w:t>
            </w:r>
            <w:r w:rsidR="00B34B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118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346698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7. Concluziile expertizelor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346698" w:rsidP="00A764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A76463" w:rsidRPr="001A1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Modul de încorporare a actului în cadrul normativ existent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A76463" w:rsidP="00A764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Urmare aprobării proiectului, nu va apărea necesitatea modificării sau abrogării unor acte normative.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346698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9. Măsurile necesare pentru implementarea prevederilor proiectului actului normativ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34669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Nu au fost identificate.</w:t>
            </w:r>
          </w:p>
        </w:tc>
      </w:tr>
    </w:tbl>
    <w:p w:rsidR="006B74A9" w:rsidRDefault="006B74A9" w:rsidP="007B49CD">
      <w:pPr>
        <w:spacing w:after="0" w:line="240" w:lineRule="auto"/>
        <w:jc w:val="both"/>
        <w:rPr>
          <w:b/>
          <w:sz w:val="28"/>
          <w:szCs w:val="28"/>
        </w:rPr>
      </w:pPr>
    </w:p>
    <w:p w:rsidR="00F42AEE" w:rsidRPr="00A30E10" w:rsidRDefault="002B43C1" w:rsidP="007B49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E10">
        <w:rPr>
          <w:b/>
          <w:sz w:val="28"/>
          <w:szCs w:val="28"/>
        </w:rPr>
        <w:t xml:space="preserve">        </w:t>
      </w:r>
      <w:r w:rsidR="007B49CD" w:rsidRPr="00A30E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2AEE" w:rsidRPr="00A30E10" w:rsidRDefault="00F42AEE" w:rsidP="007B49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747" w:rsidRPr="00B34BAA" w:rsidRDefault="003B103D" w:rsidP="00EA6B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132F2">
        <w:rPr>
          <w:rFonts w:ascii="Times New Roman" w:hAnsi="Times New Roman" w:cs="Times New Roman"/>
          <w:b/>
          <w:sz w:val="28"/>
          <w:szCs w:val="28"/>
        </w:rPr>
        <w:t>MINISTR</w:t>
      </w:r>
      <w:r w:rsidR="00D132F2">
        <w:rPr>
          <w:rFonts w:ascii="Times New Roman" w:hAnsi="Times New Roman" w:cs="Times New Roman"/>
          <w:b/>
          <w:sz w:val="28"/>
          <w:szCs w:val="28"/>
          <w:lang w:val="ro-MD"/>
        </w:rPr>
        <w:t>Ă</w:t>
      </w:r>
      <w:r w:rsidR="00A30E10" w:rsidRPr="00B34BA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ED4747" w:rsidRPr="00B34BA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B34BA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D4747" w:rsidRPr="00B34BA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75BC8" w:rsidRPr="00B34BAA">
        <w:rPr>
          <w:rFonts w:ascii="Times New Roman" w:hAnsi="Times New Roman" w:cs="Times New Roman"/>
          <w:b/>
          <w:sz w:val="28"/>
          <w:szCs w:val="28"/>
        </w:rPr>
        <w:t>Victoria BELOUS</w:t>
      </w:r>
    </w:p>
    <w:sectPr w:rsidR="00ED4747" w:rsidRPr="00B34BAA" w:rsidSect="006B74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5683"/>
    <w:multiLevelType w:val="hybridMultilevel"/>
    <w:tmpl w:val="ED382E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C05E0"/>
    <w:multiLevelType w:val="hybridMultilevel"/>
    <w:tmpl w:val="D3ECA9E8"/>
    <w:lvl w:ilvl="0" w:tplc="C7E29D94">
      <w:start w:val="3"/>
      <w:numFmt w:val="bullet"/>
      <w:lvlText w:val="-"/>
      <w:lvlJc w:val="left"/>
      <w:pPr>
        <w:ind w:left="6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716457DC"/>
    <w:multiLevelType w:val="hybridMultilevel"/>
    <w:tmpl w:val="0B66C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BD"/>
    <w:rsid w:val="00032D90"/>
    <w:rsid w:val="000B52CC"/>
    <w:rsid w:val="000C729D"/>
    <w:rsid w:val="000F3002"/>
    <w:rsid w:val="000F7A48"/>
    <w:rsid w:val="00112273"/>
    <w:rsid w:val="00114891"/>
    <w:rsid w:val="001223C0"/>
    <w:rsid w:val="00126708"/>
    <w:rsid w:val="001477D2"/>
    <w:rsid w:val="001512AF"/>
    <w:rsid w:val="001531A1"/>
    <w:rsid w:val="0016443F"/>
    <w:rsid w:val="00180BFF"/>
    <w:rsid w:val="0018246B"/>
    <w:rsid w:val="001851EA"/>
    <w:rsid w:val="001A1991"/>
    <w:rsid w:val="001A304F"/>
    <w:rsid w:val="001A3065"/>
    <w:rsid w:val="001B1316"/>
    <w:rsid w:val="001B6D9B"/>
    <w:rsid w:val="001E43D1"/>
    <w:rsid w:val="001E6A5E"/>
    <w:rsid w:val="001E733C"/>
    <w:rsid w:val="001E7590"/>
    <w:rsid w:val="001F5080"/>
    <w:rsid w:val="00212574"/>
    <w:rsid w:val="00216FC8"/>
    <w:rsid w:val="00256135"/>
    <w:rsid w:val="00277A43"/>
    <w:rsid w:val="00294191"/>
    <w:rsid w:val="00294FC7"/>
    <w:rsid w:val="002A199F"/>
    <w:rsid w:val="002B1DFB"/>
    <w:rsid w:val="002B43C1"/>
    <w:rsid w:val="002C582F"/>
    <w:rsid w:val="002E346F"/>
    <w:rsid w:val="002F0E0A"/>
    <w:rsid w:val="00306340"/>
    <w:rsid w:val="0031166D"/>
    <w:rsid w:val="00311806"/>
    <w:rsid w:val="00340671"/>
    <w:rsid w:val="00346698"/>
    <w:rsid w:val="0039382D"/>
    <w:rsid w:val="003B103D"/>
    <w:rsid w:val="003B3CC2"/>
    <w:rsid w:val="003C2CE6"/>
    <w:rsid w:val="003C794F"/>
    <w:rsid w:val="003F772A"/>
    <w:rsid w:val="00400FDC"/>
    <w:rsid w:val="004129C1"/>
    <w:rsid w:val="00415638"/>
    <w:rsid w:val="00422703"/>
    <w:rsid w:val="00422B0D"/>
    <w:rsid w:val="00423AF6"/>
    <w:rsid w:val="00434EDF"/>
    <w:rsid w:val="0044577D"/>
    <w:rsid w:val="00465B38"/>
    <w:rsid w:val="00483716"/>
    <w:rsid w:val="00495E2C"/>
    <w:rsid w:val="004B0BE5"/>
    <w:rsid w:val="004B3A34"/>
    <w:rsid w:val="004B3D60"/>
    <w:rsid w:val="004E0FF1"/>
    <w:rsid w:val="004E38BF"/>
    <w:rsid w:val="004E52A1"/>
    <w:rsid w:val="004F2321"/>
    <w:rsid w:val="004F35FB"/>
    <w:rsid w:val="004F5619"/>
    <w:rsid w:val="00507CBD"/>
    <w:rsid w:val="0051146B"/>
    <w:rsid w:val="0051580B"/>
    <w:rsid w:val="00522E3C"/>
    <w:rsid w:val="00526D11"/>
    <w:rsid w:val="00533EF7"/>
    <w:rsid w:val="00555F1D"/>
    <w:rsid w:val="00560317"/>
    <w:rsid w:val="00563BBC"/>
    <w:rsid w:val="005854DC"/>
    <w:rsid w:val="005C7B15"/>
    <w:rsid w:val="005D4115"/>
    <w:rsid w:val="005D692D"/>
    <w:rsid w:val="005E6BC3"/>
    <w:rsid w:val="005F4DC0"/>
    <w:rsid w:val="005F5A04"/>
    <w:rsid w:val="005F64CB"/>
    <w:rsid w:val="005F79C9"/>
    <w:rsid w:val="00607DA5"/>
    <w:rsid w:val="0061089E"/>
    <w:rsid w:val="00613F32"/>
    <w:rsid w:val="0062399B"/>
    <w:rsid w:val="006502CB"/>
    <w:rsid w:val="00655222"/>
    <w:rsid w:val="00696FC0"/>
    <w:rsid w:val="006A3A9B"/>
    <w:rsid w:val="006A74C3"/>
    <w:rsid w:val="006B74A9"/>
    <w:rsid w:val="006C39BF"/>
    <w:rsid w:val="006D38FB"/>
    <w:rsid w:val="006D5142"/>
    <w:rsid w:val="006F5AB3"/>
    <w:rsid w:val="00725B5D"/>
    <w:rsid w:val="00732BCB"/>
    <w:rsid w:val="007428B1"/>
    <w:rsid w:val="00754203"/>
    <w:rsid w:val="00757A83"/>
    <w:rsid w:val="00771D7A"/>
    <w:rsid w:val="00780288"/>
    <w:rsid w:val="00781557"/>
    <w:rsid w:val="00784C8E"/>
    <w:rsid w:val="007966F6"/>
    <w:rsid w:val="00796D06"/>
    <w:rsid w:val="007A7FB3"/>
    <w:rsid w:val="007B49CD"/>
    <w:rsid w:val="007B7712"/>
    <w:rsid w:val="007D28EF"/>
    <w:rsid w:val="00802AC6"/>
    <w:rsid w:val="00802DCF"/>
    <w:rsid w:val="008379FC"/>
    <w:rsid w:val="00854987"/>
    <w:rsid w:val="0086189D"/>
    <w:rsid w:val="00875684"/>
    <w:rsid w:val="00876402"/>
    <w:rsid w:val="008920D1"/>
    <w:rsid w:val="008A79BE"/>
    <w:rsid w:val="008A7B63"/>
    <w:rsid w:val="008C3068"/>
    <w:rsid w:val="008C6DF0"/>
    <w:rsid w:val="008E1D81"/>
    <w:rsid w:val="008E709D"/>
    <w:rsid w:val="00902D33"/>
    <w:rsid w:val="00904454"/>
    <w:rsid w:val="00904E7A"/>
    <w:rsid w:val="00914D4D"/>
    <w:rsid w:val="00915855"/>
    <w:rsid w:val="00941DEC"/>
    <w:rsid w:val="009517A4"/>
    <w:rsid w:val="00960D22"/>
    <w:rsid w:val="00962803"/>
    <w:rsid w:val="00966333"/>
    <w:rsid w:val="00987082"/>
    <w:rsid w:val="0099093A"/>
    <w:rsid w:val="0099278E"/>
    <w:rsid w:val="00996BF4"/>
    <w:rsid w:val="009C7947"/>
    <w:rsid w:val="00A072BA"/>
    <w:rsid w:val="00A30E10"/>
    <w:rsid w:val="00A368C9"/>
    <w:rsid w:val="00A44BCD"/>
    <w:rsid w:val="00A44CC5"/>
    <w:rsid w:val="00A75BC8"/>
    <w:rsid w:val="00A76463"/>
    <w:rsid w:val="00A76D9C"/>
    <w:rsid w:val="00AB367D"/>
    <w:rsid w:val="00AC084A"/>
    <w:rsid w:val="00AD714F"/>
    <w:rsid w:val="00AE0BC2"/>
    <w:rsid w:val="00B02FF2"/>
    <w:rsid w:val="00B05E70"/>
    <w:rsid w:val="00B34BAA"/>
    <w:rsid w:val="00B44F03"/>
    <w:rsid w:val="00B56790"/>
    <w:rsid w:val="00B578A1"/>
    <w:rsid w:val="00B81DD5"/>
    <w:rsid w:val="00B96038"/>
    <w:rsid w:val="00B962EE"/>
    <w:rsid w:val="00BB5B40"/>
    <w:rsid w:val="00BD34E7"/>
    <w:rsid w:val="00BD4ED7"/>
    <w:rsid w:val="00BF0AD4"/>
    <w:rsid w:val="00BF1F3F"/>
    <w:rsid w:val="00BF6719"/>
    <w:rsid w:val="00C517C4"/>
    <w:rsid w:val="00C548CB"/>
    <w:rsid w:val="00C57BB7"/>
    <w:rsid w:val="00C67946"/>
    <w:rsid w:val="00C83B4D"/>
    <w:rsid w:val="00C84075"/>
    <w:rsid w:val="00C97F7C"/>
    <w:rsid w:val="00CB16A2"/>
    <w:rsid w:val="00CB3BFB"/>
    <w:rsid w:val="00CB7A81"/>
    <w:rsid w:val="00CD2C06"/>
    <w:rsid w:val="00CE2B05"/>
    <w:rsid w:val="00CE3A8C"/>
    <w:rsid w:val="00CE732A"/>
    <w:rsid w:val="00D132F2"/>
    <w:rsid w:val="00D16A94"/>
    <w:rsid w:val="00D223FA"/>
    <w:rsid w:val="00D22FE7"/>
    <w:rsid w:val="00D35090"/>
    <w:rsid w:val="00D45762"/>
    <w:rsid w:val="00D53635"/>
    <w:rsid w:val="00D61335"/>
    <w:rsid w:val="00D8520B"/>
    <w:rsid w:val="00DB2BCC"/>
    <w:rsid w:val="00DB46B8"/>
    <w:rsid w:val="00DC7458"/>
    <w:rsid w:val="00DD1878"/>
    <w:rsid w:val="00DF7E83"/>
    <w:rsid w:val="00E01318"/>
    <w:rsid w:val="00E0779B"/>
    <w:rsid w:val="00E27D91"/>
    <w:rsid w:val="00E47D94"/>
    <w:rsid w:val="00E56648"/>
    <w:rsid w:val="00E62F32"/>
    <w:rsid w:val="00E66210"/>
    <w:rsid w:val="00E84062"/>
    <w:rsid w:val="00E871CF"/>
    <w:rsid w:val="00EA6B47"/>
    <w:rsid w:val="00EB3016"/>
    <w:rsid w:val="00ED0935"/>
    <w:rsid w:val="00ED4747"/>
    <w:rsid w:val="00ED7632"/>
    <w:rsid w:val="00EE2CD6"/>
    <w:rsid w:val="00EF702D"/>
    <w:rsid w:val="00F01401"/>
    <w:rsid w:val="00F16193"/>
    <w:rsid w:val="00F27F39"/>
    <w:rsid w:val="00F42092"/>
    <w:rsid w:val="00F42AEE"/>
    <w:rsid w:val="00F62522"/>
    <w:rsid w:val="00F6448A"/>
    <w:rsid w:val="00F64C86"/>
    <w:rsid w:val="00F74819"/>
    <w:rsid w:val="00F93612"/>
    <w:rsid w:val="00FC0EF7"/>
    <w:rsid w:val="00FC1829"/>
    <w:rsid w:val="00FC5D5F"/>
    <w:rsid w:val="00FD0E42"/>
    <w:rsid w:val="00FF36FF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E5D5"/>
  <w15:docId w15:val="{7D7AA334-1D07-453C-A6D8-990CC297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3002"/>
    <w:pPr>
      <w:ind w:left="720"/>
      <w:contextualSpacing/>
    </w:pPr>
  </w:style>
  <w:style w:type="paragraph" w:styleId="NoSpacing">
    <w:name w:val="No Spacing"/>
    <w:uiPriority w:val="1"/>
    <w:qFormat/>
    <w:rsid w:val="00533EF7"/>
    <w:pPr>
      <w:spacing w:after="0" w:line="240" w:lineRule="auto"/>
    </w:pPr>
    <w:rPr>
      <w:lang w:val="en-US"/>
    </w:rPr>
  </w:style>
  <w:style w:type="paragraph" w:styleId="NormalWeb">
    <w:name w:val="Normal (Web)"/>
    <w:aliases w:val="Знак, Знак"/>
    <w:basedOn w:val="Normal"/>
    <w:link w:val="NormalWebChar"/>
    <w:uiPriority w:val="99"/>
    <w:unhideWhenUsed/>
    <w:rsid w:val="00D5363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p">
    <w:name w:val="cp"/>
    <w:basedOn w:val="Normal"/>
    <w:rsid w:val="00E47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7D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F32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Знак Char, Знак Char"/>
    <w:link w:val="NormalWeb"/>
    <w:uiPriority w:val="99"/>
    <w:locked/>
    <w:rsid w:val="00914D4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f.gov.md/ro/content/anun%C8%9B-privind-ini%C8%9Bierea-elabor%C4%83rii-proiectului-6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47710-4F5B-4BDB-8BD6-8A9E4D8F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cemertansi</dc:creator>
  <cp:keywords/>
  <dc:description/>
  <cp:lastModifiedBy>Volosciuc, Ecaterina</cp:lastModifiedBy>
  <cp:revision>13</cp:revision>
  <cp:lastPrinted>2025-10-20T08:06:00Z</cp:lastPrinted>
  <dcterms:created xsi:type="dcterms:W3CDTF">2025-08-26T10:12:00Z</dcterms:created>
  <dcterms:modified xsi:type="dcterms:W3CDTF">2025-10-27T07:09:00Z</dcterms:modified>
</cp:coreProperties>
</file>