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645815" w:rsidRDefault="00645815" w:rsidP="00645815">
      <w:pPr>
        <w:pStyle w:val="cn"/>
        <w:shd w:val="clear" w:color="auto" w:fill="FFFFFF"/>
        <w:spacing w:before="0" w:beforeAutospacing="0" w:after="0" w:afterAutospacing="0"/>
        <w:jc w:val="center"/>
        <w:rPr>
          <w:color w:val="000000"/>
          <w:lang w:val="ro-MD"/>
        </w:rPr>
      </w:pPr>
      <w:bookmarkStart w:id="0" w:name="_GoBack"/>
      <w:bookmarkEnd w:id="0"/>
      <w:r w:rsidRPr="00645815">
        <w:rPr>
          <w:b/>
          <w:bCs/>
          <w:color w:val="000000"/>
          <w:lang w:val="ro-MD"/>
        </w:rPr>
        <w:t>NOTA DE FUNDAMENTARE</w:t>
      </w:r>
    </w:p>
    <w:p w:rsidR="00645815" w:rsidRPr="00645815" w:rsidRDefault="00645815" w:rsidP="00804ECF">
      <w:pPr>
        <w:pStyle w:val="cn"/>
        <w:shd w:val="clear" w:color="auto" w:fill="FFFFFF"/>
        <w:spacing w:after="0"/>
        <w:ind w:firstLine="709"/>
        <w:jc w:val="center"/>
        <w:rPr>
          <w:color w:val="000000"/>
          <w:lang w:val="ro-MD"/>
        </w:rPr>
      </w:pPr>
      <w:r w:rsidRPr="00645815">
        <w:rPr>
          <w:b/>
          <w:bCs/>
          <w:color w:val="000000"/>
          <w:lang w:val="ro-MD"/>
        </w:rPr>
        <w:t>la proiectul</w:t>
      </w:r>
      <w:r w:rsidR="00E914EF">
        <w:rPr>
          <w:color w:val="000000"/>
          <w:lang w:val="ro-MD"/>
        </w:rPr>
        <w:t xml:space="preserve"> </w:t>
      </w:r>
      <w:r w:rsidR="00E914EF" w:rsidRPr="00253236">
        <w:rPr>
          <w:b/>
          <w:color w:val="000000"/>
          <w:lang w:val="ro-MD"/>
        </w:rPr>
        <w:t xml:space="preserve">Hotărârii de Guvern </w:t>
      </w:r>
      <w:r w:rsidR="0041318B" w:rsidRPr="0041318B">
        <w:rPr>
          <w:b/>
          <w:color w:val="000000"/>
          <w:lang w:val="ro-MD"/>
        </w:rPr>
        <w:t>pentru modificarea Hotărârii Guvernului nr. 43/2013 pentru aprobarea Regulamentului privind testarea şi admiterea soiurilor în Catalogul soiurilor de plante</w:t>
      </w:r>
    </w:p>
    <w:tbl>
      <w:tblPr>
        <w:tblW w:w="5018" w:type="pct"/>
        <w:tblInd w:w="-16" w:type="dxa"/>
        <w:shd w:val="clear" w:color="auto" w:fill="FFFFFF"/>
        <w:tblCellMar>
          <w:left w:w="0" w:type="dxa"/>
          <w:right w:w="0" w:type="dxa"/>
        </w:tblCellMar>
        <w:tblLook w:val="04A0" w:firstRow="1" w:lastRow="0" w:firstColumn="1" w:lastColumn="0" w:noHBand="0" w:noVBand="1"/>
      </w:tblPr>
      <w:tblGrid>
        <w:gridCol w:w="9274"/>
      </w:tblGrid>
      <w:tr w:rsidR="00645815" w:rsidRPr="00FC6009" w:rsidTr="00017487">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1. Denumirea sau numele autorului şi, după caz, a/al participanţilor la elaborarea proiectului actului normativ</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B165E1" w:rsidP="00C82C28">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Sanda</w:t>
            </w:r>
            <w:r w:rsidR="00EB6D8A">
              <w:rPr>
                <w:rFonts w:ascii="Times New Roman" w:eastAsia="Times New Roman" w:hAnsi="Times New Roman" w:cs="Times New Roman"/>
                <w:color w:val="000000"/>
                <w:sz w:val="24"/>
                <w:szCs w:val="24"/>
                <w:lang w:val="ro-MD" w:eastAsia="ru-RU"/>
              </w:rPr>
              <w:t xml:space="preserve"> Melenciuc, consultantă principală, Direcția </w:t>
            </w:r>
            <w:r w:rsidR="00C82C28">
              <w:rPr>
                <w:rFonts w:ascii="Times New Roman" w:eastAsia="Times New Roman" w:hAnsi="Times New Roman" w:cs="Times New Roman"/>
                <w:color w:val="000000"/>
                <w:sz w:val="24"/>
                <w:szCs w:val="24"/>
                <w:lang w:val="ro-MD" w:eastAsia="ru-RU"/>
              </w:rPr>
              <w:t>produse de origine</w:t>
            </w:r>
            <w:r w:rsidR="00EB6D8A">
              <w:rPr>
                <w:rFonts w:ascii="Times New Roman" w:eastAsia="Times New Roman" w:hAnsi="Times New Roman" w:cs="Times New Roman"/>
                <w:color w:val="000000"/>
                <w:sz w:val="24"/>
                <w:szCs w:val="24"/>
                <w:lang w:val="ro-MD" w:eastAsia="ru-RU"/>
              </w:rPr>
              <w:t xml:space="preserve"> vegetal</w:t>
            </w:r>
            <w:r w:rsidR="00C82C28">
              <w:rPr>
                <w:rFonts w:ascii="Times New Roman" w:eastAsia="Times New Roman" w:hAnsi="Times New Roman" w:cs="Times New Roman"/>
                <w:color w:val="000000"/>
                <w:sz w:val="24"/>
                <w:szCs w:val="24"/>
                <w:lang w:val="ro-MD" w:eastAsia="ru-RU"/>
              </w:rPr>
              <w:t>ă</w:t>
            </w:r>
            <w:r w:rsidR="00EB6D8A">
              <w:rPr>
                <w:rFonts w:ascii="Times New Roman" w:eastAsia="Times New Roman" w:hAnsi="Times New Roman" w:cs="Times New Roman"/>
                <w:color w:val="000000"/>
                <w:sz w:val="24"/>
                <w:szCs w:val="24"/>
                <w:lang w:val="ro-MD" w:eastAsia="ru-RU"/>
              </w:rPr>
              <w:t xml:space="preserve">, </w:t>
            </w:r>
            <w:r w:rsidR="00F576B9" w:rsidRPr="00F576B9">
              <w:rPr>
                <w:rFonts w:ascii="Times New Roman" w:eastAsia="Times New Roman" w:hAnsi="Times New Roman" w:cs="Times New Roman"/>
                <w:color w:val="000000"/>
                <w:sz w:val="24"/>
                <w:szCs w:val="24"/>
                <w:lang w:val="ro-MD" w:eastAsia="ru-RU"/>
              </w:rPr>
              <w:t>Ministerul Agriculturii și Industriei Alimentare</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2. Condiţiile ce au impus elaborarea proiectului actului normativ</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2.1. Temeiul legal sau, după caz, sursa proiectului actului normativ</w:t>
            </w:r>
          </w:p>
          <w:p w:rsidR="0041318B" w:rsidRDefault="0041318B" w:rsidP="0041318B">
            <w:pPr>
              <w:spacing w:after="0" w:line="240" w:lineRule="auto"/>
              <w:ind w:firstLine="709"/>
              <w:rPr>
                <w:rFonts w:ascii="Times New Roman" w:eastAsia="Calibri" w:hAnsi="Times New Roman" w:cs="Times New Roman"/>
                <w:sz w:val="24"/>
                <w:szCs w:val="24"/>
                <w:lang w:val="ro-RO"/>
              </w:rPr>
            </w:pPr>
            <w:r w:rsidRPr="0041318B">
              <w:rPr>
                <w:rFonts w:ascii="Times New Roman" w:eastAsia="Calibri" w:hAnsi="Times New Roman" w:cs="Times New Roman"/>
                <w:sz w:val="24"/>
                <w:szCs w:val="24"/>
                <w:lang w:val="ro-RO"/>
              </w:rPr>
              <w:t>Sursa proiectului: proiectul este elaborat ca urmare a angajamentelor asumate de Republica</w:t>
            </w:r>
            <w:r>
              <w:rPr>
                <w:rFonts w:ascii="Times New Roman" w:eastAsia="Calibri" w:hAnsi="Times New Roman" w:cs="Times New Roman"/>
                <w:sz w:val="24"/>
                <w:szCs w:val="24"/>
                <w:lang w:val="ro-RO"/>
              </w:rPr>
              <w:t xml:space="preserve"> </w:t>
            </w:r>
            <w:r w:rsidRPr="0041318B">
              <w:rPr>
                <w:rFonts w:ascii="Times New Roman" w:eastAsia="Calibri" w:hAnsi="Times New Roman" w:cs="Times New Roman"/>
                <w:sz w:val="24"/>
                <w:szCs w:val="24"/>
                <w:lang w:val="ro-RO"/>
              </w:rPr>
              <w:t>Moldova în baza Acordului de Asociere între Republica Moldova</w:t>
            </w:r>
            <w:r w:rsidRPr="0041318B">
              <w:rPr>
                <w:lang w:val="en-US"/>
              </w:rPr>
              <w:t xml:space="preserve"> </w:t>
            </w:r>
            <w:r w:rsidRPr="0041318B">
              <w:rPr>
                <w:rFonts w:ascii="Times New Roman" w:eastAsia="Calibri" w:hAnsi="Times New Roman" w:cs="Times New Roman"/>
                <w:sz w:val="24"/>
                <w:szCs w:val="24"/>
                <w:lang w:val="ro-RO"/>
              </w:rPr>
              <w:t>și Uniunea</w:t>
            </w:r>
            <w:r>
              <w:rPr>
                <w:rFonts w:ascii="Times New Roman" w:eastAsia="Calibri" w:hAnsi="Times New Roman" w:cs="Times New Roman"/>
                <w:sz w:val="24"/>
                <w:szCs w:val="24"/>
                <w:lang w:val="ro-RO"/>
              </w:rPr>
              <w:t xml:space="preserve"> </w:t>
            </w:r>
            <w:r w:rsidRPr="0041318B">
              <w:rPr>
                <w:rFonts w:ascii="Times New Roman" w:eastAsia="Calibri" w:hAnsi="Times New Roman" w:cs="Times New Roman"/>
                <w:sz w:val="24"/>
                <w:szCs w:val="24"/>
                <w:lang w:val="ro-RO"/>
              </w:rPr>
              <w:t>Europeană</w:t>
            </w:r>
            <w:r>
              <w:rPr>
                <w:rFonts w:ascii="Times New Roman" w:eastAsia="Calibri" w:hAnsi="Times New Roman" w:cs="Times New Roman"/>
                <w:sz w:val="24"/>
                <w:szCs w:val="24"/>
                <w:lang w:val="ro-RO"/>
              </w:rPr>
              <w:t xml:space="preserve">. </w:t>
            </w:r>
          </w:p>
          <w:p w:rsidR="007932FE" w:rsidRDefault="0041318B" w:rsidP="0041318B">
            <w:pPr>
              <w:spacing w:after="0" w:line="240" w:lineRule="auto"/>
              <w:ind w:firstLine="709"/>
              <w:rPr>
                <w:rFonts w:ascii="Times New Roman" w:eastAsia="Calibri" w:hAnsi="Times New Roman" w:cs="Times New Roman"/>
                <w:sz w:val="24"/>
                <w:szCs w:val="24"/>
                <w:lang w:val="ro-RO"/>
              </w:rPr>
            </w:pPr>
            <w:r w:rsidRPr="0041318B">
              <w:rPr>
                <w:rFonts w:ascii="Times New Roman" w:eastAsia="Calibri" w:hAnsi="Times New Roman" w:cs="Times New Roman"/>
                <w:sz w:val="24"/>
                <w:szCs w:val="24"/>
                <w:lang w:val="ro-RO"/>
              </w:rPr>
              <w:t xml:space="preserve">Temeiul legal: </w:t>
            </w:r>
          </w:p>
          <w:p w:rsidR="0041318B" w:rsidRDefault="0041318B" w:rsidP="0041318B">
            <w:pPr>
              <w:spacing w:after="0" w:line="240" w:lineRule="auto"/>
              <w:ind w:firstLine="709"/>
              <w:rPr>
                <w:rFonts w:ascii="Times New Roman" w:eastAsia="Times New Roman" w:hAnsi="Times New Roman" w:cs="Times New Roman"/>
                <w:color w:val="000000"/>
                <w:sz w:val="24"/>
                <w:szCs w:val="24"/>
                <w:lang w:val="ro-MD" w:eastAsia="ru-RU"/>
              </w:rPr>
            </w:pPr>
            <w:r w:rsidRPr="0041318B">
              <w:rPr>
                <w:rFonts w:ascii="Times New Roman" w:eastAsia="Times New Roman" w:hAnsi="Times New Roman" w:cs="Times New Roman"/>
                <w:color w:val="000000"/>
                <w:sz w:val="24"/>
                <w:szCs w:val="24"/>
                <w:lang w:val="ro-MD" w:eastAsia="ru-RU"/>
              </w:rPr>
              <w:t>În temeiul art.6 alin.(1) din Legea nr. 68/2013 despre semințe (Monitorul Oficial al Republicii Moldova, 2013, nr. 130-134, art. 417), cu modificările ulterioare, şi al art. 9 alin. (1) din Legea viei şi vinului nr. 57/2006 (republicată în Monitorul Oficial al Republicii Moldova, 2013, nr. 64-68, art. 193)</w:t>
            </w:r>
            <w:r>
              <w:rPr>
                <w:rFonts w:ascii="Times New Roman" w:eastAsia="Times New Roman" w:hAnsi="Times New Roman" w:cs="Times New Roman"/>
                <w:color w:val="000000"/>
                <w:sz w:val="24"/>
                <w:szCs w:val="24"/>
                <w:lang w:val="ro-MD" w:eastAsia="ru-RU"/>
              </w:rPr>
              <w:t>;</w:t>
            </w:r>
          </w:p>
          <w:p w:rsidR="0041318B" w:rsidRPr="008C566B" w:rsidRDefault="0041318B" w:rsidP="00B03518">
            <w:pPr>
              <w:spacing w:after="0" w:line="240" w:lineRule="auto"/>
              <w:ind w:firstLine="709"/>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P</w:t>
            </w:r>
            <w:r w:rsidRPr="0041318B">
              <w:rPr>
                <w:rFonts w:ascii="Times New Roman" w:eastAsia="Times New Roman" w:hAnsi="Times New Roman" w:cs="Times New Roman"/>
                <w:color w:val="000000"/>
                <w:sz w:val="24"/>
                <w:szCs w:val="24"/>
                <w:lang w:val="ro-MD" w:eastAsia="ru-RU"/>
              </w:rPr>
              <w:t>roiectul Hotărârii de Guvern pentru modificarea Hotărârii Guvernului nr. 43/2013 pentru aprobarea Regulamentului privind testarea şi admiterea soiurilor în Catalogul soiurilor de plante</w:t>
            </w:r>
            <w:r>
              <w:rPr>
                <w:rFonts w:ascii="Times New Roman" w:eastAsia="Times New Roman" w:hAnsi="Times New Roman" w:cs="Times New Roman"/>
                <w:color w:val="000000"/>
                <w:sz w:val="24"/>
                <w:szCs w:val="24"/>
                <w:lang w:val="ro-MD" w:eastAsia="ru-RU"/>
              </w:rPr>
              <w:t xml:space="preserve"> î</w:t>
            </w:r>
            <w:r w:rsidRPr="0041318B">
              <w:rPr>
                <w:rFonts w:ascii="Times New Roman" w:eastAsia="Times New Roman" w:hAnsi="Times New Roman" w:cs="Times New Roman"/>
                <w:color w:val="000000"/>
                <w:sz w:val="24"/>
                <w:szCs w:val="24"/>
                <w:lang w:val="ro-MD" w:eastAsia="ru-RU"/>
              </w:rPr>
              <w:t>ntru executarea a acțiunii nr.</w:t>
            </w:r>
            <w:r>
              <w:rPr>
                <w:rFonts w:ascii="Times New Roman" w:eastAsia="Times New Roman" w:hAnsi="Times New Roman" w:cs="Times New Roman"/>
                <w:color w:val="000000"/>
                <w:sz w:val="24"/>
                <w:szCs w:val="24"/>
                <w:lang w:val="ro-MD" w:eastAsia="ru-RU"/>
              </w:rPr>
              <w:t xml:space="preserve"> 139 </w:t>
            </w:r>
            <w:r w:rsidR="00B03518" w:rsidRPr="00B03518">
              <w:rPr>
                <w:rFonts w:ascii="Times New Roman" w:eastAsia="Times New Roman" w:hAnsi="Times New Roman" w:cs="Times New Roman"/>
                <w:color w:val="000000"/>
                <w:sz w:val="24"/>
                <w:szCs w:val="24"/>
                <w:lang w:val="ro-MD" w:eastAsia="ru-RU"/>
              </w:rPr>
              <w:t>din PNA, clusterul</w:t>
            </w:r>
            <w:r w:rsidR="00B03518">
              <w:rPr>
                <w:rFonts w:ascii="Times New Roman" w:eastAsia="Times New Roman" w:hAnsi="Times New Roman" w:cs="Times New Roman"/>
                <w:color w:val="000000"/>
                <w:sz w:val="24"/>
                <w:szCs w:val="24"/>
                <w:lang w:val="ro-MD" w:eastAsia="ru-RU"/>
              </w:rPr>
              <w:t xml:space="preserve"> 5. Anexa A</w:t>
            </w:r>
            <w:r w:rsidR="00B03518" w:rsidRPr="00B03518">
              <w:rPr>
                <w:rFonts w:ascii="Times New Roman" w:eastAsia="Times New Roman" w:hAnsi="Times New Roman" w:cs="Times New Roman"/>
                <w:color w:val="000000"/>
                <w:sz w:val="24"/>
                <w:szCs w:val="24"/>
                <w:lang w:val="ro-MD" w:eastAsia="ru-RU"/>
              </w:rPr>
              <w:t>, Resurse naturale, agricultură și coeziune, cap. 12. Siguranța alimentară, politici</w:t>
            </w:r>
            <w:r w:rsidR="00B03518">
              <w:rPr>
                <w:rFonts w:ascii="Times New Roman" w:eastAsia="Times New Roman" w:hAnsi="Times New Roman" w:cs="Times New Roman"/>
                <w:color w:val="000000"/>
                <w:sz w:val="24"/>
                <w:szCs w:val="24"/>
                <w:lang w:val="ro-MD" w:eastAsia="ru-RU"/>
              </w:rPr>
              <w:t xml:space="preserve"> </w:t>
            </w:r>
            <w:r w:rsidR="00B03518" w:rsidRPr="00B03518">
              <w:rPr>
                <w:rFonts w:ascii="Times New Roman" w:eastAsia="Times New Roman" w:hAnsi="Times New Roman" w:cs="Times New Roman"/>
                <w:color w:val="000000"/>
                <w:sz w:val="24"/>
                <w:szCs w:val="24"/>
                <w:lang w:val="ro-MD" w:eastAsia="ru-RU"/>
              </w:rPr>
              <w:t>sanitare și fitosanitare, aprobat prin Hotărârea de Guvern nr. 306/2025.</w:t>
            </w:r>
          </w:p>
        </w:tc>
      </w:tr>
      <w:tr w:rsidR="00645815" w:rsidRPr="00FC6009" w:rsidTr="00017487">
        <w:tblPrEx>
          <w:tblCellMar>
            <w:left w:w="108" w:type="dxa"/>
            <w:right w:w="108" w:type="dxa"/>
          </w:tblCellMar>
        </w:tblPrEx>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hideMark/>
          </w:tcPr>
          <w:p w:rsidR="00645815" w:rsidRPr="00E544F6" w:rsidRDefault="00645815" w:rsidP="00E544F6">
            <w:pPr>
              <w:spacing w:after="0" w:line="240" w:lineRule="auto"/>
              <w:ind w:firstLine="709"/>
              <w:rPr>
                <w:rFonts w:ascii="Times New Roman" w:eastAsia="Times New Roman" w:hAnsi="Times New Roman" w:cs="Times New Roman"/>
                <w:color w:val="000000"/>
                <w:sz w:val="24"/>
                <w:szCs w:val="24"/>
                <w:lang w:val="ro-MD" w:eastAsia="ru-RU"/>
              </w:rPr>
            </w:pPr>
            <w:r w:rsidRPr="00E544F6">
              <w:rPr>
                <w:rFonts w:ascii="Times New Roman" w:eastAsia="Times New Roman" w:hAnsi="Times New Roman" w:cs="Times New Roman"/>
                <w:color w:val="000000"/>
                <w:sz w:val="24"/>
                <w:szCs w:val="24"/>
                <w:lang w:val="ro-MD" w:eastAsia="ru-RU"/>
              </w:rPr>
              <w:t>2.2. Descrierea situaţiei actuale şi a problemelor care impun intervenţia, inclusiv a cadrului normativ aplicabil şi a deficienţelor/lacunelor normative</w:t>
            </w:r>
          </w:p>
          <w:p w:rsidR="00CE4655" w:rsidRDefault="00C118A3" w:rsidP="003D1162">
            <w:pPr>
              <w:spacing w:after="0" w:line="276" w:lineRule="auto"/>
              <w:ind w:firstLine="720"/>
              <w:jc w:val="both"/>
              <w:rPr>
                <w:rFonts w:ascii="Times New Roman" w:hAnsi="Times New Roman" w:cs="Times New Roman"/>
                <w:sz w:val="24"/>
                <w:lang w:val="en-US"/>
              </w:rPr>
            </w:pPr>
            <w:r w:rsidRPr="00C118A3">
              <w:rPr>
                <w:rFonts w:ascii="Times New Roman" w:hAnsi="Times New Roman" w:cs="Times New Roman"/>
                <w:sz w:val="24"/>
                <w:lang w:val="en-US"/>
              </w:rPr>
              <w:t>Creșterea rapidă a cererii de produse ecologice, combinată cu primele pentru produsele ecologice la nivel mondial, pot prezenta oportunități semnificative pentru Moldova. Moldova este o țară cu resurse agricole semnificative, apropiată geografic de piețele ecologice în creștere ale Uniunii Europene (UE), orientate spre calitate și cu conexiuni relativ bune la nivel global. Agricultura a fost întotdeauna o coloană vertebrală a economiei și a mijloacelor de trai ale oamenilor din Moldova.</w:t>
            </w:r>
          </w:p>
          <w:p w:rsidR="00D55266" w:rsidRPr="00D55266" w:rsidRDefault="00D55266" w:rsidP="00D55266">
            <w:pPr>
              <w:spacing w:after="0" w:line="276" w:lineRule="auto"/>
              <w:ind w:firstLine="720"/>
              <w:jc w:val="both"/>
              <w:rPr>
                <w:rFonts w:ascii="Times New Roman" w:hAnsi="Times New Roman" w:cs="Times New Roman"/>
                <w:sz w:val="24"/>
                <w:lang w:val="ro-RO"/>
              </w:rPr>
            </w:pPr>
            <w:r w:rsidRPr="00D55266">
              <w:rPr>
                <w:rFonts w:ascii="Times New Roman" w:hAnsi="Times New Roman" w:cs="Times New Roman"/>
                <w:sz w:val="24"/>
                <w:lang w:val="ro-RO"/>
              </w:rPr>
              <w:t>Anuarul privind Agricultura Ecologică în Republica Moldova arată că, în 2021 a fost înregistrată sporirea suprafețelor certificate ecologic cât și creșterea numărului de agenți economici implicați în sistem ecologic.</w:t>
            </w:r>
          </w:p>
          <w:p w:rsidR="00CE4655" w:rsidRPr="00CE4655" w:rsidRDefault="00D55266" w:rsidP="00D55266">
            <w:pPr>
              <w:spacing w:after="0" w:line="276" w:lineRule="auto"/>
              <w:ind w:firstLine="720"/>
              <w:jc w:val="both"/>
              <w:rPr>
                <w:rFonts w:ascii="Times New Roman" w:hAnsi="Times New Roman" w:cs="Times New Roman"/>
                <w:sz w:val="24"/>
                <w:lang w:val="ro-RO"/>
              </w:rPr>
            </w:pPr>
            <w:r w:rsidRPr="00D55266">
              <w:rPr>
                <w:rFonts w:ascii="Times New Roman" w:hAnsi="Times New Roman" w:cs="Times New Roman"/>
                <w:sz w:val="24"/>
                <w:lang w:val="ro-RO"/>
              </w:rPr>
              <w:t>În anul 2022, însă, s-a atestat o descreștere comparativ cu 2021, conform rapoartelor Organismelor de Control, numărul producătorilor scăzând de la 151 de producători în 2021 la 139 de producători în 2022</w:t>
            </w:r>
            <w:r w:rsidR="00CE4655" w:rsidRPr="00CE4655">
              <w:rPr>
                <w:rFonts w:ascii="Times New Roman" w:hAnsi="Times New Roman" w:cs="Times New Roman"/>
                <w:sz w:val="24"/>
                <w:lang w:val="ro-RO"/>
              </w:rPr>
              <w:t>.</w:t>
            </w:r>
          </w:p>
          <w:p w:rsidR="00CE4655" w:rsidRPr="00D55266" w:rsidRDefault="003E07AB" w:rsidP="00D55266">
            <w:pPr>
              <w:spacing w:after="0" w:line="276" w:lineRule="auto"/>
              <w:ind w:firstLine="720"/>
              <w:jc w:val="center"/>
              <w:rPr>
                <w:rFonts w:ascii="Times New Roman" w:hAnsi="Times New Roman" w:cs="Times New Roman"/>
                <w:b/>
                <w:sz w:val="24"/>
                <w:lang w:val="ro-RO"/>
              </w:rPr>
            </w:pPr>
            <w:r>
              <w:rPr>
                <w:rFonts w:ascii="Times New Roman" w:hAnsi="Times New Roman" w:cs="Times New Roman"/>
                <w:b/>
                <w:sz w:val="24"/>
                <w:lang w:val="ro-RO"/>
              </w:rPr>
              <w:t xml:space="preserve">Fig. 1 </w:t>
            </w:r>
            <w:r w:rsidR="00D55266" w:rsidRPr="00D55266">
              <w:rPr>
                <w:rFonts w:ascii="Times New Roman" w:hAnsi="Times New Roman" w:cs="Times New Roman"/>
                <w:b/>
                <w:sz w:val="24"/>
                <w:lang w:val="ro-RO"/>
              </w:rPr>
              <w:t>Numărul entităților încadrate în lanțul valoric al agriculturii ecologice în Moldova:</w:t>
            </w:r>
          </w:p>
          <w:p w:rsidR="00CE4655" w:rsidRDefault="003E07AB" w:rsidP="00CE4655">
            <w:pPr>
              <w:spacing w:after="0" w:line="276" w:lineRule="auto"/>
              <w:ind w:firstLine="720"/>
              <w:jc w:val="both"/>
              <w:rPr>
                <w:rFonts w:ascii="Times New Roman" w:hAnsi="Times New Roman" w:cs="Times New Roman"/>
                <w:sz w:val="24"/>
                <w:lang w:val="ro-RO"/>
              </w:rPr>
            </w:pPr>
            <w:r>
              <w:rPr>
                <w:noProof/>
                <w:lang w:val="ro-RO" w:eastAsia="ro-RO"/>
              </w:rPr>
              <w:drawing>
                <wp:inline distT="0" distB="0" distL="0" distR="0" wp14:anchorId="3F7CD074" wp14:editId="3255CA55">
                  <wp:extent cx="5113325" cy="1228725"/>
                  <wp:effectExtent l="0" t="0" r="11430" b="9525"/>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E4655" w:rsidRPr="007157B7" w:rsidRDefault="003E07AB" w:rsidP="003E07AB">
            <w:pPr>
              <w:spacing w:after="0" w:line="276" w:lineRule="auto"/>
              <w:ind w:firstLine="720"/>
              <w:jc w:val="right"/>
              <w:rPr>
                <w:rFonts w:ascii="Times New Roman" w:hAnsi="Times New Roman" w:cs="Times New Roman"/>
                <w:i/>
                <w:sz w:val="24"/>
                <w:szCs w:val="24"/>
                <w:lang w:val="ro-RO"/>
              </w:rPr>
            </w:pPr>
            <w:r w:rsidRPr="007157B7">
              <w:rPr>
                <w:rFonts w:ascii="Times New Roman" w:hAnsi="Times New Roman" w:cs="Times New Roman"/>
                <w:i/>
                <w:sz w:val="24"/>
                <w:szCs w:val="24"/>
                <w:lang w:val="ro-RO"/>
              </w:rPr>
              <w:t>Sursa: Ministerul Agriculturii și Industriei Alimentare</w:t>
            </w:r>
          </w:p>
          <w:p w:rsidR="00CE4655" w:rsidRPr="007157B7" w:rsidRDefault="00017487" w:rsidP="00CE4655">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lastRenderedPageBreak/>
              <w:t xml:space="preserve">În anul 2022 au fost înregistrate 28616,07 ha de teren agricol în sistem ecologic, cu1102,86 ha mai puțin decât în anul 2021. Din suprafața totală, în sistem ecologic 23756,81 ha sunt deja certificate; 1100 ha sunt în perioada de conversie anul 1; 4477 ha se afla deja în anul doi de conversie și 383,7 ha sunt în ultimul an de conversie. Estimativ putem spune că în următorul an agricol vor fi deja cu plus 383,7 ha de tern agricol cartificat ecologic. </w:t>
            </w:r>
          </w:p>
          <w:p w:rsidR="00017487" w:rsidRPr="007157B7" w:rsidRDefault="00017487" w:rsidP="00017487">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Suprafața de terenuri agricole ecologice în UE au crescut cu 5,3%. Cele mai recente date pentru Europa arată că terenurile agricole ecologice au atins aproximativ 17,1 milioane de hectare (UE: 14,9 milioane de hectare) sau o pondere de aproximativ 3,4% (UE: 9,2%).</w:t>
            </w:r>
          </w:p>
          <w:p w:rsidR="002E7C60" w:rsidRPr="007157B7" w:rsidRDefault="00017487" w:rsidP="002E7C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Dacă în UE terenul în agricultură ecologică este în creștere atunci, în Republica Moldova a fost înregistrată o diminuare a suprafeței terenului agricol înregistrat în sistem ecologic.</w:t>
            </w:r>
          </w:p>
          <w:p w:rsidR="002E7C60" w:rsidRPr="007157B7" w:rsidRDefault="002E7C60" w:rsidP="002E7C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Suprafața terenului agricol certificat ecologic sau în conversie conform datelor furnizate de către organismele de certificare, este în diminuare în anul 2022 cu 1102,86 ha față de anul 2021.</w:t>
            </w:r>
          </w:p>
          <w:p w:rsidR="00017487" w:rsidRPr="002E7C60" w:rsidRDefault="00017487" w:rsidP="002E7C60">
            <w:pPr>
              <w:spacing w:after="0" w:line="276" w:lineRule="auto"/>
              <w:ind w:firstLine="720"/>
              <w:jc w:val="center"/>
              <w:rPr>
                <w:rFonts w:ascii="Times New Roman" w:eastAsia="Times New Roman" w:hAnsi="Times New Roman" w:cs="Times New Roman"/>
                <w:b/>
                <w:color w:val="000000"/>
                <w:sz w:val="28"/>
                <w:szCs w:val="24"/>
                <w:lang w:val="ro-RO" w:eastAsia="ru-RU"/>
              </w:rPr>
            </w:pPr>
            <w:r w:rsidRPr="007157B7">
              <w:rPr>
                <w:rFonts w:ascii="Times New Roman" w:eastAsia="Times New Roman" w:hAnsi="Times New Roman" w:cs="Times New Roman"/>
                <w:b/>
                <w:color w:val="000000"/>
                <w:sz w:val="24"/>
                <w:szCs w:val="24"/>
                <w:lang w:val="ro-RO" w:eastAsia="ru-RU"/>
              </w:rPr>
              <w:t>Fig. 2 Terenurile în sistem ecologic, raport 2022</w:t>
            </w:r>
          </w:p>
          <w:p w:rsidR="00017487" w:rsidRDefault="00017487" w:rsidP="00017487">
            <w:pPr>
              <w:spacing w:after="0" w:line="276" w:lineRule="auto"/>
              <w:ind w:firstLine="720"/>
              <w:jc w:val="both"/>
              <w:rPr>
                <w:rFonts w:ascii="Times New Roman" w:eastAsia="Times New Roman" w:hAnsi="Times New Roman" w:cs="Times New Roman"/>
                <w:color w:val="000000"/>
                <w:sz w:val="28"/>
                <w:szCs w:val="24"/>
                <w:lang w:val="ro-RO" w:eastAsia="ru-RU"/>
              </w:rPr>
            </w:pPr>
            <w:r>
              <w:rPr>
                <w:noProof/>
                <w:lang w:val="ro-RO" w:eastAsia="ro-RO"/>
              </w:rPr>
              <w:drawing>
                <wp:inline distT="0" distB="0" distL="0" distR="0" wp14:anchorId="2C5C001E" wp14:editId="3EFC734C">
                  <wp:extent cx="4572000" cy="2743200"/>
                  <wp:effectExtent l="0" t="0" r="0" b="0"/>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17487" w:rsidRPr="007157B7" w:rsidRDefault="002B1460" w:rsidP="002B1460">
            <w:pPr>
              <w:spacing w:after="0" w:line="276" w:lineRule="auto"/>
              <w:ind w:firstLine="720"/>
              <w:jc w:val="right"/>
              <w:rPr>
                <w:rFonts w:ascii="Times New Roman" w:eastAsia="Times New Roman" w:hAnsi="Times New Roman" w:cs="Times New Roman"/>
                <w:i/>
                <w:color w:val="000000"/>
                <w:sz w:val="24"/>
                <w:szCs w:val="24"/>
                <w:lang w:val="ro-RO" w:eastAsia="ru-RU"/>
              </w:rPr>
            </w:pPr>
            <w:r w:rsidRPr="007157B7">
              <w:rPr>
                <w:rFonts w:ascii="Times New Roman" w:eastAsia="Times New Roman" w:hAnsi="Times New Roman" w:cs="Times New Roman"/>
                <w:i/>
                <w:color w:val="000000"/>
                <w:sz w:val="24"/>
                <w:szCs w:val="24"/>
                <w:lang w:val="ro-RO" w:eastAsia="ru-RU"/>
              </w:rPr>
              <w:t>Sursa: Atlasul agriculturii ecologice 2022</w:t>
            </w:r>
          </w:p>
          <w:p w:rsidR="002B1460" w:rsidRPr="007157B7" w:rsidRDefault="002B1460" w:rsidP="002B14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În conformitate cu datelor atlasului agriculturii ecologice, a sporit și numărul culturilor ecologice cât și a produselor certificate ecologic.</w:t>
            </w:r>
          </w:p>
          <w:p w:rsidR="002B1460" w:rsidRPr="007157B7" w:rsidRDefault="002B1460" w:rsidP="002B14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Dacă în anul 2019 au fost înregistrate 71 de culturi și 53 de produse certificate ecologic, atunci în anul 2022 avem înregistrate 78 culturi ecologice și certificate 97 de produse ecologice.</w:t>
            </w:r>
          </w:p>
          <w:p w:rsidR="002B1460" w:rsidRPr="007157B7" w:rsidRDefault="002B1460" w:rsidP="002B14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Tipul de activitate a entităților economice încadrate în lanțul valoric al agriculturii ecologice este: producerea, procesarea, zootehnia, comerțul și colectarea.</w:t>
            </w:r>
          </w:p>
          <w:p w:rsidR="002E7C60" w:rsidRPr="007157B7" w:rsidRDefault="002B1460" w:rsidP="002B1460">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A sporit interesul pentru tipul de activitate procesare în anul 2022 până la 21,5%, (comparativ cu anul 2021 -12,8%). Interesul sporit față de domeniul procesare bucură, astfel materia primă produsă în țară va fi cu valoare adăugată.</w:t>
            </w:r>
          </w:p>
          <w:p w:rsidR="004675B7" w:rsidRPr="007157B7" w:rsidRDefault="003D1162" w:rsidP="003D1162">
            <w:pPr>
              <w:spacing w:after="0" w:line="276" w:lineRule="auto"/>
              <w:ind w:firstLine="720"/>
              <w:jc w:val="both"/>
              <w:rPr>
                <w:rFonts w:ascii="Times New Roman" w:eastAsia="Times New Roman" w:hAnsi="Times New Roman" w:cs="Times New Roman"/>
                <w:color w:val="000000"/>
                <w:sz w:val="24"/>
                <w:szCs w:val="24"/>
                <w:lang w:val="ro-RO" w:eastAsia="ru-RU"/>
              </w:rPr>
            </w:pPr>
            <w:r w:rsidRPr="007157B7">
              <w:rPr>
                <w:rFonts w:ascii="Times New Roman" w:eastAsia="Times New Roman" w:hAnsi="Times New Roman" w:cs="Times New Roman"/>
                <w:color w:val="000000"/>
                <w:sz w:val="24"/>
                <w:szCs w:val="24"/>
                <w:lang w:val="ro-RO" w:eastAsia="ru-RU"/>
              </w:rPr>
              <w:t xml:space="preserve">În anul 2021 a fost lansat proiectul agricol „EcoSeeds LuMo - De la sămânță la raft”, sprijinit de UE prin programul EU4Business, </w:t>
            </w:r>
            <w:r w:rsidR="007157B7" w:rsidRPr="007157B7">
              <w:rPr>
                <w:rFonts w:ascii="Times New Roman" w:eastAsia="Times New Roman" w:hAnsi="Times New Roman" w:cs="Times New Roman"/>
                <w:color w:val="000000"/>
                <w:sz w:val="24"/>
                <w:szCs w:val="24"/>
                <w:lang w:val="ro-RO" w:eastAsia="ru-RU"/>
              </w:rPr>
              <w:t xml:space="preserve">acest proiect </w:t>
            </w:r>
            <w:r w:rsidRPr="007157B7">
              <w:rPr>
                <w:rFonts w:ascii="Times New Roman" w:eastAsia="Times New Roman" w:hAnsi="Times New Roman" w:cs="Times New Roman"/>
                <w:color w:val="000000"/>
                <w:sz w:val="24"/>
                <w:szCs w:val="24"/>
                <w:lang w:val="ro-RO" w:eastAsia="ru-RU"/>
              </w:rPr>
              <w:t>vizează dezvoltarea producției de material semincer ecologic în Moldova, implicând Institutul de Horticultură din Chișinău și institute din Luxemburg. El oferă instruire, schimb de experiență și crearea unui laborator pentru producerea de semințe ecologice ce pot fi ulterior certificate.</w:t>
            </w:r>
          </w:p>
          <w:p w:rsidR="00FC4CE9" w:rsidRDefault="00804708" w:rsidP="00FC4CE9">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lastRenderedPageBreak/>
              <w:t>În Republica Moldova, producerea ecologică este concentrată în mare parte pe culturile anuale cerealiere, dar și pe cultivarea nucilor, fructelor uscate, semințelor și uleiurilor de floarea-soarelui, a leguminoaselor, precum soia, mazărea, pe producerea vinului ecologic.</w:t>
            </w:r>
          </w:p>
          <w:p w:rsidR="00804708" w:rsidRDefault="00804708" w:rsidP="0048470E">
            <w:pPr>
              <w:spacing w:after="0" w:line="276" w:lineRule="auto"/>
              <w:ind w:firstLine="720"/>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Gr</w:t>
            </w:r>
            <w:r w:rsidR="0048470E">
              <w:rPr>
                <w:rFonts w:ascii="Times New Roman" w:eastAsia="Times New Roman" w:hAnsi="Times New Roman" w:cs="Times New Roman"/>
                <w:color w:val="000000"/>
                <w:sz w:val="24"/>
                <w:szCs w:val="24"/>
                <w:lang w:val="ro-RO" w:eastAsia="ru-RU"/>
              </w:rPr>
              <w:t>âul și floarea-soarelui sunt două culturi care asigură atât vânzarea pe piața internă, cât și exporturi importante. Grâul se cultivă ecologic pe o suprafață de peste 4.300 ha, în timp ce floarea-soarelui se întinde pe aproximativ 6.400 ha. În topul cerealelor crescute ecologic la noi în țară se mai numără porumbul (peste 5.500 ha), soia (1.444 ha) și mazărea (circa 1.400 ha).</w:t>
            </w:r>
          </w:p>
          <w:p w:rsidR="0020434B" w:rsidRPr="0020434B" w:rsidRDefault="0020434B" w:rsidP="0020434B">
            <w:pPr>
              <w:spacing w:after="0" w:line="276" w:lineRule="auto"/>
              <w:ind w:firstLine="720"/>
              <w:jc w:val="both"/>
              <w:rPr>
                <w:rFonts w:ascii="Times New Roman" w:eastAsia="Times New Roman" w:hAnsi="Times New Roman" w:cs="Times New Roman"/>
                <w:color w:val="000000"/>
                <w:sz w:val="24"/>
                <w:szCs w:val="24"/>
                <w:lang w:val="ro-RO" w:eastAsia="ru-RU"/>
              </w:rPr>
            </w:pPr>
            <w:r w:rsidRPr="0020434B">
              <w:rPr>
                <w:rFonts w:ascii="Times New Roman" w:eastAsia="Times New Roman" w:hAnsi="Times New Roman" w:cs="Times New Roman"/>
                <w:color w:val="000000"/>
                <w:sz w:val="24"/>
                <w:szCs w:val="24"/>
                <w:lang w:val="ro-RO" w:eastAsia="ru-RU"/>
              </w:rPr>
              <w:t>Modificarea Hotărârii Guvernului nr. 43/2013 este necesară din mai multe considerente. În prezent, cadrul normativ național transpune doar parțial Directiva 2002/53/CE privind Catalogul comun al soiurilor de plante agricole, fără a integra pr</w:t>
            </w:r>
            <w:r w:rsidR="00584DA7">
              <w:rPr>
                <w:rFonts w:ascii="Times New Roman" w:eastAsia="Times New Roman" w:hAnsi="Times New Roman" w:cs="Times New Roman"/>
                <w:color w:val="000000"/>
                <w:sz w:val="24"/>
                <w:szCs w:val="24"/>
                <w:lang w:val="ro-RO" w:eastAsia="ru-RU"/>
              </w:rPr>
              <w:t>evederile Directivei 2003/90/CE, a</w:t>
            </w:r>
            <w:r w:rsidRPr="0020434B">
              <w:rPr>
                <w:rFonts w:ascii="Times New Roman" w:eastAsia="Times New Roman" w:hAnsi="Times New Roman" w:cs="Times New Roman"/>
                <w:color w:val="000000"/>
                <w:sz w:val="24"/>
                <w:szCs w:val="24"/>
                <w:lang w:val="ro-RO" w:eastAsia="ru-RU"/>
              </w:rPr>
              <w:t>ceastă nealiniere creează un decalaj față de legislația Uniunii Europene și limitează posibilitatea Republicii Moldova de a raporta un grad complet de armonizare în domeniu.</w:t>
            </w:r>
          </w:p>
          <w:p w:rsidR="0020434B" w:rsidRPr="0020434B" w:rsidRDefault="0020434B" w:rsidP="0020434B">
            <w:pPr>
              <w:spacing w:after="0" w:line="276" w:lineRule="auto"/>
              <w:ind w:firstLine="720"/>
              <w:jc w:val="both"/>
              <w:rPr>
                <w:rFonts w:ascii="Times New Roman" w:eastAsia="Times New Roman" w:hAnsi="Times New Roman" w:cs="Times New Roman"/>
                <w:color w:val="000000"/>
                <w:sz w:val="24"/>
                <w:szCs w:val="24"/>
                <w:lang w:val="ro-RO" w:eastAsia="ru-RU"/>
              </w:rPr>
            </w:pPr>
            <w:r w:rsidRPr="0020434B">
              <w:rPr>
                <w:rFonts w:ascii="Times New Roman" w:eastAsia="Times New Roman" w:hAnsi="Times New Roman" w:cs="Times New Roman"/>
                <w:color w:val="000000"/>
                <w:sz w:val="24"/>
                <w:szCs w:val="24"/>
                <w:lang w:val="ro-RO" w:eastAsia="ru-RU"/>
              </w:rPr>
              <w:t>Regulamentul aprobat prin Hotărârea Guvernului nr. 43/2013 tratează uniform cerințele pentru soiurile convenționale și cele ecologice, fără a recunoaște particularitățile genetice ale acestora din urmă. Soiurile ecologice prezintă un nivel mai ridicat de variabilitate, care nu poate fi încadrat în aceleași standarde stricte de uniformitate aplicabile soiurilor convenționale. Din acest motiv, în lipsa unor norme adaptate, procesul de înregistrare a soiurilor ecologice este anevoios și descurajant pentru amelioratori și fermieri.</w:t>
            </w:r>
          </w:p>
          <w:p w:rsidR="0020434B" w:rsidRPr="0020434B" w:rsidRDefault="0020434B" w:rsidP="0020434B">
            <w:pPr>
              <w:spacing w:after="0" w:line="276" w:lineRule="auto"/>
              <w:ind w:firstLine="720"/>
              <w:jc w:val="both"/>
              <w:rPr>
                <w:rFonts w:ascii="Times New Roman" w:eastAsia="Times New Roman" w:hAnsi="Times New Roman" w:cs="Times New Roman"/>
                <w:color w:val="000000"/>
                <w:sz w:val="24"/>
                <w:szCs w:val="24"/>
                <w:lang w:val="ro-RO" w:eastAsia="ru-RU"/>
              </w:rPr>
            </w:pPr>
            <w:r w:rsidRPr="0020434B">
              <w:rPr>
                <w:rFonts w:ascii="Times New Roman" w:eastAsia="Times New Roman" w:hAnsi="Times New Roman" w:cs="Times New Roman"/>
                <w:color w:val="000000"/>
                <w:sz w:val="24"/>
                <w:szCs w:val="24"/>
                <w:lang w:val="ro-RO" w:eastAsia="ru-RU"/>
              </w:rPr>
              <w:t>Un alt aspect problematic îl constituie examinarea valorii agronomice și de utilizare (VAU). Actuala reglementare nu prevede expres ca testarea VAU să fie efectuată în condiții ecologice, deși Legea nr. 237/2023 privind producția ecologică și etichetarea produselor ecologice impune acest lucru. Totodată, nu sunt stipulate cerințe clare privind adaptarea testelor la nevoile agriculturii ecologice, cum ar fi rezistența la boli, toleranța la condiții pedologice variate sau utilizarea minimă a inputurilor chimice.</w:t>
            </w:r>
          </w:p>
          <w:p w:rsidR="0020434B" w:rsidRPr="0020434B" w:rsidRDefault="0020434B" w:rsidP="0020434B">
            <w:pPr>
              <w:spacing w:after="0" w:line="276" w:lineRule="auto"/>
              <w:ind w:firstLine="720"/>
              <w:jc w:val="both"/>
              <w:rPr>
                <w:rFonts w:ascii="Times New Roman" w:eastAsia="Times New Roman" w:hAnsi="Times New Roman" w:cs="Times New Roman"/>
                <w:color w:val="000000"/>
                <w:sz w:val="24"/>
                <w:szCs w:val="24"/>
                <w:lang w:val="ro-RO" w:eastAsia="ru-RU"/>
              </w:rPr>
            </w:pPr>
            <w:r w:rsidRPr="0020434B">
              <w:rPr>
                <w:rFonts w:ascii="Times New Roman" w:eastAsia="Times New Roman" w:hAnsi="Times New Roman" w:cs="Times New Roman"/>
                <w:color w:val="000000"/>
                <w:sz w:val="24"/>
                <w:szCs w:val="24"/>
                <w:lang w:val="ro-RO" w:eastAsia="ru-RU"/>
              </w:rPr>
              <w:t>În același timp, cadrul normativ nu oferă soluții alternative în situațiile în care autoritatea națională nu poate organiza testările în regim ecologic. Lipsesc prevederile privind desfășurarea acestora în ferme ecologice, la sediul amelioratorilor sau în baza unor acorduri bilaterale cu alte state, ceea ce reduce flexibilitatea și încetinește procesul de admitere a soiurilor.</w:t>
            </w:r>
          </w:p>
          <w:p w:rsidR="0020434B" w:rsidRDefault="0020434B" w:rsidP="0020434B">
            <w:pPr>
              <w:spacing w:after="0" w:line="276" w:lineRule="auto"/>
              <w:ind w:firstLine="720"/>
              <w:jc w:val="both"/>
              <w:rPr>
                <w:rFonts w:ascii="Times New Roman" w:eastAsia="Times New Roman" w:hAnsi="Times New Roman" w:cs="Times New Roman"/>
                <w:color w:val="000000"/>
                <w:sz w:val="24"/>
                <w:szCs w:val="24"/>
                <w:lang w:val="ro-RO" w:eastAsia="ru-RU"/>
              </w:rPr>
            </w:pPr>
            <w:r w:rsidRPr="0020434B">
              <w:rPr>
                <w:rFonts w:ascii="Times New Roman" w:eastAsia="Times New Roman" w:hAnsi="Times New Roman" w:cs="Times New Roman"/>
                <w:color w:val="000000"/>
                <w:sz w:val="24"/>
                <w:szCs w:val="24"/>
                <w:lang w:val="ro-RO" w:eastAsia="ru-RU"/>
              </w:rPr>
              <w:t>În aceste condiții, modificarea actului normativ devine esențială. Actualizarea Regulamentului va permite adaptarea cerințelor de testare la specificul soiurilor ecologice, introducerea unor norme clare privind testarea VAU în condiții ecologice, precum și instituirea unor mecanisme flexibile de examinare. Totodată, completarea clauzei de armonizare va asigura o transpunere corectă și integrală a normelor europene, consolidând procesul de aliniere legislativă al Republicii Moldova la standardele Uniunii Europene.</w:t>
            </w:r>
          </w:p>
          <w:p w:rsidR="0048470E" w:rsidRPr="00E544F6" w:rsidRDefault="0048470E" w:rsidP="0048470E">
            <w:pPr>
              <w:spacing w:after="0" w:line="276" w:lineRule="auto"/>
              <w:ind w:firstLine="720"/>
              <w:jc w:val="both"/>
              <w:rPr>
                <w:rFonts w:ascii="Times New Roman" w:eastAsia="Times New Roman" w:hAnsi="Times New Roman" w:cs="Times New Roman"/>
                <w:color w:val="000000"/>
                <w:sz w:val="24"/>
                <w:szCs w:val="24"/>
                <w:lang w:val="ro-RO" w:eastAsia="ru-RU"/>
              </w:rPr>
            </w:pP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 </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3. Obiectivele urmărite şi soluţiile propuse</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A410F0" w:rsidRDefault="00645815" w:rsidP="00A410F0">
            <w:pPr>
              <w:spacing w:after="0" w:line="240" w:lineRule="auto"/>
              <w:ind w:firstLine="709"/>
              <w:rPr>
                <w:rFonts w:ascii="Times New Roman" w:eastAsia="Times New Roman" w:hAnsi="Times New Roman" w:cs="Times New Roman"/>
                <w:color w:val="000000"/>
                <w:sz w:val="24"/>
                <w:szCs w:val="24"/>
                <w:lang w:val="ro-MD" w:eastAsia="ru-RU"/>
              </w:rPr>
            </w:pPr>
            <w:r w:rsidRPr="00A410F0">
              <w:rPr>
                <w:rFonts w:ascii="Times New Roman" w:eastAsia="Times New Roman" w:hAnsi="Times New Roman" w:cs="Times New Roman"/>
                <w:color w:val="000000"/>
                <w:sz w:val="24"/>
                <w:szCs w:val="24"/>
                <w:lang w:val="ro-MD" w:eastAsia="ru-RU"/>
              </w:rPr>
              <w:t>3.1. Principalele prevederi ale proiectului şi evidenţierea elementelor noi</w:t>
            </w:r>
          </w:p>
          <w:p w:rsidR="00935451" w:rsidRDefault="00AD26FE" w:rsidP="004675B7">
            <w:pPr>
              <w:spacing w:after="0" w:line="240" w:lineRule="auto"/>
              <w:ind w:firstLine="709"/>
              <w:rPr>
                <w:rFonts w:ascii="Times New Roman" w:hAnsi="Times New Roman" w:cs="Times New Roman"/>
                <w:sz w:val="24"/>
                <w:szCs w:val="24"/>
                <w:lang w:val="en-US"/>
              </w:rPr>
            </w:pPr>
            <w:r w:rsidRPr="00AD26FE">
              <w:rPr>
                <w:rFonts w:ascii="Times New Roman" w:eastAsia="Times New Roman" w:hAnsi="Times New Roman" w:cs="Times New Roman"/>
                <w:color w:val="000000"/>
                <w:sz w:val="24"/>
                <w:szCs w:val="24"/>
                <w:lang w:val="ro-MD" w:eastAsia="ru-RU"/>
              </w:rPr>
              <w:t>Prin completarea H</w:t>
            </w:r>
            <w:r w:rsidR="00CC6E08">
              <w:rPr>
                <w:rFonts w:ascii="Times New Roman" w:eastAsia="Times New Roman" w:hAnsi="Times New Roman" w:cs="Times New Roman"/>
                <w:color w:val="000000"/>
                <w:sz w:val="24"/>
                <w:szCs w:val="24"/>
                <w:lang w:val="ro-MD" w:eastAsia="ru-RU"/>
              </w:rPr>
              <w:t xml:space="preserve">otărârii de </w:t>
            </w:r>
            <w:r w:rsidRPr="00AD26FE">
              <w:rPr>
                <w:rFonts w:ascii="Times New Roman" w:eastAsia="Times New Roman" w:hAnsi="Times New Roman" w:cs="Times New Roman"/>
                <w:color w:val="000000"/>
                <w:sz w:val="24"/>
                <w:szCs w:val="24"/>
                <w:lang w:val="ro-MD" w:eastAsia="ru-RU"/>
              </w:rPr>
              <w:t>G</w:t>
            </w:r>
            <w:r w:rsidR="00CC6E08">
              <w:rPr>
                <w:rFonts w:ascii="Times New Roman" w:eastAsia="Times New Roman" w:hAnsi="Times New Roman" w:cs="Times New Roman"/>
                <w:color w:val="000000"/>
                <w:sz w:val="24"/>
                <w:szCs w:val="24"/>
                <w:lang w:val="ro-MD" w:eastAsia="ru-RU"/>
              </w:rPr>
              <w:t>uvern</w:t>
            </w:r>
            <w:r w:rsidRPr="00AD26FE">
              <w:rPr>
                <w:rFonts w:ascii="Times New Roman" w:eastAsia="Times New Roman" w:hAnsi="Times New Roman" w:cs="Times New Roman"/>
                <w:color w:val="000000"/>
                <w:sz w:val="24"/>
                <w:szCs w:val="24"/>
                <w:lang w:val="ro-MD" w:eastAsia="ru-RU"/>
              </w:rPr>
              <w:t xml:space="preserve"> nr. 43/2013 cu includerea Capitolului XI Dispoziții specifice referitoare la testele privind caracterul distinctiv, uniformitatea și stabilitatea pentru soiurile ecologice de specii de plante agricole adecvate pentru producția ecologică, alinierea la Directiva 2003/90/CE, se </w:t>
            </w:r>
            <w:r w:rsidRPr="00AD26FE">
              <w:rPr>
                <w:rFonts w:ascii="Times New Roman" w:hAnsi="Times New Roman" w:cs="Times New Roman"/>
                <w:sz w:val="24"/>
                <w:szCs w:val="24"/>
                <w:lang w:val="en-US"/>
              </w:rPr>
              <w:t>face un pas important în armonizarea cadrului normativ cu cel al Uniunii Europene și în susținerea dezvoltării agriculturii ecologice.</w:t>
            </w:r>
          </w:p>
          <w:p w:rsidR="00AD26FE" w:rsidRPr="00AD26FE" w:rsidRDefault="00AD26FE" w:rsidP="00AD26FE">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sidRPr="00AD26FE">
              <w:rPr>
                <w:rFonts w:ascii="Times New Roman" w:hAnsi="Times New Roman" w:cs="Times New Roman"/>
                <w:sz w:val="24"/>
                <w:szCs w:val="24"/>
                <w:lang w:val="en-US"/>
              </w:rPr>
              <w:t>apitol</w:t>
            </w:r>
            <w:r>
              <w:rPr>
                <w:rFonts w:ascii="Times New Roman" w:hAnsi="Times New Roman" w:cs="Times New Roman"/>
                <w:sz w:val="24"/>
                <w:szCs w:val="24"/>
                <w:lang w:val="en-US"/>
              </w:rPr>
              <w:t>ul</w:t>
            </w:r>
            <w:r w:rsidRPr="00AD26FE">
              <w:rPr>
                <w:rFonts w:ascii="Times New Roman" w:hAnsi="Times New Roman" w:cs="Times New Roman"/>
                <w:sz w:val="24"/>
                <w:szCs w:val="24"/>
                <w:lang w:val="en-US"/>
              </w:rPr>
              <w:t xml:space="preserve"> stabilește reguli clare privind testarea și evaluarea soiurilor ecologice, recunoscând particularitățile acestora în raport cu soiurile convenționale. Astfel, în ceea ce privește caracterul distinctiv și stabilitatea, toate caracteristicile prevăzute în protocoalele și orientările tehnice rămân obligatorii. În privința uniformității, însă, reglementările aduc o flexibilitate suplimentară, permițând ca anumite caracteristici să fie evaluate într-un mod mai puțin strict. Această abordare are la bază specificul genetic al soiurilor ecologice, care pot prezenta o variabilitate mai mare, fără a afecta însă valoarea lor pentru producția agricolă.</w:t>
            </w:r>
          </w:p>
          <w:p w:rsidR="00AD26FE" w:rsidRPr="00AD26FE" w:rsidRDefault="00AD26FE" w:rsidP="00AD26FE">
            <w:pPr>
              <w:spacing w:after="0" w:line="240" w:lineRule="auto"/>
              <w:ind w:firstLine="709"/>
              <w:rPr>
                <w:rFonts w:ascii="Times New Roman" w:hAnsi="Times New Roman" w:cs="Times New Roman"/>
                <w:sz w:val="24"/>
                <w:szCs w:val="24"/>
                <w:lang w:val="en-US"/>
              </w:rPr>
            </w:pPr>
            <w:r w:rsidRPr="00AD26FE">
              <w:rPr>
                <w:rFonts w:ascii="Times New Roman" w:hAnsi="Times New Roman" w:cs="Times New Roman"/>
                <w:sz w:val="24"/>
                <w:szCs w:val="24"/>
                <w:lang w:val="en-US"/>
              </w:rPr>
              <w:t>Un alt element esențial îl constituie examinarea valorii agronomice și de utilizare (VAU). Conform noilor prevederi, testarea VAU se va efectua în condiții ecologice, luându-se în considerare nevoile și obiectivele specifice ale agriculturii ecologice, cum ar fi rezistența sau toleranța la boli, adaptarea la diferite tipuri de sol și la condiții climatice locale. În cazul în care autoritatea națională nu poate organiza aceste testări în regim ecologic, este prevăzută posibilitatea desfășurării lor în ferme ecologice, sub supravegherea autorităților, sau chiar în alte state, în baza unor acorduri bilaterale.</w:t>
            </w:r>
          </w:p>
          <w:p w:rsidR="00AD26FE" w:rsidRPr="00AD26FE" w:rsidRDefault="00AD26FE" w:rsidP="00AD26FE">
            <w:pPr>
              <w:spacing w:after="0" w:line="240" w:lineRule="auto"/>
              <w:ind w:firstLine="709"/>
              <w:rPr>
                <w:rFonts w:ascii="Times New Roman" w:hAnsi="Times New Roman" w:cs="Times New Roman"/>
                <w:sz w:val="24"/>
                <w:szCs w:val="24"/>
                <w:lang w:val="en-US"/>
              </w:rPr>
            </w:pPr>
            <w:r w:rsidRPr="00AD26FE">
              <w:rPr>
                <w:rFonts w:ascii="Times New Roman" w:hAnsi="Times New Roman" w:cs="Times New Roman"/>
                <w:sz w:val="24"/>
                <w:szCs w:val="24"/>
                <w:lang w:val="en-US"/>
              </w:rPr>
              <w:t xml:space="preserve">Prin aceste completări, cadrul legal va permite recunoașterea și înregistrarea soiurilor ecologice care aduc o ameliorare clară pentru anumite regiuni, fie prin productivitate, fie prin calități superioare ale recoltelor. </w:t>
            </w:r>
          </w:p>
          <w:p w:rsidR="00AD26FE" w:rsidRPr="00E914EF" w:rsidRDefault="00AD26FE" w:rsidP="002F5C54">
            <w:pPr>
              <w:spacing w:after="0" w:line="240" w:lineRule="auto"/>
              <w:ind w:firstLine="709"/>
              <w:rPr>
                <w:rFonts w:ascii="Times New Roman" w:eastAsia="Times New Roman" w:hAnsi="Times New Roman" w:cs="Times New Roman"/>
                <w:color w:val="000000"/>
                <w:sz w:val="24"/>
                <w:szCs w:val="24"/>
                <w:lang w:val="ro-MD" w:eastAsia="ru-RU"/>
              </w:rPr>
            </w:pPr>
            <w:r w:rsidRPr="00AD26FE">
              <w:rPr>
                <w:rFonts w:ascii="Times New Roman" w:hAnsi="Times New Roman" w:cs="Times New Roman"/>
                <w:sz w:val="24"/>
                <w:szCs w:val="24"/>
                <w:lang w:val="en-US"/>
              </w:rPr>
              <w:t xml:space="preserve">Intrarea în vigoare a </w:t>
            </w:r>
            <w:r w:rsidR="002F5C54">
              <w:rPr>
                <w:rFonts w:ascii="Times New Roman" w:hAnsi="Times New Roman" w:cs="Times New Roman"/>
                <w:sz w:val="24"/>
                <w:szCs w:val="24"/>
                <w:lang w:val="en-US"/>
              </w:rPr>
              <w:t>proiectului</w:t>
            </w:r>
            <w:r w:rsidRPr="00AD26FE">
              <w:rPr>
                <w:rFonts w:ascii="Times New Roman" w:hAnsi="Times New Roman" w:cs="Times New Roman"/>
                <w:sz w:val="24"/>
                <w:szCs w:val="24"/>
                <w:lang w:val="en-US"/>
              </w:rPr>
              <w:t xml:space="preserve"> va asigura un cadru normativ modern și flexibil, care să sprijine amelioratorii și fermierii ecologici, să faciliteze introducerea pe piață a soiurilor adaptate condițiilor locale și să ofere consumatorilor acces la produse agricole ecologice de calitate. În același timp, completarea Hotărârii Guvernului nr. 43/2013 consolidează alinierea Republicii Moldova la standardele europene în domeniul producției de semințe și material săditor, contribuind la competitivitatea și durabilitatea sectorului agricol.</w:t>
            </w:r>
          </w:p>
        </w:tc>
      </w:tr>
      <w:tr w:rsidR="00645815" w:rsidRPr="00FC6009" w:rsidTr="00017487">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3.2. Opţiunile alternative analizate şi motivele pentru care acestea nu au fost luate în considerare</w:t>
            </w:r>
            <w:r w:rsidR="00794BAB">
              <w:rPr>
                <w:rFonts w:ascii="Times New Roman" w:eastAsia="Times New Roman" w:hAnsi="Times New Roman" w:cs="Times New Roman"/>
                <w:color w:val="000000"/>
                <w:sz w:val="24"/>
                <w:szCs w:val="24"/>
                <w:lang w:val="ro-MD" w:eastAsia="ru-RU"/>
              </w:rPr>
              <w:t>.</w:t>
            </w:r>
          </w:p>
          <w:p w:rsidR="00794BAB" w:rsidRPr="00E914EF" w:rsidRDefault="00794BAB" w:rsidP="00E914EF">
            <w:pPr>
              <w:spacing w:after="0" w:line="240" w:lineRule="auto"/>
              <w:ind w:firstLine="709"/>
              <w:rPr>
                <w:rFonts w:ascii="Times New Roman" w:eastAsia="Times New Roman" w:hAnsi="Times New Roman" w:cs="Times New Roman"/>
                <w:color w:val="000000"/>
                <w:sz w:val="24"/>
                <w:szCs w:val="24"/>
                <w:lang w:val="ro-MD" w:eastAsia="ru-RU"/>
              </w:rPr>
            </w:pPr>
            <w:r w:rsidRPr="00794BAB">
              <w:rPr>
                <w:rFonts w:ascii="Times New Roman" w:eastAsia="Times New Roman" w:hAnsi="Times New Roman" w:cs="Times New Roman"/>
                <w:color w:val="000000"/>
                <w:sz w:val="24"/>
                <w:szCs w:val="24"/>
                <w:lang w:val="ro-MD" w:eastAsia="ru-RU"/>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E914EF"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4. Analiza impactului de reglementare</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4.1. Impactul asupra sectorului public</w:t>
            </w:r>
          </w:p>
          <w:p w:rsidR="00D90C87" w:rsidRPr="00E914EF" w:rsidRDefault="00CC6E08" w:rsidP="00CC6E08">
            <w:pPr>
              <w:spacing w:after="0" w:line="240" w:lineRule="auto"/>
              <w:ind w:firstLine="284"/>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Implementarea prevederilor proiectului dat pentru modificarea </w:t>
            </w:r>
            <w:r w:rsidRPr="00CC6E08">
              <w:rPr>
                <w:rFonts w:ascii="Times New Roman" w:eastAsia="Times New Roman" w:hAnsi="Times New Roman" w:cs="Times New Roman"/>
                <w:color w:val="000000"/>
                <w:sz w:val="24"/>
                <w:szCs w:val="24"/>
                <w:lang w:val="ro-MD" w:eastAsia="ru-RU"/>
              </w:rPr>
              <w:t>Hotărârii Guvernului nr. 43/2013 pentru aprobarea Regulamentului privind testarea şi admiterea soiurilor în Catalogul soiurilor de plante</w:t>
            </w:r>
            <w:r>
              <w:rPr>
                <w:rFonts w:ascii="Times New Roman" w:eastAsia="Times New Roman" w:hAnsi="Times New Roman" w:cs="Times New Roman"/>
                <w:color w:val="000000"/>
                <w:sz w:val="24"/>
                <w:szCs w:val="24"/>
                <w:lang w:val="ro-MD" w:eastAsia="ru-RU"/>
              </w:rPr>
              <w:t xml:space="preserve"> nu implică costuri de conformare finanțate din bugetul de stat.</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4.2. Impactul financiar şi argumentarea costurilor estimative</w:t>
            </w:r>
          </w:p>
          <w:p w:rsidR="00CF30A6" w:rsidRPr="00E914EF" w:rsidRDefault="008A2593" w:rsidP="008A2593">
            <w:pPr>
              <w:spacing w:after="0" w:line="240" w:lineRule="auto"/>
              <w:ind w:firstLine="284"/>
              <w:rPr>
                <w:rFonts w:ascii="Times New Roman" w:eastAsia="Times New Roman" w:hAnsi="Times New Roman" w:cs="Times New Roman"/>
                <w:color w:val="000000"/>
                <w:sz w:val="24"/>
                <w:szCs w:val="24"/>
                <w:lang w:val="ro-MD" w:eastAsia="ru-RU"/>
              </w:rPr>
            </w:pPr>
            <w:r w:rsidRPr="008A2593">
              <w:rPr>
                <w:rFonts w:ascii="Times New Roman" w:eastAsia="Calibri" w:hAnsi="Times New Roman" w:cs="Times New Roman"/>
                <w:sz w:val="24"/>
                <w:szCs w:val="28"/>
                <w:lang w:val="ro-RO"/>
              </w:rPr>
              <w:t xml:space="preserve">Implementarea acestui proiect nu </w:t>
            </w:r>
            <w:r>
              <w:rPr>
                <w:rFonts w:ascii="Times New Roman" w:eastAsia="Calibri" w:hAnsi="Times New Roman" w:cs="Times New Roman"/>
                <w:sz w:val="24"/>
                <w:szCs w:val="28"/>
                <w:lang w:val="ro-RO"/>
              </w:rPr>
              <w:t>necesită alocarea surselor financiare suplimentare din bugetul de stat</w:t>
            </w:r>
            <w:r w:rsidR="0025749C">
              <w:rPr>
                <w:rFonts w:ascii="Times New Roman" w:eastAsia="Calibri" w:hAnsi="Times New Roman" w:cs="Times New Roman"/>
                <w:sz w:val="24"/>
                <w:szCs w:val="28"/>
                <w:lang w:val="ro-RO"/>
              </w:rPr>
              <w:t>.</w:t>
            </w:r>
          </w:p>
        </w:tc>
      </w:tr>
      <w:tr w:rsidR="00645815" w:rsidRPr="00FC6009" w:rsidTr="00017487">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4.3. Impactul asupra sectorului privat</w:t>
            </w:r>
          </w:p>
          <w:p w:rsidR="00D90C87" w:rsidRPr="00E914EF" w:rsidRDefault="00670540" w:rsidP="00670540">
            <w:pPr>
              <w:spacing w:after="0" w:line="240" w:lineRule="auto"/>
              <w:ind w:firstLine="284"/>
              <w:jc w:val="both"/>
              <w:rPr>
                <w:rFonts w:ascii="Times New Roman" w:eastAsia="Times New Roman" w:hAnsi="Times New Roman" w:cs="Times New Roman"/>
                <w:color w:val="000000"/>
                <w:sz w:val="24"/>
                <w:szCs w:val="24"/>
                <w:lang w:val="ro-MD" w:eastAsia="ru-RU"/>
              </w:rPr>
            </w:pPr>
            <w:r w:rsidRPr="00670540">
              <w:rPr>
                <w:rFonts w:ascii="Times New Roman" w:eastAsia="Times New Roman" w:hAnsi="Times New Roman" w:cs="Times New Roman"/>
                <w:color w:val="000000"/>
                <w:sz w:val="24"/>
                <w:szCs w:val="24"/>
                <w:lang w:val="ro-MD" w:eastAsia="ru-RU"/>
              </w:rPr>
              <w:t>Aprobarea modificărilor va avea un impact direct asupra sectorului privat, în special asupra amelioratorilor, producătorilor și comercianților de semințe. Prin introducerea unui cadru legal clar și adaptat specificului agriculturii ecologice, operatorii privați vor avea posibilitatea să înregistreze și să valorifice soiuri ecologice pe piața națională și internațională, ceea ce le va deschide noi oportunități comerciale. Flexibilitatea în testarea uniformității și recunoașterea nevoilor specifice ale agriculturii ecologice vor reduce barierele de acces pe piață pentru amelioratori și vor stimula investițiile în cercetare și dezvoltare. Totodată, fermierii privați vor beneficia de acces la material semincer adaptat condițiilor locale, ceea ce le va permite obținerea unor recolte mai stabile și competitive, cu valoare adăugată mai mare pe segmentul produselor ecologice. În ansamblu, aceste modificări vor încuraja inovarea, diversificarea producției și consolidarea competitivității sectorului privat din domeniul agricol.</w:t>
            </w:r>
          </w:p>
        </w:tc>
      </w:tr>
      <w:tr w:rsidR="00645815" w:rsidRPr="00E544F6" w:rsidTr="00017487">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lastRenderedPageBreak/>
              <w:t>4.4. Impactul social</w:t>
            </w:r>
          </w:p>
          <w:p w:rsidR="00D65ADB" w:rsidRDefault="00670540" w:rsidP="00670540">
            <w:pPr>
              <w:spacing w:after="0" w:line="240" w:lineRule="auto"/>
              <w:ind w:firstLine="284"/>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I</w:t>
            </w:r>
            <w:r w:rsidRPr="00670540">
              <w:rPr>
                <w:rFonts w:ascii="Times New Roman" w:eastAsia="Times New Roman" w:hAnsi="Times New Roman" w:cs="Times New Roman"/>
                <w:color w:val="000000"/>
                <w:sz w:val="24"/>
                <w:szCs w:val="24"/>
                <w:lang w:val="ro-MD" w:eastAsia="ru-RU"/>
              </w:rPr>
              <w:t>mpactul social al modificărilor va fi unul pozitiv, întrucât acestea sprijină extinderea agriculturii ecologice și, implicit, dezvoltarea comunităților rurale. Prin accesul la soiuri ecologice adaptate, fermierii vor putea obține venituri mai stabile și mai sigure, ceea ce va contribui la creșterea bunăstării gospodăriilor agricole și la reducerea vulnerabilității sociale. Totodată, promovarea semințelor ecologice va genera oportunități noi de ocupare a forței de muncă, atât în domeniul producției și comercializării materialului semincer, cât și în fermele ecologice, încurajând implicarea tinerilor și păstrarea populației active în zonele rurale. Consumatorii vor avea acces la produse agricole ecologice de calitate superioară, ceea ce va contribui la îmbunătățirea sănătății publice și la creșterea încrederii în produsele autohtone. În ansamblu, modificările vor stimula consolidarea capitalului social în mediul rural, printr-o mai bună cooperare între fermieri, cercetători și autorități, și vor contribui la o tranziție echitabilă către un sistem alimentar mai durabil.</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4.4.1. Impactul asupra datelor cu caracter personal</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4.4.2. Impactul asupra echităţii şi egalităţii de gen</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r w:rsidR="0025749C">
              <w:rPr>
                <w:rFonts w:ascii="Times New Roman" w:eastAsia="Times New Roman" w:hAnsi="Times New Roman" w:cs="Times New Roman"/>
                <w:color w:val="000000"/>
                <w:sz w:val="24"/>
                <w:szCs w:val="24"/>
                <w:lang w:val="ro-MD" w:eastAsia="ru-RU"/>
              </w:rPr>
              <w:t>.</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4.5. Impactul asupra mediului</w:t>
            </w:r>
          </w:p>
          <w:p w:rsidR="00D90C87" w:rsidRPr="00E914EF" w:rsidRDefault="00670540" w:rsidP="00A808D6">
            <w:pPr>
              <w:spacing w:after="0" w:line="240" w:lineRule="auto"/>
              <w:ind w:firstLine="284"/>
              <w:rPr>
                <w:rFonts w:ascii="Times New Roman" w:eastAsia="Times New Roman" w:hAnsi="Times New Roman" w:cs="Times New Roman"/>
                <w:color w:val="000000"/>
                <w:sz w:val="24"/>
                <w:szCs w:val="24"/>
                <w:lang w:val="ro-MD" w:eastAsia="ru-RU"/>
              </w:rPr>
            </w:pPr>
            <w:r w:rsidRPr="00670540">
              <w:rPr>
                <w:rFonts w:ascii="Times New Roman" w:eastAsia="Times New Roman" w:hAnsi="Times New Roman" w:cs="Times New Roman"/>
                <w:color w:val="000000"/>
                <w:sz w:val="24"/>
                <w:szCs w:val="24"/>
                <w:lang w:val="ro-MD" w:eastAsia="ru-RU"/>
              </w:rPr>
              <w:t>Aprobarea modificărilor la Hotărârea Guvernului nr. 43/2013 va produce un impact pozitiv asupra mediului, întrucât noile prevederi stimulează utilizarea soiurilor ecologice mai rezistente la boli și adaptate condițiilor locale. Aceasta va reduce dependența de pesticide și fertilizanți chimici, contribuind la diminuarea poluării solului și a resurselor de apă, dar și la protejarea biodiversității. Prin flexibilizarea cerințelor de uniformitate, se creează premisele pentru menținerea și valorificarea diversității genetice a plantelor, ceea ce sporește reziliența ecosistemelor agricole la schimbările climatice. Totodată, utilizarea unor soiuri adaptate agriculturii ecologice favorizează conservarea resurselor naturale și protecția polenizatorilor și a altor organisme benefice. În ansamblu, completarea cadrului normativ va contribui la dezvoltarea unei agriculturi mai durabile și la alinierea Republicii Moldova la obiectivele europene de protecție a mediului și tranziție ecologică.</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4.6. Alte impacturi şi informaţii relevante</w:t>
            </w:r>
          </w:p>
          <w:p w:rsidR="00D90C87" w:rsidRPr="00E914EF" w:rsidRDefault="00D90C87" w:rsidP="00D90C87">
            <w:pPr>
              <w:spacing w:after="0" w:line="240" w:lineRule="auto"/>
              <w:ind w:firstLine="284"/>
              <w:rPr>
                <w:rFonts w:ascii="Times New Roman" w:eastAsia="Times New Roman" w:hAnsi="Times New Roman" w:cs="Times New Roman"/>
                <w:color w:val="000000"/>
                <w:sz w:val="24"/>
                <w:szCs w:val="24"/>
                <w:lang w:val="ro-MD" w:eastAsia="ru-RU"/>
              </w:rPr>
            </w:pPr>
            <w:r w:rsidRPr="00D90C87">
              <w:rPr>
                <w:rFonts w:ascii="Times New Roman" w:eastAsia="Times New Roman" w:hAnsi="Times New Roman" w:cs="Times New Roman"/>
                <w:color w:val="000000"/>
                <w:sz w:val="24"/>
                <w:szCs w:val="24"/>
                <w:lang w:val="ro-MD" w:eastAsia="ru-RU"/>
              </w:rPr>
              <w:t>Nu este aplicabil</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D90C87">
            <w:pPr>
              <w:spacing w:after="0" w:line="240" w:lineRule="auto"/>
              <w:ind w:firstLine="284"/>
              <w:rPr>
                <w:rFonts w:ascii="Times New Roman" w:eastAsia="Times New Roman" w:hAnsi="Times New Roman" w:cs="Times New Roman"/>
                <w:color w:val="000000"/>
                <w:sz w:val="24"/>
                <w:szCs w:val="24"/>
                <w:lang w:val="ro-MD" w:eastAsia="ru-RU"/>
              </w:rPr>
            </w:pPr>
          </w:p>
        </w:tc>
      </w:tr>
      <w:tr w:rsidR="00645815" w:rsidRPr="00FC6009" w:rsidTr="00017487">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5. Compatibilitatea proiectului actului normativ cu legislaţia UE</w:t>
            </w:r>
          </w:p>
        </w:tc>
      </w:tr>
      <w:tr w:rsidR="00645815" w:rsidRPr="00FC6009" w:rsidTr="00017487">
        <w:trPr>
          <w:trHeight w:val="47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5.1. Măsuri normative necesare pentru transpunerea actelor juridice ale UE în legislaţia naţională</w:t>
            </w:r>
          </w:p>
          <w:p w:rsidR="005113AE" w:rsidRPr="00E914EF" w:rsidRDefault="005113AE" w:rsidP="00BF0667">
            <w:pPr>
              <w:spacing w:after="0" w:line="240" w:lineRule="auto"/>
              <w:ind w:firstLine="709"/>
              <w:jc w:val="both"/>
              <w:rPr>
                <w:rFonts w:ascii="Times New Roman" w:eastAsia="Times New Roman" w:hAnsi="Times New Roman" w:cs="Times New Roman"/>
                <w:color w:val="000000"/>
                <w:sz w:val="24"/>
                <w:szCs w:val="24"/>
                <w:lang w:val="ro-MD" w:eastAsia="ru-RU"/>
              </w:rPr>
            </w:pPr>
            <w:r>
              <w:rPr>
                <w:rFonts w:ascii="Times New Roman" w:eastAsia="Times New Roman" w:hAnsi="Times New Roman" w:cs="Times New Roman"/>
                <w:color w:val="000000"/>
                <w:sz w:val="24"/>
                <w:szCs w:val="24"/>
                <w:lang w:val="ro-MD" w:eastAsia="ru-RU"/>
              </w:rPr>
              <w:t xml:space="preserve">Proiectul </w:t>
            </w:r>
            <w:r w:rsidR="00B03518" w:rsidRPr="00B03518">
              <w:rPr>
                <w:rFonts w:ascii="Times New Roman" w:eastAsia="Times New Roman" w:hAnsi="Times New Roman" w:cs="Times New Roman"/>
                <w:color w:val="000000"/>
                <w:sz w:val="24"/>
                <w:szCs w:val="24"/>
                <w:lang w:val="ro-MD" w:eastAsia="ru-RU"/>
              </w:rPr>
              <w:t>transpune 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 astfel cum a fost modificată prin Directiva de punere în aplicare (UE) 2024/2963 a Comisiei din 29 noiembrie 2024 de modificare a Directivelor 2003/90/CE și 2003/91/CE în ceea ce privește protocoalele de examinare a anumitor soiuri de specii de plante agricole și de specii de legume (CELEX: 02003L0090), publicat în Jurnalul Oficial al Uniunii Europene L 254 din 8 octombrie 2003, p. 7</w:t>
            </w:r>
          </w:p>
        </w:tc>
      </w:tr>
      <w:tr w:rsidR="00645815" w:rsidRPr="00CB281F" w:rsidTr="00017487">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color w:val="000000"/>
                <w:sz w:val="24"/>
                <w:szCs w:val="24"/>
                <w:lang w:val="ro-MD" w:eastAsia="ru-RU"/>
              </w:rPr>
              <w:t>5.2. Măsuri normative care urmăresc crearea cadrului juridic intern necesar pentru implementarea legislaţiei UE</w:t>
            </w:r>
          </w:p>
          <w:p w:rsidR="009373F4" w:rsidRPr="00E914EF" w:rsidRDefault="009373F4" w:rsidP="00E914EF">
            <w:pPr>
              <w:spacing w:after="0" w:line="240" w:lineRule="auto"/>
              <w:ind w:firstLine="709"/>
              <w:rPr>
                <w:rFonts w:ascii="Times New Roman" w:eastAsia="Times New Roman" w:hAnsi="Times New Roman" w:cs="Times New Roman"/>
                <w:color w:val="000000"/>
                <w:sz w:val="24"/>
                <w:szCs w:val="24"/>
                <w:lang w:val="ro-MD" w:eastAsia="ru-RU"/>
              </w:rPr>
            </w:pPr>
            <w:r w:rsidRPr="009373F4">
              <w:rPr>
                <w:rFonts w:ascii="Times New Roman" w:eastAsia="Times New Roman" w:hAnsi="Times New Roman" w:cs="Times New Roman"/>
                <w:color w:val="000000"/>
                <w:sz w:val="24"/>
                <w:szCs w:val="24"/>
                <w:lang w:val="ro-MD" w:eastAsia="ru-RU"/>
              </w:rPr>
              <w:t>Nu este aplicabil</w:t>
            </w:r>
          </w:p>
        </w:tc>
      </w:tr>
      <w:tr w:rsidR="00645815" w:rsidRPr="00CB281F"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p>
        </w:tc>
      </w:tr>
      <w:tr w:rsidR="00645815" w:rsidRPr="00FC6009" w:rsidTr="00017487">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6. Avizarea şi consultarea publică a proiectului actului normativ</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01345" w:rsidRPr="00BF0667" w:rsidRDefault="00516DB3" w:rsidP="00BF0667">
            <w:pPr>
              <w:spacing w:after="0"/>
              <w:ind w:firstLine="709"/>
              <w:rPr>
                <w:rFonts w:ascii="Times New Roman" w:hAnsi="Times New Roman" w:cs="Times New Roman"/>
                <w:sz w:val="24"/>
                <w:szCs w:val="24"/>
                <w:lang w:val="ro-RO"/>
              </w:rPr>
            </w:pPr>
            <w:r w:rsidRPr="00BF0667">
              <w:rPr>
                <w:rFonts w:ascii="Times New Roman" w:eastAsia="Calibri" w:hAnsi="Times New Roman" w:cs="Times New Roman"/>
                <w:sz w:val="24"/>
                <w:szCs w:val="24"/>
                <w:lang w:val="ro-RO"/>
              </w:rPr>
              <w:t>Întru asigurarea transparenței procesului decizional, conform prevederilor</w:t>
            </w:r>
            <w:r w:rsidR="00401345" w:rsidRPr="00BF0667">
              <w:rPr>
                <w:rFonts w:ascii="Times New Roman" w:eastAsia="Calibri" w:hAnsi="Times New Roman" w:cs="Times New Roman"/>
                <w:sz w:val="24"/>
                <w:szCs w:val="24"/>
                <w:lang w:val="ro-RO"/>
              </w:rPr>
              <w:t xml:space="preserve"> </w:t>
            </w:r>
            <w:r w:rsidR="00401345" w:rsidRPr="00BF0667">
              <w:rPr>
                <w:rFonts w:ascii="Times New Roman" w:hAnsi="Times New Roman" w:cs="Times New Roman"/>
                <w:sz w:val="24"/>
                <w:szCs w:val="24"/>
                <w:lang w:val="ro-RO"/>
              </w:rPr>
              <w:t xml:space="preserve">art.10 și art.11 din Legea nr.239/2008 privind transparența în procesul decizional, Proiectul și Nota de </w:t>
            </w:r>
            <w:r w:rsidR="00401345" w:rsidRPr="00BF0667">
              <w:rPr>
                <w:rFonts w:ascii="Times New Roman" w:hAnsi="Times New Roman" w:cs="Times New Roman"/>
                <w:sz w:val="24"/>
                <w:szCs w:val="24"/>
                <w:lang w:val="ro-RO"/>
              </w:rPr>
              <w:lastRenderedPageBreak/>
              <w:t>Fundamentare au fost transmise pentru examinare și consultare părților interesate pe e-mail, totodată, au fost plasate pentru consultări publice pe pagina web a Ministerului Agriculturii și Industriei Alimentare la compartimentul „Transparență decizională”, rubrica „Proiecte de documente”, și pe pagina web particip.gov.md:</w:t>
            </w:r>
          </w:p>
          <w:p w:rsidR="00516DB3" w:rsidRPr="00BF0667" w:rsidRDefault="004A1615" w:rsidP="00BF0667">
            <w:pPr>
              <w:pStyle w:val="Listparagraf"/>
              <w:spacing w:after="0" w:line="240" w:lineRule="auto"/>
              <w:ind w:left="0" w:firstLine="709"/>
              <w:rPr>
                <w:rStyle w:val="object-hover"/>
                <w:rFonts w:ascii="Times New Roman" w:hAnsi="Times New Roman" w:cs="Times New Roman"/>
                <w:color w:val="005A95"/>
                <w:sz w:val="24"/>
                <w:szCs w:val="24"/>
                <w:u w:val="single"/>
                <w:shd w:val="clear" w:color="auto" w:fill="FFFFFF"/>
                <w:lang w:val="ro-RO"/>
              </w:rPr>
            </w:pPr>
            <w:hyperlink r:id="rId9" w:tgtFrame="_blank" w:history="1">
              <w:r w:rsidR="00B03518" w:rsidRPr="00BF0667">
                <w:rPr>
                  <w:rStyle w:val="Hyperlink"/>
                  <w:rFonts w:ascii="Times New Roman" w:hAnsi="Times New Roman" w:cs="Times New Roman"/>
                  <w:color w:val="005A95"/>
                  <w:sz w:val="24"/>
                  <w:szCs w:val="24"/>
                  <w:shd w:val="clear" w:color="auto" w:fill="FFFFFF"/>
                  <w:lang w:val="ro-RO"/>
                </w:rPr>
                <w:t>https://particip.gov.md/ro/document/stages/anuntul-privind-initierea-procesului-de-elaborare-a-proiectului-hotararii-guvernului-cu-privire-la-modificarea-hotararii-guvernului-nr-432013-pentru-aprobarea-regulamentului-privind-testarea-si-admiterea-soiurilor-in-catalogul-soiurilor-de-plante/14904</w:t>
              </w:r>
            </w:hyperlink>
          </w:p>
          <w:p w:rsidR="00B03518" w:rsidRPr="00516DB3" w:rsidRDefault="00B03518" w:rsidP="00516DB3">
            <w:pPr>
              <w:pStyle w:val="Listparagraf"/>
              <w:spacing w:after="0" w:line="240" w:lineRule="auto"/>
              <w:ind w:left="568"/>
              <w:rPr>
                <w:rFonts w:ascii="Times New Roman" w:eastAsia="Times New Roman" w:hAnsi="Times New Roman" w:cs="Times New Roman"/>
                <w:color w:val="000000"/>
                <w:sz w:val="24"/>
                <w:szCs w:val="24"/>
                <w:lang w:val="ro-MD" w:eastAsia="ru-RU"/>
              </w:rPr>
            </w:pPr>
          </w:p>
        </w:tc>
      </w:tr>
      <w:tr w:rsidR="00645815" w:rsidRPr="00E914EF"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lastRenderedPageBreak/>
              <w:t>7. Concluziile expertizelor</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E1FF5" w:rsidRPr="00E914EF" w:rsidRDefault="00401345" w:rsidP="00BF0667">
            <w:pPr>
              <w:spacing w:after="0" w:line="240" w:lineRule="auto"/>
              <w:ind w:firstLine="709"/>
              <w:jc w:val="both"/>
              <w:rPr>
                <w:rFonts w:ascii="Times New Roman" w:eastAsia="Times New Roman" w:hAnsi="Times New Roman" w:cs="Times New Roman"/>
                <w:color w:val="000000"/>
                <w:sz w:val="24"/>
                <w:szCs w:val="24"/>
                <w:lang w:val="ro-MD" w:eastAsia="ru-RU"/>
              </w:rPr>
            </w:pPr>
            <w:r w:rsidRPr="00401345">
              <w:rPr>
                <w:rFonts w:ascii="Times New Roman" w:eastAsia="Times New Roman" w:hAnsi="Times New Roman" w:cs="Times New Roman"/>
                <w:color w:val="000000"/>
                <w:sz w:val="24"/>
                <w:szCs w:val="24"/>
                <w:lang w:val="ro-MD" w:eastAsia="ru-RU"/>
              </w:rPr>
              <w:t>În temeiul art.36 și 37 din Legea nr.100/2017 cu privire la actele normative, proiectul urmează să fie supus expertizei anticorupție efectuată de către Centrul Național Anticorupție și expertizei juridice efectuată de către Ministerul Justiției.</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CF30A6" w:rsidP="00E914EF">
            <w:pPr>
              <w:spacing w:after="0" w:line="240" w:lineRule="auto"/>
              <w:ind w:firstLine="709"/>
              <w:rPr>
                <w:rFonts w:ascii="Times New Roman" w:eastAsia="Times New Roman" w:hAnsi="Times New Roman" w:cs="Times New Roman"/>
                <w:color w:val="000000"/>
                <w:sz w:val="24"/>
                <w:szCs w:val="24"/>
                <w:lang w:val="ro-MD" w:eastAsia="ru-RU"/>
              </w:rPr>
            </w:pPr>
            <w:r w:rsidRPr="00CF30A6">
              <w:rPr>
                <w:rFonts w:ascii="Times New Roman" w:eastAsia="Times New Roman" w:hAnsi="Times New Roman" w:cs="Times New Roman"/>
                <w:color w:val="000000"/>
                <w:sz w:val="24"/>
                <w:szCs w:val="24"/>
                <w:lang w:val="ro-MD" w:eastAsia="ru-RU"/>
              </w:rPr>
              <w:t>Nu necesită modificarea altor acte.</w:t>
            </w:r>
          </w:p>
        </w:tc>
      </w:tr>
      <w:tr w:rsidR="00645815" w:rsidRPr="00FC6009" w:rsidTr="00017487">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ro-MD" w:eastAsia="ru-RU"/>
              </w:rPr>
            </w:pPr>
            <w:r w:rsidRPr="00E914EF">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FC6009" w:rsidTr="00017487">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E914EF" w:rsidRDefault="00401345" w:rsidP="00BF0667">
            <w:pPr>
              <w:spacing w:after="0" w:line="240" w:lineRule="auto"/>
              <w:ind w:firstLine="709"/>
              <w:contextualSpacing/>
              <w:jc w:val="both"/>
              <w:rPr>
                <w:rFonts w:ascii="Times New Roman" w:eastAsia="Times New Roman" w:hAnsi="Times New Roman" w:cs="Times New Roman"/>
                <w:color w:val="000000"/>
                <w:sz w:val="24"/>
                <w:szCs w:val="24"/>
                <w:lang w:val="ro-MD" w:eastAsia="ru-RU"/>
              </w:rPr>
            </w:pPr>
            <w:r w:rsidRPr="008F140A">
              <w:rPr>
                <w:rFonts w:ascii="Times New Roman" w:hAnsi="Times New Roman"/>
                <w:sz w:val="24"/>
                <w:szCs w:val="24"/>
                <w:lang w:val="ro-RO"/>
              </w:rPr>
              <w:t xml:space="preserve">Implementarea acestui proiect nu presupune cheltuieli financiare suplimentare din bugetul de stat. </w:t>
            </w:r>
          </w:p>
        </w:tc>
      </w:tr>
      <w:tr w:rsidR="00645815" w:rsidRPr="00FC6009" w:rsidTr="00017487">
        <w:trPr>
          <w:trHeight w:val="237"/>
        </w:trPr>
        <w:tc>
          <w:tcPr>
            <w:tcW w:w="5000" w:type="pct"/>
            <w:tcBorders>
              <w:top w:val="single" w:sz="6" w:space="0" w:color="000000"/>
              <w:left w:val="nil"/>
              <w:bottom w:val="nil"/>
              <w:right w:val="nil"/>
            </w:tcBorders>
            <w:shd w:val="clear" w:color="auto" w:fill="FFFFFF"/>
            <w:tcMar>
              <w:top w:w="24" w:type="dxa"/>
              <w:left w:w="48" w:type="dxa"/>
              <w:bottom w:w="24" w:type="dxa"/>
              <w:right w:w="48" w:type="dxa"/>
            </w:tcMar>
            <w:hideMark/>
          </w:tcPr>
          <w:p w:rsidR="00645815" w:rsidRPr="00E914EF" w:rsidRDefault="00645815" w:rsidP="00E914EF">
            <w:pPr>
              <w:spacing w:after="0" w:line="240" w:lineRule="auto"/>
              <w:ind w:firstLine="709"/>
              <w:rPr>
                <w:rFonts w:ascii="Times New Roman" w:eastAsia="Times New Roman" w:hAnsi="Times New Roman" w:cs="Times New Roman"/>
                <w:color w:val="000000"/>
                <w:sz w:val="24"/>
                <w:szCs w:val="24"/>
                <w:lang w:val="en-US" w:eastAsia="ru-RU"/>
              </w:rPr>
            </w:pPr>
            <w:r w:rsidRPr="00E914EF">
              <w:rPr>
                <w:rFonts w:ascii="Times New Roman" w:eastAsia="Times New Roman" w:hAnsi="Times New Roman" w:cs="Times New Roman"/>
                <w:color w:val="000000"/>
                <w:sz w:val="24"/>
                <w:szCs w:val="24"/>
                <w:lang w:val="en-US" w:eastAsia="ru-RU"/>
              </w:rPr>
              <w:t> </w:t>
            </w:r>
          </w:p>
        </w:tc>
      </w:tr>
    </w:tbl>
    <w:p w:rsidR="00645815" w:rsidRPr="00253236" w:rsidRDefault="003C06CF" w:rsidP="00253236">
      <w:pPr>
        <w:spacing w:after="0" w:line="240" w:lineRule="auto"/>
        <w:rPr>
          <w:rFonts w:ascii="Times New Roman" w:hAnsi="Times New Roman" w:cs="Times New Roman"/>
          <w:sz w:val="28"/>
          <w:szCs w:val="24"/>
          <w:lang w:val="en-GB"/>
        </w:rPr>
      </w:pPr>
      <w:r w:rsidRPr="00253236">
        <w:rPr>
          <w:rFonts w:ascii="Times New Roman" w:hAnsi="Times New Roman" w:cs="Times New Roman"/>
          <w:b/>
          <w:sz w:val="28"/>
          <w:szCs w:val="24"/>
          <w:lang w:val="en-GB"/>
        </w:rPr>
        <w:t>Secretar de Stat</w:t>
      </w:r>
      <w:r w:rsidRP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Pr="00253236">
        <w:rPr>
          <w:rFonts w:ascii="Times New Roman" w:hAnsi="Times New Roman" w:cs="Times New Roman"/>
          <w:sz w:val="28"/>
          <w:szCs w:val="24"/>
          <w:lang w:val="en-GB"/>
        </w:rPr>
        <w:tab/>
      </w:r>
      <w:r w:rsidRPr="00253236">
        <w:rPr>
          <w:rFonts w:ascii="Times New Roman" w:hAnsi="Times New Roman" w:cs="Times New Roman"/>
          <w:b/>
          <w:sz w:val="28"/>
          <w:szCs w:val="24"/>
          <w:lang w:val="en-GB"/>
        </w:rPr>
        <w:t>Vasile ȘARBAN</w:t>
      </w:r>
    </w:p>
    <w:sectPr w:rsidR="00645815" w:rsidRPr="00253236" w:rsidSect="00D65ADB">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15" w:rsidRDefault="004A1615" w:rsidP="00017487">
      <w:pPr>
        <w:spacing w:after="0" w:line="240" w:lineRule="auto"/>
      </w:pPr>
      <w:r>
        <w:separator/>
      </w:r>
    </w:p>
  </w:endnote>
  <w:endnote w:type="continuationSeparator" w:id="0">
    <w:p w:rsidR="004A1615" w:rsidRDefault="004A1615" w:rsidP="0001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15" w:rsidRDefault="004A1615" w:rsidP="00017487">
      <w:pPr>
        <w:spacing w:after="0" w:line="240" w:lineRule="auto"/>
      </w:pPr>
      <w:r>
        <w:separator/>
      </w:r>
    </w:p>
  </w:footnote>
  <w:footnote w:type="continuationSeparator" w:id="0">
    <w:p w:rsidR="004A1615" w:rsidRDefault="004A1615" w:rsidP="00017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078"/>
    <w:multiLevelType w:val="hybridMultilevel"/>
    <w:tmpl w:val="CAEECACE"/>
    <w:lvl w:ilvl="0" w:tplc="AED6C4A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72560CE1"/>
    <w:multiLevelType w:val="hybridMultilevel"/>
    <w:tmpl w:val="9F027C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7FF1033A"/>
    <w:multiLevelType w:val="hybridMultilevel"/>
    <w:tmpl w:val="534858EE"/>
    <w:lvl w:ilvl="0" w:tplc="DD56EBCA">
      <w:start w:val="1"/>
      <w:numFmt w:val="bullet"/>
      <w:lvlText w:val="-"/>
      <w:lvlJc w:val="left"/>
      <w:pPr>
        <w:ind w:left="644" w:hanging="360"/>
      </w:pPr>
      <w:rPr>
        <w:rFonts w:ascii="Times New Roman" w:eastAsia="Calibri" w:hAnsi="Times New Roman" w:cs="Times New Roman" w:hint="default"/>
        <w:color w:val="auto"/>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13DBE"/>
    <w:rsid w:val="000144B4"/>
    <w:rsid w:val="00015B9C"/>
    <w:rsid w:val="00017487"/>
    <w:rsid w:val="00046CA5"/>
    <w:rsid w:val="00065E12"/>
    <w:rsid w:val="00075B44"/>
    <w:rsid w:val="000B7AB0"/>
    <w:rsid w:val="000D7B47"/>
    <w:rsid w:val="00112A9E"/>
    <w:rsid w:val="0011508B"/>
    <w:rsid w:val="00122854"/>
    <w:rsid w:val="00124F3E"/>
    <w:rsid w:val="00126ACF"/>
    <w:rsid w:val="00137A68"/>
    <w:rsid w:val="00161336"/>
    <w:rsid w:val="001D0386"/>
    <w:rsid w:val="001D6C6A"/>
    <w:rsid w:val="001F3527"/>
    <w:rsid w:val="001F52A5"/>
    <w:rsid w:val="0020434B"/>
    <w:rsid w:val="00253236"/>
    <w:rsid w:val="0025749C"/>
    <w:rsid w:val="00271CDE"/>
    <w:rsid w:val="002B1460"/>
    <w:rsid w:val="002E7C60"/>
    <w:rsid w:val="002F25B9"/>
    <w:rsid w:val="002F2A2A"/>
    <w:rsid w:val="002F5C54"/>
    <w:rsid w:val="0031275A"/>
    <w:rsid w:val="00366B76"/>
    <w:rsid w:val="003A1172"/>
    <w:rsid w:val="003B4C12"/>
    <w:rsid w:val="003C06CF"/>
    <w:rsid w:val="003C432A"/>
    <w:rsid w:val="003D1162"/>
    <w:rsid w:val="003E07AB"/>
    <w:rsid w:val="003E07F6"/>
    <w:rsid w:val="00401345"/>
    <w:rsid w:val="004027D8"/>
    <w:rsid w:val="004130EE"/>
    <w:rsid w:val="0041318B"/>
    <w:rsid w:val="004611F1"/>
    <w:rsid w:val="004675B7"/>
    <w:rsid w:val="0047191F"/>
    <w:rsid w:val="0048470E"/>
    <w:rsid w:val="004874BD"/>
    <w:rsid w:val="00490BFC"/>
    <w:rsid w:val="004A0535"/>
    <w:rsid w:val="004A1615"/>
    <w:rsid w:val="00500053"/>
    <w:rsid w:val="005113AE"/>
    <w:rsid w:val="005147A7"/>
    <w:rsid w:val="00516DB3"/>
    <w:rsid w:val="00553136"/>
    <w:rsid w:val="00553C85"/>
    <w:rsid w:val="005617D0"/>
    <w:rsid w:val="00562110"/>
    <w:rsid w:val="00584DA7"/>
    <w:rsid w:val="005B74BC"/>
    <w:rsid w:val="005D56B8"/>
    <w:rsid w:val="006041BF"/>
    <w:rsid w:val="00645815"/>
    <w:rsid w:val="00670540"/>
    <w:rsid w:val="0067448E"/>
    <w:rsid w:val="006C1B70"/>
    <w:rsid w:val="006D3625"/>
    <w:rsid w:val="007157B7"/>
    <w:rsid w:val="0073718A"/>
    <w:rsid w:val="00740A09"/>
    <w:rsid w:val="0078593E"/>
    <w:rsid w:val="007932FE"/>
    <w:rsid w:val="00794BAB"/>
    <w:rsid w:val="007C76F1"/>
    <w:rsid w:val="007F2FFA"/>
    <w:rsid w:val="007F3B35"/>
    <w:rsid w:val="00800FE2"/>
    <w:rsid w:val="00804708"/>
    <w:rsid w:val="00804ECF"/>
    <w:rsid w:val="008102FC"/>
    <w:rsid w:val="00834202"/>
    <w:rsid w:val="00851115"/>
    <w:rsid w:val="00897024"/>
    <w:rsid w:val="008A2593"/>
    <w:rsid w:val="008C566B"/>
    <w:rsid w:val="008D5FE9"/>
    <w:rsid w:val="008F1773"/>
    <w:rsid w:val="009105C4"/>
    <w:rsid w:val="00935451"/>
    <w:rsid w:val="009373F4"/>
    <w:rsid w:val="0095025C"/>
    <w:rsid w:val="009F24EB"/>
    <w:rsid w:val="009F3BFA"/>
    <w:rsid w:val="00A410F0"/>
    <w:rsid w:val="00A533B5"/>
    <w:rsid w:val="00A808D6"/>
    <w:rsid w:val="00A858BB"/>
    <w:rsid w:val="00A87DB3"/>
    <w:rsid w:val="00AD26FE"/>
    <w:rsid w:val="00AF6DB0"/>
    <w:rsid w:val="00B03518"/>
    <w:rsid w:val="00B165E1"/>
    <w:rsid w:val="00B17F2F"/>
    <w:rsid w:val="00B35221"/>
    <w:rsid w:val="00B479A5"/>
    <w:rsid w:val="00B64564"/>
    <w:rsid w:val="00BB5369"/>
    <w:rsid w:val="00BD4BCD"/>
    <w:rsid w:val="00BF0667"/>
    <w:rsid w:val="00C118A3"/>
    <w:rsid w:val="00C276ED"/>
    <w:rsid w:val="00C46EF5"/>
    <w:rsid w:val="00C710AC"/>
    <w:rsid w:val="00C82C28"/>
    <w:rsid w:val="00CB281F"/>
    <w:rsid w:val="00CC6E08"/>
    <w:rsid w:val="00CE4655"/>
    <w:rsid w:val="00CF036A"/>
    <w:rsid w:val="00CF0604"/>
    <w:rsid w:val="00CF30A6"/>
    <w:rsid w:val="00D21A01"/>
    <w:rsid w:val="00D45D5A"/>
    <w:rsid w:val="00D541E2"/>
    <w:rsid w:val="00D55266"/>
    <w:rsid w:val="00D57A81"/>
    <w:rsid w:val="00D65ADB"/>
    <w:rsid w:val="00D825A9"/>
    <w:rsid w:val="00D86632"/>
    <w:rsid w:val="00D90C87"/>
    <w:rsid w:val="00DA7A45"/>
    <w:rsid w:val="00DE1FF5"/>
    <w:rsid w:val="00DF180C"/>
    <w:rsid w:val="00E20D17"/>
    <w:rsid w:val="00E544F6"/>
    <w:rsid w:val="00E61085"/>
    <w:rsid w:val="00E914EF"/>
    <w:rsid w:val="00EB6D8A"/>
    <w:rsid w:val="00EE1BE6"/>
    <w:rsid w:val="00F161DB"/>
    <w:rsid w:val="00F17012"/>
    <w:rsid w:val="00F576B9"/>
    <w:rsid w:val="00F85C24"/>
    <w:rsid w:val="00FC4CE9"/>
    <w:rsid w:val="00FC6009"/>
    <w:rsid w:val="00FE24F5"/>
    <w:rsid w:val="00FF230E"/>
    <w:rsid w:val="00FF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elgril">
    <w:name w:val="Table Grid"/>
    <w:basedOn w:val="TabelNormal"/>
    <w:uiPriority w:val="39"/>
    <w:rsid w:val="00124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516DB3"/>
    <w:pPr>
      <w:ind w:left="720"/>
      <w:contextualSpacing/>
    </w:pPr>
  </w:style>
  <w:style w:type="character" w:styleId="Hyperlink">
    <w:name w:val="Hyperlink"/>
    <w:basedOn w:val="Fontdeparagrafimplicit"/>
    <w:uiPriority w:val="99"/>
    <w:unhideWhenUsed/>
    <w:rsid w:val="004130EE"/>
    <w:rPr>
      <w:color w:val="0563C1" w:themeColor="hyperlink"/>
      <w:u w:val="single"/>
    </w:rPr>
  </w:style>
  <w:style w:type="paragraph" w:styleId="TextnBalon">
    <w:name w:val="Balloon Text"/>
    <w:basedOn w:val="Normal"/>
    <w:link w:val="TextnBalonCaracter"/>
    <w:uiPriority w:val="99"/>
    <w:semiHidden/>
    <w:unhideWhenUsed/>
    <w:rsid w:val="0025323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3236"/>
    <w:rPr>
      <w:rFonts w:ascii="Segoe UI" w:hAnsi="Segoe UI" w:cs="Segoe UI"/>
      <w:sz w:val="18"/>
      <w:szCs w:val="18"/>
    </w:rPr>
  </w:style>
  <w:style w:type="character" w:customStyle="1" w:styleId="object-hover">
    <w:name w:val="object-hover"/>
    <w:basedOn w:val="Fontdeparagrafimplicit"/>
    <w:rsid w:val="00B03518"/>
  </w:style>
  <w:style w:type="paragraph" w:styleId="Antet">
    <w:name w:val="header"/>
    <w:basedOn w:val="Normal"/>
    <w:link w:val="AntetCaracter"/>
    <w:uiPriority w:val="99"/>
    <w:unhideWhenUsed/>
    <w:rsid w:val="0001748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17487"/>
  </w:style>
  <w:style w:type="paragraph" w:styleId="Subsol">
    <w:name w:val="footer"/>
    <w:basedOn w:val="Normal"/>
    <w:link w:val="SubsolCaracter"/>
    <w:uiPriority w:val="99"/>
    <w:unhideWhenUsed/>
    <w:rsid w:val="0001748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17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ticip.gov.md/ro/document/stages/anuntul-privind-initierea-procesului-de-elaborare-a-proiectului-hotararii-guvernului-cu-privire-la-modificarea-hotararii-guvernului-nr-432013-pentru-aprobarea-regulamentului-privind-testarea-si-admiterea-soiurilor-in-catalogul-soiurilor-de-plante/149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Registru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Foaie1!$B$3:$B$10</c:f>
              <c:numCache>
                <c:formatCode>General</c:formatCode>
                <c:ptCount val="8"/>
                <c:pt idx="0">
                  <c:v>2015</c:v>
                </c:pt>
                <c:pt idx="1">
                  <c:v>2016</c:v>
                </c:pt>
                <c:pt idx="2">
                  <c:v>2017</c:v>
                </c:pt>
                <c:pt idx="3">
                  <c:v>2018</c:v>
                </c:pt>
                <c:pt idx="4">
                  <c:v>2019</c:v>
                </c:pt>
                <c:pt idx="5">
                  <c:v>2020</c:v>
                </c:pt>
                <c:pt idx="6">
                  <c:v>2021</c:v>
                </c:pt>
                <c:pt idx="7">
                  <c:v>2022</c:v>
                </c:pt>
              </c:numCache>
            </c:numRef>
          </c:cat>
          <c:val>
            <c:numRef>
              <c:f>Foaie1!$C$3:$C$10</c:f>
              <c:numCache>
                <c:formatCode>General</c:formatCode>
                <c:ptCount val="8"/>
                <c:pt idx="0">
                  <c:v>45</c:v>
                </c:pt>
                <c:pt idx="1">
                  <c:v>103</c:v>
                </c:pt>
                <c:pt idx="2">
                  <c:v>145</c:v>
                </c:pt>
                <c:pt idx="3">
                  <c:v>136</c:v>
                </c:pt>
                <c:pt idx="4">
                  <c:v>149</c:v>
                </c:pt>
                <c:pt idx="5">
                  <c:v>147</c:v>
                </c:pt>
                <c:pt idx="6">
                  <c:v>151</c:v>
                </c:pt>
                <c:pt idx="7">
                  <c:v>139</c:v>
                </c:pt>
              </c:numCache>
            </c:numRef>
          </c:val>
          <c:smooth val="0"/>
        </c:ser>
        <c:dLbls>
          <c:showLegendKey val="0"/>
          <c:showVal val="0"/>
          <c:showCatName val="0"/>
          <c:showSerName val="0"/>
          <c:showPercent val="0"/>
          <c:showBubbleSize val="0"/>
        </c:dLbls>
        <c:marker val="1"/>
        <c:smooth val="0"/>
        <c:axId val="738708064"/>
        <c:axId val="738700448"/>
      </c:lineChart>
      <c:catAx>
        <c:axId val="73870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o-RO"/>
          </a:p>
        </c:txPr>
        <c:crossAx val="738700448"/>
        <c:crosses val="autoZero"/>
        <c:auto val="1"/>
        <c:lblAlgn val="ctr"/>
        <c:lblOffset val="100"/>
        <c:noMultiLvlLbl val="0"/>
      </c:catAx>
      <c:valAx>
        <c:axId val="73870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o-RO"/>
          </a:p>
        </c:txPr>
        <c:crossAx val="738708064"/>
        <c:crosses val="autoZero"/>
        <c:crossBetween val="between"/>
        <c:majorUnit val="50"/>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cat>
            <c:strRef>
              <c:f>Foaie1!$A$29:$A$32</c:f>
              <c:strCache>
                <c:ptCount val="4"/>
                <c:pt idx="0">
                  <c:v>Certificate ecologic 94,8 %</c:v>
                </c:pt>
                <c:pt idx="1">
                  <c:v>Conversie anul 2- 3,9%</c:v>
                </c:pt>
                <c:pt idx="2">
                  <c:v>Conversie anul 1- 1,4%</c:v>
                </c:pt>
                <c:pt idx="3">
                  <c:v>Conversie anul 3- 1,17%</c:v>
                </c:pt>
              </c:strCache>
            </c:strRef>
          </c:cat>
          <c:val>
            <c:numRef>
              <c:f>Foaie1!$B$29:$B$32</c:f>
              <c:numCache>
                <c:formatCode>0.00</c:formatCode>
                <c:ptCount val="4"/>
                <c:pt idx="0">
                  <c:v>27128.034359999998</c:v>
                </c:pt>
                <c:pt idx="1">
                  <c:v>1116.02673</c:v>
                </c:pt>
                <c:pt idx="2" formatCode="General">
                  <c:v>327</c:v>
                </c:pt>
                <c:pt idx="3" formatCode="General">
                  <c:v>334.1</c:v>
                </c:pt>
              </c:numCache>
            </c:numRef>
          </c:val>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o-RO"/>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solidFill>
            <a:schemeClr val="tx1"/>
          </a:solidFill>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2634</Words>
  <Characters>15278</Characters>
  <Application>Microsoft Office Word</Application>
  <DocSecurity>0</DocSecurity>
  <Lines>127</Lines>
  <Paragraphs>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Sanda MELENCIUC</cp:lastModifiedBy>
  <cp:revision>2</cp:revision>
  <cp:lastPrinted>2025-03-12T06:58:00Z</cp:lastPrinted>
  <dcterms:created xsi:type="dcterms:W3CDTF">2025-10-01T07:25:00Z</dcterms:created>
  <dcterms:modified xsi:type="dcterms:W3CDTF">2025-10-01T07:25:00Z</dcterms:modified>
</cp:coreProperties>
</file>