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3A4F" w14:textId="77777777" w:rsidR="00120CD7" w:rsidRPr="00EC65AA"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2BFD7B13" w14:textId="77777777" w:rsidR="00120CD7" w:rsidRPr="00EC65AA" w:rsidRDefault="002275FB" w:rsidP="00357988">
      <w:pPr>
        <w:jc w:val="center"/>
        <w:rPr>
          <w:sz w:val="28"/>
          <w:szCs w:val="28"/>
          <w:lang w:val="ro-RO"/>
        </w:rPr>
      </w:pPr>
      <w:r w:rsidRPr="00EC65AA">
        <w:rPr>
          <w:sz w:val="28"/>
          <w:szCs w:val="28"/>
          <w:lang w:val="ro-RO"/>
        </w:rPr>
        <w:t>SINTEZA</w:t>
      </w:r>
    </w:p>
    <w:p w14:paraId="3368F260" w14:textId="4478CD9D" w:rsidR="00120CD7" w:rsidRPr="00EC65AA" w:rsidRDefault="00357988" w:rsidP="00A70269">
      <w:pPr>
        <w:ind w:firstLine="0"/>
        <w:jc w:val="center"/>
        <w:rPr>
          <w:sz w:val="28"/>
          <w:szCs w:val="28"/>
          <w:lang w:val="ro-RO" w:eastAsia="ru-RU"/>
        </w:rPr>
      </w:pPr>
      <w:r w:rsidRPr="00EC65AA">
        <w:rPr>
          <w:sz w:val="28"/>
          <w:szCs w:val="28"/>
          <w:lang w:val="ro-RO"/>
        </w:rPr>
        <w:t xml:space="preserve">la </w:t>
      </w:r>
      <w:r w:rsidR="00DE5AFD" w:rsidRPr="00EC65AA">
        <w:rPr>
          <w:sz w:val="28"/>
          <w:szCs w:val="28"/>
          <w:lang w:val="ro-RO"/>
        </w:rPr>
        <w:t>proiectul Hotărârii Guvernului cu privire la modificarea unor hotărâri ale Guvernului (facilitarea implementării proiectelor de eficiență energetică)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616"/>
        <w:gridCol w:w="6512"/>
        <w:gridCol w:w="3443"/>
      </w:tblGrid>
      <w:tr w:rsidR="00BA46E0" w:rsidRPr="00EC65AA" w14:paraId="74D56201" w14:textId="77777777" w:rsidTr="006779A1">
        <w:tc>
          <w:tcPr>
            <w:tcW w:w="866" w:type="pct"/>
            <w:shd w:val="clear" w:color="auto" w:fill="C6D9F1" w:themeFill="text2" w:themeFillTint="33"/>
            <w:tcMar>
              <w:top w:w="0" w:type="dxa"/>
              <w:left w:w="108" w:type="dxa"/>
              <w:bottom w:w="0" w:type="dxa"/>
              <w:right w:w="108" w:type="dxa"/>
            </w:tcMar>
            <w:vAlign w:val="center"/>
          </w:tcPr>
          <w:p w14:paraId="5C271122" w14:textId="77777777" w:rsidR="00120CD7" w:rsidRPr="00EC65AA"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C65AA">
              <w:rPr>
                <w:rFonts w:ascii="Times New Roman" w:hAnsi="Times New Roman"/>
                <w:b/>
                <w:bCs/>
                <w:sz w:val="24"/>
                <w:szCs w:val="24"/>
                <w:lang w:val="ro-RO"/>
              </w:rPr>
              <w:t>Participantul la avizare, consultare publică, expertizare</w:t>
            </w:r>
          </w:p>
        </w:tc>
        <w:tc>
          <w:tcPr>
            <w:tcW w:w="577" w:type="pct"/>
            <w:shd w:val="clear" w:color="auto" w:fill="C6D9F1" w:themeFill="text2" w:themeFillTint="33"/>
            <w:tcMar>
              <w:top w:w="0" w:type="dxa"/>
              <w:left w:w="108" w:type="dxa"/>
              <w:bottom w:w="0" w:type="dxa"/>
              <w:right w:w="108" w:type="dxa"/>
            </w:tcMar>
            <w:vAlign w:val="center"/>
          </w:tcPr>
          <w:p w14:paraId="61C93165" w14:textId="77777777" w:rsidR="00120CD7" w:rsidRPr="00EC65AA"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C65AA">
              <w:rPr>
                <w:rFonts w:ascii="Times New Roman" w:hAnsi="Times New Roman"/>
                <w:b/>
                <w:bCs/>
                <w:sz w:val="24"/>
                <w:szCs w:val="24"/>
                <w:lang w:val="ro-RO"/>
              </w:rPr>
              <w:t>Nr. crt.</w:t>
            </w:r>
          </w:p>
        </w:tc>
        <w:tc>
          <w:tcPr>
            <w:tcW w:w="2327" w:type="pct"/>
            <w:shd w:val="clear" w:color="auto" w:fill="C6D9F1" w:themeFill="text2" w:themeFillTint="33"/>
            <w:tcMar>
              <w:top w:w="0" w:type="dxa"/>
              <w:left w:w="108" w:type="dxa"/>
              <w:bottom w:w="0" w:type="dxa"/>
              <w:right w:w="108" w:type="dxa"/>
            </w:tcMar>
            <w:vAlign w:val="center"/>
          </w:tcPr>
          <w:p w14:paraId="7E78ED0B" w14:textId="77777777" w:rsidR="00120CD7" w:rsidRPr="00EC65AA" w:rsidRDefault="002275FB" w:rsidP="00E46B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sz w:val="24"/>
                <w:szCs w:val="24"/>
                <w:lang w:val="ro-RO"/>
              </w:rPr>
            </w:pPr>
            <w:r w:rsidRPr="00EC65AA">
              <w:rPr>
                <w:rFonts w:ascii="Times New Roman" w:hAnsi="Times New Roman"/>
                <w:b/>
                <w:bCs/>
                <w:sz w:val="24"/>
                <w:szCs w:val="24"/>
                <w:lang w:val="ro-RO"/>
              </w:rPr>
              <w:t>Conținutul obiecției,</w:t>
            </w:r>
          </w:p>
          <w:p w14:paraId="002ABAC8" w14:textId="77777777" w:rsidR="00120CD7" w:rsidRPr="00EC65AA"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C65AA">
              <w:rPr>
                <w:rFonts w:ascii="Times New Roman" w:hAnsi="Times New Roman"/>
                <w:b/>
                <w:bCs/>
                <w:sz w:val="24"/>
                <w:szCs w:val="24"/>
                <w:lang w:val="ro-RO"/>
              </w:rPr>
              <w:t>propunerii, recomandării, concluziei</w:t>
            </w:r>
          </w:p>
        </w:tc>
        <w:tc>
          <w:tcPr>
            <w:tcW w:w="1230" w:type="pct"/>
            <w:shd w:val="clear" w:color="auto" w:fill="C6D9F1" w:themeFill="text2" w:themeFillTint="33"/>
            <w:tcMar>
              <w:top w:w="0" w:type="dxa"/>
              <w:left w:w="108" w:type="dxa"/>
              <w:bottom w:w="0" w:type="dxa"/>
              <w:right w:w="108" w:type="dxa"/>
            </w:tcMar>
            <w:vAlign w:val="center"/>
          </w:tcPr>
          <w:p w14:paraId="024C40D5" w14:textId="77777777" w:rsidR="00120CD7" w:rsidRPr="00EC65AA" w:rsidRDefault="002275FB" w:rsidP="00E46BD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bCs/>
                <w:sz w:val="24"/>
                <w:szCs w:val="24"/>
                <w:lang w:val="ro-RO"/>
              </w:rPr>
            </w:pPr>
            <w:r w:rsidRPr="00EC65AA">
              <w:rPr>
                <w:rFonts w:ascii="Times New Roman" w:hAnsi="Times New Roman"/>
                <w:b/>
                <w:bCs/>
                <w:sz w:val="24"/>
                <w:szCs w:val="24"/>
                <w:lang w:val="ro-RO"/>
              </w:rPr>
              <w:t>Argumentarea</w:t>
            </w:r>
          </w:p>
          <w:p w14:paraId="425FEB5F" w14:textId="77777777" w:rsidR="00120CD7" w:rsidRPr="00EC65AA" w:rsidRDefault="002275FB" w:rsidP="00E46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C65AA">
              <w:rPr>
                <w:rFonts w:ascii="Times New Roman" w:hAnsi="Times New Roman"/>
                <w:b/>
                <w:bCs/>
                <w:sz w:val="24"/>
                <w:szCs w:val="24"/>
                <w:lang w:val="ro-RO"/>
              </w:rPr>
              <w:t>autorului proiectului</w:t>
            </w:r>
          </w:p>
        </w:tc>
      </w:tr>
      <w:tr w:rsidR="00120CD7" w:rsidRPr="00EC65AA" w14:paraId="45041156" w14:textId="77777777" w:rsidTr="001602B2">
        <w:trPr>
          <w:trHeight w:val="454"/>
        </w:trPr>
        <w:tc>
          <w:tcPr>
            <w:tcW w:w="5000" w:type="pct"/>
            <w:gridSpan w:val="4"/>
            <w:tcMar>
              <w:top w:w="0" w:type="dxa"/>
              <w:left w:w="108" w:type="dxa"/>
              <w:bottom w:w="0" w:type="dxa"/>
              <w:right w:w="108" w:type="dxa"/>
            </w:tcMar>
            <w:vAlign w:val="center"/>
          </w:tcPr>
          <w:p w14:paraId="391DBDB8" w14:textId="77777777" w:rsidR="00120CD7" w:rsidRPr="00EC65AA" w:rsidRDefault="002275FB" w:rsidP="001602B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C65AA">
              <w:rPr>
                <w:rFonts w:ascii="Times New Roman" w:eastAsia="Times New Roman" w:hAnsi="Times New Roman"/>
                <w:b/>
                <w:bCs/>
                <w:sz w:val="24"/>
                <w:szCs w:val="24"/>
                <w:lang w:val="ro-RO"/>
              </w:rPr>
              <w:t xml:space="preserve">Avizare </w:t>
            </w:r>
            <w:r w:rsidRPr="00EC65AA">
              <w:rPr>
                <w:rFonts w:ascii="Times New Roman" w:hAnsi="Times New Roman"/>
                <w:b/>
                <w:bCs/>
                <w:sz w:val="24"/>
                <w:szCs w:val="24"/>
                <w:lang w:val="ro-RO"/>
              </w:rPr>
              <w:t>și consultare publică</w:t>
            </w:r>
          </w:p>
        </w:tc>
      </w:tr>
      <w:tr w:rsidR="00BA46E0" w:rsidRPr="00EC65AA" w14:paraId="2F8E0563" w14:textId="77777777" w:rsidTr="006779A1">
        <w:tc>
          <w:tcPr>
            <w:tcW w:w="866" w:type="pct"/>
            <w:tcMar>
              <w:top w:w="0" w:type="dxa"/>
              <w:left w:w="108" w:type="dxa"/>
              <w:bottom w:w="0" w:type="dxa"/>
              <w:right w:w="108" w:type="dxa"/>
            </w:tcMar>
          </w:tcPr>
          <w:p w14:paraId="17A4E9BE" w14:textId="6C1AD406" w:rsidR="00414AC2" w:rsidRPr="00EC65AA" w:rsidRDefault="003C42B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Biroul Național de Statistică </w:t>
            </w:r>
          </w:p>
        </w:tc>
        <w:tc>
          <w:tcPr>
            <w:tcW w:w="577" w:type="pct"/>
            <w:tcMar>
              <w:top w:w="0" w:type="dxa"/>
              <w:left w:w="108" w:type="dxa"/>
              <w:bottom w:w="0" w:type="dxa"/>
              <w:right w:w="108" w:type="dxa"/>
            </w:tcMar>
          </w:tcPr>
          <w:p w14:paraId="6879001D" w14:textId="77777777" w:rsidR="00414AC2" w:rsidRPr="00EC65AA" w:rsidRDefault="00EE02C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13/1-02-87 din 25 august 2025</w:t>
            </w:r>
          </w:p>
          <w:p w14:paraId="2CA7E415" w14:textId="2026F02E" w:rsidR="00EE02C8" w:rsidRPr="00EC65AA" w:rsidRDefault="00EE02C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FE5CD19" w14:textId="4B4829FB" w:rsidR="00723874" w:rsidRPr="00EC65AA" w:rsidRDefault="00EE02C8" w:rsidP="00EE02C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Biroul National de Statistică (BNS) comunică lipsă de obiecții și propuneri la proiectul de hotărâre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8"/>
                <w:lang w:val="ro-RO"/>
              </w:rPr>
              <w:t>MEn</w:t>
            </w:r>
            <w:proofErr w:type="spellEnd"/>
            <w:r w:rsidRPr="00EC65AA">
              <w:rPr>
                <w:rFonts w:ascii="Times New Roman" w:hAnsi="Times New Roman"/>
                <w:iCs/>
                <w:color w:val="000000" w:themeColor="text1"/>
                <w:sz w:val="24"/>
                <w:szCs w:val="28"/>
                <w:lang w:val="ro-RO"/>
              </w:rPr>
              <w:t>/2025) expediat spre avizare.</w:t>
            </w:r>
          </w:p>
        </w:tc>
        <w:tc>
          <w:tcPr>
            <w:tcW w:w="1230" w:type="pct"/>
            <w:tcMar>
              <w:top w:w="0" w:type="dxa"/>
              <w:left w:w="108" w:type="dxa"/>
              <w:bottom w:w="0" w:type="dxa"/>
              <w:right w:w="108" w:type="dxa"/>
            </w:tcMar>
          </w:tcPr>
          <w:p w14:paraId="6DFA1F41" w14:textId="0110B14F" w:rsidR="00414AC2"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ia act de informare. </w:t>
            </w:r>
          </w:p>
        </w:tc>
      </w:tr>
      <w:tr w:rsidR="00BA46E0" w:rsidRPr="00EC65AA" w14:paraId="68B3AE3A" w14:textId="77777777" w:rsidTr="006779A1">
        <w:tc>
          <w:tcPr>
            <w:tcW w:w="866" w:type="pct"/>
            <w:vMerge w:val="restart"/>
            <w:tcMar>
              <w:top w:w="0" w:type="dxa"/>
              <w:left w:w="108" w:type="dxa"/>
              <w:bottom w:w="0" w:type="dxa"/>
              <w:right w:w="108" w:type="dxa"/>
            </w:tcMar>
          </w:tcPr>
          <w:p w14:paraId="5BF0E03F" w14:textId="5113700E"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Ministerul Infrastructurii și Dezvoltării Regionale </w:t>
            </w:r>
          </w:p>
        </w:tc>
        <w:tc>
          <w:tcPr>
            <w:tcW w:w="577" w:type="pct"/>
            <w:vMerge w:val="restart"/>
            <w:tcMar>
              <w:top w:w="0" w:type="dxa"/>
              <w:left w:w="108" w:type="dxa"/>
              <w:bottom w:w="0" w:type="dxa"/>
              <w:right w:w="108" w:type="dxa"/>
            </w:tcMar>
          </w:tcPr>
          <w:p w14:paraId="42D7B571" w14:textId="7864E9C4" w:rsidR="00C75135" w:rsidRPr="00EC65AA" w:rsidRDefault="00C7513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10-4570 din 22.08.2025</w:t>
            </w:r>
          </w:p>
        </w:tc>
        <w:tc>
          <w:tcPr>
            <w:tcW w:w="2327" w:type="pct"/>
            <w:tcMar>
              <w:top w:w="0" w:type="dxa"/>
              <w:left w:w="108" w:type="dxa"/>
              <w:bottom w:w="0" w:type="dxa"/>
              <w:right w:w="108" w:type="dxa"/>
            </w:tcMar>
          </w:tcPr>
          <w:p w14:paraId="5727F176" w14:textId="77777777"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Ca urmare a examinării proiectului de hotărâre a Guvernului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8"/>
                <w:lang w:val="ro-RO"/>
              </w:rPr>
              <w:t>MEn</w:t>
            </w:r>
            <w:proofErr w:type="spellEnd"/>
            <w:r w:rsidRPr="00EC65AA">
              <w:rPr>
                <w:rFonts w:ascii="Times New Roman" w:hAnsi="Times New Roman"/>
                <w:iCs/>
                <w:color w:val="000000" w:themeColor="text1"/>
                <w:sz w:val="24"/>
                <w:szCs w:val="28"/>
                <w:lang w:val="ro-RO"/>
              </w:rPr>
              <w:t>/2025), în limitele competențelor funcționale, comunicăm următoarele propuneri de îmbunătățire.</w:t>
            </w:r>
          </w:p>
          <w:p w14:paraId="685880BF" w14:textId="6350AD52"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La </w:t>
            </w:r>
            <w:r w:rsidRPr="00EC65AA">
              <w:rPr>
                <w:rFonts w:ascii="Times New Roman" w:hAnsi="Times New Roman"/>
                <w:b/>
                <w:bCs/>
                <w:iCs/>
                <w:color w:val="000000" w:themeColor="text1"/>
                <w:sz w:val="24"/>
                <w:szCs w:val="28"/>
                <w:lang w:val="ro-RO"/>
              </w:rPr>
              <w:t>pct. 2</w:t>
            </w:r>
            <w:r w:rsidRPr="00EC65AA">
              <w:rPr>
                <w:rFonts w:ascii="Times New Roman" w:hAnsi="Times New Roman"/>
                <w:iCs/>
                <w:color w:val="000000" w:themeColor="text1"/>
                <w:sz w:val="24"/>
                <w:szCs w:val="28"/>
                <w:lang w:val="ro-RO"/>
              </w:rPr>
              <w:t xml:space="preserve"> ce vizează modificarea Programului privind implementarea schemei de obligații în domeniul eficienței energetice pentru perioada 2024-2026, aprobat prin Hotărârea Guvernului nr. 1064/2023, </w:t>
            </w:r>
            <w:proofErr w:type="spellStart"/>
            <w:r w:rsidRPr="00EC65AA">
              <w:rPr>
                <w:rFonts w:ascii="Times New Roman" w:hAnsi="Times New Roman"/>
                <w:iCs/>
                <w:color w:val="000000" w:themeColor="text1"/>
                <w:sz w:val="24"/>
                <w:szCs w:val="28"/>
                <w:lang w:val="ro-RO"/>
              </w:rPr>
              <w:t>subpct</w:t>
            </w:r>
            <w:proofErr w:type="spellEnd"/>
            <w:r w:rsidRPr="00EC65AA">
              <w:rPr>
                <w:rFonts w:ascii="Times New Roman" w:hAnsi="Times New Roman"/>
                <w:iCs/>
                <w:color w:val="000000" w:themeColor="text1"/>
                <w:sz w:val="24"/>
                <w:szCs w:val="28"/>
                <w:lang w:val="ro-RO"/>
              </w:rPr>
              <w:t xml:space="preserve">. 2.3, cu titlul de mențiune, evocăm faptul că, perioada calculată de recuperare a investițiilor de 154 de ani, depășește de aproximativ trei ori durata de existență a construcțiilor tradiționale, construite </w:t>
            </w:r>
            <w:proofErr w:type="spellStart"/>
            <w:r w:rsidRPr="00EC65AA">
              <w:rPr>
                <w:rFonts w:ascii="Times New Roman" w:hAnsi="Times New Roman"/>
                <w:iCs/>
                <w:color w:val="000000" w:themeColor="text1"/>
                <w:sz w:val="24"/>
                <w:szCs w:val="28"/>
                <w:lang w:val="ro-RO"/>
              </w:rPr>
              <w:t>şi</w:t>
            </w:r>
            <w:proofErr w:type="spellEnd"/>
            <w:r w:rsidRPr="00EC65AA">
              <w:rPr>
                <w:rFonts w:ascii="Times New Roman" w:hAnsi="Times New Roman"/>
                <w:iCs/>
                <w:color w:val="000000" w:themeColor="text1"/>
                <w:sz w:val="24"/>
                <w:szCs w:val="28"/>
                <w:lang w:val="ro-RO"/>
              </w:rPr>
              <w:t xml:space="preserve"> exploatate în condiții normale, care în conformitate cu Documentul normativ NCM E.01.02:2019 Acțiuni în construcții. Regulament privind stabilirea categoriilor de importanță a construcțiilor, aprobat prin Ordinul Ministrului economiei și infrastructurii nr. 143/2020, este de până </w:t>
            </w:r>
            <w:r w:rsidRPr="00EC65AA">
              <w:rPr>
                <w:rFonts w:ascii="Times New Roman" w:hAnsi="Times New Roman"/>
                <w:iCs/>
                <w:color w:val="000000" w:themeColor="text1"/>
                <w:sz w:val="24"/>
                <w:szCs w:val="28"/>
                <w:lang w:val="ro-RO"/>
              </w:rPr>
              <w:lastRenderedPageBreak/>
              <w:t>la 50 de ani, ceea ce face ca proprietarii clădirilor să nu fie cointeresați în efectuarea lucrărilor de renovare.</w:t>
            </w:r>
          </w:p>
        </w:tc>
        <w:tc>
          <w:tcPr>
            <w:tcW w:w="1230" w:type="pct"/>
            <w:tcMar>
              <w:top w:w="0" w:type="dxa"/>
              <w:left w:w="108" w:type="dxa"/>
              <w:bottom w:w="0" w:type="dxa"/>
              <w:right w:w="108" w:type="dxa"/>
            </w:tcMar>
          </w:tcPr>
          <w:p w14:paraId="40E55C5F" w14:textId="7777777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ia act de informare. </w:t>
            </w:r>
          </w:p>
          <w:p w14:paraId="0A647AE0" w14:textId="7777777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Perioada calculată de recuperare a investiției de 154 de ani menționată la pct. 14 se referă la casele individuale, care utilizează lemnele de foc drept principală resursă energetică pentru încălzire. Acest fapt se datorează costului mic ar lemnelor de foc care sunt utilizate în calitate de combustibil pentru încălzire. </w:t>
            </w:r>
          </w:p>
          <w:p w14:paraId="64925ED1" w14:textId="7777777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Finanțarea măsurilor de reabilitare energetică a caselor individuale în cadrul Programului de finanțare Fondul pentru Eficiență Energetică din Republica Moldova are loc în </w:t>
            </w:r>
            <w:r w:rsidRPr="00EC65AA">
              <w:rPr>
                <w:rFonts w:ascii="Times New Roman" w:hAnsi="Times New Roman"/>
                <w:sz w:val="24"/>
                <w:szCs w:val="24"/>
                <w:lang w:val="ro-RO"/>
              </w:rPr>
              <w:lastRenderedPageBreak/>
              <w:t>baza prevederilor produselor de finanțare, care prevede că un proiect poate fi finanțat doar dacă se încadrează în indicatorii economici de proiect, printre care se regăsește și perioada de recuperare a investiției, care trebuie să fie de maxim 20 de ani.</w:t>
            </w:r>
          </w:p>
          <w:p w14:paraId="26501148" w14:textId="6CB8C5AB"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Astfel, având în vedere cele menționate, finanțarea unor proiecte de eficiență energetică, care ar depăși perioada de recuperare a investiției prevăzută conform produsului de finanțare, este exclusă.</w:t>
            </w:r>
          </w:p>
        </w:tc>
      </w:tr>
      <w:tr w:rsidR="00BA46E0" w:rsidRPr="00EC65AA" w14:paraId="083D8DBB" w14:textId="77777777" w:rsidTr="006779A1">
        <w:tc>
          <w:tcPr>
            <w:tcW w:w="866" w:type="pct"/>
            <w:vMerge/>
            <w:tcMar>
              <w:top w:w="0" w:type="dxa"/>
              <w:left w:w="108" w:type="dxa"/>
              <w:bottom w:w="0" w:type="dxa"/>
              <w:right w:w="108" w:type="dxa"/>
            </w:tcMar>
          </w:tcPr>
          <w:p w14:paraId="690DACB9" w14:textId="7777777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4CA81198" w14:textId="77777777" w:rsidR="00C75135" w:rsidRPr="00EC65AA" w:rsidRDefault="00C7513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7552F86" w14:textId="77777777"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La </w:t>
            </w:r>
            <w:r w:rsidRPr="00EC65AA">
              <w:rPr>
                <w:rFonts w:ascii="Times New Roman" w:hAnsi="Times New Roman"/>
                <w:b/>
                <w:bCs/>
                <w:iCs/>
                <w:color w:val="000000" w:themeColor="text1"/>
                <w:sz w:val="24"/>
                <w:szCs w:val="28"/>
                <w:lang w:val="ro-RO"/>
              </w:rPr>
              <w:t>pct. 4</w:t>
            </w:r>
            <w:r w:rsidRPr="00EC65AA">
              <w:rPr>
                <w:rFonts w:ascii="Times New Roman" w:hAnsi="Times New Roman"/>
                <w:iCs/>
                <w:color w:val="000000" w:themeColor="text1"/>
                <w:sz w:val="24"/>
                <w:szCs w:val="28"/>
                <w:lang w:val="ro-RO"/>
              </w:rPr>
              <w:t xml:space="preserve"> privind modificarea Hotărârii Guvernului nr. 251/2024 cu privire la aprobarea Programului de finanțare „Fondul pentru eficiență energetică în sectorul rezidențial din Republica Moldova”:</w:t>
            </w:r>
          </w:p>
          <w:p w14:paraId="66B7CCA2" w14:textId="4A0D0F4E"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în </w:t>
            </w:r>
            <w:proofErr w:type="spellStart"/>
            <w:r w:rsidRPr="00EC65AA">
              <w:rPr>
                <w:rFonts w:ascii="Times New Roman" w:hAnsi="Times New Roman"/>
                <w:b/>
                <w:bCs/>
                <w:iCs/>
                <w:color w:val="000000" w:themeColor="text1"/>
                <w:sz w:val="24"/>
                <w:szCs w:val="28"/>
                <w:lang w:val="ro-RO"/>
              </w:rPr>
              <w:t>subpct</w:t>
            </w:r>
            <w:proofErr w:type="spellEnd"/>
            <w:r w:rsidRPr="00EC65AA">
              <w:rPr>
                <w:rFonts w:ascii="Times New Roman" w:hAnsi="Times New Roman"/>
                <w:b/>
                <w:bCs/>
                <w:iCs/>
                <w:color w:val="000000" w:themeColor="text1"/>
                <w:sz w:val="24"/>
                <w:szCs w:val="28"/>
                <w:lang w:val="ro-RO"/>
              </w:rPr>
              <w:t>. 4.2.2, 4.2.3, 4.2.5 și 4.2.9</w:t>
            </w:r>
            <w:r w:rsidRPr="00EC65AA">
              <w:rPr>
                <w:rFonts w:ascii="Times New Roman" w:hAnsi="Times New Roman"/>
                <w:iCs/>
                <w:color w:val="000000" w:themeColor="text1"/>
                <w:sz w:val="24"/>
                <w:szCs w:val="28"/>
                <w:lang w:val="ro-RO"/>
              </w:rPr>
              <w:t>, se utilizează noțiunea de „</w:t>
            </w:r>
            <w:r w:rsidRPr="00EC65AA">
              <w:rPr>
                <w:rFonts w:ascii="Times New Roman" w:hAnsi="Times New Roman"/>
                <w:i/>
                <w:color w:val="000000" w:themeColor="text1"/>
                <w:sz w:val="24"/>
                <w:szCs w:val="28"/>
                <w:lang w:val="ro-RO"/>
              </w:rPr>
              <w:t>construcții locative</w:t>
            </w:r>
            <w:r w:rsidRPr="00EC65AA">
              <w:rPr>
                <w:rFonts w:ascii="Times New Roman" w:hAnsi="Times New Roman"/>
                <w:iCs/>
                <w:color w:val="000000" w:themeColor="text1"/>
                <w:sz w:val="24"/>
                <w:szCs w:val="28"/>
                <w:lang w:val="ro-RO"/>
              </w:rPr>
              <w:t>”, noțiune care nu este utilizată în legislația din domeniu (Legea nr. 75/2015 cu privire la locuințe și Codul urbanismului și construcțiilor nr. 434/2023). Astfel, propunem substituirea acesteia cu noțiunea de „</w:t>
            </w:r>
            <w:r w:rsidRPr="00EC65AA">
              <w:rPr>
                <w:rFonts w:ascii="Times New Roman" w:hAnsi="Times New Roman"/>
                <w:i/>
                <w:color w:val="000000" w:themeColor="text1"/>
                <w:sz w:val="24"/>
                <w:szCs w:val="28"/>
                <w:lang w:val="ro-RO"/>
              </w:rPr>
              <w:t>clădire rezidențială</w:t>
            </w:r>
            <w:r w:rsidRPr="00EC65AA">
              <w:rPr>
                <w:rFonts w:ascii="Times New Roman" w:hAnsi="Times New Roman"/>
                <w:iCs/>
                <w:color w:val="000000" w:themeColor="text1"/>
                <w:sz w:val="24"/>
                <w:szCs w:val="28"/>
                <w:lang w:val="ro-RO"/>
              </w:rPr>
              <w:t>”, care în conformitate cu art. 3 din Codul urbanismului și construcțiilor, reprezintă casă individuală destinată pentru traiul unei familii, casă individuală amplasată separat, cuplat sau înșiruit, de tip duplex (triplex), destinată pentru traiul mai multor familii, bloc locativ.</w:t>
            </w:r>
          </w:p>
        </w:tc>
        <w:tc>
          <w:tcPr>
            <w:tcW w:w="1230" w:type="pct"/>
            <w:tcMar>
              <w:top w:w="0" w:type="dxa"/>
              <w:left w:w="108" w:type="dxa"/>
              <w:bottom w:w="0" w:type="dxa"/>
              <w:right w:w="108" w:type="dxa"/>
            </w:tcMar>
          </w:tcPr>
          <w:p w14:paraId="1829CFC2" w14:textId="7777777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parțial. </w:t>
            </w:r>
          </w:p>
          <w:p w14:paraId="34324994" w14:textId="6AB84E3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Sintagma „construcții locative” au fost substituite cu sintagma „case individuale” </w:t>
            </w:r>
          </w:p>
        </w:tc>
      </w:tr>
      <w:tr w:rsidR="00BA46E0" w:rsidRPr="00EC65AA" w14:paraId="25321287" w14:textId="77777777" w:rsidTr="006779A1">
        <w:tc>
          <w:tcPr>
            <w:tcW w:w="866" w:type="pct"/>
            <w:vMerge/>
            <w:tcMar>
              <w:top w:w="0" w:type="dxa"/>
              <w:left w:w="108" w:type="dxa"/>
              <w:bottom w:w="0" w:type="dxa"/>
              <w:right w:w="108" w:type="dxa"/>
            </w:tcMar>
          </w:tcPr>
          <w:p w14:paraId="3DB089CF" w14:textId="77777777"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8A3AAEF" w14:textId="77777777" w:rsidR="00C75135" w:rsidRPr="00EC65AA" w:rsidRDefault="00C7513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554A6C7" w14:textId="77777777"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proofErr w:type="spellStart"/>
            <w:r w:rsidRPr="00EC65AA">
              <w:rPr>
                <w:rFonts w:ascii="Times New Roman" w:hAnsi="Times New Roman"/>
                <w:b/>
                <w:bCs/>
                <w:iCs/>
                <w:color w:val="000000" w:themeColor="text1"/>
                <w:sz w:val="24"/>
                <w:szCs w:val="28"/>
                <w:lang w:val="ro-RO"/>
              </w:rPr>
              <w:t>subpct</w:t>
            </w:r>
            <w:proofErr w:type="spellEnd"/>
            <w:r w:rsidRPr="00EC65AA">
              <w:rPr>
                <w:rFonts w:ascii="Times New Roman" w:hAnsi="Times New Roman"/>
                <w:b/>
                <w:bCs/>
                <w:iCs/>
                <w:color w:val="000000" w:themeColor="text1"/>
                <w:sz w:val="24"/>
                <w:szCs w:val="28"/>
                <w:lang w:val="ro-RO"/>
              </w:rPr>
              <w:t>. 4.2.3</w:t>
            </w:r>
            <w:r w:rsidRPr="00EC65AA">
              <w:rPr>
                <w:rFonts w:ascii="Times New Roman" w:hAnsi="Times New Roman"/>
                <w:iCs/>
                <w:color w:val="000000" w:themeColor="text1"/>
                <w:sz w:val="24"/>
                <w:szCs w:val="28"/>
                <w:lang w:val="ro-RO"/>
              </w:rPr>
              <w:t>, textul „certificatul de urbanism sau autorizația de construire, în conformitate cu condițiile produselor de finanțare aplicabile”, se va completa la final cu textul „</w:t>
            </w:r>
            <w:bookmarkStart w:id="0" w:name="_Hlk207285907"/>
            <w:r w:rsidRPr="00EC65AA">
              <w:rPr>
                <w:rFonts w:ascii="Times New Roman" w:hAnsi="Times New Roman"/>
                <w:iCs/>
                <w:color w:val="000000" w:themeColor="text1"/>
                <w:sz w:val="24"/>
                <w:szCs w:val="28"/>
                <w:lang w:val="ro-RO"/>
              </w:rPr>
              <w:t>sau notificarea remisă în adresa autorității administrației publice locale privind intenția de începere a lucrărilor de construcție, conform prevederilor Regulamentului cu privire la construcția și recepția caselor individuale cu un etaj, cu suprafața mai mică de 150 de metri pătrați, destinate pentru una sau două familii, și a anexelor gospodărești ale acestora, aprobat prin Hotărârea Guvernului nr. 585/2024</w:t>
            </w:r>
            <w:bookmarkEnd w:id="0"/>
            <w:r w:rsidRPr="00EC65AA">
              <w:rPr>
                <w:rFonts w:ascii="Times New Roman" w:hAnsi="Times New Roman"/>
                <w:iCs/>
                <w:color w:val="000000" w:themeColor="text1"/>
                <w:sz w:val="24"/>
                <w:szCs w:val="28"/>
                <w:lang w:val="ro-RO"/>
              </w:rPr>
              <w:t>”.</w:t>
            </w:r>
          </w:p>
          <w:p w14:paraId="5355DF71" w14:textId="77777777"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Această completare rezultă din faptul că, în conformitate cu prevederile art. 150</w:t>
            </w:r>
          </w:p>
          <w:p w14:paraId="79E15967" w14:textId="343E2457" w:rsidR="00C75135" w:rsidRPr="00EC65AA" w:rsidRDefault="00C75135" w:rsidP="00B968E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alin. (1) lit. t) din Codul urbanismului și construcțiilor, lucrările de execuție a caselor individuale cu un etaj, cu suprafața mai mică de 150 de metri pătrați, destinate pentru una sau două familii, și a anexelor gospodărești ale acestora, construite pe teren proprietate privată și situate în localitățile rurale, cu excepția celor din zonele protejate, pot fi executate fără certificat de urbanism și autorizație de construire.</w:t>
            </w:r>
          </w:p>
        </w:tc>
        <w:tc>
          <w:tcPr>
            <w:tcW w:w="1230" w:type="pct"/>
            <w:tcMar>
              <w:top w:w="0" w:type="dxa"/>
              <w:left w:w="108" w:type="dxa"/>
              <w:bottom w:w="0" w:type="dxa"/>
              <w:right w:w="108" w:type="dxa"/>
            </w:tcMar>
          </w:tcPr>
          <w:p w14:paraId="552FC8AA" w14:textId="06445CB0" w:rsidR="00C75135" w:rsidRPr="00EC65AA" w:rsidRDefault="00C7513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BA46E0" w:rsidRPr="00EC65AA" w14:paraId="534FEE3F" w14:textId="77777777" w:rsidTr="006779A1">
        <w:tc>
          <w:tcPr>
            <w:tcW w:w="866" w:type="pct"/>
            <w:tcMar>
              <w:top w:w="0" w:type="dxa"/>
              <w:left w:w="108" w:type="dxa"/>
              <w:bottom w:w="0" w:type="dxa"/>
              <w:right w:w="108" w:type="dxa"/>
            </w:tcMar>
          </w:tcPr>
          <w:p w14:paraId="635727DB" w14:textId="2E20AC0E" w:rsidR="009C6FD7" w:rsidRPr="00EC65AA" w:rsidRDefault="009C6FD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Agenția Națională pentru Reglementare în Energetică</w:t>
            </w:r>
          </w:p>
        </w:tc>
        <w:tc>
          <w:tcPr>
            <w:tcW w:w="577" w:type="pct"/>
            <w:tcMar>
              <w:top w:w="0" w:type="dxa"/>
              <w:left w:w="108" w:type="dxa"/>
              <w:bottom w:w="0" w:type="dxa"/>
              <w:right w:w="108" w:type="dxa"/>
            </w:tcMar>
          </w:tcPr>
          <w:p w14:paraId="21A0DD4B" w14:textId="31D1AC03" w:rsidR="009C6FD7" w:rsidRPr="00EC65AA" w:rsidRDefault="009C6FD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03-02/4839 din 29.08.2025</w:t>
            </w:r>
          </w:p>
        </w:tc>
        <w:tc>
          <w:tcPr>
            <w:tcW w:w="2327" w:type="pct"/>
            <w:tcMar>
              <w:top w:w="0" w:type="dxa"/>
              <w:left w:w="108" w:type="dxa"/>
              <w:bottom w:w="0" w:type="dxa"/>
              <w:right w:w="108" w:type="dxa"/>
            </w:tcMar>
          </w:tcPr>
          <w:p w14:paraId="33564CD4" w14:textId="527CF10F" w:rsidR="009C6FD7" w:rsidRPr="00EC65AA" w:rsidRDefault="009C6FD7" w:rsidP="009C6F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Agenția Națională pentru Reglementare în Energetică a examinat demersul nr. 18-69-8797 din 18.08.2025, prin care se solicită avizarea proiectul de Hotărâre  a Guvernului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8"/>
                <w:lang w:val="ro-RO"/>
              </w:rPr>
              <w:t>MEn</w:t>
            </w:r>
            <w:proofErr w:type="spellEnd"/>
            <w:r w:rsidRPr="00EC65AA">
              <w:rPr>
                <w:rFonts w:ascii="Times New Roman" w:hAnsi="Times New Roman"/>
                <w:iCs/>
                <w:color w:val="000000" w:themeColor="text1"/>
                <w:sz w:val="24"/>
                <w:szCs w:val="28"/>
                <w:lang w:val="ro-RO"/>
              </w:rPr>
              <w:t xml:space="preserve">/2025), autor — Ministerul Energiei (persoană responsabilă — Nicolae Olari, e-mail: nicolae.olari@energie.gov.md), la care comunică lipsa propunerilor </w:t>
            </w:r>
            <w:proofErr w:type="spellStart"/>
            <w:r w:rsidRPr="00EC65AA">
              <w:rPr>
                <w:rFonts w:ascii="Times New Roman" w:hAnsi="Times New Roman"/>
                <w:iCs/>
                <w:color w:val="000000" w:themeColor="text1"/>
                <w:sz w:val="24"/>
                <w:szCs w:val="28"/>
                <w:lang w:val="ro-RO"/>
              </w:rPr>
              <w:t>şi</w:t>
            </w:r>
            <w:proofErr w:type="spellEnd"/>
            <w:r w:rsidRPr="00EC65AA">
              <w:rPr>
                <w:rFonts w:ascii="Times New Roman" w:hAnsi="Times New Roman"/>
                <w:iCs/>
                <w:color w:val="000000" w:themeColor="text1"/>
                <w:sz w:val="24"/>
                <w:szCs w:val="28"/>
                <w:lang w:val="ro-RO"/>
              </w:rPr>
              <w:t xml:space="preserve"> obiecțiilor.</w:t>
            </w:r>
          </w:p>
        </w:tc>
        <w:tc>
          <w:tcPr>
            <w:tcW w:w="1230" w:type="pct"/>
            <w:tcMar>
              <w:top w:w="0" w:type="dxa"/>
              <w:left w:w="108" w:type="dxa"/>
              <w:bottom w:w="0" w:type="dxa"/>
              <w:right w:w="108" w:type="dxa"/>
            </w:tcMar>
          </w:tcPr>
          <w:p w14:paraId="10CE3EE7" w14:textId="73A3D54D" w:rsidR="009C6FD7" w:rsidRPr="00EC65AA" w:rsidRDefault="009C6FD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ia act de informare. </w:t>
            </w:r>
          </w:p>
        </w:tc>
      </w:tr>
      <w:tr w:rsidR="00BA46E0" w:rsidRPr="00EC65AA" w14:paraId="78CCD9F5" w14:textId="77777777" w:rsidTr="006779A1">
        <w:tc>
          <w:tcPr>
            <w:tcW w:w="866" w:type="pct"/>
            <w:tcMar>
              <w:top w:w="0" w:type="dxa"/>
              <w:left w:w="108" w:type="dxa"/>
              <w:bottom w:w="0" w:type="dxa"/>
              <w:right w:w="108" w:type="dxa"/>
            </w:tcMar>
          </w:tcPr>
          <w:p w14:paraId="0AB62B05" w14:textId="114E9B18" w:rsidR="009C6FD7" w:rsidRPr="00EC65AA" w:rsidRDefault="009C6FD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Ministerul Sănătății </w:t>
            </w:r>
          </w:p>
        </w:tc>
        <w:tc>
          <w:tcPr>
            <w:tcW w:w="577" w:type="pct"/>
            <w:tcMar>
              <w:top w:w="0" w:type="dxa"/>
              <w:left w:w="108" w:type="dxa"/>
              <w:bottom w:w="0" w:type="dxa"/>
              <w:right w:w="108" w:type="dxa"/>
            </w:tcMar>
          </w:tcPr>
          <w:p w14:paraId="099D0495" w14:textId="16607E15" w:rsidR="009C6FD7" w:rsidRPr="00EC65AA" w:rsidRDefault="00C576C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22/2708 din 29.08.2025</w:t>
            </w:r>
          </w:p>
        </w:tc>
        <w:tc>
          <w:tcPr>
            <w:tcW w:w="2327" w:type="pct"/>
            <w:tcMar>
              <w:top w:w="0" w:type="dxa"/>
              <w:left w:w="108" w:type="dxa"/>
              <w:bottom w:w="0" w:type="dxa"/>
              <w:right w:w="108" w:type="dxa"/>
            </w:tcMar>
          </w:tcPr>
          <w:p w14:paraId="1564FEC7" w14:textId="77777777" w:rsidR="00C576CA" w:rsidRPr="00EC65AA" w:rsidRDefault="00C576CA"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Ministerul Sănătății a examinat proiectul de hotărâre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/2025), autor – Ministerul Energiei, remis spre avizare, și în limita competențelor funcționale, comunică lipsa de obiecții, însă formulează următoarele recomandări.</w:t>
            </w:r>
          </w:p>
          <w:p w14:paraId="5E8ED788" w14:textId="77777777" w:rsidR="00C576CA" w:rsidRPr="00EC65AA" w:rsidRDefault="00C576CA"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La punctul 5.2 se recomandă substituirea denumirii „Instituția Publică Centrul Național pentru Energie Durabilă” cu abrevierea „IP CNED”, având în vedere că în textul hotărârii în vigoare este prevăzută utilizarea formei abreviate.</w:t>
            </w:r>
          </w:p>
          <w:p w14:paraId="67C59095" w14:textId="28EF61F0" w:rsidR="009C6FD7" w:rsidRPr="00EC65AA" w:rsidRDefault="00C576CA"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Totodată, se constată o neconcordanță între denumirea abreviată a Instituției Publice Centrul pentru Energie Durabilă de la punctul 5.3.1 (IP CNED) și punctul 5.3.2 (CNED) din proiectul hotărârii, aceiași discrepanță o întâlnim și în Nota de fundamentare a prezentei hotărâri. Se recomandă uniformizarea denumirii și abrevierii pe tot parcursul textului, în vederea asigurării coerenței și clarității actului normativ.</w:t>
            </w:r>
          </w:p>
        </w:tc>
        <w:tc>
          <w:tcPr>
            <w:tcW w:w="1230" w:type="pct"/>
            <w:tcMar>
              <w:top w:w="0" w:type="dxa"/>
              <w:left w:w="108" w:type="dxa"/>
              <w:bottom w:w="0" w:type="dxa"/>
              <w:right w:w="108" w:type="dxa"/>
            </w:tcMar>
          </w:tcPr>
          <w:p w14:paraId="7558D34D" w14:textId="4D725B4C" w:rsidR="009C6FD7" w:rsidRPr="00EC65AA" w:rsidRDefault="00AA137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 parțial</w:t>
            </w:r>
            <w:r w:rsidR="00C576CA" w:rsidRPr="00EC65AA">
              <w:rPr>
                <w:rFonts w:ascii="Times New Roman" w:hAnsi="Times New Roman"/>
                <w:b/>
                <w:bCs/>
                <w:sz w:val="24"/>
                <w:szCs w:val="24"/>
                <w:lang w:val="ro-RO"/>
              </w:rPr>
              <w:t xml:space="preserve">. </w:t>
            </w:r>
          </w:p>
          <w:p w14:paraId="0D7F48F2" w14:textId="3EA7C622" w:rsidR="00C576CA" w:rsidRPr="00EC65AA" w:rsidRDefault="00C576CA"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La pct. 5.2 sunt propuse modificări la pct. 3 din</w:t>
            </w:r>
            <w:r w:rsidRPr="00EC65AA">
              <w:rPr>
                <w:rFonts w:ascii="Times New Roman" w:hAnsi="Times New Roman"/>
                <w:b/>
                <w:bCs/>
                <w:sz w:val="24"/>
                <w:szCs w:val="24"/>
                <w:lang w:val="ro-RO"/>
              </w:rPr>
              <w:t xml:space="preserve"> </w:t>
            </w:r>
            <w:r w:rsidRPr="00EC65AA">
              <w:rPr>
                <w:rFonts w:ascii="Times New Roman" w:hAnsi="Times New Roman"/>
                <w:sz w:val="24"/>
                <w:szCs w:val="24"/>
                <w:lang w:val="ro-RO"/>
              </w:rPr>
              <w:t xml:space="preserve">Hotărârea Guvernului Nr. 829/2024 pentru aprobarea Regulamentului cu privire la efectuarea auditului energetic de către întreprinderile mari. </w:t>
            </w:r>
            <w:r w:rsidR="00D374A0" w:rsidRPr="00EC65AA">
              <w:rPr>
                <w:rFonts w:ascii="Times New Roman" w:hAnsi="Times New Roman"/>
                <w:sz w:val="24"/>
                <w:szCs w:val="24"/>
                <w:lang w:val="ro-RO"/>
              </w:rPr>
              <w:t>În cadrul Hotărârii de Guvern menționate nu se utilizează forma abreviată „IP CNED”, prin urmare nu este argumentată propunerea.</w:t>
            </w:r>
          </w:p>
          <w:p w14:paraId="0B591D7A" w14:textId="69195D91" w:rsidR="00C576CA" w:rsidRPr="00EC65AA" w:rsidRDefault="00C576CA"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Totodată, la pct. 5.3.1 și respectiv 5.3.2 din proiectul HG sunt propuse modificări la pct. 25 și respectiv 26 din </w:t>
            </w:r>
            <w:bookmarkStart w:id="1" w:name="_Hlk199237708"/>
            <w:r w:rsidRPr="00EC65AA">
              <w:rPr>
                <w:rFonts w:ascii="Times New Roman" w:hAnsi="Times New Roman"/>
                <w:sz w:val="24"/>
                <w:szCs w:val="24"/>
                <w:lang w:val="ro-RO"/>
              </w:rPr>
              <w:t>Regulamentul cu privire la efectuarea auditului energetic de către întreprinderile mari aprobat prin Hotărârea Guvernului Nr. 829/2024</w:t>
            </w:r>
            <w:bookmarkEnd w:id="1"/>
            <w:r w:rsidRPr="00EC65AA">
              <w:rPr>
                <w:rFonts w:ascii="Times New Roman" w:hAnsi="Times New Roman"/>
                <w:sz w:val="24"/>
                <w:szCs w:val="24"/>
                <w:lang w:val="ro-RO"/>
              </w:rPr>
              <w:t xml:space="preserve">. </w:t>
            </w:r>
          </w:p>
          <w:p w14:paraId="411A7A38" w14:textId="64CF1990" w:rsidR="00C576CA" w:rsidRPr="00EC65AA" w:rsidRDefault="00C576CA"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În cadrul acestor puncte a fost utilizată abrevierea „IP CNED” deoarece </w:t>
            </w:r>
            <w:r w:rsidR="001773BB" w:rsidRPr="00EC65AA">
              <w:rPr>
                <w:rFonts w:ascii="Times New Roman" w:hAnsi="Times New Roman"/>
                <w:sz w:val="24"/>
                <w:szCs w:val="24"/>
                <w:lang w:val="ro-RO"/>
              </w:rPr>
              <w:t>aceasta abreviere este menționată la pct. 2 din Regulamentul cu privire la efectuarea auditului energetic de către întreprinderile mari</w:t>
            </w:r>
            <w:r w:rsidR="00D374A0" w:rsidRPr="00EC65AA">
              <w:rPr>
                <w:rFonts w:ascii="Times New Roman" w:hAnsi="Times New Roman"/>
                <w:sz w:val="24"/>
                <w:szCs w:val="24"/>
                <w:lang w:val="ro-RO"/>
              </w:rPr>
              <w:t>.</w:t>
            </w:r>
          </w:p>
          <w:p w14:paraId="4A6D6D7F" w14:textId="36B96E9C" w:rsidR="00D374A0" w:rsidRPr="00EC65AA" w:rsidRDefault="00D374A0"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Având în vedere cele menționate, recomandările efectuate </w:t>
            </w:r>
            <w:r w:rsidR="00AA137B" w:rsidRPr="00EC65AA">
              <w:rPr>
                <w:rFonts w:ascii="Times New Roman" w:hAnsi="Times New Roman"/>
                <w:sz w:val="24"/>
                <w:szCs w:val="24"/>
                <w:lang w:val="ro-RO"/>
              </w:rPr>
              <w:t xml:space="preserve">cu referire la proiectul Hotărârii de Guvern </w:t>
            </w:r>
            <w:r w:rsidRPr="00EC65AA">
              <w:rPr>
                <w:rFonts w:ascii="Times New Roman" w:hAnsi="Times New Roman"/>
                <w:sz w:val="24"/>
                <w:szCs w:val="24"/>
                <w:lang w:val="ro-RO"/>
              </w:rPr>
              <w:t>nu pot fi acceptate.</w:t>
            </w:r>
          </w:p>
          <w:p w14:paraId="214896C5" w14:textId="1A735D0E" w:rsidR="00C576CA" w:rsidRPr="00EC65AA" w:rsidRDefault="00AA137B" w:rsidP="00AA137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lastRenderedPageBreak/>
              <w:t xml:space="preserve">În Nota de fundamentare au fost efectuate ajustările corespunzătoare conform recomandărilor prezentate. </w:t>
            </w:r>
          </w:p>
        </w:tc>
      </w:tr>
      <w:tr w:rsidR="00BA46E0" w:rsidRPr="00EC65AA" w14:paraId="57798D81" w14:textId="77777777" w:rsidTr="006779A1">
        <w:tc>
          <w:tcPr>
            <w:tcW w:w="866" w:type="pct"/>
            <w:vMerge w:val="restart"/>
            <w:tcMar>
              <w:top w:w="0" w:type="dxa"/>
              <w:left w:w="108" w:type="dxa"/>
              <w:bottom w:w="0" w:type="dxa"/>
              <w:right w:w="108" w:type="dxa"/>
            </w:tcMar>
          </w:tcPr>
          <w:p w14:paraId="6D2122E7" w14:textId="1D651F79" w:rsidR="00734B8D" w:rsidRPr="00EC65AA" w:rsidRDefault="00734B8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Ministerul Muncii și Protecției Sociale</w:t>
            </w:r>
          </w:p>
        </w:tc>
        <w:tc>
          <w:tcPr>
            <w:tcW w:w="577" w:type="pct"/>
            <w:vMerge w:val="restart"/>
            <w:tcMar>
              <w:top w:w="0" w:type="dxa"/>
              <w:left w:w="108" w:type="dxa"/>
              <w:bottom w:w="0" w:type="dxa"/>
              <w:right w:w="108" w:type="dxa"/>
            </w:tcMar>
          </w:tcPr>
          <w:p w14:paraId="2B44DD4C" w14:textId="1CECE644" w:rsidR="00734B8D" w:rsidRPr="00EC65AA" w:rsidRDefault="00734B8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17/4115 din 28.08.2025</w:t>
            </w:r>
          </w:p>
        </w:tc>
        <w:tc>
          <w:tcPr>
            <w:tcW w:w="2327" w:type="pct"/>
            <w:tcMar>
              <w:top w:w="0" w:type="dxa"/>
              <w:left w:w="108" w:type="dxa"/>
              <w:bottom w:w="0" w:type="dxa"/>
              <w:right w:w="108" w:type="dxa"/>
            </w:tcMar>
          </w:tcPr>
          <w:p w14:paraId="4ADFD858" w14:textId="77777777" w:rsidR="00734B8D" w:rsidRPr="00EC65AA" w:rsidRDefault="00734B8D"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Ministerul Muncii și Protecției Sociale a examinat demersul Cancelariei de Stat nr. 18-69-8797 din 18.08.2025 cu referire la avizarea proiectului de hotărâre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 xml:space="preserve">/2025) și în limita competenței funcționale comunică următoarele. </w:t>
            </w:r>
          </w:p>
          <w:p w14:paraId="0BEA7D50" w14:textId="1F8BA258" w:rsidR="00734B8D" w:rsidRPr="00EC65AA" w:rsidRDefault="00734B8D"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La proiectul de hotărâre a Guvernului: Pe tot parcursul textului, urmează a fi revizuită numerotarea punctelor, în conformitate cu art. 52 alin. (3) din Legea nr. 100/2017. Pentru o interpretare corectă și o aplicare comodă, punctele pot fi divizate în subpuncte, care se numerotează prin adăugarea consecutivă a cifrelor arabe, până la gradul de detaliere necesar.</w:t>
            </w:r>
          </w:p>
        </w:tc>
        <w:tc>
          <w:tcPr>
            <w:tcW w:w="1230" w:type="pct"/>
            <w:tcMar>
              <w:top w:w="0" w:type="dxa"/>
              <w:left w:w="108" w:type="dxa"/>
              <w:bottom w:w="0" w:type="dxa"/>
              <w:right w:w="108" w:type="dxa"/>
            </w:tcMar>
          </w:tcPr>
          <w:p w14:paraId="3DD60B3A" w14:textId="3F128D6E" w:rsidR="00734B8D" w:rsidRPr="00EC65AA" w:rsidRDefault="00734B8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BA46E0" w:rsidRPr="00EC65AA" w14:paraId="3BE11763" w14:textId="77777777" w:rsidTr="006779A1">
        <w:tc>
          <w:tcPr>
            <w:tcW w:w="866" w:type="pct"/>
            <w:vMerge/>
            <w:tcMar>
              <w:top w:w="0" w:type="dxa"/>
              <w:left w:w="108" w:type="dxa"/>
              <w:bottom w:w="0" w:type="dxa"/>
              <w:right w:w="108" w:type="dxa"/>
            </w:tcMar>
          </w:tcPr>
          <w:p w14:paraId="553582F6" w14:textId="77777777" w:rsidR="00734B8D" w:rsidRPr="00EC65AA" w:rsidRDefault="00734B8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0EE03CB" w14:textId="77777777" w:rsidR="00734B8D" w:rsidRPr="00EC65AA" w:rsidRDefault="00734B8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6142FDA" w14:textId="10561E13" w:rsidR="00734B8D" w:rsidRPr="00EC65AA" w:rsidRDefault="00734B8D"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pct. 2.5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5), se va ține cont că la schimbarea unor 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„textului” respectiv. Obiecția se referă și la pct. 2.8.</w:t>
            </w:r>
          </w:p>
        </w:tc>
        <w:tc>
          <w:tcPr>
            <w:tcW w:w="1230" w:type="pct"/>
            <w:tcMar>
              <w:top w:w="0" w:type="dxa"/>
              <w:left w:w="108" w:type="dxa"/>
              <w:bottom w:w="0" w:type="dxa"/>
              <w:right w:w="108" w:type="dxa"/>
            </w:tcMar>
          </w:tcPr>
          <w:p w14:paraId="0F7CA560" w14:textId="1D3632E8" w:rsidR="00734B8D" w:rsidRPr="00EC65AA" w:rsidRDefault="00734B8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BA46E0" w:rsidRPr="00EC65AA" w14:paraId="209DC09B" w14:textId="77777777" w:rsidTr="006779A1">
        <w:tc>
          <w:tcPr>
            <w:tcW w:w="866" w:type="pct"/>
            <w:vMerge/>
            <w:tcMar>
              <w:top w:w="0" w:type="dxa"/>
              <w:left w:w="108" w:type="dxa"/>
              <w:bottom w:w="0" w:type="dxa"/>
              <w:right w:w="108" w:type="dxa"/>
            </w:tcMar>
          </w:tcPr>
          <w:p w14:paraId="25343340" w14:textId="77777777" w:rsidR="00734B8D" w:rsidRPr="00EC65AA" w:rsidRDefault="00734B8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5E9ED64B" w14:textId="77777777" w:rsidR="00734B8D" w:rsidRPr="00EC65AA" w:rsidRDefault="00734B8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E8FF65B" w14:textId="1DAD978C" w:rsidR="00734B8D" w:rsidRPr="00EC65AA" w:rsidRDefault="00734B8D"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În Nota de fundamentare, compartimentul 4.4 Impactul social, primul alineat, după cuvintele „eficiență energetică,” se propune completarea textului cu sintagma: „care ulterior va spori la reducerea vulnerabilității energetice a cetățenilor.” Această completare contribuie la evidențierea impactului social al </w:t>
            </w:r>
            <w:r w:rsidRPr="00EC65AA">
              <w:rPr>
                <w:rFonts w:ascii="Times New Roman" w:hAnsi="Times New Roman"/>
                <w:iCs/>
                <w:color w:val="000000" w:themeColor="text1"/>
                <w:sz w:val="24"/>
                <w:szCs w:val="24"/>
                <w:lang w:val="ro-RO"/>
              </w:rPr>
              <w:lastRenderedPageBreak/>
              <w:t>măsurilor propuse, subliniind beneficiile pe termen mediu și lung asupra securității energetice a cetățenilor.</w:t>
            </w:r>
          </w:p>
        </w:tc>
        <w:tc>
          <w:tcPr>
            <w:tcW w:w="1230" w:type="pct"/>
            <w:tcMar>
              <w:top w:w="0" w:type="dxa"/>
              <w:left w:w="108" w:type="dxa"/>
              <w:bottom w:w="0" w:type="dxa"/>
              <w:right w:w="108" w:type="dxa"/>
            </w:tcMar>
          </w:tcPr>
          <w:p w14:paraId="43EAC53E" w14:textId="1864C80D" w:rsidR="00734B8D" w:rsidRPr="00EC65AA" w:rsidRDefault="00734B8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tc>
      </w:tr>
      <w:tr w:rsidR="004A3CB9" w:rsidRPr="00EC65AA" w14:paraId="49DA0F39" w14:textId="77777777" w:rsidTr="006779A1">
        <w:tc>
          <w:tcPr>
            <w:tcW w:w="866" w:type="pct"/>
            <w:tcMar>
              <w:top w:w="0" w:type="dxa"/>
              <w:left w:w="108" w:type="dxa"/>
              <w:bottom w:w="0" w:type="dxa"/>
              <w:right w:w="108" w:type="dxa"/>
            </w:tcMar>
          </w:tcPr>
          <w:p w14:paraId="4C238E64" w14:textId="10C4DCAD" w:rsidR="004A3CB9" w:rsidRPr="00EC65AA" w:rsidRDefault="004A3CB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Ministerul Dezvoltării Economice și Digitalizării</w:t>
            </w:r>
          </w:p>
        </w:tc>
        <w:tc>
          <w:tcPr>
            <w:tcW w:w="577" w:type="pct"/>
            <w:tcMar>
              <w:top w:w="0" w:type="dxa"/>
              <w:left w:w="108" w:type="dxa"/>
              <w:bottom w:w="0" w:type="dxa"/>
              <w:right w:w="108" w:type="dxa"/>
            </w:tcMar>
          </w:tcPr>
          <w:p w14:paraId="0B1A6BB9" w14:textId="66448B2E" w:rsidR="004A3CB9" w:rsidRPr="00EC65AA" w:rsidRDefault="004A3CB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03-2539 din 01.09.2025</w:t>
            </w:r>
          </w:p>
        </w:tc>
        <w:tc>
          <w:tcPr>
            <w:tcW w:w="2327" w:type="pct"/>
            <w:tcMar>
              <w:top w:w="0" w:type="dxa"/>
              <w:left w:w="108" w:type="dxa"/>
              <w:bottom w:w="0" w:type="dxa"/>
              <w:right w:w="108" w:type="dxa"/>
            </w:tcMar>
          </w:tcPr>
          <w:p w14:paraId="0FA34012" w14:textId="72B2B0AD" w:rsidR="004A3CB9" w:rsidRPr="00EC65AA" w:rsidRDefault="004A3CB9"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Cu referire la proiectul hotărârii Guvernului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/2025), în limita competențelor funcționale, comunicăm lipsa de obiecții și propuneri.</w:t>
            </w:r>
          </w:p>
        </w:tc>
        <w:tc>
          <w:tcPr>
            <w:tcW w:w="1230" w:type="pct"/>
            <w:tcMar>
              <w:top w:w="0" w:type="dxa"/>
              <w:left w:w="108" w:type="dxa"/>
              <w:bottom w:w="0" w:type="dxa"/>
              <w:right w:w="108" w:type="dxa"/>
            </w:tcMar>
          </w:tcPr>
          <w:p w14:paraId="04DDBE4C" w14:textId="159A9DC5" w:rsidR="004A3CB9" w:rsidRPr="00EC65AA" w:rsidRDefault="004A3CB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ia act de informare.</w:t>
            </w:r>
          </w:p>
        </w:tc>
      </w:tr>
      <w:tr w:rsidR="00646546" w:rsidRPr="00EC65AA" w14:paraId="7496A18F" w14:textId="77777777" w:rsidTr="006779A1">
        <w:tc>
          <w:tcPr>
            <w:tcW w:w="866" w:type="pct"/>
            <w:vMerge w:val="restart"/>
            <w:tcMar>
              <w:top w:w="0" w:type="dxa"/>
              <w:left w:w="108" w:type="dxa"/>
              <w:bottom w:w="0" w:type="dxa"/>
              <w:right w:w="108" w:type="dxa"/>
            </w:tcMar>
          </w:tcPr>
          <w:p w14:paraId="6F774283" w14:textId="0B42B9BF"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Ministerul Agriculturii și Industriei Alimentare</w:t>
            </w:r>
          </w:p>
        </w:tc>
        <w:tc>
          <w:tcPr>
            <w:tcW w:w="577" w:type="pct"/>
            <w:vMerge w:val="restart"/>
            <w:tcMar>
              <w:top w:w="0" w:type="dxa"/>
              <w:left w:w="108" w:type="dxa"/>
              <w:bottom w:w="0" w:type="dxa"/>
              <w:right w:w="108" w:type="dxa"/>
            </w:tcMar>
          </w:tcPr>
          <w:p w14:paraId="4D3F993E" w14:textId="35CBBB7D" w:rsidR="00646546" w:rsidRPr="00EC65AA" w:rsidRDefault="00646546"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2025PHG-2478</w:t>
            </w:r>
          </w:p>
        </w:tc>
        <w:tc>
          <w:tcPr>
            <w:tcW w:w="2327" w:type="pct"/>
            <w:tcMar>
              <w:top w:w="0" w:type="dxa"/>
              <w:left w:w="108" w:type="dxa"/>
              <w:bottom w:w="0" w:type="dxa"/>
              <w:right w:w="108" w:type="dxa"/>
            </w:tcMar>
          </w:tcPr>
          <w:p w14:paraId="09A613D2" w14:textId="010F62B5"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În contextul examinării proiectului de Hotărâre cu privire la modificarea unor hotărâri ale Guvernului (facilitarea implementării proiectelor de eficiență energetică) </w:t>
            </w:r>
            <w:r w:rsidRPr="00EC65AA">
              <w:rPr>
                <w:rFonts w:ascii="Times New Roman" w:hAnsi="Times New Roman"/>
                <w:b/>
                <w:bCs/>
                <w:iCs/>
                <w:color w:val="000000" w:themeColor="text1"/>
                <w:sz w:val="24"/>
                <w:szCs w:val="24"/>
                <w:lang w:val="ro-RO"/>
              </w:rPr>
              <w:t>(număr unic 677/</w:t>
            </w:r>
            <w:proofErr w:type="spellStart"/>
            <w:r w:rsidRPr="00EC65AA">
              <w:rPr>
                <w:rFonts w:ascii="Times New Roman" w:hAnsi="Times New Roman"/>
                <w:b/>
                <w:bCs/>
                <w:iCs/>
                <w:color w:val="000000" w:themeColor="text1"/>
                <w:sz w:val="24"/>
                <w:szCs w:val="24"/>
                <w:lang w:val="ro-RO"/>
              </w:rPr>
              <w:t>MEn</w:t>
            </w:r>
            <w:proofErr w:type="spellEnd"/>
            <w:r w:rsidRPr="00EC65AA">
              <w:rPr>
                <w:rFonts w:ascii="Times New Roman" w:hAnsi="Times New Roman"/>
                <w:b/>
                <w:bCs/>
                <w:iCs/>
                <w:color w:val="000000" w:themeColor="text1"/>
                <w:sz w:val="24"/>
                <w:szCs w:val="24"/>
                <w:lang w:val="ro-RO"/>
              </w:rPr>
              <w:t>/2025)</w:t>
            </w:r>
            <w:r w:rsidRPr="00EC65AA">
              <w:rPr>
                <w:rFonts w:ascii="Times New Roman" w:hAnsi="Times New Roman"/>
                <w:iCs/>
                <w:color w:val="000000" w:themeColor="text1"/>
                <w:sz w:val="24"/>
                <w:szCs w:val="24"/>
                <w:lang w:val="ro-RO"/>
              </w:rPr>
              <w:t xml:space="preserve">, Vă comunicăm următoarele. </w:t>
            </w:r>
          </w:p>
          <w:p w14:paraId="435305F4" w14:textId="329728C8"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b/>
                <w:bCs/>
                <w:iCs/>
                <w:color w:val="000000" w:themeColor="text1"/>
                <w:sz w:val="24"/>
                <w:szCs w:val="24"/>
                <w:lang w:val="ro-RO"/>
              </w:rPr>
              <w:t xml:space="preserve">1) Obiecții argumentate </w:t>
            </w:r>
            <w:proofErr w:type="spellStart"/>
            <w:r w:rsidRPr="00EC65AA">
              <w:rPr>
                <w:rFonts w:ascii="Times New Roman" w:hAnsi="Times New Roman"/>
                <w:b/>
                <w:bCs/>
                <w:iCs/>
                <w:color w:val="000000" w:themeColor="text1"/>
                <w:sz w:val="24"/>
                <w:szCs w:val="24"/>
                <w:lang w:val="ro-RO"/>
              </w:rPr>
              <w:t>şi</w:t>
            </w:r>
            <w:proofErr w:type="spellEnd"/>
            <w:r w:rsidRPr="00EC65AA">
              <w:rPr>
                <w:rFonts w:ascii="Times New Roman" w:hAnsi="Times New Roman"/>
                <w:b/>
                <w:bCs/>
                <w:iCs/>
                <w:color w:val="000000" w:themeColor="text1"/>
                <w:sz w:val="24"/>
                <w:szCs w:val="24"/>
                <w:lang w:val="ro-RO"/>
              </w:rPr>
              <w:t xml:space="preserve"> explicite pe marginea cărora trebuie să se ajungă la un acord: </w:t>
            </w:r>
          </w:p>
          <w:p w14:paraId="0996795D" w14:textId="77777777"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În Programul de finanțare </w:t>
            </w:r>
            <w:r w:rsidRPr="00EC65AA">
              <w:rPr>
                <w:rFonts w:ascii="Times New Roman" w:hAnsi="Times New Roman"/>
                <w:i/>
                <w:iCs/>
                <w:color w:val="000000" w:themeColor="text1"/>
                <w:sz w:val="24"/>
                <w:szCs w:val="24"/>
                <w:lang w:val="ro-RO"/>
              </w:rPr>
              <w:t xml:space="preserve">„Fondul pentru eficiență energetică în sectorul rezidențial din Republica Moldova” </w:t>
            </w:r>
            <w:r w:rsidRPr="00EC65AA">
              <w:rPr>
                <w:rFonts w:ascii="Times New Roman" w:hAnsi="Times New Roman"/>
                <w:iCs/>
                <w:color w:val="000000" w:themeColor="text1"/>
                <w:sz w:val="24"/>
                <w:szCs w:val="24"/>
                <w:lang w:val="ro-RO"/>
              </w:rPr>
              <w:t>aprobat prin Hotărârea Guvernului nr. 251/2024:</w:t>
            </w:r>
          </w:p>
          <w:p w14:paraId="1BE6D0E4" w14:textId="2381C538"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proofErr w:type="spellStart"/>
            <w:r w:rsidRPr="00EC65AA">
              <w:rPr>
                <w:rFonts w:ascii="Times New Roman" w:hAnsi="Times New Roman"/>
                <w:iCs/>
                <w:color w:val="000000" w:themeColor="text1"/>
                <w:sz w:val="24"/>
                <w:szCs w:val="24"/>
                <w:lang w:val="ro-RO"/>
              </w:rPr>
              <w:t>subpct</w:t>
            </w:r>
            <w:proofErr w:type="spellEnd"/>
            <w:r w:rsidRPr="00EC65AA">
              <w:rPr>
                <w:rFonts w:ascii="Times New Roman" w:hAnsi="Times New Roman"/>
                <w:iCs/>
                <w:color w:val="000000" w:themeColor="text1"/>
                <w:sz w:val="24"/>
                <w:szCs w:val="24"/>
                <w:lang w:val="ro-RO"/>
              </w:rPr>
              <w:t xml:space="preserve">. 4.2.3, expresia </w:t>
            </w:r>
            <w:r w:rsidRPr="00EC65AA">
              <w:rPr>
                <w:rFonts w:ascii="Times New Roman" w:hAnsi="Times New Roman"/>
                <w:i/>
                <w:iCs/>
                <w:color w:val="000000" w:themeColor="text1"/>
                <w:sz w:val="24"/>
                <w:szCs w:val="24"/>
                <w:lang w:val="ro-RO"/>
              </w:rPr>
              <w:t xml:space="preserve">„și/sau decizia băncii de acordare a creditului” </w:t>
            </w:r>
            <w:r w:rsidRPr="00EC65AA">
              <w:rPr>
                <w:rFonts w:ascii="Times New Roman" w:hAnsi="Times New Roman"/>
                <w:iCs/>
                <w:color w:val="000000" w:themeColor="text1"/>
                <w:sz w:val="24"/>
                <w:szCs w:val="24"/>
                <w:lang w:val="ro-RO"/>
              </w:rPr>
              <w:t xml:space="preserve">propunem să fie expusă în următoarea redacție </w:t>
            </w:r>
            <w:r w:rsidRPr="00EC65AA">
              <w:rPr>
                <w:rFonts w:ascii="Times New Roman" w:hAnsi="Times New Roman"/>
                <w:i/>
                <w:iCs/>
                <w:color w:val="000000" w:themeColor="text1"/>
                <w:sz w:val="24"/>
                <w:szCs w:val="24"/>
                <w:lang w:val="ro-RO"/>
              </w:rPr>
              <w:t>„și/sau decizia băncii sau organizației de creditare nebancară de acordare a creditului”</w:t>
            </w:r>
            <w:r w:rsidRPr="00EC65AA">
              <w:rPr>
                <w:rFonts w:ascii="Times New Roman" w:hAnsi="Times New Roman"/>
                <w:iCs/>
                <w:color w:val="000000" w:themeColor="text1"/>
                <w:sz w:val="24"/>
                <w:szCs w:val="24"/>
                <w:lang w:val="ro-RO"/>
              </w:rPr>
              <w:t>, din motivul că art. 1763 Cod Civil stabilește că creditul poate fi acordat de o bancă sau o organizație de creditare nebancară.</w:t>
            </w:r>
          </w:p>
        </w:tc>
        <w:tc>
          <w:tcPr>
            <w:tcW w:w="1230" w:type="pct"/>
            <w:tcMar>
              <w:top w:w="0" w:type="dxa"/>
              <w:left w:w="108" w:type="dxa"/>
              <w:bottom w:w="0" w:type="dxa"/>
              <w:right w:w="108" w:type="dxa"/>
            </w:tcMar>
          </w:tcPr>
          <w:p w14:paraId="00E88DDA" w14:textId="0BE32151"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800C7" w:rsidRPr="00EC65AA" w14:paraId="4F6F8B52" w14:textId="77777777" w:rsidTr="006779A1">
        <w:tc>
          <w:tcPr>
            <w:tcW w:w="866" w:type="pct"/>
            <w:vMerge/>
            <w:tcMar>
              <w:top w:w="0" w:type="dxa"/>
              <w:left w:w="108" w:type="dxa"/>
              <w:bottom w:w="0" w:type="dxa"/>
              <w:right w:w="108" w:type="dxa"/>
            </w:tcMar>
          </w:tcPr>
          <w:p w14:paraId="7EA2248F" w14:textId="77777777" w:rsidR="00D800C7" w:rsidRPr="00EC65AA" w:rsidRDefault="00D800C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2D618107" w14:textId="77777777" w:rsidR="00D800C7" w:rsidRPr="00EC65AA" w:rsidRDefault="00D800C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09FC5C8" w14:textId="77777777" w:rsidR="00D800C7" w:rsidRPr="00EC65AA" w:rsidRDefault="00D800C7" w:rsidP="0068148F">
            <w:pPr>
              <w:autoSpaceDE w:val="0"/>
              <w:autoSpaceDN w:val="0"/>
              <w:adjustRightInd w:val="0"/>
              <w:spacing w:before="120" w:after="120"/>
              <w:ind w:firstLine="0"/>
              <w:rPr>
                <w:rFonts w:ascii="Times New Roman" w:hAnsi="Times New Roman"/>
                <w:iCs/>
                <w:color w:val="000000" w:themeColor="text1"/>
                <w:sz w:val="24"/>
                <w:szCs w:val="24"/>
                <w:lang w:val="ro-RO"/>
              </w:rPr>
            </w:pPr>
          </w:p>
        </w:tc>
        <w:tc>
          <w:tcPr>
            <w:tcW w:w="1230" w:type="pct"/>
            <w:tcMar>
              <w:top w:w="0" w:type="dxa"/>
              <w:left w:w="108" w:type="dxa"/>
              <w:bottom w:w="0" w:type="dxa"/>
              <w:right w:w="108" w:type="dxa"/>
            </w:tcMar>
          </w:tcPr>
          <w:p w14:paraId="5C735422" w14:textId="77777777" w:rsidR="00D800C7" w:rsidRPr="00EC65AA" w:rsidRDefault="00D800C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646546" w:rsidRPr="00EC65AA" w14:paraId="34B990DB" w14:textId="77777777" w:rsidTr="006779A1">
        <w:tc>
          <w:tcPr>
            <w:tcW w:w="866" w:type="pct"/>
            <w:vMerge/>
            <w:tcMar>
              <w:top w:w="0" w:type="dxa"/>
              <w:left w:w="108" w:type="dxa"/>
              <w:bottom w:w="0" w:type="dxa"/>
              <w:right w:w="108" w:type="dxa"/>
            </w:tcMar>
          </w:tcPr>
          <w:p w14:paraId="624EE737"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8091734" w14:textId="77777777" w:rsidR="00646546" w:rsidRPr="00EC65AA" w:rsidRDefault="00646546"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FCBE0C8" w14:textId="6D8B08A2"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Pornind de la faptul că unul dintre temeiurile legale de elaborare a proiectului Hotărârii este art. 233 alin. (3) din Legea nr. 139/2018 cu privire la eficiența energetică potrivit căruia „modul de acordare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gestionare a garanțiilor financiare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a compensațiilor </w:t>
            </w:r>
            <w:r w:rsidRPr="00EC65AA">
              <w:rPr>
                <w:rFonts w:ascii="Times New Roman" w:hAnsi="Times New Roman"/>
                <w:iCs/>
                <w:color w:val="000000" w:themeColor="text1"/>
                <w:sz w:val="24"/>
                <w:szCs w:val="24"/>
                <w:lang w:val="ro-RO"/>
              </w:rPr>
              <w:lastRenderedPageBreak/>
              <w:t>financiare se stabilesc de către Guvern”, considerăm necesar de completat Capitolul III din cadrul Anexei nr. 1 a Hotărârii Guvernului nr. 251/2024 care reglementează componentele și activitățile principale ale programului FEERM cu norme privind criteriile de eligibilitate ce trebuie îndeplinite în vederea acordării de compensații și garanții financiare, mărimea stimulentului financiar acordat, procedura de depunere a actelor, de examinare și de emitere a deciziei precum și obligația Centrului Național pentru Energie Durabilă de elaborare a manualului operațional de implementare a modului de acordare și gestionare a garanțiilor financiare și compensațiilor financiare și a ghidului de aplicare a acestuia.</w:t>
            </w:r>
          </w:p>
        </w:tc>
        <w:tc>
          <w:tcPr>
            <w:tcW w:w="1230" w:type="pct"/>
            <w:tcMar>
              <w:top w:w="0" w:type="dxa"/>
              <w:left w:w="108" w:type="dxa"/>
              <w:bottom w:w="0" w:type="dxa"/>
              <w:right w:w="108" w:type="dxa"/>
            </w:tcMar>
          </w:tcPr>
          <w:p w14:paraId="035A694A"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2B7B5005" w14:textId="3F72473A"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Pentru reglementarea modului de acordare și gestionare a garanțiilor financiare și a </w:t>
            </w:r>
            <w:r w:rsidRPr="00EC65AA">
              <w:rPr>
                <w:rFonts w:ascii="Times New Roman" w:hAnsi="Times New Roman"/>
                <w:sz w:val="24"/>
                <w:szCs w:val="24"/>
                <w:lang w:val="ro-RO"/>
              </w:rPr>
              <w:lastRenderedPageBreak/>
              <w:t>compensațiilor financiare va fi elaborată o Hotărâre de Guvern separată.</w:t>
            </w:r>
          </w:p>
        </w:tc>
      </w:tr>
      <w:tr w:rsidR="00646546" w:rsidRPr="00EC65AA" w14:paraId="7B336962" w14:textId="77777777" w:rsidTr="006779A1">
        <w:tc>
          <w:tcPr>
            <w:tcW w:w="866" w:type="pct"/>
            <w:vMerge/>
            <w:tcMar>
              <w:top w:w="0" w:type="dxa"/>
              <w:left w:w="108" w:type="dxa"/>
              <w:bottom w:w="0" w:type="dxa"/>
              <w:right w:w="108" w:type="dxa"/>
            </w:tcMar>
          </w:tcPr>
          <w:p w14:paraId="679A1415"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1D015FB8" w14:textId="77777777" w:rsidR="00646546" w:rsidRPr="00EC65AA" w:rsidRDefault="00646546"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8C1D382" w14:textId="0DC95605"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În opinia Ministerului, noțiunea „stimulent financiar” urmează să fie completată și expusă în următoarea redacție „stimulente financiare – suport financiar nerambursabil, sub formă de grant, alocație, </w:t>
            </w:r>
            <w:r w:rsidRPr="00EC65AA">
              <w:rPr>
                <w:rFonts w:ascii="Times New Roman" w:hAnsi="Times New Roman"/>
                <w:b/>
                <w:bCs/>
                <w:iCs/>
                <w:color w:val="000000" w:themeColor="text1"/>
                <w:sz w:val="24"/>
                <w:szCs w:val="24"/>
                <w:lang w:val="ro-RO"/>
              </w:rPr>
              <w:t>garanție financiară și/sau compensație financiară</w:t>
            </w:r>
            <w:r w:rsidRPr="00EC65AA">
              <w:rPr>
                <w:rFonts w:ascii="Times New Roman" w:hAnsi="Times New Roman"/>
                <w:iCs/>
                <w:color w:val="000000" w:themeColor="text1"/>
                <w:sz w:val="24"/>
                <w:szCs w:val="24"/>
                <w:lang w:val="ro-RO"/>
              </w:rPr>
              <w:t xml:space="preserve">”, din considerentul că art. 231 alin. (6) din Legea nr. 139/2018 cu privire la eficiența energetică stabilește că „Măsurile de </w:t>
            </w:r>
            <w:proofErr w:type="spellStart"/>
            <w:r w:rsidRPr="00EC65AA">
              <w:rPr>
                <w:rFonts w:ascii="Times New Roman" w:hAnsi="Times New Roman"/>
                <w:iCs/>
                <w:color w:val="000000" w:themeColor="text1"/>
                <w:sz w:val="24"/>
                <w:szCs w:val="24"/>
                <w:lang w:val="ro-RO"/>
              </w:rPr>
              <w:t>eficienţă</w:t>
            </w:r>
            <w:proofErr w:type="spellEnd"/>
            <w:r w:rsidRPr="00EC65AA">
              <w:rPr>
                <w:rFonts w:ascii="Times New Roman" w:hAnsi="Times New Roman"/>
                <w:iCs/>
                <w:color w:val="000000" w:themeColor="text1"/>
                <w:sz w:val="24"/>
                <w:szCs w:val="24"/>
                <w:lang w:val="ro-RO"/>
              </w:rPr>
              <w:t xml:space="preserve"> energetică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/sau de valorificare a surselor regenerabile de energie sunt </w:t>
            </w:r>
            <w:proofErr w:type="spellStart"/>
            <w:r w:rsidRPr="00EC65AA">
              <w:rPr>
                <w:rFonts w:ascii="Times New Roman" w:hAnsi="Times New Roman"/>
                <w:iCs/>
                <w:color w:val="000000" w:themeColor="text1"/>
                <w:sz w:val="24"/>
                <w:szCs w:val="24"/>
                <w:lang w:val="ro-RO"/>
              </w:rPr>
              <w:t>finanţate</w:t>
            </w:r>
            <w:proofErr w:type="spellEnd"/>
            <w:r w:rsidRPr="00EC65AA">
              <w:rPr>
                <w:rFonts w:ascii="Times New Roman" w:hAnsi="Times New Roman"/>
                <w:iCs/>
                <w:color w:val="000000" w:themeColor="text1"/>
                <w:sz w:val="24"/>
                <w:szCs w:val="24"/>
                <w:lang w:val="ro-RO"/>
              </w:rPr>
              <w:t xml:space="preserve"> din mijloacele financiare ale FEE prin intermediul granturilor, al </w:t>
            </w:r>
            <w:proofErr w:type="spellStart"/>
            <w:r w:rsidRPr="00EC65AA">
              <w:rPr>
                <w:rFonts w:ascii="Times New Roman" w:hAnsi="Times New Roman"/>
                <w:iCs/>
                <w:color w:val="000000" w:themeColor="text1"/>
                <w:sz w:val="24"/>
                <w:szCs w:val="24"/>
                <w:lang w:val="ro-RO"/>
              </w:rPr>
              <w:t>garanţiilor</w:t>
            </w:r>
            <w:proofErr w:type="spellEnd"/>
            <w:r w:rsidRPr="00EC65AA">
              <w:rPr>
                <w:rFonts w:ascii="Times New Roman" w:hAnsi="Times New Roman"/>
                <w:iCs/>
                <w:color w:val="000000" w:themeColor="text1"/>
                <w:sz w:val="24"/>
                <w:szCs w:val="24"/>
                <w:lang w:val="ro-RO"/>
              </w:rPr>
              <w:t xml:space="preserve"> financiare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/sau al </w:t>
            </w:r>
            <w:proofErr w:type="spellStart"/>
            <w:r w:rsidRPr="00EC65AA">
              <w:rPr>
                <w:rFonts w:ascii="Times New Roman" w:hAnsi="Times New Roman"/>
                <w:iCs/>
                <w:color w:val="000000" w:themeColor="text1"/>
                <w:sz w:val="24"/>
                <w:szCs w:val="24"/>
                <w:lang w:val="ro-RO"/>
              </w:rPr>
              <w:t>compensaţiilor</w:t>
            </w:r>
            <w:proofErr w:type="spellEnd"/>
            <w:r w:rsidRPr="00EC65AA">
              <w:rPr>
                <w:rFonts w:ascii="Times New Roman" w:hAnsi="Times New Roman"/>
                <w:iCs/>
                <w:color w:val="000000" w:themeColor="text1"/>
                <w:sz w:val="24"/>
                <w:szCs w:val="24"/>
                <w:lang w:val="ro-RO"/>
              </w:rPr>
              <w:t xml:space="preserve"> financiare”.</w:t>
            </w:r>
          </w:p>
        </w:tc>
        <w:tc>
          <w:tcPr>
            <w:tcW w:w="1230" w:type="pct"/>
            <w:tcMar>
              <w:top w:w="0" w:type="dxa"/>
              <w:left w:w="108" w:type="dxa"/>
              <w:bottom w:w="0" w:type="dxa"/>
              <w:right w:w="108" w:type="dxa"/>
            </w:tcMar>
          </w:tcPr>
          <w:p w14:paraId="27031E27"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01C47186"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A se vedea comentariul de mai sus. </w:t>
            </w:r>
          </w:p>
          <w:p w14:paraId="590F13D5" w14:textId="77777777" w:rsidR="00646546" w:rsidRPr="00EC65AA" w:rsidRDefault="00646546" w:rsidP="004724D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Totodată, a se vedea pct. 2.9 din proiectul Hotărârii de Guvern care prevede modificarea pct. 27 din Programul privind implementarea schemei de obligații în domeniul eficienței energetice pentru perioada 2024-2026 și care este propus a fi aprobat cu următorul cuprins:</w:t>
            </w:r>
          </w:p>
          <w:p w14:paraId="1EDC0EE0" w14:textId="4DE8C4B2" w:rsidR="00646546" w:rsidRPr="00EC65AA" w:rsidRDefault="00646546" w:rsidP="004724D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„27. Valorificarea resurselor financiare colectate în cadrul prezentului Program este organizată în cadrul Programelor de finanțare aprobate de Guvern precum și în cadrul produselor de garantare și/sau compensare </w:t>
            </w:r>
            <w:r w:rsidRPr="00EC65AA">
              <w:rPr>
                <w:rFonts w:ascii="Times New Roman" w:hAnsi="Times New Roman"/>
                <w:sz w:val="24"/>
                <w:szCs w:val="24"/>
                <w:lang w:val="ro-RO"/>
              </w:rPr>
              <w:lastRenderedPageBreak/>
              <w:t>elaborate și aprobate de către CNED”;</w:t>
            </w:r>
          </w:p>
        </w:tc>
      </w:tr>
      <w:tr w:rsidR="00646546" w:rsidRPr="00EC65AA" w14:paraId="6906340B" w14:textId="77777777" w:rsidTr="006779A1">
        <w:tc>
          <w:tcPr>
            <w:tcW w:w="866" w:type="pct"/>
            <w:vMerge/>
            <w:tcMar>
              <w:top w:w="0" w:type="dxa"/>
              <w:left w:w="108" w:type="dxa"/>
              <w:bottom w:w="0" w:type="dxa"/>
              <w:right w:w="108" w:type="dxa"/>
            </w:tcMar>
          </w:tcPr>
          <w:p w14:paraId="0D612385"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629C605C" w14:textId="77777777" w:rsidR="00646546" w:rsidRPr="00EC65AA" w:rsidRDefault="00646546"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5AEDB1D" w14:textId="77777777" w:rsidR="00646546" w:rsidRPr="00EC65AA" w:rsidRDefault="00646546" w:rsidP="0068148F">
            <w:pPr>
              <w:autoSpaceDE w:val="0"/>
              <w:autoSpaceDN w:val="0"/>
              <w:adjustRightInd w:val="0"/>
              <w:spacing w:before="120" w:after="120"/>
              <w:ind w:firstLine="0"/>
              <w:rPr>
                <w:rFonts w:ascii="Times New Roman" w:hAnsi="Times New Roman"/>
                <w:b/>
                <w:bCs/>
                <w:iCs/>
                <w:color w:val="000000" w:themeColor="text1"/>
                <w:sz w:val="24"/>
                <w:szCs w:val="24"/>
                <w:lang w:val="ro-RO"/>
              </w:rPr>
            </w:pPr>
            <w:r w:rsidRPr="00EC65AA">
              <w:rPr>
                <w:rFonts w:ascii="Times New Roman" w:hAnsi="Times New Roman"/>
                <w:b/>
                <w:bCs/>
                <w:iCs/>
                <w:color w:val="000000" w:themeColor="text1"/>
                <w:sz w:val="24"/>
                <w:szCs w:val="24"/>
                <w:lang w:val="ro-RO"/>
              </w:rPr>
              <w:t>2) Propuneri care poartă caracter de recomandare:</w:t>
            </w:r>
          </w:p>
          <w:p w14:paraId="2429885C" w14:textId="690427CA"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proofErr w:type="spellStart"/>
            <w:r w:rsidRPr="00EC65AA">
              <w:rPr>
                <w:rFonts w:ascii="Times New Roman" w:hAnsi="Times New Roman"/>
                <w:iCs/>
                <w:color w:val="000000" w:themeColor="text1"/>
                <w:sz w:val="24"/>
                <w:szCs w:val="24"/>
                <w:lang w:val="ro-RO"/>
              </w:rPr>
              <w:t>subpct</w:t>
            </w:r>
            <w:proofErr w:type="spellEnd"/>
            <w:r w:rsidRPr="00EC65AA">
              <w:rPr>
                <w:rFonts w:ascii="Times New Roman" w:hAnsi="Times New Roman"/>
                <w:iCs/>
                <w:color w:val="000000" w:themeColor="text1"/>
                <w:sz w:val="24"/>
                <w:szCs w:val="24"/>
                <w:lang w:val="ro-RO"/>
              </w:rPr>
              <w:t>. 4.2.2, 4.2.3, 4.2.5 și 4.2.9, este utilizată noțiunea „construcții locative”, însă atât Legea nr. 75/2015 cu privire la locuințe cât și Codul urbanismului și construcțiilor nr. 434/2023 nu utilizează termenul menționat supra, din acest motiv propunem substituirea noțiunii „construcții locative” cu termenul „clădire rezidențială”, definită în art. 3 din Codul urbanismului și construcțiilor, ca fiind o casă individuală destinată pentru traiul unei familii, casă individuală amplasată separat, cuplat sau înșiruit, de tip duplex (triplex), destinată pentru traiul mai multor familii, bloc locativ;</w:t>
            </w:r>
          </w:p>
        </w:tc>
        <w:tc>
          <w:tcPr>
            <w:tcW w:w="1230" w:type="pct"/>
            <w:tcMar>
              <w:top w:w="0" w:type="dxa"/>
              <w:left w:w="108" w:type="dxa"/>
              <w:bottom w:w="0" w:type="dxa"/>
              <w:right w:w="108" w:type="dxa"/>
            </w:tcMar>
          </w:tcPr>
          <w:p w14:paraId="3BC5E237"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parțial. </w:t>
            </w:r>
          </w:p>
          <w:p w14:paraId="592CA2C5"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Propunerea a fost analizată împreună cu propunerea parvenită din partea MIDR.</w:t>
            </w:r>
          </w:p>
          <w:p w14:paraId="6860EA37" w14:textId="6C08C79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Astfel, sintagma „construcții locative” au fost substituite cu sintagma „case individuale”.   </w:t>
            </w:r>
          </w:p>
        </w:tc>
      </w:tr>
      <w:tr w:rsidR="00646546" w:rsidRPr="00EC65AA" w14:paraId="07FBA52B" w14:textId="77777777" w:rsidTr="006779A1">
        <w:tc>
          <w:tcPr>
            <w:tcW w:w="866" w:type="pct"/>
            <w:vMerge/>
            <w:tcMar>
              <w:top w:w="0" w:type="dxa"/>
              <w:left w:w="108" w:type="dxa"/>
              <w:bottom w:w="0" w:type="dxa"/>
              <w:right w:w="108" w:type="dxa"/>
            </w:tcMar>
          </w:tcPr>
          <w:p w14:paraId="068F9DA4" w14:textId="77777777"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4E9F47A9" w14:textId="77777777" w:rsidR="00646546" w:rsidRPr="00EC65AA" w:rsidRDefault="00646546"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F8D093E" w14:textId="2B5B2D35" w:rsidR="00646546" w:rsidRPr="00EC65AA" w:rsidRDefault="00646546" w:rsidP="0068148F">
            <w:pPr>
              <w:autoSpaceDE w:val="0"/>
              <w:autoSpaceDN w:val="0"/>
              <w:adjustRightInd w:val="0"/>
              <w:spacing w:before="120" w:after="120"/>
              <w:ind w:firstLine="0"/>
              <w:rPr>
                <w:rFonts w:ascii="Times New Roman" w:hAnsi="Times New Roman"/>
                <w:iCs/>
                <w:color w:val="000000" w:themeColor="text1"/>
                <w:sz w:val="24"/>
                <w:szCs w:val="24"/>
                <w:lang w:val="ro-RO"/>
              </w:rPr>
            </w:pPr>
            <w:proofErr w:type="spellStart"/>
            <w:r w:rsidRPr="00EC65AA">
              <w:rPr>
                <w:rFonts w:ascii="Times New Roman" w:hAnsi="Times New Roman"/>
                <w:iCs/>
                <w:color w:val="000000" w:themeColor="text1"/>
                <w:sz w:val="24"/>
                <w:szCs w:val="24"/>
                <w:lang w:val="ro-RO"/>
              </w:rPr>
              <w:t>subpct</w:t>
            </w:r>
            <w:proofErr w:type="spellEnd"/>
            <w:r w:rsidRPr="00EC65AA">
              <w:rPr>
                <w:rFonts w:ascii="Times New Roman" w:hAnsi="Times New Roman"/>
                <w:iCs/>
                <w:color w:val="000000" w:themeColor="text1"/>
                <w:sz w:val="24"/>
                <w:szCs w:val="24"/>
                <w:lang w:val="ro-RO"/>
              </w:rPr>
              <w:t>. 5.3.1, utilizează abrevierea „IP CNED” (Instituția Publică Centrul pentru Energie Durabilă) pe când în tot textul Proiectului este utilizată abrevierea „CNED”, propunem utilizarea unei singure abrevieri în vederea uniformizării terminologiei utilizate.</w:t>
            </w:r>
          </w:p>
        </w:tc>
        <w:tc>
          <w:tcPr>
            <w:tcW w:w="1230" w:type="pct"/>
            <w:tcMar>
              <w:top w:w="0" w:type="dxa"/>
              <w:left w:w="108" w:type="dxa"/>
              <w:bottom w:w="0" w:type="dxa"/>
              <w:right w:w="108" w:type="dxa"/>
            </w:tcMar>
          </w:tcPr>
          <w:p w14:paraId="4BEB882F" w14:textId="00BBAE60" w:rsidR="00646546" w:rsidRPr="00EC65AA" w:rsidRDefault="00646546" w:rsidP="00FE3A6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2BA2B9DF" w14:textId="0DE95842" w:rsidR="00646546" w:rsidRPr="00EC65AA" w:rsidRDefault="00646546" w:rsidP="00FE3A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La pct. 5.2 sunt propuse modificări la pct. 3 din</w:t>
            </w:r>
            <w:r w:rsidRPr="00EC65AA">
              <w:rPr>
                <w:rFonts w:ascii="Times New Roman" w:hAnsi="Times New Roman"/>
                <w:b/>
                <w:bCs/>
                <w:sz w:val="24"/>
                <w:szCs w:val="24"/>
                <w:lang w:val="ro-RO"/>
              </w:rPr>
              <w:t xml:space="preserve"> </w:t>
            </w:r>
            <w:r w:rsidRPr="00EC65AA">
              <w:rPr>
                <w:rFonts w:ascii="Times New Roman" w:hAnsi="Times New Roman"/>
                <w:sz w:val="24"/>
                <w:szCs w:val="24"/>
                <w:lang w:val="ro-RO"/>
              </w:rPr>
              <w:t>Hotărârea Guvernului Nr. 829/2024 pentru aprobarea Regulamentului cu privire la efectuarea auditului energetic de către întreprinderile mari. În cadrul Hotărârii de Guvern menționate nu se utilizează forma abreviată „IP CNED”, prin urmare nu este argumentată propunerea.</w:t>
            </w:r>
          </w:p>
          <w:p w14:paraId="1CC15C68" w14:textId="77777777" w:rsidR="00646546" w:rsidRPr="00EC65AA" w:rsidRDefault="00646546" w:rsidP="00FE3A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Totodată, la pct. 5.3.1 și respectiv 5.3.2 din proiectul HG sunt propuse modificări la pct. 25 și respectiv 26 din Regulamentul cu privire la efectuarea auditului </w:t>
            </w:r>
            <w:r w:rsidRPr="00EC65AA">
              <w:rPr>
                <w:rFonts w:ascii="Times New Roman" w:hAnsi="Times New Roman"/>
                <w:sz w:val="24"/>
                <w:szCs w:val="24"/>
                <w:lang w:val="ro-RO"/>
              </w:rPr>
              <w:lastRenderedPageBreak/>
              <w:t xml:space="preserve">energetic de către întreprinderile mari aprobat prin Hotărârea Guvernului Nr. 829/2024. </w:t>
            </w:r>
          </w:p>
          <w:p w14:paraId="4102C4B1" w14:textId="77777777" w:rsidR="00646546" w:rsidRPr="00EC65AA" w:rsidRDefault="00646546" w:rsidP="00FE3A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În cadrul acestor puncte a fost utilizată abrevierea „IP CNED” deoarece aceasta abreviere este menționată la pct. 2 din Regulamentul cu privire la efectuarea auditului energetic de către întreprinderile mari.</w:t>
            </w:r>
          </w:p>
          <w:p w14:paraId="70A86A1C" w14:textId="3B1D586A" w:rsidR="00646546" w:rsidRPr="00EC65AA" w:rsidRDefault="00646546"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Având în vedere cele menționate, recomandările efectuate cu referire la proiectul Hotărârii de Guvern nu pot fi acceptate.</w:t>
            </w:r>
          </w:p>
        </w:tc>
      </w:tr>
      <w:tr w:rsidR="00D800C7" w:rsidRPr="00EC65AA" w14:paraId="48753381" w14:textId="77777777" w:rsidTr="006779A1">
        <w:tc>
          <w:tcPr>
            <w:tcW w:w="866" w:type="pct"/>
            <w:tcMar>
              <w:top w:w="0" w:type="dxa"/>
              <w:left w:w="108" w:type="dxa"/>
              <w:bottom w:w="0" w:type="dxa"/>
              <w:right w:w="108" w:type="dxa"/>
            </w:tcMar>
          </w:tcPr>
          <w:p w14:paraId="0E8F76E8" w14:textId="65FA9129" w:rsidR="00D800C7" w:rsidRPr="00EC65AA" w:rsidRDefault="00D800C7"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Ministerul Mediului </w:t>
            </w:r>
          </w:p>
        </w:tc>
        <w:tc>
          <w:tcPr>
            <w:tcW w:w="577" w:type="pct"/>
            <w:tcMar>
              <w:top w:w="0" w:type="dxa"/>
              <w:left w:w="108" w:type="dxa"/>
              <w:bottom w:w="0" w:type="dxa"/>
              <w:right w:w="108" w:type="dxa"/>
            </w:tcMar>
          </w:tcPr>
          <w:p w14:paraId="30D14E0A" w14:textId="5F9BBEA9" w:rsidR="00D800C7" w:rsidRPr="00EC65AA" w:rsidRDefault="00D800C7"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13-05/2480 din 02.09.2025</w:t>
            </w:r>
          </w:p>
        </w:tc>
        <w:tc>
          <w:tcPr>
            <w:tcW w:w="2327" w:type="pct"/>
            <w:tcMar>
              <w:top w:w="0" w:type="dxa"/>
              <w:left w:w="108" w:type="dxa"/>
              <w:bottom w:w="0" w:type="dxa"/>
              <w:right w:w="108" w:type="dxa"/>
            </w:tcMar>
          </w:tcPr>
          <w:p w14:paraId="6F0C2157" w14:textId="77777777" w:rsidR="00D800C7" w:rsidRPr="00EC65AA" w:rsidRDefault="00D800C7" w:rsidP="00D800C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În contextul examinării proiectului de hotărâre de Guvern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/2025), Vă comunicăm lipsa obiecțiilor și propunerilor.</w:t>
            </w:r>
          </w:p>
          <w:p w14:paraId="68ABB278" w14:textId="3F68035D" w:rsidR="00D800C7" w:rsidRPr="00EC65AA" w:rsidRDefault="00D800C7" w:rsidP="00D800C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Totodată, se notează că, Ministerul Mediului susține implementarea și promovarea proiectelor care au ca scop aplicarea măsurilor de eficiență energetică.</w:t>
            </w:r>
          </w:p>
        </w:tc>
        <w:tc>
          <w:tcPr>
            <w:tcW w:w="1230" w:type="pct"/>
            <w:tcMar>
              <w:top w:w="0" w:type="dxa"/>
              <w:left w:w="108" w:type="dxa"/>
              <w:bottom w:w="0" w:type="dxa"/>
              <w:right w:w="108" w:type="dxa"/>
            </w:tcMar>
          </w:tcPr>
          <w:p w14:paraId="1DEA8175" w14:textId="7FB41634" w:rsidR="00D800C7" w:rsidRPr="00EC65AA" w:rsidRDefault="00D800C7" w:rsidP="00FE3A6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ia act de informare.</w:t>
            </w:r>
          </w:p>
        </w:tc>
      </w:tr>
      <w:tr w:rsidR="0069645A" w:rsidRPr="00EC65AA" w14:paraId="01C5FAB0" w14:textId="77777777" w:rsidTr="006779A1">
        <w:tc>
          <w:tcPr>
            <w:tcW w:w="866" w:type="pct"/>
            <w:tcMar>
              <w:top w:w="0" w:type="dxa"/>
              <w:left w:w="108" w:type="dxa"/>
              <w:bottom w:w="0" w:type="dxa"/>
              <w:right w:w="108" w:type="dxa"/>
            </w:tcMar>
          </w:tcPr>
          <w:p w14:paraId="6964857B" w14:textId="57CC321A" w:rsidR="0069645A" w:rsidRPr="00EC65AA" w:rsidRDefault="0069645A"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Ministerul Finanțelor </w:t>
            </w:r>
          </w:p>
        </w:tc>
        <w:tc>
          <w:tcPr>
            <w:tcW w:w="577" w:type="pct"/>
            <w:tcMar>
              <w:top w:w="0" w:type="dxa"/>
              <w:left w:w="108" w:type="dxa"/>
              <w:bottom w:w="0" w:type="dxa"/>
              <w:right w:w="108" w:type="dxa"/>
            </w:tcMar>
          </w:tcPr>
          <w:p w14:paraId="5061B0F9" w14:textId="0EEA5EC9" w:rsidR="0069645A" w:rsidRPr="00EC65AA" w:rsidRDefault="0069645A"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Nr. </w:t>
            </w:r>
            <w:r w:rsidR="00930C5F" w:rsidRPr="00EC65AA">
              <w:rPr>
                <w:rFonts w:ascii="Times New Roman" w:hAnsi="Times New Roman"/>
                <w:sz w:val="24"/>
                <w:szCs w:val="24"/>
                <w:lang w:val="ro-RO"/>
              </w:rPr>
              <w:t>09/2-03/423/1300</w:t>
            </w:r>
          </w:p>
        </w:tc>
        <w:tc>
          <w:tcPr>
            <w:tcW w:w="2327" w:type="pct"/>
            <w:tcMar>
              <w:top w:w="0" w:type="dxa"/>
              <w:left w:w="108" w:type="dxa"/>
              <w:bottom w:w="0" w:type="dxa"/>
              <w:right w:w="108" w:type="dxa"/>
            </w:tcMar>
          </w:tcPr>
          <w:p w14:paraId="399490A5"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La indicația Cancelariei de Stat nr.18-69-8797 din 18 august 2025, Ministerul Finanțelor a examinat proiectul de hotărâre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/2025), autor – Ministerul Energiei și, în limita atribuțiilor funcționale, comunică următoarele.</w:t>
            </w:r>
          </w:p>
          <w:p w14:paraId="4ECF32DF" w14:textId="137DE37C" w:rsidR="0069645A"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Cu titlu general, menționăm că, pe întreg textul proiectului numerotarea punctelor nu corespunde noilor cerințe, or, potrivit </w:t>
            </w:r>
            <w:r w:rsidRPr="00EC65AA">
              <w:rPr>
                <w:rFonts w:ascii="Times New Roman" w:hAnsi="Times New Roman"/>
                <w:iCs/>
                <w:color w:val="000000" w:themeColor="text1"/>
                <w:sz w:val="24"/>
                <w:szCs w:val="24"/>
                <w:lang w:val="ro-RO"/>
              </w:rPr>
              <w:lastRenderedPageBreak/>
              <w:t>art. 52 alin. (3) din Legea nr.100/2017 cu privire la actele normative, pentru interpretare corectă și aplicare comodă, punctele pot fi divizare în subpuncte care se numerotează prin adăugarea consecutivă a cifrelor arabe, până la gradul de detaliere necesar.</w:t>
            </w:r>
            <w:r w:rsidR="0069645A" w:rsidRPr="00EC65AA">
              <w:rPr>
                <w:rFonts w:ascii="Times New Roman" w:hAnsi="Times New Roman"/>
                <w:iCs/>
                <w:color w:val="000000" w:themeColor="text1"/>
                <w:sz w:val="24"/>
                <w:szCs w:val="24"/>
                <w:lang w:val="ro-RO"/>
              </w:rPr>
              <w:t xml:space="preserve"> </w:t>
            </w:r>
          </w:p>
        </w:tc>
        <w:tc>
          <w:tcPr>
            <w:tcW w:w="1230" w:type="pct"/>
            <w:tcMar>
              <w:top w:w="0" w:type="dxa"/>
              <w:left w:w="108" w:type="dxa"/>
              <w:bottom w:w="0" w:type="dxa"/>
              <w:right w:w="108" w:type="dxa"/>
            </w:tcMar>
          </w:tcPr>
          <w:p w14:paraId="7DDF7CDC" w14:textId="66DB261A" w:rsidR="0069645A" w:rsidRPr="00EC65AA" w:rsidRDefault="00C7723B" w:rsidP="00FE3A6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tc>
      </w:tr>
      <w:tr w:rsidR="00C7723B" w:rsidRPr="00EC65AA" w14:paraId="33F09D9F" w14:textId="77777777" w:rsidTr="006779A1">
        <w:tc>
          <w:tcPr>
            <w:tcW w:w="866" w:type="pct"/>
            <w:tcMar>
              <w:top w:w="0" w:type="dxa"/>
              <w:left w:w="108" w:type="dxa"/>
              <w:bottom w:w="0" w:type="dxa"/>
              <w:right w:w="108" w:type="dxa"/>
            </w:tcMar>
          </w:tcPr>
          <w:p w14:paraId="7DE11B51" w14:textId="77777777" w:rsidR="00C7723B" w:rsidRPr="00EC65AA" w:rsidRDefault="00C7723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tcMar>
              <w:top w:w="0" w:type="dxa"/>
              <w:left w:w="108" w:type="dxa"/>
              <w:bottom w:w="0" w:type="dxa"/>
              <w:right w:w="108" w:type="dxa"/>
            </w:tcMar>
          </w:tcPr>
          <w:p w14:paraId="3FE1E1FF" w14:textId="77777777" w:rsidR="00C7723B" w:rsidRPr="00EC65AA" w:rsidRDefault="00C7723B"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7743CE0" w14:textId="77777777" w:rsidR="00C7723B" w:rsidRPr="00EC65AA" w:rsidRDefault="00C7723B" w:rsidP="00C7723B">
            <w:pPr>
              <w:autoSpaceDE w:val="0"/>
              <w:autoSpaceDN w:val="0"/>
              <w:adjustRightInd w:val="0"/>
              <w:spacing w:before="120" w:after="120"/>
              <w:ind w:firstLine="0"/>
              <w:rPr>
                <w:rFonts w:ascii="Times New Roman" w:hAnsi="Times New Roman"/>
                <w:b/>
                <w:bCs/>
                <w:iCs/>
                <w:color w:val="000000" w:themeColor="text1"/>
                <w:sz w:val="24"/>
                <w:szCs w:val="24"/>
                <w:u w:val="single"/>
                <w:lang w:val="ro-RO"/>
              </w:rPr>
            </w:pPr>
            <w:r w:rsidRPr="00EC65AA">
              <w:rPr>
                <w:rFonts w:ascii="Times New Roman" w:hAnsi="Times New Roman"/>
                <w:b/>
                <w:bCs/>
                <w:iCs/>
                <w:color w:val="000000" w:themeColor="text1"/>
                <w:sz w:val="24"/>
                <w:szCs w:val="24"/>
                <w:u w:val="single"/>
                <w:lang w:val="ro-RO"/>
              </w:rPr>
              <w:t>Referitor la punctul 2 privind modificarea Hotărârii Guvernului nr.676/2020</w:t>
            </w:r>
          </w:p>
          <w:p w14:paraId="51502C93"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proofErr w:type="spellStart"/>
            <w:r w:rsidRPr="00EC65AA">
              <w:rPr>
                <w:rFonts w:ascii="Times New Roman" w:hAnsi="Times New Roman"/>
                <w:iCs/>
                <w:color w:val="000000" w:themeColor="text1"/>
                <w:sz w:val="24"/>
                <w:szCs w:val="24"/>
                <w:lang w:val="ro-RO"/>
              </w:rPr>
              <w:t>Subpct</w:t>
            </w:r>
            <w:proofErr w:type="spellEnd"/>
            <w:r w:rsidRPr="00EC65AA">
              <w:rPr>
                <w:rFonts w:ascii="Times New Roman" w:hAnsi="Times New Roman"/>
                <w:iCs/>
                <w:color w:val="000000" w:themeColor="text1"/>
                <w:sz w:val="24"/>
                <w:szCs w:val="24"/>
                <w:lang w:val="ro-RO"/>
              </w:rPr>
              <w:t xml:space="preserve">. 2.15 Anexa nr.4 în tabelul ,,Contribuțiile totale anuale ale părților obligate pe durata programului” menționăm că, autorul urmează să aducă claritate referitor la sumele indicate, deoarece, conform datelor reflectate în sistemul </w:t>
            </w:r>
            <w:proofErr w:type="spellStart"/>
            <w:r w:rsidRPr="00EC65AA">
              <w:rPr>
                <w:rFonts w:ascii="Times New Roman" w:hAnsi="Times New Roman"/>
                <w:iCs/>
                <w:color w:val="000000" w:themeColor="text1"/>
                <w:sz w:val="24"/>
                <w:szCs w:val="24"/>
                <w:lang w:val="ro-RO"/>
              </w:rPr>
              <w:t>trezorerial</w:t>
            </w:r>
            <w:proofErr w:type="spellEnd"/>
            <w:r w:rsidRPr="00EC65AA">
              <w:rPr>
                <w:rFonts w:ascii="Times New Roman" w:hAnsi="Times New Roman"/>
                <w:iCs/>
                <w:color w:val="000000" w:themeColor="text1"/>
                <w:sz w:val="24"/>
                <w:szCs w:val="24"/>
                <w:lang w:val="ro-RO"/>
              </w:rPr>
              <w:t xml:space="preserve"> sau în estimările pentru anii următori acestea sunt executate/planificate sau planificate în modul următor:</w:t>
            </w:r>
          </w:p>
          <w:p w14:paraId="0BCADD05"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Executat 2024 - 163,0 mil.lei;</w:t>
            </w:r>
          </w:p>
          <w:p w14:paraId="008DC596"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Precizat 2025 - 232,9 mil.lei;</w:t>
            </w:r>
          </w:p>
          <w:p w14:paraId="59E1CAE1"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Estimat 2026 - 249,1 mil.lei.</w:t>
            </w:r>
          </w:p>
          <w:p w14:paraId="57A7B8F2" w14:textId="46310D34"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Totodată, atenționăm, că la moment este în proces de definitivare CBTM 2026-2028, în care vor fi incluse și estimările privind încasările sumelor din Contribuția ce urmează a fi achitată conform schemei de obligații în domeniul eficientei energetice.</w:t>
            </w:r>
          </w:p>
        </w:tc>
        <w:tc>
          <w:tcPr>
            <w:tcW w:w="1230" w:type="pct"/>
            <w:tcMar>
              <w:top w:w="0" w:type="dxa"/>
              <w:left w:w="108" w:type="dxa"/>
              <w:bottom w:w="0" w:type="dxa"/>
              <w:right w:w="108" w:type="dxa"/>
            </w:tcMar>
          </w:tcPr>
          <w:p w14:paraId="48FD74FC" w14:textId="7E2E0549" w:rsidR="000228BC" w:rsidRPr="00EC65AA" w:rsidRDefault="00391876" w:rsidP="00FE3A6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parțial. </w:t>
            </w:r>
          </w:p>
          <w:p w14:paraId="221F0EF1" w14:textId="50DD3B8D" w:rsidR="00022C51" w:rsidRPr="00EC65AA" w:rsidRDefault="006A4F08" w:rsidP="00FE3A6C">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lang w:val="ro-RO"/>
              </w:rPr>
            </w:pPr>
            <w:r w:rsidRPr="00EC65AA">
              <w:rPr>
                <w:rFonts w:ascii="Times New Roman" w:hAnsi="Times New Roman"/>
                <w:sz w:val="24"/>
                <w:szCs w:val="24"/>
                <w:lang w:val="ro-RO"/>
              </w:rPr>
              <w:t>În tabelul din anexa nr. 4</w:t>
            </w:r>
            <w:r w:rsidR="00F3351A" w:rsidRPr="00EC65AA">
              <w:rPr>
                <w:rFonts w:ascii="Times New Roman" w:hAnsi="Times New Roman"/>
                <w:sz w:val="24"/>
                <w:szCs w:val="24"/>
                <w:lang w:val="ro-RO"/>
              </w:rPr>
              <w:t xml:space="preserve"> din proiectul Hotărârii de Guvern</w:t>
            </w:r>
            <w:r w:rsidR="00022C51" w:rsidRPr="00EC65AA">
              <w:rPr>
                <w:rFonts w:ascii="Times New Roman" w:hAnsi="Times New Roman"/>
                <w:sz w:val="24"/>
                <w:szCs w:val="24"/>
                <w:lang w:val="ro-RO"/>
              </w:rPr>
              <w:t xml:space="preserve"> sunt indicate v</w:t>
            </w:r>
            <w:r w:rsidR="00022C51" w:rsidRPr="00EC65AA">
              <w:rPr>
                <w:rFonts w:ascii="Times New Roman" w:hAnsi="Times New Roman"/>
                <w:color w:val="333333"/>
                <w:sz w:val="24"/>
                <w:szCs w:val="24"/>
                <w:lang w:val="ro-RO"/>
              </w:rPr>
              <w:t xml:space="preserve">alorile estimative </w:t>
            </w:r>
            <w:r w:rsidR="00022C51" w:rsidRPr="00EC65AA">
              <w:rPr>
                <w:rFonts w:ascii="Times New Roman" w:hAnsi="Times New Roman"/>
                <w:i/>
                <w:iCs/>
                <w:color w:val="333333"/>
                <w:sz w:val="24"/>
                <w:szCs w:val="24"/>
                <w:lang w:val="ro-RO"/>
              </w:rPr>
              <w:t>actualizate</w:t>
            </w:r>
            <w:r w:rsidR="00022C51" w:rsidRPr="00EC65AA">
              <w:rPr>
                <w:rFonts w:ascii="Times New Roman" w:hAnsi="Times New Roman"/>
                <w:color w:val="333333"/>
                <w:sz w:val="24"/>
                <w:szCs w:val="24"/>
                <w:lang w:val="ro-RO"/>
              </w:rPr>
              <w:t xml:space="preserve"> ale contribuțiilor totale anuale ale părților obligate. </w:t>
            </w:r>
          </w:p>
          <w:p w14:paraId="3B369CD4" w14:textId="77851380" w:rsidR="00022C51" w:rsidRPr="00EC65AA" w:rsidRDefault="00022C51" w:rsidP="00FE3A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color w:val="333333"/>
                <w:sz w:val="24"/>
                <w:szCs w:val="24"/>
                <w:lang w:val="ro-RO"/>
              </w:rPr>
              <w:t xml:space="preserve">Actualizarea valorilor a fost efectuată în baza </w:t>
            </w:r>
            <w:r w:rsidRPr="00EC65AA">
              <w:rPr>
                <w:rFonts w:ascii="Times New Roman" w:hAnsi="Times New Roman"/>
                <w:sz w:val="24"/>
                <w:szCs w:val="24"/>
                <w:lang w:val="ro-RO"/>
              </w:rPr>
              <w:t xml:space="preserve">Metodologiei pentru determinarea contribuțiilor ce urmează a fi achitate de părțile obligate aprobat prin Hotărârea Guvernului Nr. 1068/2023, care prin prezentul proiect de </w:t>
            </w:r>
            <w:r w:rsidR="00E56AC2" w:rsidRPr="00EC65AA">
              <w:rPr>
                <w:rFonts w:ascii="Times New Roman" w:hAnsi="Times New Roman"/>
                <w:sz w:val="24"/>
                <w:szCs w:val="24"/>
                <w:lang w:val="ro-RO"/>
              </w:rPr>
              <w:t>Hotărâre</w:t>
            </w:r>
            <w:r w:rsidRPr="00EC65AA">
              <w:rPr>
                <w:rFonts w:ascii="Times New Roman" w:hAnsi="Times New Roman"/>
                <w:sz w:val="24"/>
                <w:szCs w:val="24"/>
                <w:lang w:val="ro-RO"/>
              </w:rPr>
              <w:t xml:space="preserve"> de Guvern este completată cu un nou capitol în acest sens. </w:t>
            </w:r>
          </w:p>
          <w:p w14:paraId="36980A7B" w14:textId="77777777" w:rsidR="00022C51" w:rsidRPr="00EC65AA" w:rsidRDefault="00022C51" w:rsidP="00FE3A6C">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lang w:val="ro-RO"/>
              </w:rPr>
            </w:pPr>
            <w:r w:rsidRPr="00EC65AA">
              <w:rPr>
                <w:rFonts w:ascii="Times New Roman" w:hAnsi="Times New Roman"/>
                <w:color w:val="333333"/>
                <w:sz w:val="24"/>
                <w:szCs w:val="24"/>
                <w:lang w:val="ro-RO"/>
              </w:rPr>
              <w:t xml:space="preserve">Este de menționat că valorile actualizate indicate în tabelul din Anexa nr. 4 reprezintă valori </w:t>
            </w:r>
            <w:r w:rsidRPr="00EC65AA">
              <w:rPr>
                <w:rFonts w:ascii="Times New Roman" w:hAnsi="Times New Roman"/>
                <w:i/>
                <w:iCs/>
                <w:color w:val="333333"/>
                <w:sz w:val="24"/>
                <w:szCs w:val="24"/>
                <w:lang w:val="ro-RO"/>
              </w:rPr>
              <w:t>estimative</w:t>
            </w:r>
            <w:r w:rsidRPr="00EC65AA">
              <w:rPr>
                <w:rFonts w:ascii="Times New Roman" w:hAnsi="Times New Roman"/>
                <w:color w:val="333333"/>
                <w:sz w:val="24"/>
                <w:szCs w:val="24"/>
                <w:lang w:val="ro-RO"/>
              </w:rPr>
              <w:t xml:space="preserve"> necesare a fi acumulate în anul calendaristic „t” pe durata Programului pentru implementarea măsurilor de eficiență energetică în scopul realizării a noi economii anuale de energie stabilite în cadrul </w:t>
            </w:r>
            <w:r w:rsidRPr="00EC65AA">
              <w:rPr>
                <w:rFonts w:ascii="Times New Roman" w:hAnsi="Times New Roman"/>
                <w:color w:val="333333"/>
                <w:sz w:val="24"/>
                <w:szCs w:val="24"/>
                <w:lang w:val="ro-RO"/>
              </w:rPr>
              <w:lastRenderedPageBreak/>
              <w:t>schemei de obligații de eficiență energetică.</w:t>
            </w:r>
          </w:p>
          <w:p w14:paraId="05AA1A62" w14:textId="77777777" w:rsidR="00571150" w:rsidRPr="00EC65AA" w:rsidRDefault="00022C51" w:rsidP="00FE3A6C">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lang w:val="ro-RO"/>
              </w:rPr>
            </w:pPr>
            <w:r w:rsidRPr="00EC65AA">
              <w:rPr>
                <w:rFonts w:ascii="Times New Roman" w:hAnsi="Times New Roman"/>
                <w:color w:val="333333"/>
                <w:sz w:val="24"/>
                <w:szCs w:val="24"/>
                <w:lang w:val="ro-RO"/>
              </w:rPr>
              <w:t xml:space="preserve">Diferența dintre valorile de fapt acumulate în anul 2024 și cea care va rezulta pentru anul 2025 este luată în considerare pentru a fi acumulată în anul 2026, astfel după cum este prevăzut de </w:t>
            </w:r>
            <w:r w:rsidR="00E56AC2" w:rsidRPr="00EC65AA">
              <w:rPr>
                <w:rFonts w:ascii="Times New Roman" w:hAnsi="Times New Roman"/>
                <w:color w:val="333333"/>
                <w:sz w:val="24"/>
                <w:szCs w:val="24"/>
                <w:lang w:val="ro-RO"/>
              </w:rPr>
              <w:t>noile prevederi de completare a</w:t>
            </w:r>
            <w:r w:rsidRPr="00EC65AA">
              <w:rPr>
                <w:rFonts w:ascii="Times New Roman" w:hAnsi="Times New Roman"/>
                <w:color w:val="333333"/>
                <w:sz w:val="24"/>
                <w:szCs w:val="24"/>
                <w:lang w:val="ro-RO"/>
              </w:rPr>
              <w:t xml:space="preserve"> </w:t>
            </w:r>
            <w:r w:rsidRPr="00EC65AA">
              <w:rPr>
                <w:rFonts w:ascii="Times New Roman" w:hAnsi="Times New Roman"/>
                <w:sz w:val="24"/>
                <w:szCs w:val="24"/>
                <w:lang w:val="ro-RO"/>
              </w:rPr>
              <w:t>Metodologi</w:t>
            </w:r>
            <w:r w:rsidR="00E56AC2" w:rsidRPr="00EC65AA">
              <w:rPr>
                <w:rFonts w:ascii="Times New Roman" w:hAnsi="Times New Roman"/>
                <w:sz w:val="24"/>
                <w:szCs w:val="24"/>
                <w:lang w:val="ro-RO"/>
              </w:rPr>
              <w:t>ei</w:t>
            </w:r>
            <w:r w:rsidRPr="00EC65AA">
              <w:rPr>
                <w:rFonts w:ascii="Times New Roman" w:hAnsi="Times New Roman"/>
                <w:sz w:val="24"/>
                <w:szCs w:val="24"/>
                <w:lang w:val="ro-RO"/>
              </w:rPr>
              <w:t xml:space="preserve"> pentru determinarea contribuțiilor ce urmează a fi achitate de părțile obligate</w:t>
            </w:r>
            <w:r w:rsidR="00E56AC2" w:rsidRPr="00EC65AA">
              <w:rPr>
                <w:rFonts w:ascii="Times New Roman" w:hAnsi="Times New Roman"/>
                <w:sz w:val="24"/>
                <w:szCs w:val="24"/>
                <w:lang w:val="ro-RO"/>
              </w:rPr>
              <w:t>.</w:t>
            </w:r>
            <w:r w:rsidRPr="00EC65AA">
              <w:rPr>
                <w:rFonts w:ascii="Times New Roman" w:hAnsi="Times New Roman"/>
                <w:color w:val="333333"/>
                <w:sz w:val="24"/>
                <w:szCs w:val="24"/>
                <w:lang w:val="ro-RO"/>
              </w:rPr>
              <w:t xml:space="preserve"> </w:t>
            </w:r>
          </w:p>
          <w:p w14:paraId="43EC6EF5" w14:textId="5BB36C32" w:rsidR="006A4F08" w:rsidRPr="00EC65AA" w:rsidRDefault="00571150" w:rsidP="00FE3A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color w:val="333333"/>
                <w:sz w:val="24"/>
                <w:szCs w:val="24"/>
                <w:lang w:val="ro-RO"/>
              </w:rPr>
              <w:t xml:space="preserve">Prin urmare, valorile incluse în CBTM 2026-2028 urmează a fi actualizate după aprobarea modificărilor propuse în cadrul proiectului actual de Hotărâre de Guvern.  </w:t>
            </w:r>
            <w:r w:rsidR="00022C51" w:rsidRPr="00EC65AA">
              <w:rPr>
                <w:rFonts w:ascii="Times New Roman" w:hAnsi="Times New Roman"/>
                <w:color w:val="333333"/>
                <w:sz w:val="24"/>
                <w:szCs w:val="24"/>
                <w:lang w:val="ro-RO"/>
              </w:rPr>
              <w:t xml:space="preserve">      </w:t>
            </w:r>
          </w:p>
          <w:p w14:paraId="586EF66D" w14:textId="68D30BF2" w:rsidR="00391876" w:rsidRPr="00EC65AA" w:rsidRDefault="00391876" w:rsidP="00FE3A6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C7723B" w:rsidRPr="00EC65AA" w14:paraId="236E3436" w14:textId="77777777" w:rsidTr="006779A1">
        <w:tc>
          <w:tcPr>
            <w:tcW w:w="866" w:type="pct"/>
            <w:tcMar>
              <w:top w:w="0" w:type="dxa"/>
              <w:left w:w="108" w:type="dxa"/>
              <w:bottom w:w="0" w:type="dxa"/>
              <w:right w:w="108" w:type="dxa"/>
            </w:tcMar>
          </w:tcPr>
          <w:p w14:paraId="1CE43EA2" w14:textId="77777777" w:rsidR="00C7723B" w:rsidRPr="00EC65AA" w:rsidRDefault="00C7723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tcMar>
              <w:top w:w="0" w:type="dxa"/>
              <w:left w:w="108" w:type="dxa"/>
              <w:bottom w:w="0" w:type="dxa"/>
              <w:right w:w="108" w:type="dxa"/>
            </w:tcMar>
          </w:tcPr>
          <w:p w14:paraId="7B4382F2" w14:textId="77777777" w:rsidR="00C7723B" w:rsidRPr="00EC65AA" w:rsidRDefault="00C7723B"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4A47A1D" w14:textId="77777777" w:rsidR="00C7723B" w:rsidRPr="00EC65AA" w:rsidRDefault="00C7723B" w:rsidP="00C7723B">
            <w:pPr>
              <w:autoSpaceDE w:val="0"/>
              <w:autoSpaceDN w:val="0"/>
              <w:adjustRightInd w:val="0"/>
              <w:spacing w:before="120" w:after="120"/>
              <w:ind w:firstLine="0"/>
              <w:rPr>
                <w:rFonts w:ascii="Times New Roman" w:hAnsi="Times New Roman"/>
                <w:b/>
                <w:bCs/>
                <w:iCs/>
                <w:color w:val="000000" w:themeColor="text1"/>
                <w:sz w:val="24"/>
                <w:szCs w:val="24"/>
                <w:u w:val="single"/>
                <w:lang w:val="ro-RO"/>
              </w:rPr>
            </w:pPr>
            <w:r w:rsidRPr="00EC65AA">
              <w:rPr>
                <w:rFonts w:ascii="Times New Roman" w:hAnsi="Times New Roman"/>
                <w:b/>
                <w:bCs/>
                <w:iCs/>
                <w:color w:val="000000" w:themeColor="text1"/>
                <w:sz w:val="24"/>
                <w:szCs w:val="24"/>
                <w:u w:val="single"/>
                <w:lang w:val="ro-RO"/>
              </w:rPr>
              <w:t>Referitor la punctul 4 privind modificarea Hotărârea Guvernului nr.251/2024</w:t>
            </w:r>
          </w:p>
          <w:p w14:paraId="4265AFA6"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Subpct.4.2.2 cuvântul ,,bancar” se va substitui cu cuvântul ,,</w:t>
            </w:r>
            <w:proofErr w:type="spellStart"/>
            <w:r w:rsidRPr="00EC65AA">
              <w:rPr>
                <w:rFonts w:ascii="Times New Roman" w:hAnsi="Times New Roman"/>
                <w:iCs/>
                <w:color w:val="000000" w:themeColor="text1"/>
                <w:sz w:val="24"/>
                <w:szCs w:val="24"/>
                <w:lang w:val="ro-RO"/>
              </w:rPr>
              <w:t>trezorerial</w:t>
            </w:r>
            <w:proofErr w:type="spellEnd"/>
            <w:r w:rsidRPr="00EC65AA">
              <w:rPr>
                <w:rFonts w:ascii="Times New Roman" w:hAnsi="Times New Roman"/>
                <w:iCs/>
                <w:color w:val="000000" w:themeColor="text1"/>
                <w:sz w:val="24"/>
                <w:szCs w:val="24"/>
                <w:lang w:val="ro-RO"/>
              </w:rPr>
              <w:t>” în conformitate cu art. 231, alin. (5) din Legea nr.139/2018 cu privire la eficiența energetică conform căruia mijloacele financiare ale FEE prevăzute la alin. (4) lit. d) contribuțiile beneficiarilor de programe de finanțare se gestionează prin conturile CNED deschise în CUT.</w:t>
            </w:r>
          </w:p>
          <w:p w14:paraId="5210565C" w14:textId="77777777" w:rsidR="00C7723B" w:rsidRPr="00EC65AA" w:rsidRDefault="00C7723B" w:rsidP="00C7723B">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lastRenderedPageBreak/>
              <w:t xml:space="preserve">Ținând cont de cele menționate, și în vederea asigurării transparenței mijloacelor financiare, contribuția achitată de către beneficiari la fel urmează a fi gestionată prin contul </w:t>
            </w:r>
            <w:proofErr w:type="spellStart"/>
            <w:r w:rsidRPr="00EC65AA">
              <w:rPr>
                <w:rFonts w:ascii="Times New Roman" w:hAnsi="Times New Roman"/>
                <w:iCs/>
                <w:color w:val="000000" w:themeColor="text1"/>
                <w:sz w:val="24"/>
                <w:szCs w:val="24"/>
                <w:lang w:val="ro-RO"/>
              </w:rPr>
              <w:t>trezorerial</w:t>
            </w:r>
            <w:proofErr w:type="spellEnd"/>
            <w:r w:rsidRPr="00EC65AA">
              <w:rPr>
                <w:rFonts w:ascii="Times New Roman" w:hAnsi="Times New Roman"/>
                <w:iCs/>
                <w:color w:val="000000" w:themeColor="text1"/>
                <w:sz w:val="24"/>
                <w:szCs w:val="24"/>
                <w:lang w:val="ro-RO"/>
              </w:rPr>
              <w:t>.</w:t>
            </w:r>
          </w:p>
          <w:p w14:paraId="680383A9" w14:textId="57CDE634" w:rsidR="00C7723B" w:rsidRPr="00EC65AA" w:rsidRDefault="00C7723B" w:rsidP="00C7723B">
            <w:pPr>
              <w:autoSpaceDE w:val="0"/>
              <w:autoSpaceDN w:val="0"/>
              <w:adjustRightInd w:val="0"/>
              <w:spacing w:before="120" w:after="120"/>
              <w:ind w:firstLine="0"/>
              <w:rPr>
                <w:rFonts w:ascii="Times New Roman" w:hAnsi="Times New Roman"/>
                <w:b/>
                <w:bCs/>
                <w:iCs/>
                <w:color w:val="000000" w:themeColor="text1"/>
                <w:sz w:val="24"/>
                <w:szCs w:val="24"/>
                <w:u w:val="single"/>
                <w:lang w:val="ro-RO"/>
              </w:rPr>
            </w:pPr>
            <w:r w:rsidRPr="00EC65AA">
              <w:rPr>
                <w:rFonts w:ascii="Times New Roman" w:hAnsi="Times New Roman"/>
                <w:iCs/>
                <w:color w:val="000000" w:themeColor="text1"/>
                <w:sz w:val="24"/>
                <w:szCs w:val="24"/>
                <w:lang w:val="ro-RO"/>
              </w:rPr>
              <w:t>Reieșind din cele relatate, proiectul urmează a fi definitivat prin prisma propunerilor și obiecțiilor prezentate.</w:t>
            </w:r>
          </w:p>
        </w:tc>
        <w:tc>
          <w:tcPr>
            <w:tcW w:w="1230" w:type="pct"/>
            <w:tcMar>
              <w:top w:w="0" w:type="dxa"/>
              <w:left w:w="108" w:type="dxa"/>
              <w:bottom w:w="0" w:type="dxa"/>
              <w:right w:w="108" w:type="dxa"/>
            </w:tcMar>
          </w:tcPr>
          <w:p w14:paraId="1A22189D" w14:textId="77777777" w:rsidR="00C7723B" w:rsidRPr="00EC65AA" w:rsidRDefault="00391876" w:rsidP="00FE3A6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parțial. </w:t>
            </w:r>
          </w:p>
          <w:p w14:paraId="69DECD13" w14:textId="474A09CA" w:rsidR="00391876" w:rsidRPr="00EC65AA" w:rsidRDefault="00391876" w:rsidP="00FE3A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Noțiunea de contribuție efectivă a beneficiarului prezentată la pct. 4.2.2</w:t>
            </w:r>
            <w:r w:rsidR="00E56AC2" w:rsidRPr="00EC65AA">
              <w:rPr>
                <w:rFonts w:ascii="Times New Roman" w:hAnsi="Times New Roman"/>
                <w:sz w:val="24"/>
                <w:szCs w:val="24"/>
                <w:lang w:val="ro-RO"/>
              </w:rPr>
              <w:t xml:space="preserve"> </w:t>
            </w:r>
            <w:r w:rsidRPr="00EC65AA">
              <w:rPr>
                <w:rFonts w:ascii="Times New Roman" w:hAnsi="Times New Roman"/>
                <w:sz w:val="24"/>
                <w:szCs w:val="24"/>
                <w:lang w:val="ro-RO"/>
              </w:rPr>
              <w:t xml:space="preserve">a fost ajustată. </w:t>
            </w:r>
          </w:p>
        </w:tc>
      </w:tr>
      <w:tr w:rsidR="001D023B" w:rsidRPr="00EC65AA" w14:paraId="35AAC7F6" w14:textId="77777777" w:rsidTr="006779A1">
        <w:tc>
          <w:tcPr>
            <w:tcW w:w="866" w:type="pct"/>
            <w:tcMar>
              <w:top w:w="0" w:type="dxa"/>
              <w:left w:w="108" w:type="dxa"/>
              <w:bottom w:w="0" w:type="dxa"/>
              <w:right w:w="108" w:type="dxa"/>
            </w:tcMar>
          </w:tcPr>
          <w:p w14:paraId="038E9180" w14:textId="1C0D47C9" w:rsidR="001D023B" w:rsidRPr="00EC65AA" w:rsidRDefault="001D023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Organizația pentru Dezvoltarea </w:t>
            </w:r>
            <w:r w:rsidR="00846741" w:rsidRPr="00EC65AA">
              <w:rPr>
                <w:rFonts w:ascii="Times New Roman" w:hAnsi="Times New Roman"/>
                <w:b/>
                <w:bCs/>
                <w:sz w:val="24"/>
                <w:szCs w:val="24"/>
                <w:lang w:val="ro-RO"/>
              </w:rPr>
              <w:t>Antreprenorialului</w:t>
            </w:r>
          </w:p>
        </w:tc>
        <w:tc>
          <w:tcPr>
            <w:tcW w:w="577" w:type="pct"/>
            <w:tcMar>
              <w:top w:w="0" w:type="dxa"/>
              <w:left w:w="108" w:type="dxa"/>
              <w:bottom w:w="0" w:type="dxa"/>
              <w:right w:w="108" w:type="dxa"/>
            </w:tcMar>
          </w:tcPr>
          <w:p w14:paraId="0F708996" w14:textId="76BBEFF6" w:rsidR="001D023B" w:rsidRPr="00EC65AA" w:rsidRDefault="001D023B"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1304-02/26 din 01.09.2025</w:t>
            </w:r>
          </w:p>
        </w:tc>
        <w:tc>
          <w:tcPr>
            <w:tcW w:w="2327" w:type="pct"/>
            <w:tcMar>
              <w:top w:w="0" w:type="dxa"/>
              <w:left w:w="108" w:type="dxa"/>
              <w:bottom w:w="0" w:type="dxa"/>
              <w:right w:w="108" w:type="dxa"/>
            </w:tcMar>
          </w:tcPr>
          <w:p w14:paraId="6B5AE7CD" w14:textId="4082C1F9" w:rsidR="001D023B" w:rsidRPr="00EC65AA" w:rsidRDefault="001D023B"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Prin prezenta, Instituția Publică Organizația pentru Dezvoltarea </w:t>
            </w:r>
            <w:r w:rsidR="00846741" w:rsidRPr="00EC65AA">
              <w:rPr>
                <w:rFonts w:ascii="Times New Roman" w:hAnsi="Times New Roman"/>
                <w:iCs/>
                <w:color w:val="000000" w:themeColor="text1"/>
                <w:sz w:val="24"/>
                <w:szCs w:val="24"/>
                <w:lang w:val="ro-RO"/>
              </w:rPr>
              <w:t>Antreprenorialului</w:t>
            </w:r>
            <w:r w:rsidRPr="00EC65AA">
              <w:rPr>
                <w:rFonts w:ascii="Times New Roman" w:hAnsi="Times New Roman"/>
                <w:iCs/>
                <w:color w:val="000000" w:themeColor="text1"/>
                <w:sz w:val="24"/>
                <w:szCs w:val="24"/>
                <w:lang w:val="ro-RO"/>
              </w:rPr>
              <w:t>, examinând demersul Cancelariei de Stat a Republicii Moldova nr. 18-69-8797 din 18.08.2025, prin care se solicită avizarea proiectului Hotărârii Guvernului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/2025), în limita competențelor funcționale, comunică lipsa obiecțiilor și propunerilor cu privire la proiectul actului normativ nominalizat.</w:t>
            </w:r>
          </w:p>
        </w:tc>
        <w:tc>
          <w:tcPr>
            <w:tcW w:w="1230" w:type="pct"/>
            <w:tcMar>
              <w:top w:w="0" w:type="dxa"/>
              <w:left w:w="108" w:type="dxa"/>
              <w:bottom w:w="0" w:type="dxa"/>
              <w:right w:w="108" w:type="dxa"/>
            </w:tcMar>
          </w:tcPr>
          <w:p w14:paraId="197B990A" w14:textId="76D57862" w:rsidR="001D023B" w:rsidRPr="00EC65AA" w:rsidRDefault="001D023B"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ia act de informare. </w:t>
            </w:r>
          </w:p>
        </w:tc>
      </w:tr>
      <w:tr w:rsidR="00B04E45" w:rsidRPr="00EC65AA" w14:paraId="380E0427" w14:textId="77777777" w:rsidTr="006779A1">
        <w:tc>
          <w:tcPr>
            <w:tcW w:w="866" w:type="pct"/>
            <w:vMerge w:val="restart"/>
            <w:tcMar>
              <w:top w:w="0" w:type="dxa"/>
              <w:left w:w="108" w:type="dxa"/>
              <w:bottom w:w="0" w:type="dxa"/>
              <w:right w:w="108" w:type="dxa"/>
            </w:tcMar>
          </w:tcPr>
          <w:p w14:paraId="42B6D205" w14:textId="43859D68"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Centrul Național pentru Energie Durabilă</w:t>
            </w:r>
          </w:p>
        </w:tc>
        <w:tc>
          <w:tcPr>
            <w:tcW w:w="577" w:type="pct"/>
            <w:vMerge w:val="restart"/>
            <w:tcMar>
              <w:top w:w="0" w:type="dxa"/>
              <w:left w:w="108" w:type="dxa"/>
              <w:bottom w:w="0" w:type="dxa"/>
              <w:right w:w="108" w:type="dxa"/>
            </w:tcMar>
          </w:tcPr>
          <w:p w14:paraId="64968412" w14:textId="77777777" w:rsidR="00B04E45" w:rsidRPr="00EC65AA" w:rsidRDefault="00B04E45" w:rsidP="00B532AB">
            <w:pPr>
              <w:ind w:firstLine="0"/>
              <w:rPr>
                <w:rFonts w:ascii="Times New Roman" w:hAnsi="Times New Roman"/>
                <w:sz w:val="24"/>
                <w:szCs w:val="24"/>
                <w:lang w:val="ro-RO"/>
              </w:rPr>
            </w:pPr>
            <w:r w:rsidRPr="00EC65AA">
              <w:rPr>
                <w:rFonts w:ascii="Times New Roman" w:hAnsi="Times New Roman"/>
                <w:sz w:val="24"/>
                <w:szCs w:val="24"/>
                <w:lang w:val="ro-RO"/>
              </w:rPr>
              <w:t>15 – 1296 din 03.09.2025</w:t>
            </w:r>
          </w:p>
          <w:p w14:paraId="7AA3F1D0" w14:textId="77777777" w:rsidR="00B04E45" w:rsidRPr="00EC65AA" w:rsidRDefault="00B04E4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1AFA721" w14:textId="77777777" w:rsidR="00B04E45" w:rsidRPr="00EC65AA" w:rsidRDefault="00B04E45" w:rsidP="00B532AB">
            <w:pPr>
              <w:spacing w:after="240" w:line="360" w:lineRule="auto"/>
              <w:rPr>
                <w:rFonts w:ascii="Times New Roman" w:hAnsi="Times New Roman"/>
                <w:sz w:val="24"/>
                <w:szCs w:val="24"/>
                <w:lang w:val="ro-RO"/>
              </w:rPr>
            </w:pPr>
            <w:r w:rsidRPr="00EC65AA">
              <w:rPr>
                <w:rFonts w:ascii="Times New Roman" w:hAnsi="Times New Roman"/>
                <w:sz w:val="24"/>
                <w:szCs w:val="24"/>
                <w:lang w:val="ro-RO"/>
              </w:rPr>
              <w:t xml:space="preserve">Prin prezenta, IP Centrul Național pentru Energie Durabilă (IP CNED), instituția publică care are misiunea de a coordona și de a organiza activitățile orientate spre asigurarea implementării politicii de stat în domeniile de activitate atribuite în conformitate cu HG 1060/2023, </w:t>
            </w:r>
            <w:bookmarkStart w:id="2" w:name="_Hlk169523943"/>
            <w:r w:rsidRPr="00EC65AA">
              <w:rPr>
                <w:rFonts w:ascii="Times New Roman" w:hAnsi="Times New Roman"/>
                <w:sz w:val="24"/>
                <w:szCs w:val="24"/>
                <w:lang w:val="ro-RO"/>
              </w:rPr>
              <w:t xml:space="preserve">în contextul </w:t>
            </w:r>
            <w:bookmarkEnd w:id="2"/>
            <w:r w:rsidRPr="00EC65AA">
              <w:rPr>
                <w:rFonts w:ascii="Times New Roman" w:hAnsi="Times New Roman"/>
                <w:sz w:val="24"/>
                <w:szCs w:val="24"/>
                <w:lang w:val="ro-RO"/>
              </w:rPr>
              <w:t xml:space="preserve">demersului Nr. 03-2216 din 19 august 2025 cu privire la avizarea </w:t>
            </w:r>
            <w:r w:rsidRPr="00EC65AA">
              <w:rPr>
                <w:rFonts w:ascii="Times New Roman" w:hAnsi="Times New Roman"/>
                <w:i/>
                <w:iCs/>
                <w:sz w:val="24"/>
                <w:szCs w:val="24"/>
                <w:lang w:val="ro-RO"/>
              </w:rPr>
              <w:t>proiectului hotărârii cu privire la modificarea unor hotărâri ale Guvernului</w:t>
            </w:r>
            <w:r w:rsidRPr="00EC65AA">
              <w:rPr>
                <w:rFonts w:ascii="Times New Roman" w:hAnsi="Times New Roman"/>
                <w:sz w:val="24"/>
                <w:szCs w:val="24"/>
                <w:lang w:val="ro-RO"/>
              </w:rPr>
              <w:t xml:space="preserve"> </w:t>
            </w:r>
            <w:r w:rsidRPr="00EC65AA">
              <w:rPr>
                <w:rFonts w:ascii="Times New Roman" w:hAnsi="Times New Roman"/>
                <w:i/>
                <w:iCs/>
                <w:sz w:val="24"/>
                <w:szCs w:val="24"/>
                <w:lang w:val="ro-RO"/>
              </w:rPr>
              <w:t>(facilitarea implementării proiectelor de eficiență energetică),</w:t>
            </w:r>
            <w:r w:rsidRPr="00EC65AA">
              <w:rPr>
                <w:rFonts w:ascii="Times New Roman" w:hAnsi="Times New Roman"/>
                <w:sz w:val="24"/>
                <w:szCs w:val="24"/>
                <w:lang w:val="ro-RO"/>
              </w:rPr>
              <w:t xml:space="preserve"> </w:t>
            </w:r>
            <w:r w:rsidRPr="00EC65AA">
              <w:rPr>
                <w:rFonts w:ascii="Times New Roman" w:hAnsi="Times New Roman"/>
                <w:b/>
                <w:bCs/>
                <w:sz w:val="24"/>
                <w:szCs w:val="24"/>
                <w:lang w:val="ro-RO"/>
              </w:rPr>
              <w:t>(număr unic 677/</w:t>
            </w:r>
            <w:proofErr w:type="spellStart"/>
            <w:r w:rsidRPr="00EC65AA">
              <w:rPr>
                <w:rFonts w:ascii="Times New Roman" w:hAnsi="Times New Roman"/>
                <w:b/>
                <w:bCs/>
                <w:sz w:val="24"/>
                <w:szCs w:val="24"/>
                <w:lang w:val="ro-RO"/>
              </w:rPr>
              <w:t>MEn</w:t>
            </w:r>
            <w:proofErr w:type="spellEnd"/>
            <w:r w:rsidRPr="00EC65AA">
              <w:rPr>
                <w:rFonts w:ascii="Times New Roman" w:hAnsi="Times New Roman"/>
                <w:b/>
                <w:bCs/>
                <w:sz w:val="24"/>
                <w:szCs w:val="24"/>
                <w:lang w:val="ro-RO"/>
              </w:rPr>
              <w:t xml:space="preserve">/2025), </w:t>
            </w:r>
            <w:r w:rsidRPr="00EC65AA">
              <w:rPr>
                <w:rFonts w:ascii="Times New Roman" w:hAnsi="Times New Roman"/>
                <w:sz w:val="24"/>
                <w:szCs w:val="24"/>
                <w:lang w:val="ro-RO"/>
              </w:rPr>
              <w:t xml:space="preserve">vă comunică următoarele propuneri: </w:t>
            </w:r>
          </w:p>
          <w:p w14:paraId="7E80BD42" w14:textId="3D231E5E" w:rsidR="00B04E45" w:rsidRPr="00EC65AA" w:rsidRDefault="00B04E45" w:rsidP="00B04E45">
            <w:pPr>
              <w:pStyle w:val="ListParagraph"/>
              <w:numPr>
                <w:ilvl w:val="0"/>
                <w:numId w:val="23"/>
              </w:numPr>
              <w:spacing w:after="240" w:line="360" w:lineRule="auto"/>
              <w:ind w:left="426"/>
              <w:rPr>
                <w:rFonts w:ascii="Times New Roman" w:hAnsi="Times New Roman"/>
                <w:iCs/>
                <w:color w:val="000000" w:themeColor="text1"/>
                <w:sz w:val="24"/>
                <w:szCs w:val="24"/>
                <w:lang w:val="ro-RO"/>
              </w:rPr>
            </w:pPr>
            <w:r w:rsidRPr="00EC65AA">
              <w:rPr>
                <w:rFonts w:ascii="Times New Roman" w:hAnsi="Times New Roman"/>
                <w:b/>
                <w:bCs/>
                <w:sz w:val="24"/>
                <w:szCs w:val="24"/>
                <w:lang w:val="ro-RO"/>
              </w:rPr>
              <w:lastRenderedPageBreak/>
              <w:t xml:space="preserve">La pct. 4.2.3., </w:t>
            </w:r>
            <w:r w:rsidRPr="00EC65AA">
              <w:rPr>
                <w:rFonts w:ascii="Times New Roman" w:hAnsi="Times New Roman"/>
                <w:sz w:val="24"/>
                <w:szCs w:val="24"/>
                <w:lang w:val="ro-RO"/>
              </w:rPr>
              <w:t xml:space="preserve">se propune completarea sintagmei „[...] - certificatul de urbanism sau autorizația de construire [...]” cu cuvântul „prezintă” - „[...] – </w:t>
            </w:r>
            <w:r w:rsidRPr="00EC65AA">
              <w:rPr>
                <w:rFonts w:ascii="Times New Roman" w:hAnsi="Times New Roman"/>
                <w:i/>
                <w:iCs/>
                <w:sz w:val="24"/>
                <w:szCs w:val="24"/>
                <w:lang w:val="ro-RO"/>
              </w:rPr>
              <w:t>prezintă</w:t>
            </w:r>
            <w:r w:rsidRPr="00EC65AA">
              <w:rPr>
                <w:rFonts w:ascii="Times New Roman" w:hAnsi="Times New Roman"/>
                <w:sz w:val="24"/>
                <w:szCs w:val="24"/>
                <w:lang w:val="ro-RO"/>
              </w:rPr>
              <w:t xml:space="preserve"> certificatul de urbanism sau autorizația de construire [...]”</w:t>
            </w:r>
          </w:p>
        </w:tc>
        <w:tc>
          <w:tcPr>
            <w:tcW w:w="1230" w:type="pct"/>
            <w:tcMar>
              <w:top w:w="0" w:type="dxa"/>
              <w:left w:w="108" w:type="dxa"/>
              <w:bottom w:w="0" w:type="dxa"/>
              <w:right w:w="108" w:type="dxa"/>
            </w:tcMar>
          </w:tcPr>
          <w:p w14:paraId="2BE98131" w14:textId="766EA87A"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tc>
      </w:tr>
      <w:tr w:rsidR="00B04E45" w:rsidRPr="00EC65AA" w14:paraId="56E3ABA7" w14:textId="77777777" w:rsidTr="006779A1">
        <w:tc>
          <w:tcPr>
            <w:tcW w:w="866" w:type="pct"/>
            <w:vMerge/>
            <w:tcMar>
              <w:top w:w="0" w:type="dxa"/>
              <w:left w:w="108" w:type="dxa"/>
              <w:bottom w:w="0" w:type="dxa"/>
              <w:right w:w="108" w:type="dxa"/>
            </w:tcMar>
          </w:tcPr>
          <w:p w14:paraId="798A4E5F"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49ED8D05"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620DBE4B" w14:textId="77777777"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Totodată, în Regulamentul cu privire la auditorii energetici și auditul energetic aprobat prin Hotărârea Guvernului Nr. 676/2020 se propune efectuarea următoarelor modificări:</w:t>
            </w:r>
          </w:p>
          <w:p w14:paraId="3947D20F" w14:textId="444A3942"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w:t>
            </w:r>
            <w:r w:rsidRPr="00EC65AA">
              <w:rPr>
                <w:rFonts w:ascii="Times New Roman" w:hAnsi="Times New Roman"/>
                <w:sz w:val="24"/>
                <w:szCs w:val="24"/>
                <w:lang w:val="ro-RO"/>
              </w:rPr>
              <w:tab/>
              <w:t>Substituirea sintagmei „Agenția”, la orice formă gramaticală, cu sintagma „Instituția Publică Centrul Național pentru Energie Durabilă” la forma gramaticală corespunzătoare sau prescurtat IP CNED.</w:t>
            </w:r>
          </w:p>
        </w:tc>
        <w:tc>
          <w:tcPr>
            <w:tcW w:w="1230" w:type="pct"/>
            <w:tcMar>
              <w:top w:w="0" w:type="dxa"/>
              <w:left w:w="108" w:type="dxa"/>
              <w:bottom w:w="0" w:type="dxa"/>
              <w:right w:w="108" w:type="dxa"/>
            </w:tcMar>
          </w:tcPr>
          <w:p w14:paraId="34A6A9ED"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6F956DDA" w14:textId="77777777" w:rsidR="00B04E45" w:rsidRPr="00EC65AA" w:rsidRDefault="00B04E45" w:rsidP="009E49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Denumirile neuniforme cum ar fi Agenția,  Centrul apar doar pe portalul www. legis.md, pe motiv că acesta nu este actualizat cu luare în considerare a modificărilor  aprobate prin Anexa 4 la HG  1060/2023 cu privire la organizarea și funcționarea Instituției Publice Centrul Național pentru Energie Durabilă. </w:t>
            </w:r>
          </w:p>
          <w:p w14:paraId="135249BE" w14:textId="52A42AD9" w:rsidR="00B04E45" w:rsidRPr="00EC65AA" w:rsidRDefault="00B04E45" w:rsidP="009E495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 xml:space="preserve">În cazul în care HG 676/2020 pentru aprobarea Regulamentului cu privire la auditorii energetici și auditul energetic se deschide utilizând  portalul </w:t>
            </w:r>
            <w:hyperlink r:id="rId11" w:history="1">
              <w:r w:rsidRPr="00EC65AA">
                <w:rPr>
                  <w:rStyle w:val="Hyperlink"/>
                  <w:rFonts w:ascii="Times New Roman" w:hAnsi="Times New Roman"/>
                  <w:sz w:val="24"/>
                  <w:szCs w:val="24"/>
                  <w:lang w:val="ro-RO"/>
                </w:rPr>
                <w:t>www.moldlex.md</w:t>
              </w:r>
            </w:hyperlink>
            <w:r w:rsidRPr="00EC65AA">
              <w:rPr>
                <w:rFonts w:ascii="Times New Roman" w:hAnsi="Times New Roman"/>
                <w:sz w:val="24"/>
                <w:szCs w:val="24"/>
                <w:lang w:val="ro-RO"/>
              </w:rPr>
              <w:t>, nu există astfel de denumiri neuniforme.</w:t>
            </w:r>
          </w:p>
        </w:tc>
      </w:tr>
      <w:tr w:rsidR="00B04E45" w:rsidRPr="00EC65AA" w14:paraId="4EE98759" w14:textId="77777777" w:rsidTr="006779A1">
        <w:tc>
          <w:tcPr>
            <w:tcW w:w="866" w:type="pct"/>
            <w:vMerge/>
            <w:tcMar>
              <w:top w:w="0" w:type="dxa"/>
              <w:left w:w="108" w:type="dxa"/>
              <w:bottom w:w="0" w:type="dxa"/>
              <w:right w:w="108" w:type="dxa"/>
            </w:tcMar>
          </w:tcPr>
          <w:p w14:paraId="0B98E919"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43310E5"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361BC622" w14:textId="6B24E03A"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w:t>
            </w:r>
            <w:r w:rsidRPr="00EC65AA">
              <w:rPr>
                <w:rFonts w:ascii="Times New Roman" w:hAnsi="Times New Roman"/>
                <w:sz w:val="24"/>
                <w:szCs w:val="24"/>
                <w:lang w:val="ro-RO"/>
              </w:rPr>
              <w:tab/>
              <w:t>În Cap. I, pct. 3 se propune includerea și definirea noțiunii de „Grup de clădiri”</w:t>
            </w:r>
          </w:p>
        </w:tc>
        <w:tc>
          <w:tcPr>
            <w:tcW w:w="1230" w:type="pct"/>
            <w:tcMar>
              <w:top w:w="0" w:type="dxa"/>
              <w:left w:w="108" w:type="dxa"/>
              <w:bottom w:w="0" w:type="dxa"/>
              <w:right w:w="108" w:type="dxa"/>
            </w:tcMar>
          </w:tcPr>
          <w:p w14:paraId="628CCEE1" w14:textId="4C967680"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B04E45" w:rsidRPr="00EC65AA" w14:paraId="0CC6B49B" w14:textId="77777777" w:rsidTr="006779A1">
        <w:tc>
          <w:tcPr>
            <w:tcW w:w="866" w:type="pct"/>
            <w:vMerge/>
            <w:tcMar>
              <w:top w:w="0" w:type="dxa"/>
              <w:left w:w="108" w:type="dxa"/>
              <w:bottom w:w="0" w:type="dxa"/>
              <w:right w:w="108" w:type="dxa"/>
            </w:tcMar>
          </w:tcPr>
          <w:p w14:paraId="1C001996"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4AE24CA2"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66A2C515" w14:textId="46581A6E"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w:t>
            </w:r>
            <w:r w:rsidRPr="00EC65AA">
              <w:rPr>
                <w:rFonts w:ascii="Times New Roman" w:hAnsi="Times New Roman"/>
                <w:sz w:val="24"/>
                <w:szCs w:val="24"/>
                <w:lang w:val="ro-RO"/>
              </w:rPr>
              <w:tab/>
              <w:t>În Cap. II, Secțiunea a 21-a, pct. 24</w:t>
            </w:r>
            <w:r w:rsidRPr="00EC65AA">
              <w:rPr>
                <w:rFonts w:ascii="Times New Roman" w:hAnsi="Times New Roman"/>
                <w:sz w:val="24"/>
                <w:szCs w:val="24"/>
                <w:vertAlign w:val="superscript"/>
                <w:lang w:val="ro-RO"/>
              </w:rPr>
              <w:t>2</w:t>
            </w:r>
            <w:r w:rsidRPr="00EC65AA">
              <w:rPr>
                <w:rFonts w:ascii="Times New Roman" w:hAnsi="Times New Roman"/>
                <w:sz w:val="24"/>
                <w:szCs w:val="24"/>
                <w:lang w:val="ro-RO"/>
              </w:rPr>
              <w:t xml:space="preserve"> se propune completarea cu următoarea sintagmă - „[...] cu introducerea mențiunii „suspendat” în cadrul acestuia, </w:t>
            </w:r>
            <w:bookmarkStart w:id="3" w:name="_Hlk207873675"/>
            <w:r w:rsidRPr="00EC65AA">
              <w:rPr>
                <w:rFonts w:ascii="Times New Roman" w:hAnsi="Times New Roman"/>
                <w:sz w:val="24"/>
                <w:szCs w:val="24"/>
                <w:lang w:val="ro-RO"/>
              </w:rPr>
              <w:t>indicarea ordinului de suspendare și motivului în compartimentul „mențiuni” din Registru”</w:t>
            </w:r>
            <w:bookmarkEnd w:id="3"/>
            <w:r w:rsidRPr="00EC65AA">
              <w:rPr>
                <w:rFonts w:ascii="Times New Roman" w:hAnsi="Times New Roman"/>
                <w:sz w:val="24"/>
                <w:szCs w:val="24"/>
                <w:lang w:val="ro-RO"/>
              </w:rPr>
              <w:t>.</w:t>
            </w:r>
          </w:p>
        </w:tc>
        <w:tc>
          <w:tcPr>
            <w:tcW w:w="1230" w:type="pct"/>
            <w:tcMar>
              <w:top w:w="0" w:type="dxa"/>
              <w:left w:w="108" w:type="dxa"/>
              <w:bottom w:w="0" w:type="dxa"/>
              <w:right w:w="108" w:type="dxa"/>
            </w:tcMar>
          </w:tcPr>
          <w:p w14:paraId="69C1644E"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parțial. </w:t>
            </w:r>
          </w:p>
          <w:p w14:paraId="0D6F957E" w14:textId="685DD5CB"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Punctul 24</w:t>
            </w:r>
            <w:r w:rsidRPr="00EC65AA">
              <w:rPr>
                <w:rFonts w:ascii="Times New Roman" w:hAnsi="Times New Roman"/>
                <w:sz w:val="24"/>
                <w:szCs w:val="24"/>
                <w:vertAlign w:val="superscript"/>
                <w:lang w:val="ro-RO"/>
              </w:rPr>
              <w:t xml:space="preserve">2 </w:t>
            </w:r>
            <w:r w:rsidRPr="00EC65AA">
              <w:rPr>
                <w:rFonts w:ascii="Times New Roman" w:hAnsi="Times New Roman"/>
                <w:sz w:val="24"/>
                <w:szCs w:val="24"/>
                <w:lang w:val="ro-RO"/>
              </w:rPr>
              <w:t>a fost propus în redacție nouă.</w:t>
            </w:r>
          </w:p>
        </w:tc>
      </w:tr>
      <w:tr w:rsidR="00B04E45" w:rsidRPr="00EC65AA" w14:paraId="437782B8" w14:textId="77777777" w:rsidTr="006779A1">
        <w:tc>
          <w:tcPr>
            <w:tcW w:w="866" w:type="pct"/>
            <w:vMerge/>
            <w:tcMar>
              <w:top w:w="0" w:type="dxa"/>
              <w:left w:w="108" w:type="dxa"/>
              <w:bottom w:w="0" w:type="dxa"/>
              <w:right w:w="108" w:type="dxa"/>
            </w:tcMar>
          </w:tcPr>
          <w:p w14:paraId="484427E8"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79BBCFA3"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351990AF" w14:textId="6404C17D"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w:t>
            </w:r>
            <w:r w:rsidRPr="00EC65AA">
              <w:rPr>
                <w:rFonts w:ascii="Times New Roman" w:hAnsi="Times New Roman"/>
                <w:sz w:val="24"/>
                <w:szCs w:val="24"/>
                <w:lang w:val="ro-RO"/>
              </w:rPr>
              <w:tab/>
              <w:t>La Cap. II, Secțiunea a 21-a, pct. 24</w:t>
            </w:r>
            <w:r w:rsidRPr="00EC65AA">
              <w:rPr>
                <w:rFonts w:ascii="Times New Roman" w:hAnsi="Times New Roman"/>
                <w:sz w:val="24"/>
                <w:szCs w:val="24"/>
                <w:vertAlign w:val="superscript"/>
                <w:lang w:val="ro-RO"/>
              </w:rPr>
              <w:t>5</w:t>
            </w:r>
            <w:r w:rsidRPr="00EC65AA">
              <w:rPr>
                <w:rFonts w:ascii="Times New Roman" w:hAnsi="Times New Roman"/>
                <w:sz w:val="24"/>
                <w:szCs w:val="24"/>
                <w:lang w:val="ro-RO"/>
              </w:rPr>
              <w:t xml:space="preserve"> se propune adăugarea sintagmei - „[...] </w:t>
            </w:r>
            <w:bookmarkStart w:id="4" w:name="_Hlk207875849"/>
            <w:r w:rsidRPr="00EC65AA">
              <w:rPr>
                <w:rFonts w:ascii="Times New Roman" w:hAnsi="Times New Roman"/>
                <w:sz w:val="24"/>
                <w:szCs w:val="24"/>
                <w:lang w:val="ro-RO"/>
              </w:rPr>
              <w:t>din data emiterii ordinului de suspendare</w:t>
            </w:r>
            <w:bookmarkEnd w:id="4"/>
            <w:r w:rsidRPr="00EC65AA">
              <w:rPr>
                <w:rFonts w:ascii="Times New Roman" w:hAnsi="Times New Roman"/>
                <w:sz w:val="24"/>
                <w:szCs w:val="24"/>
                <w:lang w:val="ro-RO"/>
              </w:rPr>
              <w:t>”.</w:t>
            </w:r>
          </w:p>
        </w:tc>
        <w:tc>
          <w:tcPr>
            <w:tcW w:w="1230" w:type="pct"/>
            <w:tcMar>
              <w:top w:w="0" w:type="dxa"/>
              <w:left w:w="108" w:type="dxa"/>
              <w:bottom w:w="0" w:type="dxa"/>
              <w:right w:w="108" w:type="dxa"/>
            </w:tcMar>
          </w:tcPr>
          <w:p w14:paraId="30D055C7" w14:textId="18C5CFD5"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B04E45" w:rsidRPr="00EC65AA" w14:paraId="19D89D67" w14:textId="77777777" w:rsidTr="006779A1">
        <w:tc>
          <w:tcPr>
            <w:tcW w:w="866" w:type="pct"/>
            <w:vMerge/>
            <w:tcMar>
              <w:top w:w="0" w:type="dxa"/>
              <w:left w:w="108" w:type="dxa"/>
              <w:bottom w:w="0" w:type="dxa"/>
              <w:right w:w="108" w:type="dxa"/>
            </w:tcMar>
          </w:tcPr>
          <w:p w14:paraId="00F9A375"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040071C9"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01B1ACCF" w14:textId="77777777" w:rsidR="00B04E45" w:rsidRPr="00EC65AA" w:rsidRDefault="00B04E45" w:rsidP="0080472A">
            <w:pPr>
              <w:spacing w:line="360" w:lineRule="auto"/>
              <w:ind w:firstLine="0"/>
              <w:rPr>
                <w:rFonts w:ascii="Times New Roman" w:hAnsi="Times New Roman"/>
                <w:sz w:val="24"/>
                <w:szCs w:val="24"/>
                <w:lang w:val="ro-RO"/>
              </w:rPr>
            </w:pPr>
            <w:r w:rsidRPr="00EC65AA">
              <w:rPr>
                <w:rFonts w:ascii="Times New Roman" w:hAnsi="Times New Roman"/>
                <w:sz w:val="24"/>
                <w:szCs w:val="24"/>
                <w:lang w:val="ro-RO"/>
              </w:rPr>
              <w:t>La fel, la Hotărârea Guvernului Nr. 1064/2023 cu privire la aprobarea Programului privind implementarea schemei de obligații în domeniul eficienței energetice pentru perioada 2024-2026, se propune operarea următoarelor modificări:</w:t>
            </w:r>
          </w:p>
          <w:p w14:paraId="2019DAEE" w14:textId="183F30EE" w:rsidR="00B04E45" w:rsidRPr="00EC65AA" w:rsidRDefault="00B04E45" w:rsidP="0080472A">
            <w:pPr>
              <w:spacing w:line="360" w:lineRule="auto"/>
              <w:ind w:firstLine="0"/>
              <w:rPr>
                <w:rFonts w:ascii="Times New Roman" w:hAnsi="Times New Roman"/>
                <w:sz w:val="24"/>
                <w:szCs w:val="24"/>
                <w:lang w:val="ro-RO"/>
              </w:rPr>
            </w:pPr>
            <w:r w:rsidRPr="00EC65AA">
              <w:rPr>
                <w:rFonts w:ascii="Times New Roman" w:hAnsi="Times New Roman"/>
                <w:sz w:val="24"/>
                <w:szCs w:val="24"/>
                <w:lang w:val="ro-RO"/>
              </w:rPr>
              <w:t>•</w:t>
            </w:r>
            <w:r w:rsidRPr="00EC65AA">
              <w:rPr>
                <w:rFonts w:ascii="Times New Roman" w:hAnsi="Times New Roman"/>
                <w:sz w:val="24"/>
                <w:szCs w:val="24"/>
                <w:lang w:val="ro-RO"/>
              </w:rPr>
              <w:tab/>
              <w:t xml:space="preserve">Excluderea Pct. 1, </w:t>
            </w:r>
            <w:proofErr w:type="spellStart"/>
            <w:r w:rsidRPr="00EC65AA">
              <w:rPr>
                <w:rFonts w:ascii="Times New Roman" w:hAnsi="Times New Roman"/>
                <w:sz w:val="24"/>
                <w:szCs w:val="24"/>
                <w:lang w:val="ro-RO"/>
              </w:rPr>
              <w:t>subpct</w:t>
            </w:r>
            <w:proofErr w:type="spellEnd"/>
            <w:r w:rsidRPr="00EC65AA">
              <w:rPr>
                <w:rFonts w:ascii="Times New Roman" w:hAnsi="Times New Roman"/>
                <w:sz w:val="24"/>
                <w:szCs w:val="24"/>
                <w:lang w:val="ro-RO"/>
              </w:rPr>
              <w:t>. 2), lit. a) din Anexa 2 din motiv că actualmente IP CNED nu promovează astfel de măsuri.</w:t>
            </w:r>
          </w:p>
        </w:tc>
        <w:tc>
          <w:tcPr>
            <w:tcW w:w="1230" w:type="pct"/>
            <w:tcMar>
              <w:top w:w="0" w:type="dxa"/>
              <w:left w:w="108" w:type="dxa"/>
              <w:bottom w:w="0" w:type="dxa"/>
              <w:right w:w="108" w:type="dxa"/>
            </w:tcMar>
          </w:tcPr>
          <w:p w14:paraId="555223A7"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6B3EFE43" w14:textId="77052384" w:rsidR="0080472A" w:rsidRPr="00EC65AA" w:rsidRDefault="00304F56"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La moment CNED nu finanțează astfel de măsuri, însă în cadrul proiectelor de eficiență energetică finanțate cu Suportul BERD, </w:t>
            </w:r>
            <w:proofErr w:type="spellStart"/>
            <w:r w:rsidRPr="00EC65AA">
              <w:rPr>
                <w:rFonts w:ascii="Times New Roman" w:hAnsi="Times New Roman"/>
                <w:sz w:val="24"/>
                <w:szCs w:val="24"/>
                <w:lang w:val="ro-RO"/>
              </w:rPr>
              <w:t>GiZ</w:t>
            </w:r>
            <w:proofErr w:type="spellEnd"/>
            <w:r w:rsidRPr="00EC65AA">
              <w:rPr>
                <w:rFonts w:ascii="Times New Roman" w:hAnsi="Times New Roman"/>
                <w:sz w:val="24"/>
                <w:szCs w:val="24"/>
                <w:lang w:val="ro-RO"/>
              </w:rPr>
              <w:t xml:space="preserve"> pentru Asociațiile de proprietari în condominiu, această măsură ar putea fi necesară a fi finanțată în anumite cazuri. Păstrarea acesteia în Anexa 2 la Hotărârea Guvernului Nr. 1064/2023 cu privire la aprobarea Programului privind implementarea schemei de obligații în domeniul eficienței energetice pentru perioada 2024-2026 nu obligă CNED să asigure finanțarea acestei măsuri, aceasta urmează a fi considerată drept eligibilă în cazul eventualelor </w:t>
            </w:r>
            <w:r w:rsidRPr="00EC65AA">
              <w:rPr>
                <w:rFonts w:ascii="Times New Roman" w:hAnsi="Times New Roman"/>
                <w:sz w:val="24"/>
                <w:szCs w:val="24"/>
                <w:lang w:val="ro-RO"/>
              </w:rPr>
              <w:lastRenderedPageBreak/>
              <w:t xml:space="preserve">produse de finanțare ce urmează a fi aprobate.  </w:t>
            </w:r>
          </w:p>
          <w:p w14:paraId="1AF09032" w14:textId="572094C2"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B04E45" w:rsidRPr="00EC65AA" w14:paraId="17C9C493" w14:textId="77777777" w:rsidTr="006779A1">
        <w:tc>
          <w:tcPr>
            <w:tcW w:w="866" w:type="pct"/>
            <w:vMerge/>
            <w:tcMar>
              <w:top w:w="0" w:type="dxa"/>
              <w:left w:w="108" w:type="dxa"/>
              <w:bottom w:w="0" w:type="dxa"/>
              <w:right w:w="108" w:type="dxa"/>
            </w:tcMar>
          </w:tcPr>
          <w:p w14:paraId="145D2B16"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554AA49C"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2B99E8AA" w14:textId="0F3D0BC8"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w:t>
            </w:r>
            <w:r w:rsidRPr="00EC65AA">
              <w:rPr>
                <w:rFonts w:ascii="Times New Roman" w:hAnsi="Times New Roman"/>
                <w:sz w:val="24"/>
                <w:szCs w:val="24"/>
                <w:lang w:val="ro-RO"/>
              </w:rPr>
              <w:tab/>
              <w:t>Includerea unui punct suplimentar prin care se va defini termenul „produse de garantare și/sau compensare” sau, alternativ, se va face referință la cadrul legal corespunzător din care a fost preluată această noțiune.</w:t>
            </w:r>
          </w:p>
        </w:tc>
        <w:tc>
          <w:tcPr>
            <w:tcW w:w="1230" w:type="pct"/>
            <w:tcMar>
              <w:top w:w="0" w:type="dxa"/>
              <w:left w:w="108" w:type="dxa"/>
              <w:bottom w:w="0" w:type="dxa"/>
              <w:right w:w="108" w:type="dxa"/>
            </w:tcMar>
          </w:tcPr>
          <w:p w14:paraId="7B185D40"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4A7F7C20" w14:textId="275ECE2D"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Noțiunea de compensație financiară și produs de garantare este prezentată în legea nr. 139/2018 cu privire la eficiența energetică.  </w:t>
            </w:r>
          </w:p>
        </w:tc>
      </w:tr>
      <w:tr w:rsidR="00B04E45" w:rsidRPr="00EC65AA" w14:paraId="346F4899" w14:textId="77777777" w:rsidTr="006779A1">
        <w:tc>
          <w:tcPr>
            <w:tcW w:w="866" w:type="pct"/>
            <w:vMerge/>
            <w:tcMar>
              <w:top w:w="0" w:type="dxa"/>
              <w:left w:w="108" w:type="dxa"/>
              <w:bottom w:w="0" w:type="dxa"/>
              <w:right w:w="108" w:type="dxa"/>
            </w:tcMar>
          </w:tcPr>
          <w:p w14:paraId="2B2B08C7" w14:textId="77777777"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2CFC8573" w14:textId="77777777" w:rsidR="00B04E45" w:rsidRPr="00EC65AA" w:rsidRDefault="00B04E45" w:rsidP="00B532AB">
            <w:pPr>
              <w:ind w:firstLine="0"/>
              <w:rPr>
                <w:rFonts w:ascii="Times New Roman" w:hAnsi="Times New Roman"/>
                <w:sz w:val="24"/>
                <w:szCs w:val="24"/>
                <w:lang w:val="ro-RO"/>
              </w:rPr>
            </w:pPr>
          </w:p>
        </w:tc>
        <w:tc>
          <w:tcPr>
            <w:tcW w:w="2327" w:type="pct"/>
            <w:tcMar>
              <w:top w:w="0" w:type="dxa"/>
              <w:left w:w="108" w:type="dxa"/>
              <w:bottom w:w="0" w:type="dxa"/>
              <w:right w:w="108" w:type="dxa"/>
            </w:tcMar>
          </w:tcPr>
          <w:p w14:paraId="6E98475E" w14:textId="08E74EE7" w:rsidR="00B04E45" w:rsidRPr="00EC65AA" w:rsidRDefault="00B04E45" w:rsidP="00B532AB">
            <w:pPr>
              <w:spacing w:after="240" w:line="360" w:lineRule="auto"/>
              <w:ind w:firstLine="0"/>
              <w:rPr>
                <w:rFonts w:ascii="Times New Roman" w:hAnsi="Times New Roman"/>
                <w:sz w:val="24"/>
                <w:szCs w:val="24"/>
                <w:lang w:val="ro-RO"/>
              </w:rPr>
            </w:pPr>
            <w:r w:rsidRPr="00EC65AA">
              <w:rPr>
                <w:rFonts w:ascii="Times New Roman" w:hAnsi="Times New Roman"/>
                <w:sz w:val="24"/>
                <w:szCs w:val="24"/>
                <w:lang w:val="ro-RO"/>
              </w:rPr>
              <w:t>Se propune includerea unui punct suplimentar în Hotărârea Guvernului Nr. 251/2024 cu privire la aprobarea Programului de finanțare „Fondul pentru eficiență energetică în sectorul rezidențial din Republica Moldova”, și anume punctul 47</w:t>
            </w:r>
            <w:r w:rsidRPr="00EC65AA">
              <w:rPr>
                <w:rFonts w:ascii="Times New Roman" w:hAnsi="Times New Roman"/>
                <w:sz w:val="24"/>
                <w:szCs w:val="24"/>
                <w:vertAlign w:val="superscript"/>
                <w:lang w:val="ro-RO"/>
              </w:rPr>
              <w:t>1</w:t>
            </w:r>
            <w:r w:rsidRPr="00EC65AA">
              <w:rPr>
                <w:rFonts w:ascii="Times New Roman" w:hAnsi="Times New Roman"/>
                <w:sz w:val="24"/>
                <w:szCs w:val="24"/>
                <w:lang w:val="ro-RO"/>
              </w:rPr>
              <w:t>, care va avea următorul conținut: „47</w:t>
            </w:r>
            <w:r w:rsidRPr="00EC65AA">
              <w:rPr>
                <w:rFonts w:ascii="Times New Roman" w:hAnsi="Times New Roman"/>
                <w:sz w:val="24"/>
                <w:szCs w:val="24"/>
                <w:vertAlign w:val="superscript"/>
                <w:lang w:val="ro-RO"/>
              </w:rPr>
              <w:t>1</w:t>
            </w:r>
            <w:r w:rsidRPr="00EC65AA">
              <w:rPr>
                <w:rFonts w:ascii="Times New Roman" w:hAnsi="Times New Roman"/>
                <w:sz w:val="24"/>
                <w:szCs w:val="24"/>
                <w:lang w:val="ro-RO"/>
              </w:rPr>
              <w:t>. Achiziționarea bunurilor, lucrărilor și/sau serviciilor aferente măsurilor de eficiență energetică și/sau de valorificare a surselor regenerabile de energie finanțate în cadrul programului FEERM, se efectuează în conformitate cu condițiile produselor de finanțare aplicabile.”</w:t>
            </w:r>
          </w:p>
        </w:tc>
        <w:tc>
          <w:tcPr>
            <w:tcW w:w="1230" w:type="pct"/>
            <w:tcMar>
              <w:top w:w="0" w:type="dxa"/>
              <w:left w:w="108" w:type="dxa"/>
              <w:bottom w:w="0" w:type="dxa"/>
              <w:right w:w="108" w:type="dxa"/>
            </w:tcMar>
          </w:tcPr>
          <w:p w14:paraId="62F6E2FF" w14:textId="0CB9D288" w:rsidR="00B04E45" w:rsidRPr="00EC65AA" w:rsidRDefault="00B04E4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846741" w:rsidRPr="00EC65AA" w14:paraId="32929078" w14:textId="77777777" w:rsidTr="006779A1">
        <w:tc>
          <w:tcPr>
            <w:tcW w:w="866" w:type="pct"/>
            <w:tcMar>
              <w:top w:w="0" w:type="dxa"/>
              <w:left w:w="108" w:type="dxa"/>
              <w:bottom w:w="0" w:type="dxa"/>
              <w:right w:w="108" w:type="dxa"/>
            </w:tcMar>
          </w:tcPr>
          <w:p w14:paraId="37661CE3" w14:textId="314FF887" w:rsidR="00846741" w:rsidRPr="00EC65AA" w:rsidRDefault="0084674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Termoelectrica SA </w:t>
            </w:r>
          </w:p>
        </w:tc>
        <w:tc>
          <w:tcPr>
            <w:tcW w:w="577" w:type="pct"/>
            <w:tcMar>
              <w:top w:w="0" w:type="dxa"/>
              <w:left w:w="108" w:type="dxa"/>
              <w:bottom w:w="0" w:type="dxa"/>
              <w:right w:w="108" w:type="dxa"/>
            </w:tcMar>
          </w:tcPr>
          <w:p w14:paraId="636EF326" w14:textId="3836F1C5" w:rsidR="00846741" w:rsidRPr="00EC65AA" w:rsidRDefault="0084674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79/5750 din 29.08.2025</w:t>
            </w:r>
          </w:p>
        </w:tc>
        <w:tc>
          <w:tcPr>
            <w:tcW w:w="2327" w:type="pct"/>
            <w:tcMar>
              <w:top w:w="0" w:type="dxa"/>
              <w:left w:w="108" w:type="dxa"/>
              <w:bottom w:w="0" w:type="dxa"/>
              <w:right w:w="108" w:type="dxa"/>
            </w:tcMar>
          </w:tcPr>
          <w:p w14:paraId="3272EBF8" w14:textId="74DFF60F" w:rsidR="00846741" w:rsidRPr="00EC65AA" w:rsidRDefault="00846741"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Prin prezenta, „Termoelectrica” SA informează că a examinat proiectul Hotărârii Guvernului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 xml:space="preserve">/2025), și comunică lipsa propunerilor și obiecțiilor la proiectul actului respectiv, în partea ce ține de competența sa. </w:t>
            </w:r>
          </w:p>
        </w:tc>
        <w:tc>
          <w:tcPr>
            <w:tcW w:w="1230" w:type="pct"/>
            <w:tcMar>
              <w:top w:w="0" w:type="dxa"/>
              <w:left w:w="108" w:type="dxa"/>
              <w:bottom w:w="0" w:type="dxa"/>
              <w:right w:w="108" w:type="dxa"/>
            </w:tcMar>
          </w:tcPr>
          <w:p w14:paraId="7DD369E6" w14:textId="168CBE9E" w:rsidR="00846741" w:rsidRPr="00EC65AA" w:rsidRDefault="00846741"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ia act de informare.</w:t>
            </w:r>
          </w:p>
        </w:tc>
      </w:tr>
      <w:tr w:rsidR="00D72F08" w:rsidRPr="00EC65AA" w14:paraId="57F0E603" w14:textId="77777777" w:rsidTr="006779A1">
        <w:tc>
          <w:tcPr>
            <w:tcW w:w="866" w:type="pct"/>
            <w:tcMar>
              <w:top w:w="0" w:type="dxa"/>
              <w:left w:w="108" w:type="dxa"/>
              <w:bottom w:w="0" w:type="dxa"/>
              <w:right w:w="108" w:type="dxa"/>
            </w:tcMar>
          </w:tcPr>
          <w:p w14:paraId="21012061" w14:textId="12D34546" w:rsidR="00D72F08" w:rsidRPr="00EC65AA" w:rsidRDefault="00D72F0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CET Nord SA</w:t>
            </w:r>
          </w:p>
        </w:tc>
        <w:tc>
          <w:tcPr>
            <w:tcW w:w="577" w:type="pct"/>
            <w:tcMar>
              <w:top w:w="0" w:type="dxa"/>
              <w:left w:w="108" w:type="dxa"/>
              <w:bottom w:w="0" w:type="dxa"/>
              <w:right w:w="108" w:type="dxa"/>
            </w:tcMar>
          </w:tcPr>
          <w:p w14:paraId="4343DDC3" w14:textId="51404FA8" w:rsidR="00D72F08" w:rsidRPr="00EC65AA" w:rsidRDefault="00D72F0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500-08/1103 din 01.09.2025</w:t>
            </w:r>
          </w:p>
        </w:tc>
        <w:tc>
          <w:tcPr>
            <w:tcW w:w="2327" w:type="pct"/>
            <w:tcMar>
              <w:top w:w="0" w:type="dxa"/>
              <w:left w:w="108" w:type="dxa"/>
              <w:bottom w:w="0" w:type="dxa"/>
              <w:right w:w="108" w:type="dxa"/>
            </w:tcMar>
          </w:tcPr>
          <w:p w14:paraId="1D9F6858" w14:textId="03B7369E" w:rsidR="00D72F08" w:rsidRPr="00EC65AA" w:rsidRDefault="00D72F08"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În contextul demersului Ministerului Energiei referitor la avizarea proiectului de hotărâre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/2025), autor – Ministerul Energiei, exprimăm un aviz pozitiv cu privire la aprobarea acestuia.</w:t>
            </w:r>
          </w:p>
        </w:tc>
        <w:tc>
          <w:tcPr>
            <w:tcW w:w="1230" w:type="pct"/>
            <w:tcMar>
              <w:top w:w="0" w:type="dxa"/>
              <w:left w:w="108" w:type="dxa"/>
              <w:bottom w:w="0" w:type="dxa"/>
              <w:right w:w="108" w:type="dxa"/>
            </w:tcMar>
          </w:tcPr>
          <w:p w14:paraId="0772BE08" w14:textId="68403ED4" w:rsidR="00D72F08" w:rsidRPr="00EC65AA" w:rsidRDefault="00D72F0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ia act de informare.</w:t>
            </w:r>
          </w:p>
        </w:tc>
      </w:tr>
      <w:tr w:rsidR="00101AFD" w:rsidRPr="00EC65AA" w14:paraId="7DAD4D1C" w14:textId="77777777" w:rsidTr="006779A1">
        <w:tc>
          <w:tcPr>
            <w:tcW w:w="866" w:type="pct"/>
            <w:tcMar>
              <w:top w:w="0" w:type="dxa"/>
              <w:left w:w="108" w:type="dxa"/>
              <w:bottom w:w="0" w:type="dxa"/>
              <w:right w:w="108" w:type="dxa"/>
            </w:tcMar>
          </w:tcPr>
          <w:p w14:paraId="395D2A8B" w14:textId="768E0B2B" w:rsidR="00101AFD" w:rsidRPr="00EC65AA" w:rsidRDefault="00101AF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roofErr w:type="spellStart"/>
            <w:r w:rsidRPr="00EC65AA">
              <w:rPr>
                <w:rFonts w:ascii="Times New Roman" w:hAnsi="Times New Roman"/>
                <w:b/>
                <w:bCs/>
                <w:sz w:val="24"/>
                <w:szCs w:val="24"/>
                <w:lang w:val="ro-RO"/>
              </w:rPr>
              <w:t>Moldovagaz</w:t>
            </w:r>
            <w:proofErr w:type="spellEnd"/>
            <w:r w:rsidRPr="00EC65AA">
              <w:rPr>
                <w:rFonts w:ascii="Times New Roman" w:hAnsi="Times New Roman"/>
                <w:b/>
                <w:bCs/>
                <w:sz w:val="24"/>
                <w:szCs w:val="24"/>
                <w:lang w:val="ro-RO"/>
              </w:rPr>
              <w:t xml:space="preserve"> SA</w:t>
            </w:r>
          </w:p>
        </w:tc>
        <w:tc>
          <w:tcPr>
            <w:tcW w:w="577" w:type="pct"/>
            <w:tcMar>
              <w:top w:w="0" w:type="dxa"/>
              <w:left w:w="108" w:type="dxa"/>
              <w:bottom w:w="0" w:type="dxa"/>
              <w:right w:w="108" w:type="dxa"/>
            </w:tcMar>
          </w:tcPr>
          <w:p w14:paraId="4635FC19" w14:textId="3E9FD5B2" w:rsidR="00101AFD" w:rsidRPr="00EC65AA" w:rsidRDefault="00101AFD"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04/2-2482 din 03.09.2025</w:t>
            </w:r>
          </w:p>
        </w:tc>
        <w:tc>
          <w:tcPr>
            <w:tcW w:w="2327" w:type="pct"/>
            <w:tcMar>
              <w:top w:w="0" w:type="dxa"/>
              <w:left w:w="108" w:type="dxa"/>
              <w:bottom w:w="0" w:type="dxa"/>
              <w:right w:w="108" w:type="dxa"/>
            </w:tcMar>
          </w:tcPr>
          <w:p w14:paraId="2015309D" w14:textId="67A47B58" w:rsidR="00101AFD" w:rsidRPr="00EC65AA" w:rsidRDefault="00101AFD"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S</w:t>
            </w:r>
            <w:r w:rsidR="007D27D4" w:rsidRPr="00EC65AA">
              <w:rPr>
                <w:rFonts w:ascii="Times New Roman" w:hAnsi="Times New Roman"/>
                <w:iCs/>
                <w:color w:val="000000" w:themeColor="text1"/>
                <w:sz w:val="24"/>
                <w:szCs w:val="24"/>
                <w:lang w:val="ro-RO"/>
              </w:rPr>
              <w:t>A</w:t>
            </w:r>
            <w:r w:rsidRPr="00EC65AA">
              <w:rPr>
                <w:rFonts w:ascii="Times New Roman" w:hAnsi="Times New Roman"/>
                <w:iCs/>
                <w:color w:val="000000" w:themeColor="text1"/>
                <w:sz w:val="24"/>
                <w:szCs w:val="24"/>
                <w:lang w:val="ro-RO"/>
              </w:rPr>
              <w:t xml:space="preserve"> </w:t>
            </w:r>
            <w:proofErr w:type="spellStart"/>
            <w:r w:rsidRPr="00EC65AA">
              <w:rPr>
                <w:rFonts w:ascii="Times New Roman" w:hAnsi="Times New Roman"/>
                <w:iCs/>
                <w:color w:val="000000" w:themeColor="text1"/>
                <w:sz w:val="24"/>
                <w:szCs w:val="24"/>
                <w:lang w:val="ro-RO"/>
              </w:rPr>
              <w:t>Moldovagaz</w:t>
            </w:r>
            <w:proofErr w:type="spellEnd"/>
            <w:r w:rsidRPr="00EC65AA">
              <w:rPr>
                <w:rFonts w:ascii="Times New Roman" w:hAnsi="Times New Roman"/>
                <w:iCs/>
                <w:color w:val="000000" w:themeColor="text1"/>
                <w:sz w:val="24"/>
                <w:szCs w:val="24"/>
                <w:lang w:val="ro-RO"/>
              </w:rPr>
              <w:t xml:space="preserve"> a examinat în limita competenței proiectul de </w:t>
            </w:r>
            <w:proofErr w:type="spellStart"/>
            <w:r w:rsidRPr="00EC65AA">
              <w:rPr>
                <w:rFonts w:ascii="Times New Roman" w:hAnsi="Times New Roman"/>
                <w:iCs/>
                <w:color w:val="000000" w:themeColor="text1"/>
                <w:sz w:val="24"/>
                <w:szCs w:val="24"/>
                <w:lang w:val="ro-RO"/>
              </w:rPr>
              <w:t>hotărîre</w:t>
            </w:r>
            <w:proofErr w:type="spellEnd"/>
            <w:r w:rsidRPr="00EC65AA">
              <w:rPr>
                <w:rFonts w:ascii="Times New Roman" w:hAnsi="Times New Roman"/>
                <w:iCs/>
                <w:color w:val="000000" w:themeColor="text1"/>
                <w:sz w:val="24"/>
                <w:szCs w:val="24"/>
                <w:lang w:val="ro-RO"/>
              </w:rPr>
              <w:t xml:space="preserv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 xml:space="preserve">/2025) și comunică despre lipsa de obiecții și propuneri </w:t>
            </w:r>
          </w:p>
        </w:tc>
        <w:tc>
          <w:tcPr>
            <w:tcW w:w="1230" w:type="pct"/>
            <w:tcMar>
              <w:top w:w="0" w:type="dxa"/>
              <w:left w:w="108" w:type="dxa"/>
              <w:bottom w:w="0" w:type="dxa"/>
              <w:right w:w="108" w:type="dxa"/>
            </w:tcMar>
          </w:tcPr>
          <w:p w14:paraId="67F6AF3B" w14:textId="04A16040" w:rsidR="00101AFD" w:rsidRPr="00EC65AA" w:rsidRDefault="00101AFD"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ia act de informare.</w:t>
            </w:r>
          </w:p>
        </w:tc>
      </w:tr>
      <w:tr w:rsidR="007D27D4" w:rsidRPr="00EC65AA" w14:paraId="3629738A" w14:textId="77777777" w:rsidTr="006779A1">
        <w:tc>
          <w:tcPr>
            <w:tcW w:w="866" w:type="pct"/>
            <w:tcMar>
              <w:top w:w="0" w:type="dxa"/>
              <w:left w:w="108" w:type="dxa"/>
              <w:bottom w:w="0" w:type="dxa"/>
              <w:right w:w="108" w:type="dxa"/>
            </w:tcMar>
          </w:tcPr>
          <w:p w14:paraId="00DDAD45" w14:textId="0C535F09" w:rsidR="007D27D4" w:rsidRPr="00EC65AA" w:rsidRDefault="007D27D4"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SA Rețele Electrice de Distribuție Nord</w:t>
            </w:r>
          </w:p>
        </w:tc>
        <w:tc>
          <w:tcPr>
            <w:tcW w:w="577" w:type="pct"/>
            <w:tcMar>
              <w:top w:w="0" w:type="dxa"/>
              <w:left w:w="108" w:type="dxa"/>
              <w:bottom w:w="0" w:type="dxa"/>
              <w:right w:w="108" w:type="dxa"/>
            </w:tcMar>
          </w:tcPr>
          <w:p w14:paraId="534CDE5F" w14:textId="03D07419" w:rsidR="007D27D4" w:rsidRPr="00EC65AA" w:rsidRDefault="007D27D4"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STER-09/2040 din 02.09.2025</w:t>
            </w:r>
          </w:p>
        </w:tc>
        <w:tc>
          <w:tcPr>
            <w:tcW w:w="2327" w:type="pct"/>
            <w:tcMar>
              <w:top w:w="0" w:type="dxa"/>
              <w:left w:w="108" w:type="dxa"/>
              <w:bottom w:w="0" w:type="dxa"/>
              <w:right w:w="108" w:type="dxa"/>
            </w:tcMar>
          </w:tcPr>
          <w:p w14:paraId="46FBC618" w14:textId="56F7349B" w:rsidR="007D27D4" w:rsidRPr="00EC65AA" w:rsidRDefault="007D27D4"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Prin prezenta, </w:t>
            </w:r>
            <w:proofErr w:type="spellStart"/>
            <w:r w:rsidRPr="00EC65AA">
              <w:rPr>
                <w:rFonts w:ascii="Times New Roman" w:hAnsi="Times New Roman"/>
                <w:iCs/>
                <w:color w:val="000000" w:themeColor="text1"/>
                <w:sz w:val="24"/>
                <w:szCs w:val="24"/>
                <w:lang w:val="ro-RO"/>
              </w:rPr>
              <w:t>administraţia</w:t>
            </w:r>
            <w:proofErr w:type="spellEnd"/>
            <w:r w:rsidRPr="00EC65AA">
              <w:rPr>
                <w:rFonts w:ascii="Times New Roman" w:hAnsi="Times New Roman"/>
                <w:iCs/>
                <w:color w:val="000000" w:themeColor="text1"/>
                <w:sz w:val="24"/>
                <w:szCs w:val="24"/>
                <w:lang w:val="ro-RO"/>
              </w:rPr>
              <w:t xml:space="preserve"> S.A. „RED-Nord” Vă aduce la cunoștință  că a analizat adresarea DVS. Nr. 03-2216 din 19.08.2025 cu privire la consultarea, examinarea și avizarea proiectului de hotărâre cu privire la modificarea unor hotărâri ale Guvernului (facilitarea implementării proiectelor de eficiență energetică), (număr unic 677/</w:t>
            </w:r>
            <w:proofErr w:type="spellStart"/>
            <w:r w:rsidRPr="00EC65AA">
              <w:rPr>
                <w:rFonts w:ascii="Times New Roman" w:hAnsi="Times New Roman"/>
                <w:iCs/>
                <w:color w:val="000000" w:themeColor="text1"/>
                <w:sz w:val="24"/>
                <w:szCs w:val="24"/>
                <w:lang w:val="ro-RO"/>
              </w:rPr>
              <w:t>MEn</w:t>
            </w:r>
            <w:proofErr w:type="spellEnd"/>
            <w:r w:rsidRPr="00EC65AA">
              <w:rPr>
                <w:rFonts w:ascii="Times New Roman" w:hAnsi="Times New Roman"/>
                <w:iCs/>
                <w:color w:val="000000" w:themeColor="text1"/>
                <w:sz w:val="24"/>
                <w:szCs w:val="24"/>
                <w:lang w:val="ro-RO"/>
              </w:rPr>
              <w:t xml:space="preserve">/2025). Vă comunicăm că </w:t>
            </w:r>
            <w:proofErr w:type="spellStart"/>
            <w:r w:rsidRPr="00EC65AA">
              <w:rPr>
                <w:rFonts w:ascii="Times New Roman" w:hAnsi="Times New Roman"/>
                <w:iCs/>
                <w:color w:val="000000" w:themeColor="text1"/>
                <w:sz w:val="24"/>
                <w:szCs w:val="24"/>
                <w:lang w:val="ro-RO"/>
              </w:rPr>
              <w:t>administraţia</w:t>
            </w:r>
            <w:proofErr w:type="spellEnd"/>
            <w:r w:rsidRPr="00EC65AA">
              <w:rPr>
                <w:rFonts w:ascii="Times New Roman" w:hAnsi="Times New Roman"/>
                <w:iCs/>
                <w:color w:val="000000" w:themeColor="text1"/>
                <w:sz w:val="24"/>
                <w:szCs w:val="24"/>
                <w:lang w:val="ro-RO"/>
              </w:rPr>
              <w:t xml:space="preserve"> Societății nu are propuneri sau recomandări pe marginea proiectului de Hotărâre menționat.  </w:t>
            </w:r>
          </w:p>
        </w:tc>
        <w:tc>
          <w:tcPr>
            <w:tcW w:w="1230" w:type="pct"/>
            <w:tcMar>
              <w:top w:w="0" w:type="dxa"/>
              <w:left w:w="108" w:type="dxa"/>
              <w:bottom w:w="0" w:type="dxa"/>
              <w:right w:w="108" w:type="dxa"/>
            </w:tcMar>
          </w:tcPr>
          <w:p w14:paraId="43EB5505" w14:textId="60500717" w:rsidR="007D27D4" w:rsidRPr="00EC65AA" w:rsidRDefault="007D27D4"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ia act de informare.</w:t>
            </w:r>
          </w:p>
        </w:tc>
      </w:tr>
      <w:tr w:rsidR="004670DE" w:rsidRPr="00EC65AA" w14:paraId="2F3E1B7B" w14:textId="77777777" w:rsidTr="006779A1">
        <w:tc>
          <w:tcPr>
            <w:tcW w:w="866" w:type="pct"/>
            <w:vMerge w:val="restart"/>
            <w:tcMar>
              <w:top w:w="0" w:type="dxa"/>
              <w:left w:w="108" w:type="dxa"/>
              <w:bottom w:w="0" w:type="dxa"/>
              <w:right w:w="108" w:type="dxa"/>
            </w:tcMar>
          </w:tcPr>
          <w:p w14:paraId="0C7C27EF" w14:textId="4D403231"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Premier Energy Distribution SA </w:t>
            </w:r>
          </w:p>
        </w:tc>
        <w:tc>
          <w:tcPr>
            <w:tcW w:w="577" w:type="pct"/>
            <w:vMerge w:val="restart"/>
            <w:tcMar>
              <w:top w:w="0" w:type="dxa"/>
              <w:left w:w="108" w:type="dxa"/>
              <w:bottom w:w="0" w:type="dxa"/>
              <w:right w:w="108" w:type="dxa"/>
            </w:tcMar>
          </w:tcPr>
          <w:p w14:paraId="1214B96B" w14:textId="67B19F20" w:rsidR="004670DE" w:rsidRPr="00EC65AA" w:rsidRDefault="004670D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0504/166696 din 03.09.2025</w:t>
            </w:r>
          </w:p>
        </w:tc>
        <w:tc>
          <w:tcPr>
            <w:tcW w:w="2327" w:type="pct"/>
            <w:tcMar>
              <w:top w:w="0" w:type="dxa"/>
              <w:left w:w="108" w:type="dxa"/>
              <w:bottom w:w="0" w:type="dxa"/>
              <w:right w:w="108" w:type="dxa"/>
            </w:tcMar>
          </w:tcPr>
          <w:p w14:paraId="4019FD30" w14:textId="63F1EFD1" w:rsidR="004670DE" w:rsidRPr="00EC65AA" w:rsidRDefault="004670DE"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Prin prezenta, Î.C.S. „Premier Energy Distribution” S.A., având în vedere scrisoarea                      Nr. 03-2216 din 19 august 2025 de avizare a Proiectului  de hotărâre cu privire la modificarea unor hotărâri ale Guvernului (facilitarea implementării proiectelor de eficiență energetică), își exprima dezacordul  cu privire la mărimea contribuțiilor pe seama operatorilor de distribuție a energiei electrice prin excluderea din lista părților obligate a furnizorilor de energie termică pentru încălzire și/sau preparare a apei calde menajere, și/sau răcire, care, după cum se menționează </w:t>
            </w:r>
            <w:r w:rsidRPr="00EC65AA">
              <w:rPr>
                <w:rFonts w:ascii="Times New Roman" w:hAnsi="Times New Roman"/>
                <w:iCs/>
                <w:color w:val="000000" w:themeColor="text1"/>
                <w:sz w:val="24"/>
                <w:szCs w:val="24"/>
                <w:lang w:val="ro-RO"/>
              </w:rPr>
              <w:lastRenderedPageBreak/>
              <w:t xml:space="preserve">în nota de fundamentare (pag.1, pct.2.2, sbpct.2), va avea un efect pozitiv asupra tarifelor la energia termică a consumatorilor conectați la sistemele de alimentare centralizată cu energie termică.  De asemenea, conform celor reflectate la pct.16 (pag.21) din Tabelul comparativ este specificat ca plata fixă în anul calendaristic „t”, în </w:t>
            </w:r>
            <w:proofErr w:type="spellStart"/>
            <w:r w:rsidRPr="00EC65AA">
              <w:rPr>
                <w:rFonts w:ascii="Times New Roman" w:hAnsi="Times New Roman"/>
                <w:iCs/>
                <w:color w:val="000000" w:themeColor="text1"/>
                <w:sz w:val="24"/>
                <w:szCs w:val="24"/>
                <w:lang w:val="ro-RO"/>
              </w:rPr>
              <w:t>lei/kWh</w:t>
            </w:r>
            <w:proofErr w:type="spellEnd"/>
            <w:r w:rsidRPr="00EC65AA">
              <w:rPr>
                <w:rFonts w:ascii="Times New Roman" w:hAnsi="Times New Roman"/>
                <w:iCs/>
                <w:color w:val="000000" w:themeColor="text1"/>
                <w:sz w:val="24"/>
                <w:szCs w:val="24"/>
                <w:lang w:val="ro-RO"/>
              </w:rPr>
              <w:t xml:space="preserve"> de energie electrică distribuită de operatorii sistemelor de distribuție a energiei electrice pentru anul 2026 creste de la 0,011 </w:t>
            </w:r>
            <w:proofErr w:type="spellStart"/>
            <w:r w:rsidRPr="00EC65AA">
              <w:rPr>
                <w:rFonts w:ascii="Times New Roman" w:hAnsi="Times New Roman"/>
                <w:iCs/>
                <w:color w:val="000000" w:themeColor="text1"/>
                <w:sz w:val="24"/>
                <w:szCs w:val="24"/>
                <w:lang w:val="ro-RO"/>
              </w:rPr>
              <w:t>lei/kWh</w:t>
            </w:r>
            <w:proofErr w:type="spellEnd"/>
            <w:r w:rsidRPr="00EC65AA">
              <w:rPr>
                <w:rFonts w:ascii="Times New Roman" w:hAnsi="Times New Roman"/>
                <w:iCs/>
                <w:color w:val="000000" w:themeColor="text1"/>
                <w:sz w:val="24"/>
                <w:szCs w:val="24"/>
                <w:lang w:val="ro-RO"/>
              </w:rPr>
              <w:t xml:space="preserve"> la 0,017 </w:t>
            </w:r>
            <w:proofErr w:type="spellStart"/>
            <w:r w:rsidRPr="00EC65AA">
              <w:rPr>
                <w:rFonts w:ascii="Times New Roman" w:hAnsi="Times New Roman"/>
                <w:iCs/>
                <w:color w:val="000000" w:themeColor="text1"/>
                <w:sz w:val="24"/>
                <w:szCs w:val="24"/>
                <w:lang w:val="ro-RO"/>
              </w:rPr>
              <w:t>lei/kWh</w:t>
            </w:r>
            <w:proofErr w:type="spellEnd"/>
            <w:r w:rsidRPr="00EC65AA">
              <w:rPr>
                <w:rFonts w:ascii="Times New Roman" w:hAnsi="Times New Roman"/>
                <w:iCs/>
                <w:color w:val="000000" w:themeColor="text1"/>
                <w:sz w:val="24"/>
                <w:szCs w:val="24"/>
                <w:lang w:val="ro-RO"/>
              </w:rPr>
              <w:t xml:space="preserve"> si dispare în totalitate contribuția pentru energia termică. Același lucru îl regăsim si pe pag.7 din Anexa-Proiect, menționam că majorarea contribuției cu 0,006 </w:t>
            </w:r>
            <w:proofErr w:type="spellStart"/>
            <w:r w:rsidRPr="00EC65AA">
              <w:rPr>
                <w:rFonts w:ascii="Times New Roman" w:hAnsi="Times New Roman"/>
                <w:iCs/>
                <w:color w:val="000000" w:themeColor="text1"/>
                <w:sz w:val="24"/>
                <w:szCs w:val="24"/>
                <w:lang w:val="ro-RO"/>
              </w:rPr>
              <w:t>lei/kWh</w:t>
            </w:r>
            <w:proofErr w:type="spellEnd"/>
            <w:r w:rsidRPr="00EC65AA">
              <w:rPr>
                <w:rFonts w:ascii="Times New Roman" w:hAnsi="Times New Roman"/>
                <w:iCs/>
                <w:color w:val="000000" w:themeColor="text1"/>
                <w:sz w:val="24"/>
                <w:szCs w:val="24"/>
                <w:lang w:val="ro-RO"/>
              </w:rPr>
              <w:t xml:space="preserve"> pentru operatorul de distribuție, ar constitui circa 19-20 </w:t>
            </w:r>
            <w:proofErr w:type="spellStart"/>
            <w:r w:rsidRPr="00EC65AA">
              <w:rPr>
                <w:rFonts w:ascii="Times New Roman" w:hAnsi="Times New Roman"/>
                <w:iCs/>
                <w:color w:val="000000" w:themeColor="text1"/>
                <w:sz w:val="24"/>
                <w:szCs w:val="24"/>
                <w:lang w:val="ro-RO"/>
              </w:rPr>
              <w:t>mln</w:t>
            </w:r>
            <w:proofErr w:type="spellEnd"/>
            <w:r w:rsidRPr="00EC65AA">
              <w:rPr>
                <w:rFonts w:ascii="Times New Roman" w:hAnsi="Times New Roman"/>
                <w:iCs/>
                <w:color w:val="000000" w:themeColor="text1"/>
                <w:sz w:val="24"/>
                <w:szCs w:val="24"/>
                <w:lang w:val="ro-RO"/>
              </w:rPr>
              <w:t xml:space="preserve">. lei, va avea un impact negativ asupra tarifului pentru distribuția  energiei electrice și a preturilor de furnizare a energie electrice pentru consumatorul final.  Afirmația ca va avea efect pozitiv asupra tarifelor la energia termică a consumatorilor conectați la sistemele de alimentare centralizată cu energie termică pe seama celor de energie electrica nu este justa. Astfel, considerăm că prin aceasta acțiune sunt avantajați consumatorii de energie termica centralizata, iar consumatorii de energie electrica care nu beneficiază de încălzire centralizată sunt dezavantajați. Venim cu propunerea să fie menținută în continuare contribuția furnizorilor de energie termică sau contribuția de la energia termica sa fie integral atribuită gazelor naturale, combustibil utilizat majoritar pentru energia termica atât centralizata, cât și individuală. </w:t>
            </w:r>
          </w:p>
        </w:tc>
        <w:tc>
          <w:tcPr>
            <w:tcW w:w="1230" w:type="pct"/>
            <w:tcMar>
              <w:top w:w="0" w:type="dxa"/>
              <w:left w:w="108" w:type="dxa"/>
              <w:bottom w:w="0" w:type="dxa"/>
              <w:right w:w="108" w:type="dxa"/>
            </w:tcMar>
          </w:tcPr>
          <w:p w14:paraId="7E9F1BC7" w14:textId="77777777"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56933D22" w14:textId="32E04101" w:rsidR="004670DE" w:rsidRPr="00EC65AA" w:rsidRDefault="004670DE" w:rsidP="005568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Excluderea furnizorilor de energie termică din lista părților obligate, propuse în proiectul de Hotărâre de Guvern este efectuată în baza prevederilor Legii nr. 139/2018 cu privire la eficiența energetică, care a fost modificată ultima dată prin legea nr. 111/2025 pentru modificarea </w:t>
            </w:r>
            <w:r w:rsidRPr="00EC65AA">
              <w:rPr>
                <w:rFonts w:ascii="Times New Roman" w:hAnsi="Times New Roman"/>
                <w:sz w:val="24"/>
                <w:szCs w:val="24"/>
                <w:lang w:val="ro-RO"/>
              </w:rPr>
              <w:lastRenderedPageBreak/>
              <w:t>Legii nr. 139/2018</w:t>
            </w:r>
            <w:r w:rsidRPr="00EC65AA">
              <w:rPr>
                <w:rFonts w:ascii="Times New Roman" w:hAnsi="Times New Roman"/>
                <w:sz w:val="24"/>
                <w:szCs w:val="24"/>
                <w:lang w:val="ro-RO"/>
              </w:rPr>
              <w:br/>
              <w:t>cu privire la eficiența energetică (facilitarea</w:t>
            </w:r>
            <w:r w:rsidRPr="00EC65AA">
              <w:rPr>
                <w:rFonts w:ascii="Times New Roman" w:hAnsi="Times New Roman"/>
                <w:sz w:val="24"/>
                <w:szCs w:val="24"/>
                <w:lang w:val="ro-RO"/>
              </w:rPr>
              <w:br/>
              <w:t>implementării proiectelor de eficiență energetică).</w:t>
            </w:r>
          </w:p>
          <w:p w14:paraId="5A121146" w14:textId="089847FB" w:rsidR="004670DE" w:rsidRPr="00EC65AA" w:rsidRDefault="004670DE" w:rsidP="005568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Motivele cu argumentările corespunzătoare care au stat la baza excluderii furnizorilor de energie termică din lista părților obligate sunt prezentate în Nota de fundamentare a legii nr. 111/2025 pentru modificarea Legii nr. 139/2018</w:t>
            </w:r>
            <w:r w:rsidRPr="00EC65AA">
              <w:rPr>
                <w:rFonts w:ascii="Times New Roman" w:hAnsi="Times New Roman"/>
                <w:sz w:val="24"/>
                <w:szCs w:val="24"/>
                <w:lang w:val="ro-RO"/>
              </w:rPr>
              <w:br/>
              <w:t>cu privire la eficiența energetică (facilitarea</w:t>
            </w:r>
            <w:r w:rsidRPr="00EC65AA">
              <w:rPr>
                <w:rFonts w:ascii="Times New Roman" w:hAnsi="Times New Roman"/>
                <w:sz w:val="24"/>
                <w:szCs w:val="24"/>
                <w:lang w:val="ro-RO"/>
              </w:rPr>
              <w:br/>
              <w:t>implementării proiectelor de eficiență energetică).</w:t>
            </w:r>
          </w:p>
          <w:p w14:paraId="4012E092" w14:textId="699D3710"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4670DE" w:rsidRPr="00EC65AA" w14:paraId="1690AF0B" w14:textId="77777777" w:rsidTr="006779A1">
        <w:tc>
          <w:tcPr>
            <w:tcW w:w="866" w:type="pct"/>
            <w:vMerge/>
            <w:tcMar>
              <w:top w:w="0" w:type="dxa"/>
              <w:left w:w="108" w:type="dxa"/>
              <w:bottom w:w="0" w:type="dxa"/>
              <w:right w:w="108" w:type="dxa"/>
            </w:tcMar>
          </w:tcPr>
          <w:p w14:paraId="07CF4A4B" w14:textId="77777777"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3661E3A8" w14:textId="77777777" w:rsidR="004670DE" w:rsidRPr="00EC65AA" w:rsidRDefault="004670D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46777A6" w14:textId="538A1A43" w:rsidR="004670DE" w:rsidRPr="00EC65AA" w:rsidRDefault="004670DE"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Referitor la Tabelul 3 – „Cantitatea economiilor anuale de energie la a căror realizare trebuie să contribuie părțile obligate”, precizăm următoarele: Valoarea aferentă Operatorilor sistemelor de distribuție a energiei electrice (0.449 </w:t>
            </w:r>
            <w:proofErr w:type="spellStart"/>
            <w:r w:rsidRPr="00EC65AA">
              <w:rPr>
                <w:rFonts w:ascii="Times New Roman" w:hAnsi="Times New Roman"/>
                <w:iCs/>
                <w:color w:val="000000" w:themeColor="text1"/>
                <w:sz w:val="24"/>
                <w:szCs w:val="24"/>
                <w:lang w:val="ro-RO"/>
              </w:rPr>
              <w:t>ktep</w:t>
            </w:r>
            <w:proofErr w:type="spellEnd"/>
            <w:r w:rsidRPr="00EC65AA">
              <w:rPr>
                <w:rFonts w:ascii="Times New Roman" w:hAnsi="Times New Roman"/>
                <w:iCs/>
                <w:color w:val="000000" w:themeColor="text1"/>
                <w:sz w:val="24"/>
                <w:szCs w:val="24"/>
                <w:lang w:val="ro-RO"/>
              </w:rPr>
              <w:t xml:space="preserve">) a fost  majorată în mod nejustificat și nu reflectă realitățile operaționale ale OSD. În consecință,  considerăm că această valoare nu este fundamentată </w:t>
            </w:r>
            <w:r w:rsidRPr="00EC65AA">
              <w:rPr>
                <w:rFonts w:ascii="Times New Roman" w:hAnsi="Times New Roman"/>
                <w:iCs/>
                <w:color w:val="000000" w:themeColor="text1"/>
                <w:sz w:val="24"/>
                <w:szCs w:val="24"/>
                <w:lang w:val="ro-RO"/>
              </w:rPr>
              <w:lastRenderedPageBreak/>
              <w:t>corespunzător și nu poate constitui o bază obiectivă pentru stabilirea obligațiilor de economisire a energiei. Recomandăm, ca valoarea prevăzută pentru OSD să fie aliniată cu obiectivele stabilite de către ANRE, conform prevederilor din Metodologia de calculare, aprobare și aplicare a tarifelor reglementate pentru serviciul de distribuție a energiei electrice.</w:t>
            </w:r>
          </w:p>
        </w:tc>
        <w:tc>
          <w:tcPr>
            <w:tcW w:w="1230" w:type="pct"/>
            <w:tcMar>
              <w:top w:w="0" w:type="dxa"/>
              <w:left w:w="108" w:type="dxa"/>
              <w:bottom w:w="0" w:type="dxa"/>
              <w:right w:w="108" w:type="dxa"/>
            </w:tcMar>
          </w:tcPr>
          <w:p w14:paraId="49F487EA" w14:textId="77777777"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267FEEB6" w14:textId="17096B52" w:rsidR="004670DE" w:rsidRPr="00EC65AA" w:rsidRDefault="004670DE" w:rsidP="00862579">
            <w:pPr>
              <w:pBdr>
                <w:top w:val="none" w:sz="4" w:space="0" w:color="000000"/>
                <w:left w:val="none" w:sz="4" w:space="0" w:color="000000"/>
                <w:bottom w:val="none" w:sz="4" w:space="0" w:color="000000"/>
                <w:right w:val="none" w:sz="4" w:space="0" w:color="000000"/>
              </w:pBdr>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Cantitatea economiilor anuale de energie la a căror realizare trebuie să contribuie părțile obligate a fost efectuată în baza prevederilor Hotărârii de Guvern 1068/2023 </w:t>
            </w:r>
            <w:r w:rsidRPr="00EC65AA">
              <w:rPr>
                <w:rFonts w:ascii="Times New Roman" w:hAnsi="Times New Roman"/>
                <w:iCs/>
                <w:color w:val="000000" w:themeColor="text1"/>
                <w:sz w:val="24"/>
                <w:szCs w:val="24"/>
                <w:lang w:val="ro-RO"/>
              </w:rPr>
              <w:lastRenderedPageBreak/>
              <w:t>cu privire la aprobarea Metodologiei pentru determinarea</w:t>
            </w:r>
            <w:r w:rsidRPr="00EC65AA">
              <w:rPr>
                <w:rFonts w:ascii="Times New Roman" w:hAnsi="Times New Roman"/>
                <w:iCs/>
                <w:color w:val="000000" w:themeColor="text1"/>
                <w:sz w:val="24"/>
                <w:szCs w:val="24"/>
                <w:lang w:val="ro-RO"/>
              </w:rPr>
              <w:br/>
              <w:t xml:space="preserve">contribuțiilor ce urmează a fi achitate de părțile obligate, cu luare în considerare a modificărilor propuse asupra metodologiei în cadrul prezentului proiect de Hotărâre de Guvern. </w:t>
            </w:r>
          </w:p>
          <w:p w14:paraId="791A5CC2" w14:textId="1AA683F3" w:rsidR="004670DE" w:rsidRPr="00EC65AA" w:rsidRDefault="004670DE" w:rsidP="00862579">
            <w:pPr>
              <w:pBdr>
                <w:top w:val="none" w:sz="4" w:space="0" w:color="000000"/>
                <w:left w:val="none" w:sz="4" w:space="0" w:color="000000"/>
                <w:bottom w:val="none" w:sz="4" w:space="0" w:color="000000"/>
                <w:right w:val="none" w:sz="4" w:space="0" w:color="000000"/>
              </w:pBdr>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Modificările propuse la Metodologia pentru determinarea</w:t>
            </w:r>
            <w:r w:rsidRPr="00EC65AA">
              <w:rPr>
                <w:rFonts w:ascii="Times New Roman" w:hAnsi="Times New Roman"/>
                <w:iCs/>
                <w:color w:val="000000" w:themeColor="text1"/>
                <w:sz w:val="24"/>
                <w:szCs w:val="24"/>
                <w:lang w:val="ro-RO"/>
              </w:rPr>
              <w:br/>
              <w:t>contribuțiilor ce urmează a fi achitate de părțile obligate sunt efectuate cu luarea în considerare a prevederilor legii nr. 139/2018 cu privire la eficiența energetică.</w:t>
            </w:r>
          </w:p>
          <w:p w14:paraId="7066106A" w14:textId="14F587DF"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4670DE" w:rsidRPr="00EC65AA" w14:paraId="39A9DEAC" w14:textId="77777777" w:rsidTr="006779A1">
        <w:tc>
          <w:tcPr>
            <w:tcW w:w="866" w:type="pct"/>
            <w:vMerge/>
            <w:tcMar>
              <w:top w:w="0" w:type="dxa"/>
              <w:left w:w="108" w:type="dxa"/>
              <w:bottom w:w="0" w:type="dxa"/>
              <w:right w:w="108" w:type="dxa"/>
            </w:tcMar>
          </w:tcPr>
          <w:p w14:paraId="13BD1E67" w14:textId="77777777"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59440E4A" w14:textId="77777777" w:rsidR="004670DE" w:rsidRPr="00EC65AA" w:rsidRDefault="004670D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2E5018E" w14:textId="78801860" w:rsidR="004670DE" w:rsidRPr="00EC65AA" w:rsidRDefault="004670DE" w:rsidP="00C576CA">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În concluzie, efortul de a asigura finanțarea pentru eficiența energetică trebuie să vină din partea tuturor sectoarelor de consum de energie. Motivul de bază nu este de a sugera, că excluderea consumatorilor de energie termică centralizată va beneficia de o rată mai mică, deoarece același lucru s-ar aplica și consumatorului de energie electrică dacă acestea ar fi excluși de la asigurarea finanțării pentru eficiența energetică. Acesta trebuie să fie un efort comun.</w:t>
            </w:r>
          </w:p>
        </w:tc>
        <w:tc>
          <w:tcPr>
            <w:tcW w:w="1230" w:type="pct"/>
            <w:tcMar>
              <w:top w:w="0" w:type="dxa"/>
              <w:left w:w="108" w:type="dxa"/>
              <w:bottom w:w="0" w:type="dxa"/>
              <w:right w:w="108" w:type="dxa"/>
            </w:tcMar>
          </w:tcPr>
          <w:p w14:paraId="5024018A" w14:textId="77777777"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467961CD" w14:textId="10E9F08A" w:rsidR="004670DE" w:rsidRPr="00EC65AA" w:rsidRDefault="004670DE"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Furnizorii de energie termică plătesc contribuțiile în cadrul schemei de obligații în domeniul eficienței energetice în funcție de consumul de gaz natural care este utilizat pentru producerea energiei. Prin urmare, excluderea contribuțiilor din partea acestora, pentru energia termică livrată consumatorilor este argumentată prin faptul că astfel este evitată achitarea dublă a contribuțiilor din partea acestora - atât pentru </w:t>
            </w:r>
            <w:r w:rsidRPr="00EC65AA">
              <w:rPr>
                <w:rFonts w:ascii="Times New Roman" w:hAnsi="Times New Roman"/>
                <w:sz w:val="24"/>
                <w:szCs w:val="24"/>
                <w:lang w:val="ro-RO"/>
              </w:rPr>
              <w:lastRenderedPageBreak/>
              <w:t xml:space="preserve">gazul natural consumat pentru producerea energiei cât și pentru energia termică livrată consumatorilor conectați la sistemele centralizate de energie termică.  </w:t>
            </w:r>
          </w:p>
        </w:tc>
      </w:tr>
      <w:tr w:rsidR="002B5B25" w:rsidRPr="00EC65AA" w14:paraId="3DA09B1F" w14:textId="77777777" w:rsidTr="006779A1">
        <w:tc>
          <w:tcPr>
            <w:tcW w:w="866" w:type="pct"/>
            <w:vMerge w:val="restart"/>
            <w:tcMar>
              <w:top w:w="0" w:type="dxa"/>
              <w:left w:w="108" w:type="dxa"/>
              <w:bottom w:w="0" w:type="dxa"/>
              <w:right w:w="108" w:type="dxa"/>
            </w:tcMar>
          </w:tcPr>
          <w:p w14:paraId="787E2164" w14:textId="7AFFE16B"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ACGV ENERGOEXPERT SERVICE” SRL</w:t>
            </w:r>
          </w:p>
        </w:tc>
        <w:tc>
          <w:tcPr>
            <w:tcW w:w="577" w:type="pct"/>
            <w:vMerge w:val="restart"/>
            <w:tcMar>
              <w:top w:w="0" w:type="dxa"/>
              <w:left w:w="108" w:type="dxa"/>
              <w:bottom w:w="0" w:type="dxa"/>
              <w:right w:w="108" w:type="dxa"/>
            </w:tcMar>
          </w:tcPr>
          <w:p w14:paraId="19D3E9F3"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89D0273"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Stimate Dle Ministru,</w:t>
            </w:r>
          </w:p>
          <w:p w14:paraId="0A739B05"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Stimați reprezentanți ai IP Centrul Național pentru Energie Durabilă (CNED),</w:t>
            </w:r>
          </w:p>
          <w:p w14:paraId="0099CB59" w14:textId="029C1E5F"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Subiect: Propuneri în cadrul CONSULTĂRII PUBLICE pentru proiectul de Hotărâre a Guvernului privind modificarea unor hotărâri ale Guvernului (facilitarea implementării proiectelor de eficiență energetică), nr. unic 677/</w:t>
            </w:r>
            <w:proofErr w:type="spellStart"/>
            <w:r w:rsidRPr="00EC65AA">
              <w:rPr>
                <w:rFonts w:ascii="Times New Roman" w:hAnsi="Times New Roman"/>
                <w:iCs/>
                <w:color w:val="000000" w:themeColor="text1"/>
                <w:sz w:val="24"/>
                <w:szCs w:val="28"/>
                <w:lang w:val="ro-RO"/>
              </w:rPr>
              <w:t>MEn</w:t>
            </w:r>
            <w:proofErr w:type="spellEnd"/>
            <w:r w:rsidRPr="00EC65AA">
              <w:rPr>
                <w:rFonts w:ascii="Times New Roman" w:hAnsi="Times New Roman"/>
                <w:iCs/>
                <w:color w:val="000000" w:themeColor="text1"/>
                <w:sz w:val="24"/>
                <w:szCs w:val="28"/>
                <w:lang w:val="ro-RO"/>
              </w:rPr>
              <w:t>/2025.</w:t>
            </w:r>
          </w:p>
          <w:p w14:paraId="58776EDE" w14:textId="40FF61D1"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În temeiul art. 32 alin. (3) din Legea nr. 100/2017 privind actele normative, art. 6 lit. h) din Legea nr. 136/2017 privind Guvernul, precum și art. 9 alin. (1) lit. c) și art. 233 alin. (1)–(3) din Legea nr. 139/2018 privind eficiența energetică, transmitem observațiile și propunerile noastre pentru îmbunătățirea cadrului normativ relevant, cu accent pe protejarea interesului public, creșterea calității auditurilor energetice, debirocratizare și prevenirea abuzurilor.</w:t>
            </w:r>
          </w:p>
          <w:p w14:paraId="78E51B27"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Documentul este structurat pe trei paliere:</w:t>
            </w:r>
          </w:p>
          <w:p w14:paraId="084FA593"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HG 676/2020 (cu modificările din 24.04.2025) – protecția drepturilor auditorilor energetici și</w:t>
            </w:r>
          </w:p>
          <w:p w14:paraId="728FBC5C"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claritate procedurală;</w:t>
            </w:r>
          </w:p>
          <w:p w14:paraId="0F3A0BF6"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HG 251/2024 – Programul de facilitare a proiectelor de eficiență energetică;</w:t>
            </w:r>
          </w:p>
          <w:p w14:paraId="5D510B58" w14:textId="7C57C374"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HG 829/2024 – etapizarea auditurilor pentru întreprinderi mari prin Program Multianual de</w:t>
            </w:r>
            <w:r w:rsidR="00D168B0" w:rsidRPr="00EC65AA">
              <w:rPr>
                <w:rFonts w:ascii="Times New Roman" w:hAnsi="Times New Roman"/>
                <w:iCs/>
                <w:color w:val="000000" w:themeColor="text1"/>
                <w:sz w:val="24"/>
                <w:szCs w:val="28"/>
                <w:lang w:val="ro-RO"/>
              </w:rPr>
              <w:t xml:space="preserve"> </w:t>
            </w:r>
            <w:r w:rsidRPr="00EC65AA">
              <w:rPr>
                <w:rFonts w:ascii="Times New Roman" w:hAnsi="Times New Roman"/>
                <w:iCs/>
                <w:color w:val="000000" w:themeColor="text1"/>
                <w:sz w:val="24"/>
                <w:szCs w:val="28"/>
                <w:lang w:val="ro-RO"/>
              </w:rPr>
              <w:t>Audit Energetic (PMAE).</w:t>
            </w:r>
          </w:p>
          <w:p w14:paraId="59FAA450"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Vă rugăm să tratați propunerile de mai jos ca text de amendamente (unde este posibil) și măsuri operaționale pentru manuale/ghiduri, cu aplicare uniformă și previzibilă.</w:t>
            </w:r>
          </w:p>
          <w:p w14:paraId="4150F992" w14:textId="77777777" w:rsidR="002B5B25" w:rsidRPr="00EC65AA" w:rsidRDefault="002B5B25" w:rsidP="004F4D2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Propuneri concrete pro-auditori pentru HG 676/2020</w:t>
            </w:r>
          </w:p>
          <w:p w14:paraId="0C603965" w14:textId="77777777" w:rsidR="002B5B25" w:rsidRPr="00EC65AA" w:rsidRDefault="002B5B25" w:rsidP="004F4D2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Zone problematice</w:t>
            </w:r>
          </w:p>
          <w:p w14:paraId="591B033C"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Denumiri neuniforme ale autorității: în același text apar „Agenția”, „Centrul” și „organul central”, ceea ce creează incertitudine procedurală și teren pentru refuzuri formale. (de ex. la calificare/prelungire/recunoaștere) </w:t>
            </w:r>
          </w:p>
          <w:p w14:paraId="5473547F" w14:textId="77777777" w:rsidR="002B5B25" w:rsidRPr="00EC65AA" w:rsidRDefault="002B5B25" w:rsidP="004F4D2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Suspendarea și radierea: există mecanism de suspendare nou introdus, dar fără garanții suficiente de </w:t>
            </w:r>
            <w:proofErr w:type="spellStart"/>
            <w:r w:rsidRPr="00EC65AA">
              <w:rPr>
                <w:rFonts w:ascii="Times New Roman" w:hAnsi="Times New Roman"/>
                <w:iCs/>
                <w:color w:val="000000" w:themeColor="text1"/>
                <w:sz w:val="24"/>
                <w:szCs w:val="28"/>
                <w:lang w:val="ro-RO"/>
              </w:rPr>
              <w:t>due-process</w:t>
            </w:r>
            <w:proofErr w:type="spellEnd"/>
            <w:r w:rsidRPr="00EC65AA">
              <w:rPr>
                <w:rFonts w:ascii="Times New Roman" w:hAnsi="Times New Roman"/>
                <w:iCs/>
                <w:color w:val="000000" w:themeColor="text1"/>
                <w:sz w:val="24"/>
                <w:szCs w:val="28"/>
                <w:lang w:val="ro-RO"/>
              </w:rPr>
              <w:t xml:space="preserve"> (dreptul de a fi ascultat, acces la probe, termen clar, efect suspensiv parțial). Radierea poate porni și din neconformități în echipe unde nu e clară delimitarea contribuțiilor.</w:t>
            </w:r>
          </w:p>
          <w:p w14:paraId="77540355" w14:textId="7777777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Raportări redundante: compania raportează semestrial, apoi raportează și auditorul, inclusiv</w:t>
            </w:r>
          </w:p>
          <w:p w14:paraId="6D10DEB8" w14:textId="7777777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„raport zero” – birocrație dublă, risc de sancționare pentru omisiuni minore.</w:t>
            </w:r>
          </w:p>
          <w:p w14:paraId="345B2EC8" w14:textId="62A70C2D"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Verificarea calității: țintă de 5% și formulări care pot duce la verificări prea dese ori neclare, plus publicarea unor mențiuni ce pot afecta reputația înainte de epuizarea căilor de atac.</w:t>
            </w:r>
          </w:p>
          <w:p w14:paraId="14501756" w14:textId="56F6EC4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Registrele electronice: încă se acceptă ținerea provizorie „în Excel”, fără termen de tranziție ferm și fără garanții de securitate/trasabilitate.</w:t>
            </w:r>
          </w:p>
          <w:p w14:paraId="4B70FC45" w14:textId="1CFC4A22"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Termene și „tăcere pozitivă”: există tăcere pozitivă la calificare, dar nu și în restul procedurilor (prelungire, recunoaștere); lipsesc sancțiuni pentru depășirea termenelor de către autoritate.</w:t>
            </w:r>
          </w:p>
          <w:p w14:paraId="0E41592A" w14:textId="2CBB7D0C"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Confidențialitate și publicare: se cer copii ale rapoartelor; în paralel pot fi publicate liste </w:t>
            </w:r>
            <w:proofErr w:type="spellStart"/>
            <w:r w:rsidRPr="00EC65AA">
              <w:rPr>
                <w:rFonts w:ascii="Times New Roman" w:hAnsi="Times New Roman"/>
                <w:iCs/>
                <w:color w:val="000000" w:themeColor="text1"/>
                <w:sz w:val="24"/>
                <w:szCs w:val="28"/>
                <w:lang w:val="ro-RO"/>
              </w:rPr>
              <w:t>șiv</w:t>
            </w:r>
            <w:proofErr w:type="spellEnd"/>
            <w:r w:rsidRPr="00EC65AA">
              <w:rPr>
                <w:rFonts w:ascii="Times New Roman" w:hAnsi="Times New Roman"/>
                <w:iCs/>
                <w:color w:val="000000" w:themeColor="text1"/>
                <w:sz w:val="24"/>
                <w:szCs w:val="28"/>
                <w:lang w:val="ro-RO"/>
              </w:rPr>
              <w:t xml:space="preserve"> mențiuni, fără o protecție explicită a secretelor comerciale și fără „drept la replică” vizibil.</w:t>
            </w:r>
          </w:p>
          <w:p w14:paraId="50F7C60A" w14:textId="7777777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Conținutul </w:t>
            </w:r>
            <w:proofErr w:type="spellStart"/>
            <w:r w:rsidRPr="00EC65AA">
              <w:rPr>
                <w:rFonts w:ascii="Times New Roman" w:hAnsi="Times New Roman"/>
                <w:iCs/>
                <w:color w:val="000000" w:themeColor="text1"/>
                <w:sz w:val="24"/>
                <w:szCs w:val="28"/>
                <w:lang w:val="ro-RO"/>
              </w:rPr>
              <w:t>tehnico</w:t>
            </w:r>
            <w:proofErr w:type="spellEnd"/>
            <w:r w:rsidRPr="00EC65AA">
              <w:rPr>
                <w:rFonts w:ascii="Times New Roman" w:hAnsi="Times New Roman"/>
                <w:iCs/>
                <w:color w:val="000000" w:themeColor="text1"/>
                <w:sz w:val="24"/>
                <w:szCs w:val="28"/>
                <w:lang w:val="ro-RO"/>
              </w:rPr>
              <w:t>-economic: se cere explicit „perioada simplă de recuperare”, dar nu și „perioada de recuperare actualizată” (în practică, finanțatorii cer ambele).</w:t>
            </w:r>
          </w:p>
          <w:p w14:paraId="71C2C30D" w14:textId="4C755B41"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Echipe de audit: dacă nu se pot delimita contribuțiile, se pot penaliza toți auditorii implicați –disproporționat.</w:t>
            </w:r>
          </w:p>
        </w:tc>
        <w:tc>
          <w:tcPr>
            <w:tcW w:w="1230" w:type="pct"/>
            <w:tcMar>
              <w:top w:w="0" w:type="dxa"/>
              <w:left w:w="108" w:type="dxa"/>
              <w:bottom w:w="0" w:type="dxa"/>
              <w:right w:w="108" w:type="dxa"/>
            </w:tcMar>
          </w:tcPr>
          <w:p w14:paraId="0094BA55" w14:textId="44CA2309"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Se ia act.</w:t>
            </w:r>
          </w:p>
          <w:p w14:paraId="42102EBB"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E6E2B9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B87FD4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53A6CFE"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83822A1"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358DFA9"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F90D08A"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3AA71D3"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7B63733"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76BD9A9"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C312D3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D6D10E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6F6824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02C498E"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782E256"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9A2177A"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49165E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030079F"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E558E7D"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F5A4E56"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A9707A1"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DCB600B"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F07BB5D"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71589EF"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F437F46"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28FB4E0"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B54A033"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BFD6BE1"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DB6767B"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94A657F"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3135EE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727570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42BA876F"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56A894C"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A7F36E6"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8C9110C"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1B865BB"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7A8864A"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7FF1949"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E525FE7"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9B615A2"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36E0E62"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65A24665"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5429618"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8ED2302"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E6ABC5A"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919D81D"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FB4149C"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7784285"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38A1B7A"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2650E921"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3B0F80AF"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36216FD"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C899114"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D781540"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00B7C0A3"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750A8538" w14:textId="77777777"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57C1B744" w14:textId="2AA8A162" w:rsidR="002B5B25" w:rsidRPr="00EC65AA" w:rsidRDefault="002B5B25" w:rsidP="004F4D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2B5B25" w:rsidRPr="00EC65AA" w14:paraId="4E44DCDA" w14:textId="77777777" w:rsidTr="006779A1">
        <w:tc>
          <w:tcPr>
            <w:tcW w:w="866" w:type="pct"/>
            <w:vMerge/>
            <w:tcMar>
              <w:top w:w="0" w:type="dxa"/>
              <w:left w:w="108" w:type="dxa"/>
              <w:bottom w:w="0" w:type="dxa"/>
              <w:right w:w="108" w:type="dxa"/>
            </w:tcMar>
          </w:tcPr>
          <w:p w14:paraId="49D8E49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577" w:type="pct"/>
            <w:vMerge/>
            <w:tcMar>
              <w:top w:w="0" w:type="dxa"/>
              <w:left w:w="108" w:type="dxa"/>
              <w:bottom w:w="0" w:type="dxa"/>
              <w:right w:w="108" w:type="dxa"/>
            </w:tcMar>
          </w:tcPr>
          <w:p w14:paraId="20C5E725"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214BEF1" w14:textId="77777777" w:rsidR="002B5B25" w:rsidRPr="00EC65AA" w:rsidRDefault="002B5B25" w:rsidP="007F37CB">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Amendamente propuse</w:t>
            </w:r>
          </w:p>
          <w:p w14:paraId="3A7AFF1C" w14:textId="07FA03BB" w:rsidR="002B5B25" w:rsidRPr="00EC65AA" w:rsidRDefault="002B5B25" w:rsidP="007F37CB">
            <w:pPr>
              <w:pStyle w:val="ListParagraph"/>
              <w:numPr>
                <w:ilvl w:val="0"/>
                <w:numId w:val="17"/>
              </w:numPr>
              <w:autoSpaceDE w:val="0"/>
              <w:autoSpaceDN w:val="0"/>
              <w:adjustRightInd w:val="0"/>
              <w:spacing w:before="120" w:after="12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Clarificarea autorității competente</w:t>
            </w:r>
          </w:p>
          <w:p w14:paraId="63414710" w14:textId="3DE6858F"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modifică întregul text pentru folosirea unitară a noțiunii „Centrul Național pentru Energie Durabilă (Centrul)”, înlocuind „Agenția” acolo unde este cazul, iar „organul central” rămâne doar cu rolul de politică publică/monitorizare. (Articolele privind calificarea, actualizarea, prelungirea, recunoașterea)</w:t>
            </w:r>
          </w:p>
        </w:tc>
        <w:tc>
          <w:tcPr>
            <w:tcW w:w="1230" w:type="pct"/>
            <w:tcMar>
              <w:top w:w="0" w:type="dxa"/>
              <w:left w:w="108" w:type="dxa"/>
              <w:bottom w:w="0" w:type="dxa"/>
              <w:right w:w="108" w:type="dxa"/>
            </w:tcMar>
          </w:tcPr>
          <w:p w14:paraId="2639746A" w14:textId="20819561"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b/>
                <w:bCs/>
                <w:sz w:val="24"/>
                <w:szCs w:val="24"/>
                <w:lang w:val="ro-RO"/>
              </w:rPr>
              <w:t xml:space="preserve">Nu se acceptă. </w:t>
            </w:r>
            <w:r w:rsidRPr="00EC65AA">
              <w:rPr>
                <w:rFonts w:ascii="Times New Roman" w:hAnsi="Times New Roman"/>
                <w:sz w:val="24"/>
                <w:szCs w:val="24"/>
                <w:lang w:val="ro-RO"/>
              </w:rPr>
              <w:t>Denumirile neuniforme cum ar fi Agenția,  Centrul apar doar pe portalul www. legis.md, pe motiv că acesta nu este actualizat cu luare în considerare a modificărilor  aprobate prin Anexa 4 la HG  1060/2023 cu privire la organizarea și funcționarea Instituției Publice</w:t>
            </w:r>
            <w:r w:rsidR="00D02BA2" w:rsidRPr="00EC65AA">
              <w:rPr>
                <w:rFonts w:ascii="Times New Roman" w:hAnsi="Times New Roman"/>
                <w:sz w:val="24"/>
                <w:szCs w:val="24"/>
                <w:lang w:val="ro-RO"/>
              </w:rPr>
              <w:t xml:space="preserve"> </w:t>
            </w:r>
            <w:r w:rsidRPr="00EC65AA">
              <w:rPr>
                <w:rFonts w:ascii="Times New Roman" w:hAnsi="Times New Roman"/>
                <w:sz w:val="24"/>
                <w:szCs w:val="24"/>
                <w:lang w:val="ro-RO"/>
              </w:rPr>
              <w:t xml:space="preserve">Centrul Național pentru Energie Durabilă. </w:t>
            </w:r>
          </w:p>
          <w:p w14:paraId="5A501BBC" w14:textId="5EFE15C0" w:rsidR="002B5B25" w:rsidRPr="00EC65AA" w:rsidRDefault="002B5B25" w:rsidP="00D02BA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În cazul în care HG 676/2020 pentru aprobarea Regulamentului cu privire</w:t>
            </w:r>
            <w:r w:rsidR="00D02BA2" w:rsidRPr="00EC65AA">
              <w:rPr>
                <w:rFonts w:ascii="Times New Roman" w:hAnsi="Times New Roman"/>
                <w:sz w:val="24"/>
                <w:szCs w:val="24"/>
                <w:lang w:val="ro-RO"/>
              </w:rPr>
              <w:t xml:space="preserve"> </w:t>
            </w:r>
            <w:r w:rsidRPr="00EC65AA">
              <w:rPr>
                <w:rFonts w:ascii="Times New Roman" w:hAnsi="Times New Roman"/>
                <w:sz w:val="24"/>
                <w:szCs w:val="24"/>
                <w:lang w:val="ro-RO"/>
              </w:rPr>
              <w:t xml:space="preserve">la auditorii energetici și auditul energetic se deschide utilizând  portalul </w:t>
            </w:r>
            <w:hyperlink r:id="rId12" w:history="1">
              <w:r w:rsidRPr="00EC65AA">
                <w:rPr>
                  <w:rStyle w:val="Hyperlink"/>
                  <w:rFonts w:ascii="Times New Roman" w:hAnsi="Times New Roman"/>
                  <w:sz w:val="24"/>
                  <w:szCs w:val="24"/>
                  <w:lang w:val="ro-RO"/>
                </w:rPr>
                <w:t>www.moldlex.md</w:t>
              </w:r>
            </w:hyperlink>
            <w:r w:rsidRPr="00EC65AA">
              <w:rPr>
                <w:rFonts w:ascii="Times New Roman" w:hAnsi="Times New Roman"/>
                <w:sz w:val="24"/>
                <w:szCs w:val="24"/>
                <w:lang w:val="ro-RO"/>
              </w:rPr>
              <w:t>, nu există astfel de denumiri neuniforme.</w:t>
            </w:r>
          </w:p>
        </w:tc>
      </w:tr>
      <w:tr w:rsidR="002B5B25" w:rsidRPr="00EC65AA" w14:paraId="5D862EA1" w14:textId="77777777" w:rsidTr="006779A1">
        <w:tc>
          <w:tcPr>
            <w:tcW w:w="866" w:type="pct"/>
            <w:vMerge/>
            <w:tcMar>
              <w:top w:w="0" w:type="dxa"/>
              <w:left w:w="108" w:type="dxa"/>
              <w:bottom w:w="0" w:type="dxa"/>
              <w:right w:w="108" w:type="dxa"/>
            </w:tcMar>
          </w:tcPr>
          <w:p w14:paraId="6E950D56"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672D94A6"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2484C93" w14:textId="7777777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2. „Cartă a drepturilor auditorului” – secțiune nouă</w:t>
            </w:r>
          </w:p>
          <w:p w14:paraId="452F77D4" w14:textId="1B8A192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introduce după Secțiunea a 2-a (Calificare) o secțiune nouă „Garanții procedurale și drepturile auditorului”, care prevede:</w:t>
            </w:r>
          </w:p>
          <w:p w14:paraId="40D98E04" w14:textId="6E98F021"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dreptul la informare completă asupra motivelor oricărei măsuri (suspendare/radiere), acces la dosar și probe;</w:t>
            </w:r>
          </w:p>
          <w:p w14:paraId="7E0FAADC" w14:textId="7777777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dreptul de a fi audiat înainte de emiterea actului (cu minim 10 zile pentru observații);</w:t>
            </w:r>
          </w:p>
          <w:p w14:paraId="6A83BDB7" w14:textId="2B429355"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termen maxim de soluționare și tăcere pozitivă la prelungire și recunoaștere (dacă Centrul nu răspunde în 15 zile lucrătoare, cererea se consideră admisă);</w:t>
            </w:r>
          </w:p>
          <w:p w14:paraId="4F1EE60D" w14:textId="77777777"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interdicția de a publica mențiuni negative până la rămânerea definitivă a măsurii;</w:t>
            </w:r>
          </w:p>
          <w:p w14:paraId="5AACA09C" w14:textId="057C8775" w:rsidR="002B5B25" w:rsidRPr="00EC65AA" w:rsidRDefault="002B5B25" w:rsidP="007F37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efect suspensiv parțial pentru suspendare (auditorul poate finaliza contractele aflate în derulare, dacă nu sunt atinse aspecte de siguranță publică).</w:t>
            </w:r>
          </w:p>
        </w:tc>
        <w:tc>
          <w:tcPr>
            <w:tcW w:w="1230" w:type="pct"/>
            <w:tcMar>
              <w:top w:w="0" w:type="dxa"/>
              <w:left w:w="108" w:type="dxa"/>
              <w:bottom w:w="0" w:type="dxa"/>
              <w:right w:w="108" w:type="dxa"/>
            </w:tcMar>
          </w:tcPr>
          <w:p w14:paraId="4B9F975F"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2B9A67A0" w14:textId="19AEEDA2"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Drepturile auditorului și modalitățile de soluționare a disputelor care apar dintre auditorul energetic și beneficiar și/sau Centrul Național pentru Energie Durabilă  sunt prezentate în Ghidul privind verificarea calității auditurilor energetice, elaborat de către Instituția Publică Centrul Național pentru Energie Durabilă precum și în Codul de conduită al auditorului energetic aprobat de Organul central de specialitate al administrației publice în domeniul energeticii </w:t>
            </w:r>
          </w:p>
        </w:tc>
      </w:tr>
      <w:tr w:rsidR="002B5B25" w:rsidRPr="00EC65AA" w14:paraId="73487D3B" w14:textId="77777777" w:rsidTr="006779A1">
        <w:tc>
          <w:tcPr>
            <w:tcW w:w="866" w:type="pct"/>
            <w:vMerge/>
            <w:tcMar>
              <w:top w:w="0" w:type="dxa"/>
              <w:left w:w="108" w:type="dxa"/>
              <w:bottom w:w="0" w:type="dxa"/>
              <w:right w:w="108" w:type="dxa"/>
            </w:tcMar>
          </w:tcPr>
          <w:p w14:paraId="3B581001"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3C6ABA1A"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2694C63" w14:textId="77777777" w:rsidR="002B5B25" w:rsidRPr="00EC65AA" w:rsidRDefault="002B5B25" w:rsidP="00DA19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3. Suspendarea – garanții și proporționalitate</w:t>
            </w:r>
          </w:p>
          <w:p w14:paraId="5CA43A1F" w14:textId="77777777" w:rsidR="002B5B25" w:rsidRPr="00EC65AA" w:rsidRDefault="002B5B25" w:rsidP="00DA19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modifică Secțiunea a 21-a (Suspendare):</w:t>
            </w:r>
          </w:p>
          <w:p w14:paraId="23568E08" w14:textId="59614D31" w:rsidR="002B5B25" w:rsidRPr="00EC65AA" w:rsidRDefault="002B5B25" w:rsidP="00DA19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adaugă obligația convocării unei ședințe de clarificare la cererea auditorului;</w:t>
            </w:r>
          </w:p>
          <w:p w14:paraId="190BB6C6" w14:textId="3E22D24F" w:rsidR="002B5B25" w:rsidRPr="00EC65AA" w:rsidRDefault="002B5B25" w:rsidP="00DA19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instituie escaladare graduală: avertisment scris → suspendare limitată pe categoria/tema vizată → suspendare totală doar dacă neconformitățile majore persistă;</w:t>
            </w:r>
          </w:p>
          <w:p w14:paraId="716F88CB" w14:textId="0DE3C111" w:rsidR="002B5B25" w:rsidRPr="00EC65AA" w:rsidRDefault="002B5B25" w:rsidP="00DA19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termenul de 3 luni rămâne maxim, dar se prevede ridicarea automată la remediere +</w:t>
            </w:r>
          </w:p>
          <w:p w14:paraId="657249B7" w14:textId="5EDFBCCB" w:rsidR="002B5B25" w:rsidRPr="00EC65AA" w:rsidRDefault="002B5B25" w:rsidP="00DA19D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 xml:space="preserve">mențiunea din registru devine „remediat” (nu rămâne „pete” </w:t>
            </w:r>
            <w:proofErr w:type="spellStart"/>
            <w:r w:rsidRPr="00EC65AA">
              <w:rPr>
                <w:rFonts w:ascii="Times New Roman" w:hAnsi="Times New Roman"/>
                <w:iCs/>
                <w:color w:val="000000" w:themeColor="text1"/>
                <w:sz w:val="24"/>
                <w:szCs w:val="28"/>
                <w:lang w:val="ro-RO"/>
              </w:rPr>
              <w:t>reputaționale</w:t>
            </w:r>
            <w:proofErr w:type="spellEnd"/>
            <w:r w:rsidRPr="00EC65AA">
              <w:rPr>
                <w:rFonts w:ascii="Times New Roman" w:hAnsi="Times New Roman"/>
                <w:iCs/>
                <w:color w:val="000000" w:themeColor="text1"/>
                <w:sz w:val="24"/>
                <w:szCs w:val="28"/>
                <w:lang w:val="ro-RO"/>
              </w:rPr>
              <w:t>).</w:t>
            </w:r>
          </w:p>
        </w:tc>
        <w:tc>
          <w:tcPr>
            <w:tcW w:w="1230" w:type="pct"/>
            <w:tcMar>
              <w:top w:w="0" w:type="dxa"/>
              <w:left w:w="108" w:type="dxa"/>
              <w:bottom w:w="0" w:type="dxa"/>
              <w:right w:w="108" w:type="dxa"/>
            </w:tcMar>
          </w:tcPr>
          <w:p w14:paraId="6CE9A745"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2AF5151B"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Propunerile efectuate țin de procedura de verificare a calității auditurilor energetice, care este descrisă în Ghidul privind verificarea calității auditurilor energetice, elaborat și aprobat de către Instituția Publică Centrul Național pentru Energie Durabilă.</w:t>
            </w:r>
          </w:p>
          <w:p w14:paraId="6C82DC40" w14:textId="2900B66F"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În punctele 24</w:t>
            </w:r>
            <w:r w:rsidRPr="00EC65AA">
              <w:rPr>
                <w:rFonts w:ascii="Times New Roman" w:hAnsi="Times New Roman"/>
                <w:sz w:val="24"/>
                <w:szCs w:val="24"/>
                <w:vertAlign w:val="superscript"/>
                <w:lang w:val="ro-RO"/>
              </w:rPr>
              <w:t>1</w:t>
            </w:r>
            <w:r w:rsidRPr="00EC65AA">
              <w:rPr>
                <w:rFonts w:ascii="Times New Roman" w:hAnsi="Times New Roman"/>
                <w:sz w:val="24"/>
                <w:szCs w:val="24"/>
                <w:lang w:val="ro-RO"/>
              </w:rPr>
              <w:t xml:space="preserve"> – 24</w:t>
            </w:r>
            <w:r w:rsidRPr="00EC65AA">
              <w:rPr>
                <w:rFonts w:ascii="Times New Roman" w:hAnsi="Times New Roman"/>
                <w:sz w:val="24"/>
                <w:szCs w:val="24"/>
                <w:vertAlign w:val="superscript"/>
                <w:lang w:val="ro-RO"/>
              </w:rPr>
              <w:t xml:space="preserve">5 </w:t>
            </w:r>
            <w:r w:rsidRPr="00EC65AA">
              <w:rPr>
                <w:rFonts w:ascii="Times New Roman" w:hAnsi="Times New Roman"/>
                <w:sz w:val="24"/>
                <w:szCs w:val="24"/>
                <w:lang w:val="ro-RO"/>
              </w:rPr>
              <w:t xml:space="preserve">sunt prezentate prevederi care se referă la suspendarea înregistrării auditorilor energetici în Registrul </w:t>
            </w:r>
            <w:r w:rsidRPr="00EC65AA">
              <w:rPr>
                <w:rFonts w:ascii="Times New Roman" w:hAnsi="Times New Roman"/>
                <w:sz w:val="24"/>
                <w:szCs w:val="24"/>
                <w:lang w:val="ro-RO"/>
              </w:rPr>
              <w:lastRenderedPageBreak/>
              <w:t>electronic al auditorilor energetici.</w:t>
            </w:r>
          </w:p>
        </w:tc>
      </w:tr>
      <w:tr w:rsidR="002B5B25" w:rsidRPr="00EC65AA" w14:paraId="6AB8508C" w14:textId="77777777" w:rsidTr="006779A1">
        <w:tc>
          <w:tcPr>
            <w:tcW w:w="866" w:type="pct"/>
            <w:vMerge/>
            <w:tcMar>
              <w:top w:w="0" w:type="dxa"/>
              <w:left w:w="108" w:type="dxa"/>
              <w:bottom w:w="0" w:type="dxa"/>
              <w:right w:w="108" w:type="dxa"/>
            </w:tcMar>
          </w:tcPr>
          <w:p w14:paraId="3DA585E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120ED7F8"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B3C337C" w14:textId="77777777" w:rsidR="002B5B25" w:rsidRPr="00EC65AA" w:rsidRDefault="002B5B25" w:rsidP="00DA19D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4. Radierea – delimitare clară a culpei</w:t>
            </w:r>
          </w:p>
          <w:p w14:paraId="3382F91A" w14:textId="77777777" w:rsidR="002B5B25" w:rsidRPr="00EC65AA" w:rsidRDefault="002B5B25" w:rsidP="00A1056A">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completează pct. 25 și pct. 67:</w:t>
            </w:r>
          </w:p>
          <w:p w14:paraId="429B381B" w14:textId="5E0EE93A" w:rsidR="002B5B25" w:rsidRPr="00EC65AA" w:rsidRDefault="002B5B25" w:rsidP="00A1056A">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la auditurile de echipă, delimitarea contribuției devine obligatorie; dacă nu e posibilă,</w:t>
            </w:r>
          </w:p>
          <w:p w14:paraId="57C43F98" w14:textId="77777777" w:rsidR="002B5B25" w:rsidRPr="00EC65AA" w:rsidRDefault="002B5B25" w:rsidP="00A1056A">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răspunde în principal coordonatorul echipei, nu întreaga echipă;</w:t>
            </w:r>
          </w:p>
          <w:p w14:paraId="5E8011E5" w14:textId="5C185730" w:rsidR="002B5B25" w:rsidRPr="00EC65AA" w:rsidRDefault="002B5B25" w:rsidP="00A1056A">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„neconformități majore repetate” rămâne criteriu, dar se introduce o perioadă de remediere obligatorie (plan asumat, termen, re-verificare) înainte de radiere.</w:t>
            </w:r>
          </w:p>
        </w:tc>
        <w:tc>
          <w:tcPr>
            <w:tcW w:w="1230" w:type="pct"/>
            <w:tcMar>
              <w:top w:w="0" w:type="dxa"/>
              <w:left w:w="108" w:type="dxa"/>
              <w:bottom w:w="0" w:type="dxa"/>
              <w:right w:w="108" w:type="dxa"/>
            </w:tcMar>
          </w:tcPr>
          <w:p w14:paraId="461F2DF7"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45BBF35E"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În pct. 67 din cadrul Regulamentului este prevăzută  modalitatea de răspundere pentru calitatea auditurilor energetice efectuate  cu participarea mai multor auditori energetici </w:t>
            </w:r>
          </w:p>
          <w:p w14:paraId="3DB1BF7B" w14:textId="44E9C883"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„67. În cazul în care auditul energetic este efectuat de un grup de auditori, în lipsa posibilității de delimitare a serviciilor efectuate, se va considera câte un audit energetic care nu corespunde criteriilor și cerințelor de calitate stabilite pentru fiecare auditor energetic implicat.”</w:t>
            </w:r>
          </w:p>
          <w:p w14:paraId="723B5EFF" w14:textId="114C785A"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Perioada de remediere a neconformităților majore este prevăzută deja la pct. 24</w:t>
            </w:r>
            <w:r w:rsidRPr="00EC65AA">
              <w:rPr>
                <w:rFonts w:ascii="Times New Roman" w:hAnsi="Times New Roman"/>
                <w:sz w:val="24"/>
                <w:szCs w:val="24"/>
                <w:vertAlign w:val="superscript"/>
                <w:lang w:val="ro-RO"/>
              </w:rPr>
              <w:t>1</w:t>
            </w:r>
            <w:r w:rsidRPr="00EC65AA">
              <w:rPr>
                <w:rFonts w:ascii="Times New Roman" w:hAnsi="Times New Roman"/>
                <w:sz w:val="24"/>
                <w:szCs w:val="24"/>
                <w:lang w:val="ro-RO"/>
              </w:rPr>
              <w:t xml:space="preserve"> – 24</w:t>
            </w:r>
            <w:r w:rsidRPr="00EC65AA">
              <w:rPr>
                <w:rFonts w:ascii="Times New Roman" w:hAnsi="Times New Roman"/>
                <w:sz w:val="24"/>
                <w:szCs w:val="24"/>
                <w:vertAlign w:val="superscript"/>
                <w:lang w:val="ro-RO"/>
              </w:rPr>
              <w:t>5</w:t>
            </w:r>
            <w:r w:rsidRPr="00EC65AA">
              <w:rPr>
                <w:rFonts w:ascii="Times New Roman" w:hAnsi="Times New Roman"/>
                <w:sz w:val="24"/>
                <w:szCs w:val="24"/>
                <w:lang w:val="ro-RO"/>
              </w:rPr>
              <w:t xml:space="preserve"> din cadrul Regulamentului.  </w:t>
            </w:r>
          </w:p>
        </w:tc>
      </w:tr>
      <w:tr w:rsidR="002B5B25" w:rsidRPr="00EC65AA" w14:paraId="67739327" w14:textId="77777777" w:rsidTr="006779A1">
        <w:tc>
          <w:tcPr>
            <w:tcW w:w="866" w:type="pct"/>
            <w:vMerge/>
            <w:tcMar>
              <w:top w:w="0" w:type="dxa"/>
              <w:left w:w="108" w:type="dxa"/>
              <w:bottom w:w="0" w:type="dxa"/>
              <w:right w:w="108" w:type="dxa"/>
            </w:tcMar>
          </w:tcPr>
          <w:p w14:paraId="2DFE0B7E"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60BACC1"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783BB90" w14:textId="77777777" w:rsidR="002B5B25" w:rsidRPr="00EC65AA" w:rsidRDefault="002B5B25" w:rsidP="001942D3">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5. Raportările semestriale – debirocratizare</w:t>
            </w:r>
          </w:p>
          <w:p w14:paraId="33BF4B3F" w14:textId="77777777" w:rsidR="002B5B25" w:rsidRPr="00EC65AA" w:rsidRDefault="002B5B25" w:rsidP="001942D3">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modifică pct. 52–53:</w:t>
            </w:r>
          </w:p>
          <w:p w14:paraId="0E369FA1" w14:textId="1611E18A" w:rsidR="002B5B25" w:rsidRPr="00EC65AA" w:rsidRDefault="002B5B25" w:rsidP="001942D3">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compania transmite semestrial lista; auditorul nu mai transmite separat aceleași date –  doar confirmă în portal printr-un „clic” că a participat la proiectele listate;</w:t>
            </w:r>
          </w:p>
          <w:p w14:paraId="08EF22A3" w14:textId="11F1C22F" w:rsidR="002B5B25" w:rsidRPr="00EC65AA" w:rsidRDefault="002B5B25" w:rsidP="001942D3">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„raport zero” devine opțional (boxa „fără activitate”) fără demers formal.</w:t>
            </w:r>
          </w:p>
        </w:tc>
        <w:tc>
          <w:tcPr>
            <w:tcW w:w="1230" w:type="pct"/>
            <w:tcMar>
              <w:top w:w="0" w:type="dxa"/>
              <w:left w:w="108" w:type="dxa"/>
              <w:bottom w:w="0" w:type="dxa"/>
              <w:right w:w="108" w:type="dxa"/>
            </w:tcMar>
          </w:tcPr>
          <w:p w14:paraId="5D27D363" w14:textId="576D6D65"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5910755F" w14:textId="001F7AAC"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Transmiterea în adresa CNED a rapoartelor de audit energetic atât de către persoanele juridice care l-au elaborat </w:t>
            </w:r>
            <w:proofErr w:type="spellStart"/>
            <w:r w:rsidRPr="00EC65AA">
              <w:rPr>
                <w:rFonts w:ascii="Times New Roman" w:hAnsi="Times New Roman"/>
                <w:sz w:val="24"/>
                <w:szCs w:val="24"/>
                <w:lang w:val="ro-RO"/>
              </w:rPr>
              <w:t>cît</w:t>
            </w:r>
            <w:proofErr w:type="spellEnd"/>
            <w:r w:rsidRPr="00EC65AA">
              <w:rPr>
                <w:rFonts w:ascii="Times New Roman" w:hAnsi="Times New Roman"/>
                <w:sz w:val="24"/>
                <w:szCs w:val="24"/>
                <w:lang w:val="ro-RO"/>
              </w:rPr>
              <w:t xml:space="preserve"> și de auditorii energetici care au participat la elaborarea acestuia este necesară pentru verificarea de către CNED a calității acestora și asigurarea </w:t>
            </w:r>
            <w:r w:rsidRPr="00EC65AA">
              <w:rPr>
                <w:rFonts w:ascii="Times New Roman" w:hAnsi="Times New Roman"/>
                <w:sz w:val="24"/>
                <w:szCs w:val="24"/>
                <w:lang w:val="ro-RO"/>
              </w:rPr>
              <w:lastRenderedPageBreak/>
              <w:t xml:space="preserve">faptului că în cadrul procedurii de verificare a calității Rapoartelor de audit energetic sunt luate în considerare toate Rapoartele de audit energetic elaborate pe parcursul anului precedent. </w:t>
            </w:r>
          </w:p>
        </w:tc>
      </w:tr>
      <w:tr w:rsidR="002B5B25" w:rsidRPr="00EC65AA" w14:paraId="61447765" w14:textId="77777777" w:rsidTr="006779A1">
        <w:tc>
          <w:tcPr>
            <w:tcW w:w="866" w:type="pct"/>
            <w:vMerge/>
            <w:tcMar>
              <w:top w:w="0" w:type="dxa"/>
              <w:left w:w="108" w:type="dxa"/>
              <w:bottom w:w="0" w:type="dxa"/>
              <w:right w:w="108" w:type="dxa"/>
            </w:tcMar>
          </w:tcPr>
          <w:p w14:paraId="3E07B63D"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8E71BED"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67A901D" w14:textId="77777777" w:rsidR="002B5B25" w:rsidRPr="00EC65AA" w:rsidRDefault="002B5B25" w:rsidP="001942D3">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6. Verificarea calității – echilibrare &amp; transparență</w:t>
            </w:r>
          </w:p>
          <w:p w14:paraId="60B8A68F" w14:textId="77777777"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modifică pct. 60–63, 68–71:</w:t>
            </w:r>
          </w:p>
          <w:p w14:paraId="1F887207" w14:textId="0779A4EC"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plafon clar: max. o verificare/an/auditor/categorie, cu excepții motivate;</w:t>
            </w:r>
          </w:p>
          <w:p w14:paraId="283FDA0D" w14:textId="3DDE63BF"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publicarea listei pentru verificare rămâne, dar algoritmul aleatoriu se publică integral (inclusiv criteriile de risc) + mecanism de abținere pentru conflicte de interese ale experților;</w:t>
            </w:r>
          </w:p>
          <w:p w14:paraId="65271DCD" w14:textId="2B5AC13C" w:rsidR="002B5B25" w:rsidRPr="00EC65AA" w:rsidRDefault="002B5B25" w:rsidP="00316055">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rezultatele se publică doar după soluționarea contestațiilor; auditorul are drept la replica atașat vizibil.</w:t>
            </w:r>
          </w:p>
        </w:tc>
        <w:tc>
          <w:tcPr>
            <w:tcW w:w="1230" w:type="pct"/>
            <w:tcMar>
              <w:top w:w="0" w:type="dxa"/>
              <w:left w:w="108" w:type="dxa"/>
              <w:bottom w:w="0" w:type="dxa"/>
              <w:right w:w="108" w:type="dxa"/>
            </w:tcMar>
          </w:tcPr>
          <w:p w14:paraId="7D235765"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28AF1EFC" w14:textId="4A2A20D8"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Conform prevederilor pct. 60-63  și respectiv 68-71 sunt prezentate regulile care se aplică la verificarea calității auditurilor energetice. Algoritmul și criteriile de selectare a auditurilor energetice supuse verificării sunt prezentate în ghidul privind verificarea calității auditurilor energetice, elaborat și aprobat de către Instituția Publică Centrul Național pentru Energie Durabilă.</w:t>
            </w:r>
          </w:p>
        </w:tc>
      </w:tr>
      <w:tr w:rsidR="002B5B25" w:rsidRPr="00EC65AA" w14:paraId="788905DE" w14:textId="77777777" w:rsidTr="006779A1">
        <w:tc>
          <w:tcPr>
            <w:tcW w:w="866" w:type="pct"/>
            <w:vMerge/>
            <w:tcMar>
              <w:top w:w="0" w:type="dxa"/>
              <w:left w:w="108" w:type="dxa"/>
              <w:bottom w:w="0" w:type="dxa"/>
              <w:right w:w="108" w:type="dxa"/>
            </w:tcMar>
          </w:tcPr>
          <w:p w14:paraId="0FE94643"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33925FA"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FD181D4" w14:textId="7FA3BCF6" w:rsidR="002B5B25" w:rsidRPr="00EC65AA" w:rsidRDefault="002B5B25" w:rsidP="001942D3">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7. Registrele electronice – termen ferm &amp; Securitate</w:t>
            </w:r>
          </w:p>
          <w:p w14:paraId="11C1C3FA" w14:textId="77777777"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modifică pct. 4, 55, 78–82:</w:t>
            </w:r>
          </w:p>
          <w:p w14:paraId="51881946" w14:textId="3CE16A4C"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tranziția „Excel” încetează la o dată fixă (ex.: 31.12.2025);</w:t>
            </w:r>
          </w:p>
          <w:p w14:paraId="6D3E68E5" w14:textId="599D376E"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introduc cerințe minime IT: autentificare, jurnalizare, criptare, API pentru verificarea</w:t>
            </w:r>
          </w:p>
          <w:p w14:paraId="0E4B0A90" w14:textId="77777777" w:rsidR="002B5B25" w:rsidRPr="00EC65AA" w:rsidRDefault="002B5B25" w:rsidP="0031605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publică a statutului;</w:t>
            </w:r>
          </w:p>
          <w:p w14:paraId="42728CAF" w14:textId="1BAE4944" w:rsidR="002B5B25" w:rsidRPr="00EC65AA" w:rsidRDefault="002B5B25" w:rsidP="00316055">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se publică doar datele necesare beneficiarilor (fără mențiuni negative provizorii), iar istoricul negativ include și rezultatul contestației.</w:t>
            </w:r>
          </w:p>
        </w:tc>
        <w:tc>
          <w:tcPr>
            <w:tcW w:w="1230" w:type="pct"/>
            <w:tcMar>
              <w:top w:w="0" w:type="dxa"/>
              <w:left w:w="108" w:type="dxa"/>
              <w:bottom w:w="0" w:type="dxa"/>
              <w:right w:w="108" w:type="dxa"/>
            </w:tcMar>
          </w:tcPr>
          <w:p w14:paraId="6052E253"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parțial. </w:t>
            </w:r>
          </w:p>
          <w:p w14:paraId="15EA2463"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Registrele electronice vor fi parte a sistemului informațional național în domeniul eficienței energetice, care urmează a fi creat și gestionat în vaza unui Regulament aprobat de Guvern</w:t>
            </w:r>
            <w:r w:rsidRPr="00EC65AA">
              <w:rPr>
                <w:rFonts w:ascii="Times New Roman" w:hAnsi="Times New Roman"/>
                <w:b/>
                <w:bCs/>
                <w:sz w:val="24"/>
                <w:szCs w:val="24"/>
                <w:lang w:val="ro-RO"/>
              </w:rPr>
              <w:t>.</w:t>
            </w:r>
          </w:p>
          <w:p w14:paraId="7CF3B6AD"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La moment se lucrează la elaborarea proiectului Regulamentului respectiv, iar odată cu definitivarea acestuia, va fi supus procedurii de promovare și aprobare de Guvern.</w:t>
            </w:r>
          </w:p>
          <w:p w14:paraId="6D46853C" w14:textId="77777777" w:rsidR="002B5B25" w:rsidRPr="00EC65AA" w:rsidRDefault="002B5B25" w:rsidP="008147E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lastRenderedPageBreak/>
              <w:t>Conform prevederilor pct. 4 din HG 676/2020 pentru aprobarea Regulamentului cu privire</w:t>
            </w:r>
          </w:p>
          <w:p w14:paraId="3F8BFD81" w14:textId="42CE7D75" w:rsidR="002B5B25" w:rsidRPr="00EC65AA" w:rsidRDefault="002B5B25" w:rsidP="008147E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la auditorii energetici și auditul energetic este menționat că „Până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format electronic, sub formă de fișiere Excel, cu introducerea și actualizarea manuală a datelor.”</w:t>
            </w:r>
          </w:p>
        </w:tc>
      </w:tr>
      <w:tr w:rsidR="002B5B25" w:rsidRPr="00EC65AA" w14:paraId="7223EE1E" w14:textId="77777777" w:rsidTr="006779A1">
        <w:tc>
          <w:tcPr>
            <w:tcW w:w="866" w:type="pct"/>
            <w:vMerge/>
            <w:tcMar>
              <w:top w:w="0" w:type="dxa"/>
              <w:left w:w="108" w:type="dxa"/>
              <w:bottom w:w="0" w:type="dxa"/>
              <w:right w:w="108" w:type="dxa"/>
            </w:tcMar>
          </w:tcPr>
          <w:p w14:paraId="01F4B152"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3434CD0"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AD87893" w14:textId="77777777" w:rsidR="002B5B25" w:rsidRPr="00EC65AA" w:rsidRDefault="002B5B25" w:rsidP="008147E9">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8. Termene și sancțiuni pentru autoritate</w:t>
            </w:r>
          </w:p>
          <w:p w14:paraId="1D967B31" w14:textId="77777777" w:rsidR="002B5B25" w:rsidRPr="00EC65AA" w:rsidRDefault="002B5B25" w:rsidP="008147E9">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completează articolele cu termene (examinare 15 zile, comunicare 10 zile):</w:t>
            </w:r>
          </w:p>
          <w:p w14:paraId="3100CDD6" w14:textId="4581BB81" w:rsidR="002B5B25" w:rsidRPr="00EC65AA" w:rsidRDefault="002B5B25" w:rsidP="008147E9">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depășirea termenului → tăcere pozitivă;</w:t>
            </w:r>
          </w:p>
          <w:p w14:paraId="67E69FFA" w14:textId="1DB97B7E" w:rsidR="002B5B25" w:rsidRPr="00EC65AA" w:rsidRDefault="002B5B25" w:rsidP="008147E9">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indicator anual de performanță administrativă publicat de Centru.</w:t>
            </w:r>
          </w:p>
        </w:tc>
        <w:tc>
          <w:tcPr>
            <w:tcW w:w="1230" w:type="pct"/>
            <w:tcMar>
              <w:top w:w="0" w:type="dxa"/>
              <w:left w:w="108" w:type="dxa"/>
              <w:bottom w:w="0" w:type="dxa"/>
              <w:right w:w="108" w:type="dxa"/>
            </w:tcMar>
          </w:tcPr>
          <w:p w14:paraId="67C50CDB"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1594378E" w14:textId="364A09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Termenele prevăzute de Regulament sunt respectate de CNED, iar includerea unor prevederi de sancționare a acesteia pentru nerespectarea termenelor prevăzute de Regulament este improprie și nu este argumentată.</w:t>
            </w:r>
          </w:p>
        </w:tc>
      </w:tr>
      <w:tr w:rsidR="002B5B25" w:rsidRPr="00EC65AA" w14:paraId="228DC32D" w14:textId="77777777" w:rsidTr="00D779B7">
        <w:trPr>
          <w:trHeight w:val="629"/>
        </w:trPr>
        <w:tc>
          <w:tcPr>
            <w:tcW w:w="866" w:type="pct"/>
            <w:vMerge/>
            <w:tcMar>
              <w:top w:w="0" w:type="dxa"/>
              <w:left w:w="108" w:type="dxa"/>
              <w:bottom w:w="0" w:type="dxa"/>
              <w:right w:w="108" w:type="dxa"/>
            </w:tcMar>
          </w:tcPr>
          <w:p w14:paraId="7A5907F5"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49330BF"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16A70EE" w14:textId="77777777" w:rsidR="002B5B25" w:rsidRPr="00EC65AA" w:rsidRDefault="002B5B25" w:rsidP="008147E9">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9. Confidențialitate și publicare</w:t>
            </w:r>
          </w:p>
          <w:p w14:paraId="66D0012E" w14:textId="77777777" w:rsidR="002B5B25" w:rsidRPr="00EC65AA" w:rsidRDefault="002B5B25" w:rsidP="00D779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clarifică pct. 41–42, 52, 54, 79, 81:</w:t>
            </w:r>
          </w:p>
          <w:p w14:paraId="5DDE3E37" w14:textId="36360D22" w:rsidR="002B5B25" w:rsidRPr="00EC65AA" w:rsidRDefault="002B5B25" w:rsidP="00D779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 xml:space="preserve">când se transmit copii de raport, se impune </w:t>
            </w:r>
            <w:proofErr w:type="spellStart"/>
            <w:r w:rsidRPr="00EC65AA">
              <w:rPr>
                <w:rFonts w:ascii="Times New Roman" w:hAnsi="Times New Roman"/>
                <w:iCs/>
                <w:color w:val="000000" w:themeColor="text1"/>
                <w:sz w:val="24"/>
                <w:szCs w:val="28"/>
                <w:lang w:val="ro-RO"/>
              </w:rPr>
              <w:t>pseudonimizarea</w:t>
            </w:r>
            <w:proofErr w:type="spellEnd"/>
            <w:r w:rsidRPr="00EC65AA">
              <w:rPr>
                <w:rFonts w:ascii="Times New Roman" w:hAnsi="Times New Roman"/>
                <w:iCs/>
                <w:color w:val="000000" w:themeColor="text1"/>
                <w:sz w:val="24"/>
                <w:szCs w:val="28"/>
                <w:lang w:val="ro-RO"/>
              </w:rPr>
              <w:t xml:space="preserve"> datelor sensibile (prețuri, tehnologii proprietare, scheme detaliate) – un set minim de câmpuri standard pentru verificare;</w:t>
            </w:r>
          </w:p>
          <w:p w14:paraId="1C50954B" w14:textId="667792AC" w:rsidR="002B5B25" w:rsidRPr="00EC65AA" w:rsidRDefault="002B5B25" w:rsidP="00D779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publicarea listelor nu poate include aprecieri calitative înainte de finalizarea tuturor căilor de atac;</w:t>
            </w:r>
          </w:p>
          <w:p w14:paraId="5DC1FB35" w14:textId="5D8438B3" w:rsidR="002B5B25" w:rsidRPr="00EC65AA" w:rsidRDefault="002B5B25" w:rsidP="00D779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se introduce răspundere pentru divulgarea neautorizată a secretelor comerciale.</w:t>
            </w:r>
          </w:p>
        </w:tc>
        <w:tc>
          <w:tcPr>
            <w:tcW w:w="1230" w:type="pct"/>
            <w:tcMar>
              <w:top w:w="0" w:type="dxa"/>
              <w:left w:w="108" w:type="dxa"/>
              <w:bottom w:w="0" w:type="dxa"/>
              <w:right w:w="108" w:type="dxa"/>
            </w:tcMar>
          </w:tcPr>
          <w:p w14:paraId="11AB6038"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75CF08B3" w14:textId="2F679C46"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Punctele la care se face referință reglementează aspectele ce țin ce confidențialitatea datelor și publicarea acestora. </w:t>
            </w:r>
          </w:p>
        </w:tc>
      </w:tr>
      <w:tr w:rsidR="002B5B25" w:rsidRPr="00EC65AA" w14:paraId="495CFB3D" w14:textId="77777777" w:rsidTr="00D779B7">
        <w:trPr>
          <w:trHeight w:val="629"/>
        </w:trPr>
        <w:tc>
          <w:tcPr>
            <w:tcW w:w="866" w:type="pct"/>
            <w:vMerge/>
            <w:tcMar>
              <w:top w:w="0" w:type="dxa"/>
              <w:left w:w="108" w:type="dxa"/>
              <w:bottom w:w="0" w:type="dxa"/>
              <w:right w:w="108" w:type="dxa"/>
            </w:tcMar>
          </w:tcPr>
          <w:p w14:paraId="138DCAAA"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1A4966D"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18E090A" w14:textId="77777777" w:rsidR="002B5B25" w:rsidRPr="00EC65AA" w:rsidRDefault="002B5B25" w:rsidP="00D779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10. Conținutul analizelor economice</w:t>
            </w:r>
          </w:p>
          <w:p w14:paraId="622BB60D" w14:textId="72F2A451" w:rsidR="002B5B25" w:rsidRPr="00EC65AA" w:rsidRDefault="002B5B25" w:rsidP="00DD6C76">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Se modifică pct. 50 lit. 3: „analiza perioadei simple de recuperare” devine „analiza perioadei</w:t>
            </w:r>
            <w:r w:rsidR="00DD6C76" w:rsidRPr="00EC65AA">
              <w:rPr>
                <w:rFonts w:ascii="Times New Roman" w:hAnsi="Times New Roman"/>
                <w:iCs/>
                <w:color w:val="000000" w:themeColor="text1"/>
                <w:sz w:val="24"/>
                <w:szCs w:val="28"/>
                <w:lang w:val="ro-RO"/>
              </w:rPr>
              <w:t xml:space="preserve"> </w:t>
            </w:r>
            <w:r w:rsidRPr="00EC65AA">
              <w:rPr>
                <w:rFonts w:ascii="Times New Roman" w:hAnsi="Times New Roman"/>
                <w:iCs/>
                <w:color w:val="000000" w:themeColor="text1"/>
                <w:sz w:val="24"/>
                <w:szCs w:val="28"/>
                <w:lang w:val="ro-RO"/>
              </w:rPr>
              <w:t>simple și/sau actualizate de recuperare, după cerințele finanțatorului”. (Înlocuiește termenul vag ROI</w:t>
            </w:r>
            <w:r w:rsidR="00DD6C76" w:rsidRPr="00EC65AA">
              <w:rPr>
                <w:rFonts w:ascii="Times New Roman" w:hAnsi="Times New Roman"/>
                <w:iCs/>
                <w:color w:val="000000" w:themeColor="text1"/>
                <w:sz w:val="24"/>
                <w:szCs w:val="28"/>
                <w:lang w:val="ro-RO"/>
              </w:rPr>
              <w:t xml:space="preserve"> </w:t>
            </w:r>
            <w:r w:rsidRPr="00EC65AA">
              <w:rPr>
                <w:rFonts w:ascii="Times New Roman" w:hAnsi="Times New Roman"/>
                <w:iCs/>
                <w:color w:val="000000" w:themeColor="text1"/>
                <w:sz w:val="24"/>
                <w:szCs w:val="28"/>
                <w:lang w:val="ro-RO"/>
              </w:rPr>
              <w:t>cu formulări clare: perioadă de recuperare simplă și perioadă de recuperare actualizată.)</w:t>
            </w:r>
          </w:p>
        </w:tc>
        <w:tc>
          <w:tcPr>
            <w:tcW w:w="1230" w:type="pct"/>
            <w:tcMar>
              <w:top w:w="0" w:type="dxa"/>
              <w:left w:w="108" w:type="dxa"/>
              <w:bottom w:w="0" w:type="dxa"/>
              <w:right w:w="108" w:type="dxa"/>
            </w:tcMar>
          </w:tcPr>
          <w:p w14:paraId="27A1DE46"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41F4047D" w14:textId="51A4501A"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 xml:space="preserve">Pct. 50 </w:t>
            </w:r>
            <w:proofErr w:type="spellStart"/>
            <w:r w:rsidRPr="00EC65AA">
              <w:rPr>
                <w:rFonts w:ascii="Times New Roman" w:hAnsi="Times New Roman"/>
                <w:sz w:val="24"/>
                <w:szCs w:val="24"/>
                <w:lang w:val="ro-RO"/>
              </w:rPr>
              <w:t>subpct</w:t>
            </w:r>
            <w:proofErr w:type="spellEnd"/>
            <w:r w:rsidRPr="00EC65AA">
              <w:rPr>
                <w:rFonts w:ascii="Times New Roman" w:hAnsi="Times New Roman"/>
                <w:sz w:val="24"/>
                <w:szCs w:val="24"/>
                <w:lang w:val="ro-RO"/>
              </w:rPr>
              <w:t>. 3 prevede deja necesitatea de analiză a costurilor pentru perioada de viață a tehnologiilor în conformitate cu cerințele unui eventual finanțator al măsurilor de eficientizare a consumului de resurse energetice, pentru a lua în considerare economiile de energie pe termen lung, investițiile pe termen lung, valorile remanente și ratele de actualizare</w:t>
            </w:r>
          </w:p>
        </w:tc>
      </w:tr>
      <w:tr w:rsidR="002B5B25" w:rsidRPr="00EC65AA" w14:paraId="3ECEA268" w14:textId="77777777" w:rsidTr="00D779B7">
        <w:trPr>
          <w:trHeight w:val="629"/>
        </w:trPr>
        <w:tc>
          <w:tcPr>
            <w:tcW w:w="866" w:type="pct"/>
            <w:vMerge/>
            <w:tcMar>
              <w:top w:w="0" w:type="dxa"/>
              <w:left w:w="108" w:type="dxa"/>
              <w:bottom w:w="0" w:type="dxa"/>
              <w:right w:w="108" w:type="dxa"/>
            </w:tcMar>
          </w:tcPr>
          <w:p w14:paraId="5EE4BCE0"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82EB545"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5D2B3DF" w14:textId="77777777" w:rsidR="002B5B25" w:rsidRPr="00EC65AA" w:rsidRDefault="002B5B25" w:rsidP="00D779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11. Conflict de interese extins</w:t>
            </w:r>
          </w:p>
          <w:p w14:paraId="777AB86F" w14:textId="77777777" w:rsidR="002B5B25" w:rsidRPr="00EC65AA" w:rsidRDefault="002B5B25" w:rsidP="00D779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Se extinde pct. 46: pe lângă interdicția actuală (angajator și fonduri publice), se includ:</w:t>
            </w:r>
          </w:p>
          <w:p w14:paraId="02ECCE05" w14:textId="3F10A3E4" w:rsidR="002B5B25" w:rsidRPr="00EC65AA" w:rsidRDefault="002B5B25" w:rsidP="00DD6C76">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contracte curente de proiectare/executare pe același obiect, rude de gradul I implicate la beneficiar,</w:t>
            </w:r>
            <w:r w:rsidR="00DD6C76" w:rsidRPr="00EC65AA">
              <w:rPr>
                <w:rFonts w:ascii="Times New Roman" w:hAnsi="Times New Roman"/>
                <w:iCs/>
                <w:color w:val="000000" w:themeColor="text1"/>
                <w:sz w:val="24"/>
                <w:szCs w:val="28"/>
                <w:lang w:val="ro-RO"/>
              </w:rPr>
              <w:t xml:space="preserve"> </w:t>
            </w:r>
            <w:r w:rsidRPr="00EC65AA">
              <w:rPr>
                <w:rFonts w:ascii="Times New Roman" w:hAnsi="Times New Roman"/>
                <w:iCs/>
                <w:color w:val="000000" w:themeColor="text1"/>
                <w:sz w:val="24"/>
                <w:szCs w:val="28"/>
                <w:lang w:val="ro-RO"/>
              </w:rPr>
              <w:t>precum și o perioadă de răcire (12 luni) după încetarea unui raport de muncă relevant.</w:t>
            </w:r>
          </w:p>
        </w:tc>
        <w:tc>
          <w:tcPr>
            <w:tcW w:w="1230" w:type="pct"/>
            <w:tcMar>
              <w:top w:w="0" w:type="dxa"/>
              <w:left w:w="108" w:type="dxa"/>
              <w:bottom w:w="0" w:type="dxa"/>
              <w:right w:w="108" w:type="dxa"/>
            </w:tcMar>
          </w:tcPr>
          <w:p w14:paraId="51876DF4" w14:textId="51061AE3"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Nu se acceptă.</w:t>
            </w:r>
          </w:p>
          <w:p w14:paraId="1233A320" w14:textId="502B8CF8"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La art. 20 alin 4) din legea nr. 139/2018 cu privire la eficiența energetică este prevăzut expres că auditorii energetici nu pot efectua auditul energetic doar în cadrul companiilor în care sunt angajați.</w:t>
            </w:r>
          </w:p>
          <w:p w14:paraId="51A840E6" w14:textId="060B41AD" w:rsidR="002B5B25" w:rsidRPr="00EC65AA" w:rsidRDefault="002B5B25" w:rsidP="006E41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Prin urmare, propunerea efectuată depășește limitele prevăzute de legea nr. 139/2018 cu privire la </w:t>
            </w:r>
            <w:r w:rsidRPr="00EC65AA">
              <w:rPr>
                <w:rFonts w:ascii="Times New Roman" w:hAnsi="Times New Roman"/>
                <w:sz w:val="24"/>
                <w:szCs w:val="24"/>
                <w:lang w:val="ro-RO"/>
              </w:rPr>
              <w:lastRenderedPageBreak/>
              <w:t xml:space="preserve">eficiența energetică și urmează a fi analizată la o etapă care va viza modificarea acesteia. </w:t>
            </w:r>
          </w:p>
        </w:tc>
      </w:tr>
      <w:tr w:rsidR="002B5B25" w:rsidRPr="00EC65AA" w14:paraId="77A1E586" w14:textId="77777777" w:rsidTr="00D779B7">
        <w:trPr>
          <w:trHeight w:val="629"/>
        </w:trPr>
        <w:tc>
          <w:tcPr>
            <w:tcW w:w="866" w:type="pct"/>
            <w:vMerge/>
            <w:tcMar>
              <w:top w:w="0" w:type="dxa"/>
              <w:left w:w="108" w:type="dxa"/>
              <w:bottom w:w="0" w:type="dxa"/>
              <w:right w:w="108" w:type="dxa"/>
            </w:tcMar>
          </w:tcPr>
          <w:p w14:paraId="0D447EC5"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17C00770"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904B779" w14:textId="77777777" w:rsidR="002B5B25" w:rsidRPr="00EC65AA" w:rsidRDefault="002B5B25" w:rsidP="000C19B1">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12. Domeniu și specializare</w:t>
            </w:r>
          </w:p>
          <w:p w14:paraId="3CEA0C2F" w14:textId="46003C73" w:rsidR="002B5B25" w:rsidRPr="00EC65AA" w:rsidRDefault="002B5B25" w:rsidP="000C19B1">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Se clarifică pct. 9–10: auditorul poate solicita specializări înguste (ex. SACET, cogenerare, refrigerare, panouri electrice, etc.), iar contractul de audit poate viza doar componentele cu potențial semnificativ de eficiență (nu obligă audit „triplu” clădiri-procese-transport dacă nu este justificat). Se adaugă definiții în capitolul de noțiuni, pentru aliniere terminologică.</w:t>
            </w:r>
          </w:p>
        </w:tc>
        <w:tc>
          <w:tcPr>
            <w:tcW w:w="1230" w:type="pct"/>
            <w:tcMar>
              <w:top w:w="0" w:type="dxa"/>
              <w:left w:w="108" w:type="dxa"/>
              <w:bottom w:w="0" w:type="dxa"/>
              <w:right w:w="108" w:type="dxa"/>
            </w:tcMar>
          </w:tcPr>
          <w:p w14:paraId="1A191361"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79E23F43" w14:textId="6E95F24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Nu este clară propunerea. Pct. 9 și 10 prevede categoriile pentru care pot fi calificați auditorii energetici.</w:t>
            </w:r>
          </w:p>
        </w:tc>
      </w:tr>
      <w:tr w:rsidR="002B5B25" w:rsidRPr="00EC65AA" w14:paraId="430C1089" w14:textId="77777777" w:rsidTr="00D779B7">
        <w:trPr>
          <w:trHeight w:val="629"/>
        </w:trPr>
        <w:tc>
          <w:tcPr>
            <w:tcW w:w="866" w:type="pct"/>
            <w:vMerge/>
            <w:tcMar>
              <w:top w:w="0" w:type="dxa"/>
              <w:left w:w="108" w:type="dxa"/>
              <w:bottom w:w="0" w:type="dxa"/>
              <w:right w:w="108" w:type="dxa"/>
            </w:tcMar>
          </w:tcPr>
          <w:p w14:paraId="4ED628A7"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8E2666A"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2991B03" w14:textId="77777777" w:rsidR="002B5B25" w:rsidRPr="00EC65AA" w:rsidRDefault="002B5B25" w:rsidP="000C19B1">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13. Comisia de experți – integritate</w:t>
            </w:r>
          </w:p>
          <w:p w14:paraId="707F9884" w14:textId="215DE7F2" w:rsidR="002B5B25" w:rsidRPr="00EC65AA" w:rsidRDefault="002B5B25" w:rsidP="000C19B1">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Se completează pct. 58: criterii explicite de independență (fără contracte în ultimii 2 ani cu beneficiar/auditor verificat), rotație a experților, publicarea listelor anuale și a onorariilor, precum și dreptul auditorului de a cere recuzarea unui expert cu potențial conflict.</w:t>
            </w:r>
          </w:p>
        </w:tc>
        <w:tc>
          <w:tcPr>
            <w:tcW w:w="1230" w:type="pct"/>
            <w:tcMar>
              <w:top w:w="0" w:type="dxa"/>
              <w:left w:w="108" w:type="dxa"/>
              <w:bottom w:w="0" w:type="dxa"/>
              <w:right w:w="108" w:type="dxa"/>
            </w:tcMar>
          </w:tcPr>
          <w:p w14:paraId="6A0B0001" w14:textId="5DFA1674"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r w:rsidRPr="00EC65AA">
              <w:rPr>
                <w:rFonts w:ascii="Times New Roman" w:hAnsi="Times New Roman"/>
                <w:sz w:val="24"/>
                <w:szCs w:val="24"/>
                <w:lang w:val="ro-RO"/>
              </w:rPr>
              <w:t xml:space="preserve">Comisia de experți este instituită în cadrul Centrului din experți cu experiență profesională/didactică de cel puțin 10 ani în domeniul energetic. Alte criterii sunt stabilite de către CNED la publicarea anunțului de selectare e experților. </w:t>
            </w:r>
          </w:p>
        </w:tc>
      </w:tr>
      <w:tr w:rsidR="002B5B25" w:rsidRPr="00EC65AA" w14:paraId="0A0A7F4D" w14:textId="77777777" w:rsidTr="00D779B7">
        <w:trPr>
          <w:trHeight w:val="629"/>
        </w:trPr>
        <w:tc>
          <w:tcPr>
            <w:tcW w:w="866" w:type="pct"/>
            <w:vMerge/>
            <w:tcMar>
              <w:top w:w="0" w:type="dxa"/>
              <w:left w:w="108" w:type="dxa"/>
              <w:bottom w:w="0" w:type="dxa"/>
              <w:right w:w="108" w:type="dxa"/>
            </w:tcMar>
          </w:tcPr>
          <w:p w14:paraId="42CE4D99"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7F83C6F0"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1AAAE57" w14:textId="77777777" w:rsidR="002B5B25" w:rsidRPr="00EC65AA" w:rsidRDefault="002B5B25" w:rsidP="0002710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Ce obținem prin aceste modificări</w:t>
            </w:r>
          </w:p>
          <w:p w14:paraId="2BEF11BA" w14:textId="77777777" w:rsidR="002B5B25" w:rsidRPr="00EC65AA" w:rsidRDefault="002B5B25" w:rsidP="0002710F">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Protecție reală împotriva exceselor birocratice (tăcere pozitivă, dreptul de a fi</w:t>
            </w:r>
          </w:p>
          <w:p w14:paraId="0D87E969" w14:textId="77777777" w:rsidR="002B5B25" w:rsidRPr="00EC65AA" w:rsidRDefault="002B5B25" w:rsidP="0002710F">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ascultat, termene ferme).</w:t>
            </w:r>
          </w:p>
          <w:p w14:paraId="321216A5" w14:textId="77777777" w:rsidR="002B5B25" w:rsidRPr="00EC65AA" w:rsidRDefault="002B5B25" w:rsidP="0002710F">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Transparență și predictibilitate în verificări, cu conflict de interes management.</w:t>
            </w:r>
          </w:p>
          <w:p w14:paraId="7AFB85F0" w14:textId="77777777" w:rsidR="002B5B25" w:rsidRPr="00EC65AA" w:rsidRDefault="002B5B25" w:rsidP="0002710F">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Mai puțină hârtie, raportări simplificate, registru IT securizat.</w:t>
            </w:r>
          </w:p>
          <w:p w14:paraId="1E4E4BC4" w14:textId="77777777" w:rsidR="002B5B25" w:rsidRPr="00EC65AA" w:rsidRDefault="002B5B25" w:rsidP="0002710F">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 Calitate mai ridicată a auditurilor, fără a penaliza nedrept echipele.</w:t>
            </w:r>
          </w:p>
          <w:p w14:paraId="7D73D5A7" w14:textId="3CBD502E" w:rsidR="002B5B25" w:rsidRPr="00EC65AA" w:rsidRDefault="002B5B25" w:rsidP="0002710F">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 Aliniere practică la finanțatori (perioadă de recuperare simplă/actualizată).</w:t>
            </w:r>
          </w:p>
        </w:tc>
        <w:tc>
          <w:tcPr>
            <w:tcW w:w="1230" w:type="pct"/>
            <w:tcMar>
              <w:top w:w="0" w:type="dxa"/>
              <w:left w:w="108" w:type="dxa"/>
              <w:bottom w:w="0" w:type="dxa"/>
              <w:right w:w="108" w:type="dxa"/>
            </w:tcMar>
          </w:tcPr>
          <w:p w14:paraId="5FD85A3B" w14:textId="184EC4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ia act de informare. </w:t>
            </w:r>
          </w:p>
        </w:tc>
      </w:tr>
      <w:tr w:rsidR="002B5B25" w:rsidRPr="00EC65AA" w14:paraId="7F7B9FB4" w14:textId="77777777" w:rsidTr="00D779B7">
        <w:trPr>
          <w:trHeight w:val="629"/>
        </w:trPr>
        <w:tc>
          <w:tcPr>
            <w:tcW w:w="866" w:type="pct"/>
            <w:vMerge/>
            <w:tcMar>
              <w:top w:w="0" w:type="dxa"/>
              <w:left w:w="108" w:type="dxa"/>
              <w:bottom w:w="0" w:type="dxa"/>
              <w:right w:w="108" w:type="dxa"/>
            </w:tcMar>
          </w:tcPr>
          <w:p w14:paraId="43E24E37"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BDF735D"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E01F770" w14:textId="77777777" w:rsidR="002B5B25" w:rsidRPr="00EC65AA" w:rsidRDefault="002B5B25" w:rsidP="00CB7F25">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Propuneri pentru programul de facilitare a proiectelor de EE pentru HG 251/2024</w:t>
            </w:r>
          </w:p>
          <w:p w14:paraId="1D108FE5" w14:textId="77777777" w:rsidR="002B5B25" w:rsidRPr="00EC65AA" w:rsidRDefault="002B5B25" w:rsidP="00CB7F25">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Găuri/risc de ineficiență și abuz</w:t>
            </w:r>
          </w:p>
          <w:p w14:paraId="20D86BA7" w14:textId="77777777"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 Nu există praguri de cost-eficacitate (€/MWh economisit) obligatorii pe categorie de măsură</w:t>
            </w:r>
          </w:p>
          <w:p w14:paraId="35118497" w14:textId="77777777"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risc de proiecte scumpe cu economii modeste.</w:t>
            </w:r>
          </w:p>
          <w:p w14:paraId="0957098D" w14:textId="4518278B"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2. „Manualul operațional” decide aproape tot (plafonări, liste, proceduri), dar HG 251 nu impune transparență/consultare publică pe conținutul lui.</w:t>
            </w:r>
          </w:p>
          <w:p w14:paraId="6B160C6F" w14:textId="77777777"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3. Achizițiile la nivel de asociație nu sunt standardizate → risc de aranjamente și supra-prețuri.</w:t>
            </w:r>
          </w:p>
          <w:p w14:paraId="2805AAD9" w14:textId="2B87F2F7"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4. Monitorizarea doar 24 luni e scurtă pentru lucrări de anvelopă/încălzire (beneficii pe 20–30 ani) → risc de „economii pe hârtie”.</w:t>
            </w:r>
          </w:p>
          <w:p w14:paraId="22A7D06A" w14:textId="781C8FC2"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5. Nu există reguli „</w:t>
            </w:r>
            <w:proofErr w:type="spellStart"/>
            <w:r w:rsidRPr="00EC65AA">
              <w:rPr>
                <w:rFonts w:ascii="Times New Roman" w:hAnsi="Times New Roman"/>
                <w:iCs/>
                <w:color w:val="000000" w:themeColor="text1"/>
                <w:sz w:val="24"/>
                <w:szCs w:val="28"/>
                <w:lang w:val="ro-RO"/>
              </w:rPr>
              <w:t>ordo</w:t>
            </w:r>
            <w:proofErr w:type="spellEnd"/>
            <w:r w:rsidRPr="00EC65AA">
              <w:rPr>
                <w:rFonts w:ascii="Times New Roman" w:hAnsi="Times New Roman"/>
                <w:iCs/>
                <w:color w:val="000000" w:themeColor="text1"/>
                <w:sz w:val="24"/>
                <w:szCs w:val="28"/>
                <w:lang w:val="ro-RO"/>
              </w:rPr>
              <w:t xml:space="preserve"> măsuri”: întâi reducerea necesarului (anvelopă/</w:t>
            </w:r>
            <w:proofErr w:type="spellStart"/>
            <w:r w:rsidRPr="00EC65AA">
              <w:rPr>
                <w:rFonts w:ascii="Times New Roman" w:hAnsi="Times New Roman"/>
                <w:iCs/>
                <w:color w:val="000000" w:themeColor="text1"/>
                <w:sz w:val="24"/>
                <w:szCs w:val="28"/>
                <w:lang w:val="ro-RO"/>
              </w:rPr>
              <w:t>equilibre</w:t>
            </w:r>
            <w:proofErr w:type="spellEnd"/>
            <w:r w:rsidRPr="00EC65AA">
              <w:rPr>
                <w:rFonts w:ascii="Times New Roman" w:hAnsi="Times New Roman"/>
                <w:iCs/>
                <w:color w:val="000000" w:themeColor="text1"/>
                <w:sz w:val="24"/>
                <w:szCs w:val="28"/>
                <w:lang w:val="ro-RO"/>
              </w:rPr>
              <w:t xml:space="preserve"> hidraulice), apoi surse → risc de PV/HP supradimensionate.</w:t>
            </w:r>
          </w:p>
          <w:p w14:paraId="0126D6A2" w14:textId="666560EE"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6. Nu sunt prevăzute cote minime pentru proiecte în SACET ce aduc beneficii sistemice (echilibrare orizontală, PTC moderne, contorizare individuală).</w:t>
            </w:r>
          </w:p>
          <w:p w14:paraId="2F012425" w14:textId="090641B9" w:rsidR="002B5B25" w:rsidRPr="00EC65AA" w:rsidRDefault="002B5B25" w:rsidP="00CB7F2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7. Costuri administrative până la 10% fără condiționare de performanță → stimulente slabe pentru eficiență internă.</w:t>
            </w:r>
          </w:p>
          <w:p w14:paraId="26599965" w14:textId="4A93F321" w:rsidR="002B5B25" w:rsidRPr="00EC65AA" w:rsidRDefault="002B5B25" w:rsidP="00555C6D">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lastRenderedPageBreak/>
              <w:t>8. Lipsesc: matrice publică de punctaj, conflict-de-interese, listă neagră pentru fraude, deschiderea datelor la nivel de contract/linie de cost.</w:t>
            </w:r>
          </w:p>
        </w:tc>
        <w:tc>
          <w:tcPr>
            <w:tcW w:w="1230" w:type="pct"/>
            <w:tcMar>
              <w:top w:w="0" w:type="dxa"/>
              <w:left w:w="108" w:type="dxa"/>
              <w:bottom w:w="0" w:type="dxa"/>
              <w:right w:w="108" w:type="dxa"/>
            </w:tcMar>
          </w:tcPr>
          <w:p w14:paraId="7F3BA591"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Riscurile prezentate nu reflectă situația actuală. </w:t>
            </w:r>
          </w:p>
          <w:p w14:paraId="26D50B45"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 Finanțarea proiectelor în cadrul programului FEERM are loc în baza prevederilor HG 251/2024 și a produselor de finanțare aprobate conform prevederile Statutului Instituției Publice Centrul Național pentru Energie Durabilă aprobat prin HG 1060/2023. </w:t>
            </w:r>
          </w:p>
          <w:p w14:paraId="78DED9EB" w14:textId="442067AE"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2. Manualul operațional pentru fiecare produs de finanțare prevede modalitatea de identificare, selectare și finanțare a beneficiarilor și totodată reflectă procedurile internă care trebuie să le parcurgă CNED pentru aprobarea unui proiect de eficiență energetică în cadrul Programului de finanțare FEERM. Acesta este public pe pagina web a CNED și propunerile cu privire la acesta pot fi efectuate în mod continuu. </w:t>
            </w:r>
          </w:p>
          <w:p w14:paraId="374E56CA" w14:textId="69EA7834"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3. Proiectele de eficiență energetică implementate în cadrul Asociațiilor de Proprietari în </w:t>
            </w:r>
            <w:r w:rsidRPr="00EC65AA">
              <w:rPr>
                <w:rFonts w:ascii="Times New Roman" w:hAnsi="Times New Roman"/>
                <w:sz w:val="24"/>
                <w:szCs w:val="24"/>
                <w:lang w:val="ro-RO"/>
              </w:rPr>
              <w:lastRenderedPageBreak/>
              <w:t xml:space="preserve">Condominiu presupun parcurgerea mai multor etape conform prevederilor produsului de finanțare. </w:t>
            </w:r>
          </w:p>
          <w:p w14:paraId="738B3101" w14:textId="6B91E1E5"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Organizarea licitațiilor pentru selectarea agentului economic care să efectueze lucrările aferente proiectelor de eficiență energetică care au obținut aprobarea spre finanțare este efectuată de către CNED, astfel după cum este prevăzut de programul FEERM aprobat de Guvern. La moment Asociațiile de Proprietari în condominiu nu dispun de capacități necesare pentru organizarea achizițiilor publice în vederea selectării agentului economic care să execute lucrările aferente măsurilor de reabilitare energetică.</w:t>
            </w:r>
          </w:p>
          <w:p w14:paraId="6F34FE3F" w14:textId="52826623"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4. Monitorizarea post-implementare este prevăzută pe un termen de 24 luni, perioadă suficientă pentru monitorizarea economiilor de energie estimate la etapa de aprobare. Extinderea acestei perioade pentru monitorizare post-implementare nu este argumentată., pe motiv că IP CNED nu este responsabilă de </w:t>
            </w:r>
            <w:r w:rsidRPr="00EC65AA">
              <w:rPr>
                <w:rFonts w:ascii="Times New Roman" w:hAnsi="Times New Roman"/>
                <w:sz w:val="24"/>
                <w:szCs w:val="24"/>
                <w:lang w:val="ro-RO"/>
              </w:rPr>
              <w:lastRenderedPageBreak/>
              <w:t xml:space="preserve">lucrările de întreținere și exploatare a clădirilor renovate, acestea urmând a fi efectuate de Asociațiile de proprietari în Condominiu. </w:t>
            </w:r>
          </w:p>
          <w:p w14:paraId="5FE66510"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EC65AA">
              <w:rPr>
                <w:rFonts w:ascii="Times New Roman" w:hAnsi="Times New Roman"/>
                <w:sz w:val="24"/>
                <w:szCs w:val="24"/>
                <w:lang w:val="ro-RO"/>
              </w:rPr>
              <w:t xml:space="preserve">5. La finanțarea proiectelor se ține cont de principiul </w:t>
            </w:r>
            <w:r w:rsidRPr="00EC65AA">
              <w:rPr>
                <w:rFonts w:ascii="Times New Roman" w:hAnsi="Times New Roman"/>
                <w:i/>
                <w:iCs/>
                <w:sz w:val="24"/>
                <w:szCs w:val="24"/>
                <w:lang w:val="ro-RO"/>
              </w:rPr>
              <w:t>„eficiența energetică înainte de toate”.</w:t>
            </w:r>
          </w:p>
          <w:p w14:paraId="03FB13AA"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6. conform prevederilor pct. 10 din Programul FEERM aprobat prin HG 251/2024 este menționat că </w:t>
            </w:r>
          </w:p>
          <w:p w14:paraId="4B10CC44"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b/>
                <w:bCs/>
                <w:sz w:val="24"/>
                <w:szCs w:val="24"/>
                <w:lang w:val="ro-RO"/>
              </w:rPr>
              <w:t>„10. </w:t>
            </w:r>
            <w:r w:rsidRPr="00EC65AA">
              <w:rPr>
                <w:rFonts w:ascii="Times New Roman" w:hAnsi="Times New Roman"/>
                <w:sz w:val="24"/>
                <w:szCs w:val="24"/>
                <w:lang w:val="ro-RO"/>
              </w:rPr>
              <w:t xml:space="preserve">La elaborarea și aprobarea produselor de finanțare se ține cont de necesitatea promovării proiectelor în cadrul: </w:t>
            </w:r>
          </w:p>
          <w:p w14:paraId="16B216F2"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w:t>
            </w:r>
          </w:p>
          <w:p w14:paraId="171AAE21"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3) asociațiilor cu blocuri locative și caselor individuale racordate la SACET;”</w:t>
            </w:r>
          </w:p>
          <w:p w14:paraId="346802D2" w14:textId="77777777"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7. costurile de până la 10% pentru gestionarea, monitorizarea și controlul programelor și proiectelor de implementare a măsurilor în domeniul eficienței energetice și valorificării surselor regenerabile de energie, sunt argumentate și sunt prevăzute de art. 11 alin.3) din Legea nr. 139/2018 cu privire la eficiența energetică. Cu referire la indicatorii de performanță aceștia </w:t>
            </w:r>
            <w:r w:rsidRPr="00EC65AA">
              <w:rPr>
                <w:rFonts w:ascii="Times New Roman" w:hAnsi="Times New Roman"/>
                <w:sz w:val="24"/>
                <w:szCs w:val="24"/>
                <w:lang w:val="ro-RO"/>
              </w:rPr>
              <w:lastRenderedPageBreak/>
              <w:t>sunt stabiliți și aprobați în conformitate cu prevederile Statutului Instituției Publice Centrul Național pentru Energie Durabilă aprobat prin HG 1060/2023.</w:t>
            </w:r>
          </w:p>
          <w:p w14:paraId="170E45DF" w14:textId="62AD4BBB"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8. evaluarea fezabilității proiectelor are loc în conformitate cu prevederile Programului FEERM, Produselor de finanțare, conform prevederilor Manualului Operațional, care sunt publice pe pagina CNED (www.cend.gov.md)   </w:t>
            </w:r>
          </w:p>
          <w:p w14:paraId="565E6CAA" w14:textId="4F014A88" w:rsidR="002B5B25" w:rsidRPr="00EC65AA" w:rsidRDefault="002B5B25" w:rsidP="001F1C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B5B25" w:rsidRPr="00EC65AA" w14:paraId="4FFA0D48" w14:textId="77777777" w:rsidTr="00D779B7">
        <w:trPr>
          <w:trHeight w:val="629"/>
        </w:trPr>
        <w:tc>
          <w:tcPr>
            <w:tcW w:w="866" w:type="pct"/>
            <w:vMerge/>
            <w:tcMar>
              <w:top w:w="0" w:type="dxa"/>
              <w:left w:w="108" w:type="dxa"/>
              <w:bottom w:w="0" w:type="dxa"/>
              <w:right w:w="108" w:type="dxa"/>
            </w:tcMar>
          </w:tcPr>
          <w:p w14:paraId="5EF4381B"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A19545A"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6264FCF" w14:textId="77777777" w:rsidR="002B5B25" w:rsidRPr="00EC65AA" w:rsidRDefault="002B5B25" w:rsidP="00502815">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Propuneri de modificare concrete și operative</w:t>
            </w:r>
          </w:p>
          <w:p w14:paraId="1577F844" w14:textId="367BFFB4" w:rsidR="002B5B25" w:rsidRPr="00EC65AA" w:rsidRDefault="002B5B25" w:rsidP="00502815">
            <w:pPr>
              <w:pStyle w:val="ListParagraph"/>
              <w:numPr>
                <w:ilvl w:val="0"/>
                <w:numId w:val="18"/>
              </w:numPr>
              <w:autoSpaceDE w:val="0"/>
              <w:autoSpaceDN w:val="0"/>
              <w:adjustRightInd w:val="0"/>
              <w:spacing w:before="120" w:after="12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Țintire pe economii reale și stop proiecte ineficiente</w:t>
            </w:r>
          </w:p>
          <w:p w14:paraId="66AAB080" w14:textId="4BC5052C" w:rsidR="002B5B25" w:rsidRPr="00EC65AA" w:rsidRDefault="002B5B25" w:rsidP="0050281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 Prag minim de cost-eficacitate: pentru fiecare categorie, aprobarea se face doar dacă costul nivelat al energiei economisite (</w:t>
            </w:r>
            <w:proofErr w:type="spellStart"/>
            <w:r w:rsidRPr="00EC65AA">
              <w:rPr>
                <w:rFonts w:ascii="Times New Roman" w:hAnsi="Times New Roman"/>
                <w:iCs/>
                <w:color w:val="000000" w:themeColor="text1"/>
                <w:sz w:val="24"/>
                <w:szCs w:val="28"/>
                <w:lang w:val="ro-RO"/>
              </w:rPr>
              <w:t>LCOE_saving</w:t>
            </w:r>
            <w:proofErr w:type="spellEnd"/>
            <w:r w:rsidRPr="00EC65AA">
              <w:rPr>
                <w:rFonts w:ascii="Times New Roman" w:hAnsi="Times New Roman"/>
                <w:iCs/>
                <w:color w:val="000000" w:themeColor="text1"/>
                <w:sz w:val="24"/>
                <w:szCs w:val="28"/>
                <w:lang w:val="ro-RO"/>
              </w:rPr>
              <w:t xml:space="preserve">) ≤ un plafon stabilit trimestrial (ex.: per m² anvelopă, per MWh economisit la încălzire, per </w:t>
            </w:r>
            <w:proofErr w:type="spellStart"/>
            <w:r w:rsidRPr="00EC65AA">
              <w:rPr>
                <w:rFonts w:ascii="Times New Roman" w:hAnsi="Times New Roman"/>
                <w:iCs/>
                <w:color w:val="000000" w:themeColor="text1"/>
                <w:sz w:val="24"/>
                <w:szCs w:val="28"/>
                <w:lang w:val="ro-RO"/>
              </w:rPr>
              <w:t>kWp</w:t>
            </w:r>
            <w:proofErr w:type="spellEnd"/>
            <w:r w:rsidRPr="00EC65AA">
              <w:rPr>
                <w:rFonts w:ascii="Times New Roman" w:hAnsi="Times New Roman"/>
                <w:iCs/>
                <w:color w:val="000000" w:themeColor="text1"/>
                <w:sz w:val="24"/>
                <w:szCs w:val="28"/>
                <w:lang w:val="ro-RO"/>
              </w:rPr>
              <w:t xml:space="preserve"> PV). Pragurile și metodologia se publică în anexe la manual (open-data + actualizare trimestrială după indici de preț).</w:t>
            </w:r>
          </w:p>
          <w:p w14:paraId="3D4213EA" w14:textId="77777777" w:rsidR="002B5B25" w:rsidRPr="00EC65AA" w:rsidRDefault="002B5B25" w:rsidP="00502815">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2. Matrice de punctaj publică în HG (nu doar în manual):</w:t>
            </w:r>
          </w:p>
          <w:p w14:paraId="2B02C3B0" w14:textId="38EE5012" w:rsidR="002B5B25" w:rsidRPr="00EC65AA" w:rsidRDefault="002B5B25" w:rsidP="00502815">
            <w:pPr>
              <w:pStyle w:val="ListParagraph"/>
              <w:numPr>
                <w:ilvl w:val="0"/>
                <w:numId w:val="20"/>
              </w:numPr>
              <w:autoSpaceDE w:val="0"/>
              <w:autoSpaceDN w:val="0"/>
              <w:adjustRightInd w:val="0"/>
              <w:spacing w:before="120" w:after="12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40% €/MWh economisit (cu penalizare pentru depășirea plafoanelor),</w:t>
            </w:r>
          </w:p>
          <w:p w14:paraId="2419FBF3" w14:textId="39D86168" w:rsidR="002B5B25" w:rsidRPr="00EC65AA" w:rsidRDefault="002B5B25" w:rsidP="00502815">
            <w:pPr>
              <w:pStyle w:val="ListParagraph"/>
              <w:numPr>
                <w:ilvl w:val="0"/>
                <w:numId w:val="20"/>
              </w:numPr>
              <w:autoSpaceDE w:val="0"/>
              <w:autoSpaceDN w:val="0"/>
              <w:adjustRightInd w:val="0"/>
              <w:spacing w:before="120" w:after="12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20% volum absolut economii (MWh/an),</w:t>
            </w:r>
          </w:p>
          <w:p w14:paraId="13E357EC" w14:textId="387F2048" w:rsidR="002B5B25" w:rsidRPr="00EC65AA" w:rsidRDefault="002B5B25" w:rsidP="00502815">
            <w:pPr>
              <w:pStyle w:val="ListParagraph"/>
              <w:numPr>
                <w:ilvl w:val="0"/>
                <w:numId w:val="20"/>
              </w:numPr>
              <w:autoSpaceDE w:val="0"/>
              <w:autoSpaceDN w:val="0"/>
              <w:adjustRightInd w:val="0"/>
              <w:spacing w:before="120" w:after="12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15% prioritate vulnerabili/FRVE,</w:t>
            </w:r>
          </w:p>
          <w:p w14:paraId="13B0A685" w14:textId="56B5E495" w:rsidR="002B5B25" w:rsidRPr="00EC65AA" w:rsidRDefault="002B5B25" w:rsidP="00502815">
            <w:pPr>
              <w:pStyle w:val="ListParagraph"/>
              <w:numPr>
                <w:ilvl w:val="0"/>
                <w:numId w:val="20"/>
              </w:numPr>
              <w:autoSpaceDE w:val="0"/>
              <w:autoSpaceDN w:val="0"/>
              <w:adjustRightInd w:val="0"/>
              <w:spacing w:before="120" w:after="12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15% integrare/pro-SACET,</w:t>
            </w:r>
          </w:p>
          <w:p w14:paraId="7AF0EF1D" w14:textId="72CEA5F2" w:rsidR="002B5B25" w:rsidRPr="00EC65AA" w:rsidRDefault="002B5B25" w:rsidP="00502815">
            <w:pPr>
              <w:pStyle w:val="ListParagraph"/>
              <w:numPr>
                <w:ilvl w:val="0"/>
                <w:numId w:val="20"/>
              </w:numPr>
              <w:autoSpaceDE w:val="0"/>
              <w:autoSpaceDN w:val="0"/>
              <w:adjustRightInd w:val="0"/>
              <w:spacing w:before="120" w:after="12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10% contribuție proprie/</w:t>
            </w:r>
            <w:proofErr w:type="spellStart"/>
            <w:r w:rsidRPr="00EC65AA">
              <w:rPr>
                <w:rFonts w:ascii="Times New Roman" w:hAnsi="Times New Roman"/>
                <w:iCs/>
                <w:color w:val="000000" w:themeColor="text1"/>
                <w:sz w:val="24"/>
                <w:szCs w:val="28"/>
                <w:lang w:val="ro-RO"/>
              </w:rPr>
              <w:t>leveraj</w:t>
            </w:r>
            <w:proofErr w:type="spellEnd"/>
            <w:r w:rsidRPr="00EC65AA">
              <w:rPr>
                <w:rFonts w:ascii="Times New Roman" w:hAnsi="Times New Roman"/>
                <w:iCs/>
                <w:color w:val="000000" w:themeColor="text1"/>
                <w:sz w:val="24"/>
                <w:szCs w:val="28"/>
                <w:lang w:val="ro-RO"/>
              </w:rPr>
              <w:t xml:space="preserve"> (inclusiv EPC).</w:t>
            </w:r>
          </w:p>
          <w:p w14:paraId="18C5D3CB" w14:textId="4D3CB9E3" w:rsidR="002B5B25" w:rsidRPr="00EC65AA" w:rsidRDefault="002B5B25" w:rsidP="00502815">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3. Regula „întâi eficiența, apoi generarea”: proiectele cu PV/HP sunt admise doar după atingerea unui nivel minim de îmbunătățire a anvelopei/echilibrării (ex.: U-valoare țintă/ΔH cu 20–30% față de bază) sau justificare economică robustă (NPV&gt;0 la rată socială; SPP/PPU în limite).</w:t>
            </w:r>
          </w:p>
        </w:tc>
        <w:tc>
          <w:tcPr>
            <w:tcW w:w="1230" w:type="pct"/>
            <w:tcMar>
              <w:top w:w="0" w:type="dxa"/>
              <w:left w:w="108" w:type="dxa"/>
              <w:bottom w:w="0" w:type="dxa"/>
              <w:right w:w="108" w:type="dxa"/>
            </w:tcMar>
          </w:tcPr>
          <w:p w14:paraId="0A545575"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67E08C52" w14:textId="77777777" w:rsidR="002B5B25" w:rsidRPr="00EC65AA" w:rsidRDefault="002B5B25" w:rsidP="00926DE9">
            <w:pPr>
              <w:pStyle w:val="ListParagraph"/>
              <w:numPr>
                <w:ilvl w:val="0"/>
                <w:numId w:val="21"/>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C65AA">
              <w:rPr>
                <w:rFonts w:ascii="Times New Roman" w:hAnsi="Times New Roman"/>
                <w:sz w:val="24"/>
                <w:szCs w:val="24"/>
                <w:lang w:val="ro-RO"/>
              </w:rPr>
              <w:t>Indicatori economici de proiect pentru categorii de măsuri de eficiență energetică și/sau valorificare a surselor de energie regenerabilă sunt stabiliți în cadrul produselor de finanțare aprobate de CNED.</w:t>
            </w:r>
          </w:p>
          <w:p w14:paraId="1C5CB834" w14:textId="77777777" w:rsidR="002B5B25" w:rsidRPr="00EC65AA" w:rsidRDefault="002B5B25" w:rsidP="00926DE9">
            <w:pPr>
              <w:pStyle w:val="ListParagraph"/>
              <w:numPr>
                <w:ilvl w:val="0"/>
                <w:numId w:val="21"/>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C65AA">
              <w:rPr>
                <w:rFonts w:ascii="Times New Roman" w:hAnsi="Times New Roman"/>
                <w:sz w:val="24"/>
                <w:szCs w:val="24"/>
                <w:lang w:val="ro-RO"/>
              </w:rPr>
              <w:t xml:space="preserve">Matrice de punctaj este stabilită doar pentru solicitanții de finanțare din cadrul Asociațiilor de proprietari în Condominiu care doresc sa beneficieze de audit energetic finanțat de către CNED. Pentru celelalte </w:t>
            </w:r>
            <w:r w:rsidRPr="00EC65AA">
              <w:rPr>
                <w:rFonts w:ascii="Times New Roman" w:hAnsi="Times New Roman"/>
                <w:sz w:val="24"/>
                <w:szCs w:val="24"/>
                <w:lang w:val="ro-RO"/>
              </w:rPr>
              <w:lastRenderedPageBreak/>
              <w:t xml:space="preserve">etape de aprobare a proiectelor de reabilitare energetică, evaluarea are loc în baza criteriilor din HG 251/2024 și produsul de finanțare aplicabil, aprobat de CNED.  </w:t>
            </w:r>
          </w:p>
          <w:p w14:paraId="785AD714" w14:textId="36F3F63D" w:rsidR="002B5B25" w:rsidRPr="00EC65AA" w:rsidRDefault="002B5B25" w:rsidP="00044270">
            <w:pPr>
              <w:pStyle w:val="ListParagraph"/>
              <w:numPr>
                <w:ilvl w:val="0"/>
                <w:numId w:val="21"/>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EC65AA">
              <w:rPr>
                <w:rFonts w:ascii="Times New Roman" w:hAnsi="Times New Roman"/>
                <w:sz w:val="24"/>
                <w:szCs w:val="24"/>
                <w:lang w:val="ro-RO"/>
              </w:rPr>
              <w:t>La finanțarea proiectelor se ține cont de principiul „eficiența energetică înainte de toate” (a se vedea programul FEERM aprobat prin HG 251/2024).</w:t>
            </w:r>
          </w:p>
        </w:tc>
      </w:tr>
      <w:tr w:rsidR="002B5B25" w:rsidRPr="00EC65AA" w14:paraId="11BA3BE4" w14:textId="77777777" w:rsidTr="00D779B7">
        <w:trPr>
          <w:trHeight w:val="629"/>
        </w:trPr>
        <w:tc>
          <w:tcPr>
            <w:tcW w:w="866" w:type="pct"/>
            <w:vMerge/>
            <w:tcMar>
              <w:top w:w="0" w:type="dxa"/>
              <w:left w:w="108" w:type="dxa"/>
              <w:bottom w:w="0" w:type="dxa"/>
              <w:right w:w="108" w:type="dxa"/>
            </w:tcMar>
          </w:tcPr>
          <w:p w14:paraId="08AD6DC2"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0586D6B"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60B0981" w14:textId="77777777" w:rsidR="002B5B25" w:rsidRPr="00EC65AA" w:rsidRDefault="002B5B25" w:rsidP="00044270">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B. Anticorupție, transparență, verificare</w:t>
            </w:r>
          </w:p>
          <w:p w14:paraId="5B062D44" w14:textId="046CACE2" w:rsidR="002B5B25" w:rsidRPr="00EC65AA" w:rsidRDefault="002B5B25" w:rsidP="00044270">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4. Proceduri de achiziții standardizate pentru asociații: min. 3 oferte, anunț pe o platformă electronică unică, caiete-tip cu specificații minime, interdicție conflict-de-interese, declarații de integritate. Toate ofertele încărcate la dosar (open-data la adjudecare).</w:t>
            </w:r>
          </w:p>
          <w:p w14:paraId="51079A89" w14:textId="03CBBA39" w:rsidR="002B5B25" w:rsidRPr="00EC65AA" w:rsidRDefault="002B5B25" w:rsidP="00044270">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5. Deschidere de date contractuală: publicarea pe site (CSV/API) a listei proiectelor: beneficiar, adresă, descriere măsuri, indicatori ex-ante/ex-post, cost total, grant/alocație, furnizori, €/m² și €/MWh, fotografii „înainte/după”, fișe M&amp;V. (HG 251 cere publicarea listei, dar nu cere granularitate/costuri unitare.)</w:t>
            </w:r>
          </w:p>
          <w:p w14:paraId="2BC04825" w14:textId="77777777" w:rsidR="002B5B25" w:rsidRPr="00EC65AA" w:rsidRDefault="002B5B25" w:rsidP="00044270">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6. Control aliator ex-post ≥15% din proiecte/an + verificări documentare pentru 100%.</w:t>
            </w:r>
          </w:p>
          <w:p w14:paraId="32DF1516" w14:textId="417A55EE" w:rsidR="002B5B25" w:rsidRPr="00EC65AA" w:rsidRDefault="002B5B25" w:rsidP="00044270">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Introducere listă neagră (5 ani) pentru furnizori/auditori cu abateri grave; dobândă penalizatoare + interdicție 3 ani pentru beneficiari cu declarații false.</w:t>
            </w:r>
          </w:p>
          <w:p w14:paraId="5B6A4F5A" w14:textId="51E7C61F" w:rsidR="002B5B25" w:rsidRPr="00EC65AA" w:rsidRDefault="002B5B25" w:rsidP="00044270">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lastRenderedPageBreak/>
              <w:t xml:space="preserve">7. Separarea rolurilor: evaluatorii </w:t>
            </w:r>
            <w:proofErr w:type="spellStart"/>
            <w:r w:rsidRPr="00EC65AA">
              <w:rPr>
                <w:rFonts w:ascii="Times New Roman" w:hAnsi="Times New Roman"/>
                <w:iCs/>
                <w:color w:val="000000" w:themeColor="text1"/>
                <w:sz w:val="24"/>
                <w:szCs w:val="28"/>
                <w:lang w:val="ro-RO"/>
              </w:rPr>
              <w:t>tehnico</w:t>
            </w:r>
            <w:proofErr w:type="spellEnd"/>
            <w:r w:rsidRPr="00EC65AA">
              <w:rPr>
                <w:rFonts w:ascii="Times New Roman" w:hAnsi="Times New Roman"/>
                <w:iCs/>
                <w:color w:val="000000" w:themeColor="text1"/>
                <w:sz w:val="24"/>
                <w:szCs w:val="28"/>
                <w:lang w:val="ro-RO"/>
              </w:rPr>
              <w:t xml:space="preserve">-economici sunt rotați și selectați </w:t>
            </w:r>
            <w:proofErr w:type="spellStart"/>
            <w:r w:rsidRPr="00EC65AA">
              <w:rPr>
                <w:rFonts w:ascii="Times New Roman" w:hAnsi="Times New Roman"/>
                <w:iCs/>
                <w:color w:val="000000" w:themeColor="text1"/>
                <w:sz w:val="24"/>
                <w:szCs w:val="28"/>
                <w:lang w:val="ro-RO"/>
              </w:rPr>
              <w:t>aleator</w:t>
            </w:r>
            <w:proofErr w:type="spellEnd"/>
            <w:r w:rsidRPr="00EC65AA">
              <w:rPr>
                <w:rFonts w:ascii="Times New Roman" w:hAnsi="Times New Roman"/>
                <w:iCs/>
                <w:color w:val="000000" w:themeColor="text1"/>
                <w:sz w:val="24"/>
                <w:szCs w:val="28"/>
                <w:lang w:val="ro-RO"/>
              </w:rPr>
              <w:t>; comitetul de finanțare publică notele motivate (cu anonimizare).</w:t>
            </w:r>
          </w:p>
        </w:tc>
        <w:tc>
          <w:tcPr>
            <w:tcW w:w="1230" w:type="pct"/>
            <w:tcMar>
              <w:top w:w="0" w:type="dxa"/>
              <w:left w:w="108" w:type="dxa"/>
              <w:bottom w:w="0" w:type="dxa"/>
              <w:right w:w="108" w:type="dxa"/>
            </w:tcMar>
          </w:tcPr>
          <w:p w14:paraId="28F97C3C"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lastRenderedPageBreak/>
              <w:t xml:space="preserve">4. La moment Asociațiile de Proprietari în condominiu nu dispun de capacități necesare pentru organizarea achizițiilor publice în vederea selectării agentului economic care să execute lucrările aferente măsurilor de reabilitare energetică aprobate spre finanțare. </w:t>
            </w:r>
          </w:p>
          <w:p w14:paraId="082F682F"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Astfel, la moment IP CNED organizează procedurile de achiziție publică pentru selectarea agenților economici care vor executa lucrările de reabilitare energetică aprobate spre finanțare pentru Asociațiile de proprietari în Condominiu, conform prevederilor legislației în vigoare.</w:t>
            </w:r>
          </w:p>
          <w:p w14:paraId="79A16A92" w14:textId="6A70408F" w:rsidR="002B5B25" w:rsidRPr="00EC65AA" w:rsidRDefault="002B5B25" w:rsidP="00BA46E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lastRenderedPageBreak/>
              <w:t xml:space="preserve">5. Toate anunțurile cu privire la achizițiile publice sunt publicate corespunzător pe pagina web a CNED și portalul </w:t>
            </w:r>
            <w:hyperlink r:id="rId13" w:history="1">
              <w:r w:rsidRPr="00EC65AA">
                <w:rPr>
                  <w:rStyle w:val="Hyperlink"/>
                  <w:rFonts w:ascii="Times New Roman" w:hAnsi="Times New Roman"/>
                  <w:sz w:val="24"/>
                  <w:szCs w:val="24"/>
                  <w:lang w:val="ro-RO"/>
                </w:rPr>
                <w:t>www.achiziții.md</w:t>
              </w:r>
            </w:hyperlink>
            <w:r w:rsidRPr="00EC65AA">
              <w:rPr>
                <w:rFonts w:ascii="Times New Roman" w:hAnsi="Times New Roman"/>
                <w:sz w:val="24"/>
                <w:szCs w:val="24"/>
                <w:lang w:val="ro-RO"/>
              </w:rPr>
              <w:t>;</w:t>
            </w:r>
          </w:p>
          <w:p w14:paraId="667C9343" w14:textId="77777777" w:rsidR="002B5B25" w:rsidRPr="00EC65AA" w:rsidRDefault="002B5B25" w:rsidP="004A3C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6. Verificarea calității auditurilor energetice are loc în baza prevederilor HG 676/2020 pentru aprobarea Regulamentului cu privire</w:t>
            </w:r>
          </w:p>
          <w:p w14:paraId="20060095" w14:textId="77777777" w:rsidR="002B5B25" w:rsidRPr="00EC65AA" w:rsidRDefault="002B5B25" w:rsidP="004A3C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la auditorii energetici și auditul energetic conform căruia CNED Centrul urmărește verificarea a cel puțin 5% din totalul auditurilor energetice efectuate anual pentru fiecare categorie de calificare.</w:t>
            </w:r>
          </w:p>
          <w:p w14:paraId="1873135B" w14:textId="426022FA" w:rsidR="002B5B25" w:rsidRPr="00EC65AA" w:rsidRDefault="002B5B25" w:rsidP="004A3C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7. Evaluarea Proiectelor depuse în cadrul produselor de finanțare lansate de CNED are loc în mai multe etape în baza prevederilor Manualelor Operaționale aferente acestor produse de finanțare, în cadrul căruia sunt prezentate rolurile în aprobarea proiectelor pentru fiecare etapă. </w:t>
            </w:r>
          </w:p>
        </w:tc>
      </w:tr>
      <w:tr w:rsidR="002B5B25" w:rsidRPr="00EC65AA" w14:paraId="0B406579" w14:textId="77777777" w:rsidTr="00D779B7">
        <w:trPr>
          <w:trHeight w:val="629"/>
        </w:trPr>
        <w:tc>
          <w:tcPr>
            <w:tcW w:w="866" w:type="pct"/>
            <w:vMerge/>
            <w:tcMar>
              <w:top w:w="0" w:type="dxa"/>
              <w:left w:w="108" w:type="dxa"/>
              <w:bottom w:w="0" w:type="dxa"/>
              <w:right w:w="108" w:type="dxa"/>
            </w:tcMar>
          </w:tcPr>
          <w:p w14:paraId="3A2B3822"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7153224"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CE947CD" w14:textId="77777777" w:rsidR="002B5B25" w:rsidRPr="00EC65AA" w:rsidRDefault="002B5B25" w:rsidP="00143ABC">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C. M&amp;V solid (măsurabil, verificabil)</w:t>
            </w:r>
          </w:p>
          <w:p w14:paraId="3DB86C7D" w14:textId="2217CC2F" w:rsidR="002B5B25" w:rsidRPr="00EC65AA" w:rsidRDefault="002B5B25" w:rsidP="00143ABC">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8. M&amp;V pe bază de plan obligatoriu (ex-ante): metrologie, surse de date, opțiune metodologică (IPMVP/echivalent național), factori de ajustare meteo/ocupare.</w:t>
            </w:r>
          </w:p>
          <w:p w14:paraId="6726C6AF" w14:textId="77777777" w:rsidR="002B5B25" w:rsidRPr="00EC65AA" w:rsidRDefault="002B5B25" w:rsidP="00143ABC">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9. Durata monitorizării:</w:t>
            </w:r>
          </w:p>
          <w:p w14:paraId="55A10828" w14:textId="77777777" w:rsidR="002B5B25" w:rsidRPr="00EC65AA" w:rsidRDefault="002B5B25" w:rsidP="00143ABC">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o 36 luni pentru anvelopă/încălzire centralizată,</w:t>
            </w:r>
          </w:p>
          <w:p w14:paraId="1DC2C58B" w14:textId="77777777" w:rsidR="002B5B25" w:rsidRPr="00EC65AA" w:rsidRDefault="002B5B25" w:rsidP="00143ABC">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o 24 luni pentru măsuri simple (iluminat/automatizări),</w:t>
            </w:r>
          </w:p>
          <w:p w14:paraId="169F44EC" w14:textId="6AE6D838" w:rsidR="002B5B25" w:rsidRPr="00EC65AA" w:rsidRDefault="002B5B25" w:rsidP="00143ABC">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o 60 luni pentru proiecte complexe (pachete mixte, </w:t>
            </w:r>
            <w:proofErr w:type="spellStart"/>
            <w:r w:rsidRPr="00EC65AA">
              <w:rPr>
                <w:rFonts w:ascii="Times New Roman" w:hAnsi="Times New Roman"/>
                <w:iCs/>
                <w:color w:val="000000" w:themeColor="text1"/>
                <w:sz w:val="24"/>
                <w:szCs w:val="28"/>
                <w:lang w:val="ro-RO"/>
              </w:rPr>
              <w:t>HP+anvelopă</w:t>
            </w:r>
            <w:proofErr w:type="spellEnd"/>
            <w:r w:rsidRPr="00EC65AA">
              <w:rPr>
                <w:rFonts w:ascii="Times New Roman" w:hAnsi="Times New Roman"/>
                <w:iCs/>
                <w:color w:val="000000" w:themeColor="text1"/>
                <w:sz w:val="24"/>
                <w:szCs w:val="28"/>
                <w:lang w:val="ro-RO"/>
              </w:rPr>
              <w:t>). (HG 251 prevede azi 24 luni indiferent de tipul măsurii.)</w:t>
            </w:r>
          </w:p>
          <w:p w14:paraId="7723D372" w14:textId="77777777" w:rsidR="002B5B25" w:rsidRPr="00EC65AA" w:rsidRDefault="002B5B25" w:rsidP="00143ABC">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10. Senzori și contorizare: pentru proiectele &gt; X MDL, contorizare dedicată (de ex.</w:t>
            </w:r>
          </w:p>
          <w:p w14:paraId="733154FC" w14:textId="3473A1B8" w:rsidR="002B5B25" w:rsidRPr="00EC65AA" w:rsidRDefault="002B5B25" w:rsidP="00143ABC">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căldură/electric) + telemetrie minimă pentru verificare automată.</w:t>
            </w:r>
          </w:p>
        </w:tc>
        <w:tc>
          <w:tcPr>
            <w:tcW w:w="1230" w:type="pct"/>
            <w:tcMar>
              <w:top w:w="0" w:type="dxa"/>
              <w:left w:w="108" w:type="dxa"/>
              <w:bottom w:w="0" w:type="dxa"/>
              <w:right w:w="108" w:type="dxa"/>
            </w:tcMar>
          </w:tcPr>
          <w:p w14:paraId="554CFCC3"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46963372" w14:textId="032ABBA3"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Majorarea perioadei de monitorizare post implementare pe o perioadă mai mare de 24 luni cât este la moment, nu este argumentată, pe motiv ca aceasta </w:t>
            </w:r>
            <w:r w:rsidRPr="00EC65AA">
              <w:rPr>
                <w:rFonts w:ascii="Times New Roman" w:hAnsi="Times New Roman"/>
                <w:sz w:val="24"/>
                <w:szCs w:val="24"/>
                <w:lang w:val="ro-RO"/>
              </w:rPr>
              <w:lastRenderedPageBreak/>
              <w:t xml:space="preserve">presupune costuri administrative și de personal care depășește capacitățile existente ale IP CNED. Experiența de până la moment cu proiectele de eficiență energetică în sectorul public, care sunt monitorizate post implementare pe parcursul a 24 luni, a demonstrat că această perioadă este suficientă pentru monitorizarea economiilor de energie planificate a fi obținute la etapa aprobării proiectului. </w:t>
            </w:r>
          </w:p>
        </w:tc>
      </w:tr>
      <w:tr w:rsidR="002B5B25" w:rsidRPr="00EC65AA" w14:paraId="091D57CC" w14:textId="77777777" w:rsidTr="00D779B7">
        <w:trPr>
          <w:trHeight w:val="629"/>
        </w:trPr>
        <w:tc>
          <w:tcPr>
            <w:tcW w:w="866" w:type="pct"/>
            <w:vMerge/>
            <w:tcMar>
              <w:top w:w="0" w:type="dxa"/>
              <w:left w:w="108" w:type="dxa"/>
              <w:bottom w:w="0" w:type="dxa"/>
              <w:right w:w="108" w:type="dxa"/>
            </w:tcMar>
          </w:tcPr>
          <w:p w14:paraId="4EC9F74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351FBCDA"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97036F5" w14:textId="77777777" w:rsidR="002B5B25" w:rsidRPr="00EC65AA" w:rsidRDefault="002B5B25" w:rsidP="00AA4A0B">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D. SACET și interesul public</w:t>
            </w:r>
          </w:p>
          <w:p w14:paraId="78EA015B" w14:textId="4D5A2B07" w:rsidR="002B5B25" w:rsidRPr="00EC65AA" w:rsidRDefault="002B5B25" w:rsidP="00AA4A0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11. Prioritate pentru blocurile racordate SACET cu condiții tehnice: modernizare PTC, echilibrare pe orizontală, contorizare individuală, ventile termostatice, izolații coloane/subsol. Alocare minimă: ≥50% din bugetul anual (HG 251 doar „urmărește” 50% din stimulente spre SACET; o facem cerință, nu doar indicator).</w:t>
            </w:r>
          </w:p>
          <w:p w14:paraId="1D9CC62C" w14:textId="17F5281F" w:rsidR="002B5B25" w:rsidRPr="00EC65AA" w:rsidRDefault="002B5B25" w:rsidP="00AA4A0B">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12. Interdicții clare: rămâne interdicția finanțării deconectărilor; adăugăm interdicția finanțării echipamentelor individuale care cresc sarcina de vârf a SACET sau afectează echilibrul hidraulic fără aviz operator.</w:t>
            </w:r>
          </w:p>
        </w:tc>
        <w:tc>
          <w:tcPr>
            <w:tcW w:w="1230" w:type="pct"/>
            <w:tcMar>
              <w:top w:w="0" w:type="dxa"/>
              <w:left w:w="108" w:type="dxa"/>
              <w:bottom w:w="0" w:type="dxa"/>
              <w:right w:w="108" w:type="dxa"/>
            </w:tcMar>
          </w:tcPr>
          <w:p w14:paraId="18195B1B"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6E3883DB" w14:textId="44E04E48"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11.Conform prevederilor pct. 10 din Programul FEERM aprobat prin HG 251/2024 este menționat că </w:t>
            </w:r>
          </w:p>
          <w:p w14:paraId="092754D5" w14:textId="77777777"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b/>
                <w:bCs/>
                <w:sz w:val="24"/>
                <w:szCs w:val="24"/>
                <w:lang w:val="ro-RO"/>
              </w:rPr>
              <w:t>„10. </w:t>
            </w:r>
            <w:r w:rsidRPr="00EC65AA">
              <w:rPr>
                <w:rFonts w:ascii="Times New Roman" w:hAnsi="Times New Roman"/>
                <w:sz w:val="24"/>
                <w:szCs w:val="24"/>
                <w:lang w:val="ro-RO"/>
              </w:rPr>
              <w:t xml:space="preserve">La elaborarea și aprobarea produselor de finanțare se ține cont de necesitatea promovării proiectelor în cadrul: </w:t>
            </w:r>
          </w:p>
          <w:p w14:paraId="44EE34FD" w14:textId="77777777"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w:t>
            </w:r>
          </w:p>
          <w:p w14:paraId="01739DF0" w14:textId="77777777"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3) asociațiilor cu blocuri locative și caselor individuale racordate la SACET;”</w:t>
            </w:r>
          </w:p>
          <w:p w14:paraId="564C6AAF" w14:textId="34D3471D"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12.Conform prevederilor pct. 12 din Programul FEERM este menționat că proiectele care promovează măsuri privind deconectarea de la SACET sau instalarea sistemelor individuale </w:t>
            </w:r>
            <w:r w:rsidRPr="00EC65AA">
              <w:rPr>
                <w:rFonts w:ascii="Times New Roman" w:hAnsi="Times New Roman"/>
                <w:sz w:val="24"/>
                <w:szCs w:val="24"/>
                <w:lang w:val="ro-RO"/>
              </w:rPr>
              <w:lastRenderedPageBreak/>
              <w:t>de producere a energiei termice în raza de acțiune a SACET</w:t>
            </w:r>
          </w:p>
          <w:p w14:paraId="4853512B" w14:textId="6C3F3B9B"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nu sunt eligibile pentru finanțare sau cofinanțare.</w:t>
            </w:r>
          </w:p>
          <w:p w14:paraId="38EF87D0" w14:textId="77777777"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00914C2" w14:textId="77777777" w:rsidR="002B5B25" w:rsidRPr="00EC65AA" w:rsidRDefault="002B5B25" w:rsidP="00AA4A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26B4AB2" w14:textId="27859B41"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B5B25" w:rsidRPr="00EC65AA" w14:paraId="008F069B" w14:textId="77777777" w:rsidTr="00D779B7">
        <w:trPr>
          <w:trHeight w:val="629"/>
        </w:trPr>
        <w:tc>
          <w:tcPr>
            <w:tcW w:w="866" w:type="pct"/>
            <w:vMerge/>
            <w:tcMar>
              <w:top w:w="0" w:type="dxa"/>
              <w:left w:w="108" w:type="dxa"/>
              <w:bottom w:w="0" w:type="dxa"/>
              <w:right w:w="108" w:type="dxa"/>
            </w:tcMar>
          </w:tcPr>
          <w:p w14:paraId="6C62B59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1DCEB60"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B391950" w14:textId="77777777" w:rsidR="002B5B25" w:rsidRPr="00EC65AA" w:rsidRDefault="002B5B25" w:rsidP="006726AD">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E. Birocrație redusă, reguli previzibile</w:t>
            </w:r>
          </w:p>
          <w:p w14:paraId="5C942484" w14:textId="04A37E63" w:rsidR="002B5B25" w:rsidRPr="00EC65AA" w:rsidRDefault="002B5B25" w:rsidP="006726A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13. „Ghișeu unic digital” (cont online) cu listă minim de acte, validări automate (restanțe buget/stat, datorii utilități, registru asociații), status în timp real.</w:t>
            </w:r>
          </w:p>
          <w:p w14:paraId="333E780D" w14:textId="39A9CF3E" w:rsidR="002B5B25" w:rsidRPr="00EC65AA" w:rsidRDefault="002B5B25" w:rsidP="006726AD">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14. Manualul operațional prin consultare publică (min. 15 zile) + arhivă versiuni + notă de răspuns la comentarii; modificările majore intră în vigoare la 30 zile după publicare, nu retroactiv.</w:t>
            </w:r>
          </w:p>
        </w:tc>
        <w:tc>
          <w:tcPr>
            <w:tcW w:w="1230" w:type="pct"/>
            <w:tcMar>
              <w:top w:w="0" w:type="dxa"/>
              <w:left w:w="108" w:type="dxa"/>
              <w:bottom w:w="0" w:type="dxa"/>
              <w:right w:w="108" w:type="dxa"/>
            </w:tcMar>
          </w:tcPr>
          <w:p w14:paraId="5ED9D619"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15C6A06C" w14:textId="765E7B64"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13.La moment IP CNED oferă suport consultativ și informațional prin publicarea informațiilor pe pagina web a acesteia. Crearea unui ghișeu unic digital este realizată la moment doar pentru produsul de finanțare „Casa verde”, care urmează a fi extins și pentru alte produse de finanțare pe măsura ce vor fi identificate mijloacele financiare necesare și dezvoltate capacitățile corespunzătoare atât pentru IP CNED cât și pentru potențialii </w:t>
            </w:r>
            <w:proofErr w:type="spellStart"/>
            <w:r w:rsidRPr="00EC65AA">
              <w:rPr>
                <w:rFonts w:ascii="Times New Roman" w:hAnsi="Times New Roman"/>
                <w:sz w:val="24"/>
                <w:szCs w:val="24"/>
                <w:lang w:val="ro-RO"/>
              </w:rPr>
              <w:t>aplicanți</w:t>
            </w:r>
            <w:proofErr w:type="spellEnd"/>
            <w:r w:rsidRPr="00EC65AA">
              <w:rPr>
                <w:rFonts w:ascii="Times New Roman" w:hAnsi="Times New Roman"/>
                <w:sz w:val="24"/>
                <w:szCs w:val="24"/>
                <w:lang w:val="ro-RO"/>
              </w:rPr>
              <w:t xml:space="preserve"> la produsele de finanțare disponibile ale IP CNED. </w:t>
            </w:r>
          </w:p>
          <w:p w14:paraId="0DA96082" w14:textId="134A9032"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14. Manualele operaționale sunt elaborate și aprobate de CNED pentru fiecare produs de finanțare. Acestea pot fi găsite pe pagina web a IP CNED, iar propunerile de ajustare/completare, modificare a acestora pot fi expediate în adresa </w:t>
            </w:r>
            <w:r w:rsidRPr="00EC65AA">
              <w:rPr>
                <w:rFonts w:ascii="Times New Roman" w:hAnsi="Times New Roman"/>
                <w:sz w:val="24"/>
                <w:szCs w:val="24"/>
                <w:lang w:val="ro-RO"/>
              </w:rPr>
              <w:lastRenderedPageBreak/>
              <w:t xml:space="preserve">IP CNED, care le analizează și le ia în considerare, după caz, în funcție de argumentele prezentate. </w:t>
            </w:r>
          </w:p>
          <w:p w14:paraId="7E904AB5" w14:textId="2561F8B4"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B5B25" w:rsidRPr="00EC65AA" w14:paraId="607E8915" w14:textId="77777777" w:rsidTr="00D779B7">
        <w:trPr>
          <w:trHeight w:val="629"/>
        </w:trPr>
        <w:tc>
          <w:tcPr>
            <w:tcW w:w="866" w:type="pct"/>
            <w:vMerge/>
            <w:tcMar>
              <w:top w:w="0" w:type="dxa"/>
              <w:left w:w="108" w:type="dxa"/>
              <w:bottom w:w="0" w:type="dxa"/>
              <w:right w:w="108" w:type="dxa"/>
            </w:tcMar>
          </w:tcPr>
          <w:p w14:paraId="61594B74"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39B07A75"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F07DACE" w14:textId="77777777" w:rsidR="002B5B25" w:rsidRPr="00EC65AA" w:rsidRDefault="002B5B25" w:rsidP="00EC5FCB">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F. Finanțe și costuri administrative</w:t>
            </w:r>
          </w:p>
          <w:p w14:paraId="31D195EF" w14:textId="1FE798B9" w:rsidR="002B5B25" w:rsidRPr="00EC65AA" w:rsidRDefault="002B5B25" w:rsidP="00EC5F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15. Cap administrativ degresiv: plafon 7% în 2025, 6% în 2026; bonus/</w:t>
            </w:r>
            <w:proofErr w:type="spellStart"/>
            <w:r w:rsidRPr="00EC65AA">
              <w:rPr>
                <w:rFonts w:ascii="Times New Roman" w:hAnsi="Times New Roman"/>
                <w:iCs/>
                <w:color w:val="000000" w:themeColor="text1"/>
                <w:sz w:val="24"/>
                <w:szCs w:val="28"/>
                <w:lang w:val="ro-RO"/>
              </w:rPr>
              <w:t>malus</w:t>
            </w:r>
            <w:proofErr w:type="spellEnd"/>
            <w:r w:rsidRPr="00EC65AA">
              <w:rPr>
                <w:rFonts w:ascii="Times New Roman" w:hAnsi="Times New Roman"/>
                <w:iCs/>
                <w:color w:val="000000" w:themeColor="text1"/>
                <w:sz w:val="24"/>
                <w:szCs w:val="28"/>
                <w:lang w:val="ro-RO"/>
              </w:rPr>
              <w:t xml:space="preserve"> anual pentru CNED: −1 pp dacă &lt;80% din țintele de economii, +1 pp dacă &gt;110% (dar fără a depăși 7%).</w:t>
            </w:r>
          </w:p>
          <w:p w14:paraId="5071B2DC" w14:textId="77777777" w:rsidR="002B5B25" w:rsidRPr="00EC65AA" w:rsidRDefault="002B5B25" w:rsidP="00EC5F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(HG 251 are 10% fix.)</w:t>
            </w:r>
          </w:p>
          <w:p w14:paraId="33550D8B" w14:textId="6D702B41" w:rsidR="002B5B25" w:rsidRPr="00EC65AA" w:rsidRDefault="002B5B25" w:rsidP="00EC5FCB">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16. Plafoane unitare publice pe tip de lucrare (anvelopă, tâmplărie, PTC, HP, PV), actualizate trimestrial; proiectele peste plafon necesită justificare independentă.</w:t>
            </w:r>
          </w:p>
          <w:p w14:paraId="4256A1C3" w14:textId="232E1C9B" w:rsidR="002B5B25" w:rsidRPr="00EC65AA" w:rsidRDefault="002B5B25" w:rsidP="00EC5FCB">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 xml:space="preserve">17. </w:t>
            </w:r>
            <w:proofErr w:type="spellStart"/>
            <w:r w:rsidRPr="00EC65AA">
              <w:rPr>
                <w:rFonts w:ascii="Times New Roman" w:hAnsi="Times New Roman"/>
                <w:iCs/>
                <w:color w:val="000000" w:themeColor="text1"/>
                <w:sz w:val="24"/>
                <w:szCs w:val="28"/>
                <w:lang w:val="ro-RO"/>
              </w:rPr>
              <w:t>Leverage</w:t>
            </w:r>
            <w:proofErr w:type="spellEnd"/>
            <w:r w:rsidRPr="00EC65AA">
              <w:rPr>
                <w:rFonts w:ascii="Times New Roman" w:hAnsi="Times New Roman"/>
                <w:iCs/>
                <w:color w:val="000000" w:themeColor="text1"/>
                <w:sz w:val="24"/>
                <w:szCs w:val="28"/>
                <w:lang w:val="ro-RO"/>
              </w:rPr>
              <w:t>: +10 p în punctaj pentru EPC/credit bancar (art. 30 permite EPC; adăugăm stimulent explicit).</w:t>
            </w:r>
          </w:p>
        </w:tc>
        <w:tc>
          <w:tcPr>
            <w:tcW w:w="1230" w:type="pct"/>
            <w:tcMar>
              <w:top w:w="0" w:type="dxa"/>
              <w:left w:w="108" w:type="dxa"/>
              <w:bottom w:w="0" w:type="dxa"/>
              <w:right w:w="108" w:type="dxa"/>
            </w:tcMar>
          </w:tcPr>
          <w:p w14:paraId="6054C70E"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204BA967" w14:textId="677AED2C" w:rsidR="002B5B25" w:rsidRPr="00EC65AA" w:rsidRDefault="002B5B25" w:rsidP="00EC5F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15. costurile de până la 10% pentru gestionarea, monitorizarea și controlul programelor și proiectelor de implementare a măsurilor în domeniul eficienței energetice și valorificării surselor regenerabile de energie, sunt argumentate și sunt prevăzute de art. 11 alin.3) din Legea nr. 139/2018 cu privire la eficiența energetică. Cu referire la indicatorii de performanță aceștia sunt stabiliți și aprobați în conformitate cu prevederile Statutului Instituției Publice Centrul Național pentru Energie Durabilă aprobat prin HG 1060/2023.</w:t>
            </w:r>
          </w:p>
          <w:p w14:paraId="63B8AB03" w14:textId="77777777" w:rsidR="002B5B25" w:rsidRPr="00EC65AA" w:rsidRDefault="002B5B25" w:rsidP="00EC5F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16. Plafoane specifice de finanțare a măsurilor de eficiență energetică și valorificare a surselor regenerabile de energie la moment există doar pentru produsul de finanțare „Casa verde”. Pentru celelalte produse de finanțare existente la moment </w:t>
            </w:r>
            <w:r w:rsidRPr="00EC65AA">
              <w:rPr>
                <w:rFonts w:ascii="Times New Roman" w:hAnsi="Times New Roman"/>
                <w:sz w:val="24"/>
                <w:szCs w:val="24"/>
                <w:lang w:val="ro-RO"/>
              </w:rPr>
              <w:lastRenderedPageBreak/>
              <w:t xml:space="preserve">acestea nu sunt necesare pe motiv că organizarea achizițiilor publice pentru selectarea agenților economici care să execute lucrările de reabilitare energetică pentru APC și proprietarii de case individuale cu grad de vulnerabilitate energetică extremă are loc de către IP CNED. </w:t>
            </w:r>
          </w:p>
          <w:p w14:paraId="2CA6F6F7" w14:textId="0341A9FC" w:rsidR="002B5B25" w:rsidRPr="00EC65AA" w:rsidRDefault="002B5B25" w:rsidP="00EC5F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17. Implementarea măsurilor de eficiență energetică în baza Contractelor de performanță energetică pentru sectorul rezidențial urmează a fi analizată la o etapa ulterioară, după pilotarea acestui model pe clădirile din sectorul public, ajustarea cadrului normativ și crearea premiselor pentru dezvoltarea pieței pentru astfel de servicii. </w:t>
            </w:r>
          </w:p>
          <w:p w14:paraId="108885B7" w14:textId="607915F1"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2B5B25" w:rsidRPr="00EC65AA" w14:paraId="5BA53FF8" w14:textId="77777777" w:rsidTr="00D779B7">
        <w:trPr>
          <w:trHeight w:val="629"/>
        </w:trPr>
        <w:tc>
          <w:tcPr>
            <w:tcW w:w="866" w:type="pct"/>
            <w:vMerge/>
            <w:tcMar>
              <w:top w:w="0" w:type="dxa"/>
              <w:left w:w="108" w:type="dxa"/>
              <w:bottom w:w="0" w:type="dxa"/>
              <w:right w:w="108" w:type="dxa"/>
            </w:tcMar>
          </w:tcPr>
          <w:p w14:paraId="2A83BCAE"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1AEA2113"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FA14BB2" w14:textId="77777777"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Schiță de articole de modificare</w:t>
            </w:r>
          </w:p>
          <w:p w14:paraId="4E7C782D" w14:textId="5E19525F"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 La pct. 24 se introduce alin. (1¹): „Aprobarea finanțării este condiționată de respectarea pragurilor de cost-eficacitate pe categorie de măsură, publicate trimestrial în anexa la manualul operațional (€/MWh economisit și, după caz, €/m² sau €/</w:t>
            </w:r>
            <w:proofErr w:type="spellStart"/>
            <w:r w:rsidRPr="00EC65AA">
              <w:rPr>
                <w:rFonts w:ascii="Times New Roman" w:hAnsi="Times New Roman"/>
                <w:iCs/>
                <w:color w:val="000000" w:themeColor="text1"/>
                <w:sz w:val="24"/>
                <w:szCs w:val="28"/>
                <w:lang w:val="ro-RO"/>
              </w:rPr>
              <w:t>kWp</w:t>
            </w:r>
            <w:proofErr w:type="spellEnd"/>
            <w:r w:rsidRPr="00EC65AA">
              <w:rPr>
                <w:rFonts w:ascii="Times New Roman" w:hAnsi="Times New Roman"/>
                <w:iCs/>
                <w:color w:val="000000" w:themeColor="text1"/>
                <w:sz w:val="24"/>
                <w:szCs w:val="28"/>
                <w:lang w:val="ro-RO"/>
              </w:rPr>
              <w:t>).”</w:t>
            </w:r>
          </w:p>
          <w:p w14:paraId="66C98AF6" w14:textId="3D277145"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2. După pct. 26 se introduce pct. 26¹: „Selecția se face pe baza unei matrice publice de punctaj… (ponderile de mai sus).”</w:t>
            </w:r>
          </w:p>
          <w:p w14:paraId="53B26950" w14:textId="54156AFB"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3. La pct. 12 se adaugă lit. 2¹: „Nu sunt eligibile proiectele de generare (PV/HP) care nu ating pragurile minime de reducere a necesarului termic/consumului prin măsuri de eficiență.”</w:t>
            </w:r>
          </w:p>
          <w:p w14:paraId="67B5488C" w14:textId="63FF8E46"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4. La pct. 36: se înlocuiește cu „24–60 luni, conform tipului de măsură, stabilit în manualul operațional; minim 36 luni pentru măsuri de anvelopă/încălzire centralizată.”</w:t>
            </w:r>
          </w:p>
          <w:p w14:paraId="78E85F5E" w14:textId="0BF2567E"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5. La pct. 43: „Plafonul cheltuielilor administrative… până la 7% în anul curent; Ministerul Energiei stabilește anual ținte și mecanism bonus/</w:t>
            </w:r>
            <w:proofErr w:type="spellStart"/>
            <w:r w:rsidRPr="00EC65AA">
              <w:rPr>
                <w:rFonts w:ascii="Times New Roman" w:hAnsi="Times New Roman"/>
                <w:iCs/>
                <w:color w:val="000000" w:themeColor="text1"/>
                <w:sz w:val="24"/>
                <w:szCs w:val="28"/>
                <w:lang w:val="ro-RO"/>
              </w:rPr>
              <w:t>malus</w:t>
            </w:r>
            <w:proofErr w:type="spellEnd"/>
            <w:r w:rsidRPr="00EC65AA">
              <w:rPr>
                <w:rFonts w:ascii="Times New Roman" w:hAnsi="Times New Roman"/>
                <w:iCs/>
                <w:color w:val="000000" w:themeColor="text1"/>
                <w:sz w:val="24"/>
                <w:szCs w:val="28"/>
                <w:lang w:val="ro-RO"/>
              </w:rPr>
              <w:t>.”</w:t>
            </w:r>
          </w:p>
          <w:p w14:paraId="5474FE57" w14:textId="18630797"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6. La pct. 38: completare: „Se publică deschis, pe proiect și linie de cost, toate datele relevante (descrise mai sus), în format deschis (CSV/API).”</w:t>
            </w:r>
          </w:p>
          <w:p w14:paraId="7F8CCA12" w14:textId="340CE69E"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7. La pct. 47–52: introducere proceduri anticorupție (achiziții standardizate, COI, rotire evaluatori, control ex-post ≥15%, listă neagră, sancțiuni).</w:t>
            </w:r>
          </w:p>
          <w:p w14:paraId="0F718028" w14:textId="5D710394" w:rsidR="002B5B25" w:rsidRPr="00EC65AA" w:rsidRDefault="002B5B25" w:rsidP="00351318">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8. La pct. 10–11: întărirea priorităților pentru SACET și cerințe tehnice minime (PTC modern, echilibrare, contorizare individuală).</w:t>
            </w:r>
          </w:p>
          <w:p w14:paraId="2303A2C8" w14:textId="34BFE7A3" w:rsidR="002B5B25" w:rsidRPr="00EC65AA" w:rsidRDefault="002B5B25" w:rsidP="00351318">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9. La pct. 25: „Manualul operațional și ghidul de aplicare se supun consultării publice min. 15 zile; răspunsul la comentarii este public.”</w:t>
            </w:r>
          </w:p>
        </w:tc>
        <w:tc>
          <w:tcPr>
            <w:tcW w:w="1230" w:type="pct"/>
            <w:tcMar>
              <w:top w:w="0" w:type="dxa"/>
              <w:left w:w="108" w:type="dxa"/>
              <w:bottom w:w="0" w:type="dxa"/>
              <w:right w:w="108" w:type="dxa"/>
            </w:tcMar>
          </w:tcPr>
          <w:p w14:paraId="665DBD86"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5D889411" w14:textId="024C5F53"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 se vedea explicațiile de mai sus.</w:t>
            </w:r>
          </w:p>
        </w:tc>
      </w:tr>
      <w:tr w:rsidR="002B5B25" w:rsidRPr="00EC65AA" w14:paraId="433A7922" w14:textId="77777777" w:rsidTr="00D779B7">
        <w:trPr>
          <w:trHeight w:val="629"/>
        </w:trPr>
        <w:tc>
          <w:tcPr>
            <w:tcW w:w="866" w:type="pct"/>
            <w:vMerge/>
            <w:tcMar>
              <w:top w:w="0" w:type="dxa"/>
              <w:left w:w="108" w:type="dxa"/>
              <w:bottom w:w="0" w:type="dxa"/>
              <w:right w:w="108" w:type="dxa"/>
            </w:tcMar>
          </w:tcPr>
          <w:p w14:paraId="6F11C777"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181E1233"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7DF3C0D" w14:textId="77777777" w:rsidR="002B5B25" w:rsidRPr="00EC65AA" w:rsidRDefault="002B5B25" w:rsidP="00846E00">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Propuneri de modificare a HG 829/2024</w:t>
            </w:r>
          </w:p>
          <w:p w14:paraId="31995DC8" w14:textId="63AF9E1E" w:rsidR="002B5B25" w:rsidRPr="00EC65AA" w:rsidRDefault="002B5B25" w:rsidP="00846E00">
            <w:pPr>
              <w:pStyle w:val="ListParagraph"/>
              <w:numPr>
                <w:ilvl w:val="0"/>
                <w:numId w:val="22"/>
              </w:numPr>
              <w:autoSpaceDE w:val="0"/>
              <w:autoSpaceDN w:val="0"/>
              <w:adjustRightInd w:val="0"/>
              <w:spacing w:before="120" w:after="12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Dispozițiile Hotărârii</w:t>
            </w:r>
          </w:p>
          <w:p w14:paraId="50F33A01" w14:textId="77777777" w:rsidR="002B5B25" w:rsidRPr="00EC65AA" w:rsidRDefault="002B5B25" w:rsidP="00846E00">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 După punctul 3 se introduce un nou punct 3¹, cu următorul cuprins:</w:t>
            </w:r>
          </w:p>
          <w:p w14:paraId="54ACECA4" w14:textId="11E03494" w:rsidR="002B5B25" w:rsidRPr="00EC65AA" w:rsidRDefault="002B5B25" w:rsidP="00846E00">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„3¹. Întreprinderile mari care dețin două sau mai multe obiecte (unități operaționale distincte – fabrici, secții, magazine, depozite, </w:t>
            </w:r>
            <w:r w:rsidRPr="00EC65AA">
              <w:rPr>
                <w:rFonts w:ascii="Times New Roman" w:hAnsi="Times New Roman"/>
                <w:iCs/>
                <w:color w:val="000000" w:themeColor="text1"/>
                <w:sz w:val="24"/>
                <w:szCs w:val="28"/>
                <w:lang w:val="ro-RO"/>
              </w:rPr>
              <w:lastRenderedPageBreak/>
              <w:t>sedii) elaborează, în termen de 60 de zile de la notificarea IP CNED, un Program multianual de audit energetic (PMAE) pe o durată de 3–4 ani, care indică obiectele și/sau compartimentele ce urmează a fi auditate anual, ordinea de prioritate, perioadele propuse de colectare a datelor și ponderile de consum vizate. PMAE se avizează de IP CNED în termen de 20 de zile lucrătoare; avizul poate cuprinde recomandări de ajustare a priorităților și calendarului.”</w:t>
            </w:r>
          </w:p>
        </w:tc>
        <w:tc>
          <w:tcPr>
            <w:tcW w:w="1230" w:type="pct"/>
            <w:tcMar>
              <w:top w:w="0" w:type="dxa"/>
              <w:left w:w="108" w:type="dxa"/>
              <w:bottom w:w="0" w:type="dxa"/>
              <w:right w:w="108" w:type="dxa"/>
            </w:tcMar>
          </w:tcPr>
          <w:p w14:paraId="36DDCA8A"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Nu se acceptă.</w:t>
            </w:r>
          </w:p>
          <w:p w14:paraId="40D7C484"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Elaborarea unui program multianual de audit energetic va reprezenta o povara financiară și administrativă pe întreprinderile mari. Totodată, coordonarea Programului multianual de audit energetic va reprezenta o atribuție </w:t>
            </w:r>
            <w:r w:rsidRPr="00EC65AA">
              <w:rPr>
                <w:rFonts w:ascii="Times New Roman" w:hAnsi="Times New Roman"/>
                <w:sz w:val="24"/>
                <w:szCs w:val="24"/>
                <w:lang w:val="ro-RO"/>
              </w:rPr>
              <w:lastRenderedPageBreak/>
              <w:t>nouă pentru IP CNED, care implică cheltuieli adiționale, care la moment nu sunt prevăzute.</w:t>
            </w:r>
          </w:p>
          <w:p w14:paraId="1CD8E494" w14:textId="77777777"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Este de menționat că obligativitatea elaborării auditului energetic de către întreprinderile mari odată la 4 ani este prevăzută de Legea nr. 139/2018 cu privire la eficiența energetică, care transpune Directiva 2012/27/UE a Parlamentului European și a Consiliului din 25 octombrie 2012 privind eficiența energetică, de modificare a Directivelor 2009/125/CE și 2010/30/UE și de abrogare a Directivelor 2004/8/CE și 2006/32/CE, publicată în Jurnalul Oficial al Uniunii Europene L 315 din 14 noiembrie 2012, astfel cum a fost modificată prin Directiva (UE) 2018/2002 a Parlamentului European și a Consiliului din 11 decembrie 2018 de modificare a Directivei 2012/27/UE privind eficiența energetică, în varianta adaptată și aprobată prin Decizia Consiliului ministerial al Comunității Energetice nr. 2021/14/MC-</w:t>
            </w:r>
            <w:proofErr w:type="spellStart"/>
            <w:r w:rsidRPr="00EC65AA">
              <w:rPr>
                <w:rFonts w:ascii="Times New Roman" w:hAnsi="Times New Roman"/>
                <w:sz w:val="24"/>
                <w:szCs w:val="24"/>
                <w:lang w:val="ro-RO"/>
              </w:rPr>
              <w:t>EnC</w:t>
            </w:r>
            <w:proofErr w:type="spellEnd"/>
            <w:r w:rsidRPr="00EC65AA">
              <w:rPr>
                <w:rFonts w:ascii="Times New Roman" w:hAnsi="Times New Roman"/>
                <w:sz w:val="24"/>
                <w:szCs w:val="24"/>
                <w:lang w:val="ro-RO"/>
              </w:rPr>
              <w:t>.</w:t>
            </w:r>
          </w:p>
          <w:p w14:paraId="08FF3FAD" w14:textId="39884640" w:rsidR="002B5B25" w:rsidRPr="00EC65AA" w:rsidRDefault="002B5B25" w:rsidP="007F37C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 </w:t>
            </w:r>
          </w:p>
        </w:tc>
      </w:tr>
      <w:tr w:rsidR="002B5B25" w:rsidRPr="00EC65AA" w14:paraId="138976F5" w14:textId="77777777" w:rsidTr="00D779B7">
        <w:trPr>
          <w:trHeight w:val="629"/>
        </w:trPr>
        <w:tc>
          <w:tcPr>
            <w:tcW w:w="866" w:type="pct"/>
            <w:vMerge/>
            <w:tcMar>
              <w:top w:w="0" w:type="dxa"/>
              <w:left w:w="108" w:type="dxa"/>
              <w:bottom w:w="0" w:type="dxa"/>
              <w:right w:w="108" w:type="dxa"/>
            </w:tcMar>
          </w:tcPr>
          <w:p w14:paraId="58ED19BD"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1B0142ED"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22FF715" w14:textId="77777777" w:rsidR="002B5B25" w:rsidRPr="00EC65AA" w:rsidRDefault="002B5B25" w:rsidP="002C0513">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2. După punctul 3¹ se introduce punctul 3²:</w:t>
            </w:r>
          </w:p>
          <w:p w14:paraId="1A713AB8" w14:textId="236DF87E" w:rsidR="002B5B25" w:rsidRPr="00EC65AA" w:rsidRDefault="002B5B25" w:rsidP="002C0513">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„3². Respectarea obligațiilor prevăzute la pct. 3 se evaluează prin raportare la PMAE avizat, astfel încât, în fiecare an, întreprinderea să prezinte cel puțin rapoartele aferente obiectelor/compartimentelor înscrise în PMAE pentru anul respectiv și, la finalul ciclului de 4 ani, un raport consolidat privind întreaga întreprindere.”</w:t>
            </w:r>
          </w:p>
        </w:tc>
        <w:tc>
          <w:tcPr>
            <w:tcW w:w="1230" w:type="pct"/>
            <w:tcMar>
              <w:top w:w="0" w:type="dxa"/>
              <w:left w:w="108" w:type="dxa"/>
              <w:bottom w:w="0" w:type="dxa"/>
              <w:right w:w="108" w:type="dxa"/>
            </w:tcMar>
          </w:tcPr>
          <w:p w14:paraId="3BFBCA09" w14:textId="6103BE64"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Conform art. 30 alin 14) din Legea nr. 139/2018 cu privire la eficiența energetică este menționat că:</w:t>
            </w:r>
          </w:p>
          <w:p w14:paraId="45828B5E"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„(14) Întreprinderile mari care nu intră sub incidența Legii nr.179/2016 cu privire la întreprinderile mici și mijlocii vor efectua primul audit energetic în termen de 1 an de la recepționarea notificării prevăzute la art. 19 alin.(1) din prezenta lege, în conformitate cu prevederile Regulamentului cu privire la efectuarea auditului energetic de către întreprinderile mari, aprobat de Guvern, și, ulterior, vor efectua audituri energetice cel puțin o dată la fiecare 4 ani de la data efectuării ultimului audit energetic.”</w:t>
            </w:r>
          </w:p>
          <w:p w14:paraId="04E6564D" w14:textId="6D542373"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 xml:space="preserve">Astfel, legea nr. 139/2018 cu privire la eficiența energetică nu prevede elaborarea unui Program multianual de audit energetic, care să prevadă că elaborarea auditului energetic în cazul întreprinderilor mari să fie efectuat pe parcursul a mai multor ani, în funcție de procesele și obiectivele aferente </w:t>
            </w:r>
            <w:r w:rsidRPr="00EC65AA">
              <w:rPr>
                <w:rFonts w:ascii="Times New Roman" w:hAnsi="Times New Roman"/>
                <w:sz w:val="24"/>
                <w:szCs w:val="24"/>
                <w:lang w:val="ro-RO"/>
              </w:rPr>
              <w:lastRenderedPageBreak/>
              <w:t xml:space="preserve">întreprinderilor care au o astfel de obligativitate.    </w:t>
            </w:r>
          </w:p>
        </w:tc>
      </w:tr>
      <w:tr w:rsidR="002B5B25" w:rsidRPr="00EC65AA" w14:paraId="0CF6BDBB" w14:textId="77777777" w:rsidTr="00D779B7">
        <w:trPr>
          <w:trHeight w:val="629"/>
        </w:trPr>
        <w:tc>
          <w:tcPr>
            <w:tcW w:w="866" w:type="pct"/>
            <w:vMerge/>
            <w:tcMar>
              <w:top w:w="0" w:type="dxa"/>
              <w:left w:w="108" w:type="dxa"/>
              <w:bottom w:w="0" w:type="dxa"/>
              <w:right w:w="108" w:type="dxa"/>
            </w:tcMar>
          </w:tcPr>
          <w:p w14:paraId="6AFFED8B"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7748D485"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342D1A0" w14:textId="77777777" w:rsidR="002B5B25" w:rsidRPr="00EC65AA" w:rsidRDefault="002B5B25" w:rsidP="004E00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3. După punctul 3² se introduce punctul 3³:</w:t>
            </w:r>
          </w:p>
          <w:p w14:paraId="400DE93A" w14:textId="7A84E0A6" w:rsidR="002B5B25" w:rsidRPr="00EC65AA" w:rsidRDefault="002B5B25" w:rsidP="004E00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 xml:space="preserve">„3³. În cazuri motivate de </w:t>
            </w:r>
            <w:proofErr w:type="spellStart"/>
            <w:r w:rsidRPr="00EC65AA">
              <w:rPr>
                <w:rFonts w:ascii="Times New Roman" w:hAnsi="Times New Roman"/>
                <w:iCs/>
                <w:color w:val="000000" w:themeColor="text1"/>
                <w:sz w:val="24"/>
                <w:szCs w:val="28"/>
                <w:lang w:val="ro-RO"/>
              </w:rPr>
              <w:t>sezonalitatea</w:t>
            </w:r>
            <w:proofErr w:type="spellEnd"/>
            <w:r w:rsidRPr="00EC65AA">
              <w:rPr>
                <w:rFonts w:ascii="Times New Roman" w:hAnsi="Times New Roman"/>
                <w:iCs/>
                <w:color w:val="000000" w:themeColor="text1"/>
                <w:sz w:val="24"/>
                <w:szCs w:val="28"/>
                <w:lang w:val="ro-RO"/>
              </w:rPr>
              <w:t xml:space="preserve"> activității (de ex. încălzire/răcire sezonieră, campanii agricole, vârfuri logistice) sau de indisponibilitatea datelor reprezentative, IP CNED poate prelungi termenele din PMAE pentru obiectele/compartimentele afectate, până la următorul sezon reprezentativ, dar nu mai mult de 6 luni per obiect/compartiment.”</w:t>
            </w:r>
          </w:p>
        </w:tc>
        <w:tc>
          <w:tcPr>
            <w:tcW w:w="1230" w:type="pct"/>
            <w:tcMar>
              <w:top w:w="0" w:type="dxa"/>
              <w:left w:w="108" w:type="dxa"/>
              <w:bottom w:w="0" w:type="dxa"/>
              <w:right w:w="108" w:type="dxa"/>
            </w:tcMar>
          </w:tcPr>
          <w:p w14:paraId="67ABE71B" w14:textId="0019DD58"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Conform art. 30 alin 14) din Legea nr. 139/2018 cu privire la eficiența energetică prevede expres termenul în care întreprinderile mari au obligația de a efectua auditul energetic.</w:t>
            </w:r>
          </w:p>
          <w:p w14:paraId="59EB6BE1" w14:textId="6CDC04CA"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Prin urmare, IP CNED nu poate prelungi termenul prevăzut de Lege. </w:t>
            </w:r>
          </w:p>
          <w:p w14:paraId="70B93A19"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B5B25" w:rsidRPr="00EC65AA" w14:paraId="73E76DD9" w14:textId="77777777" w:rsidTr="00D779B7">
        <w:trPr>
          <w:trHeight w:val="629"/>
        </w:trPr>
        <w:tc>
          <w:tcPr>
            <w:tcW w:w="866" w:type="pct"/>
            <w:vMerge/>
            <w:tcMar>
              <w:top w:w="0" w:type="dxa"/>
              <w:left w:w="108" w:type="dxa"/>
              <w:bottom w:w="0" w:type="dxa"/>
              <w:right w:w="108" w:type="dxa"/>
            </w:tcMar>
          </w:tcPr>
          <w:p w14:paraId="75660E6F"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6744BE4B"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6A5C92C" w14:textId="77777777" w:rsidR="002B5B25" w:rsidRPr="00EC65AA" w:rsidRDefault="002B5B25" w:rsidP="004E00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II. Modificări/Completări în Regulament</w:t>
            </w:r>
          </w:p>
          <w:p w14:paraId="612389A1" w14:textId="77777777" w:rsidR="002B5B25" w:rsidRPr="00EC65AA" w:rsidRDefault="002B5B25" w:rsidP="004E00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 La capitolul „Dispoziții generale”, după definiții, se introduc două definiții noi:</w:t>
            </w:r>
          </w:p>
          <w:p w14:paraId="2EDD721A" w14:textId="7710F02A" w:rsidR="002B5B25" w:rsidRPr="00EC65AA" w:rsidRDefault="002B5B25" w:rsidP="004E00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„obiect – unitate operațională distinctă a întreprinderii (fabrică, secție, magazin, depozit, sediu administrativ, parc auto localizat etc.) cu contabilitate energetică identificabilă;</w:t>
            </w:r>
          </w:p>
          <w:p w14:paraId="3EAA5F94" w14:textId="5B678398" w:rsidR="002B5B25" w:rsidRPr="00EC65AA" w:rsidRDefault="002B5B25" w:rsidP="004E00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„compartiment” – domeniu funcțional al consumului de energie al întreprinderii: clădiri, procese tehnologice sau transport (inclusiv logistică internă), auditat distinct ori combinat.”</w:t>
            </w:r>
          </w:p>
          <w:p w14:paraId="05CC8516" w14:textId="30F9E58F" w:rsidR="002B5B25" w:rsidRPr="00EC65AA" w:rsidRDefault="002B5B25" w:rsidP="004E00B7">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„perioada de recuperare simplă (PRS)” – numărul de ani în care economiile anuale nete acoperă investiția inițială, fără actualizare;</w:t>
            </w:r>
          </w:p>
          <w:p w14:paraId="53453AC2" w14:textId="4B399E08" w:rsidR="002B5B25" w:rsidRPr="00EC65AA" w:rsidRDefault="002B5B25" w:rsidP="004E00B7">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„perioada de recuperare actualizată (PRA)” – numărul de ani în care economiile nete, ținând cont de valoarea timpului (o rată de actualizare stabilită prin ordin director CNED), acoperă investiția inițială.</w:t>
            </w:r>
          </w:p>
        </w:tc>
        <w:tc>
          <w:tcPr>
            <w:tcW w:w="1230" w:type="pct"/>
            <w:tcMar>
              <w:top w:w="0" w:type="dxa"/>
              <w:left w:w="108" w:type="dxa"/>
              <w:bottom w:w="0" w:type="dxa"/>
              <w:right w:w="108" w:type="dxa"/>
            </w:tcMar>
          </w:tcPr>
          <w:p w14:paraId="741747A8"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21EBF374" w14:textId="5E947EC3" w:rsidR="002B5B25" w:rsidRPr="00EC65AA" w:rsidRDefault="002B5B25" w:rsidP="00581EE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Definițiile propuse nu se acceptă, pe motiv că acestea nu se utilizează în textul Regulamentului cu privire la efectuarea auditului energetic de către întreprinderile mari.</w:t>
            </w:r>
          </w:p>
        </w:tc>
      </w:tr>
      <w:tr w:rsidR="002B5B25" w:rsidRPr="00EC65AA" w14:paraId="4B06A9D1" w14:textId="77777777" w:rsidTr="00D779B7">
        <w:trPr>
          <w:trHeight w:val="629"/>
        </w:trPr>
        <w:tc>
          <w:tcPr>
            <w:tcW w:w="866" w:type="pct"/>
            <w:vMerge/>
            <w:tcMar>
              <w:top w:w="0" w:type="dxa"/>
              <w:left w:w="108" w:type="dxa"/>
              <w:bottom w:w="0" w:type="dxa"/>
              <w:right w:w="108" w:type="dxa"/>
            </w:tcMar>
          </w:tcPr>
          <w:p w14:paraId="247C1D7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8835DAF"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DF5A14B" w14:textId="0553F3E4" w:rsidR="002B5B25" w:rsidRPr="00EC65AA" w:rsidRDefault="002B5B25" w:rsidP="00581EE1">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2. Se introduce un nou capitol „Perimetru și programare multianuală” (numerotarea finală se va armoniza), cu următorul cuprins:</w:t>
            </w:r>
          </w:p>
          <w:p w14:paraId="233966FB" w14:textId="77777777"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X.1. Auditul energetic se proiectează pe baza principiului materialității și a oportunității economice:</w:t>
            </w:r>
          </w:p>
          <w:p w14:paraId="14737A66" w14:textId="02376CF7"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auditorul energetic, împreună cu întreprinderea, selectează compartimentul/compartimentele (clădiri, procese, transport) și obiectele cu cel mai mare potențial de economii și perioadă scurtă de recuperare a investiției, în baza unei analize preliminare (pre-audit) realizate în termen de 30 de zile de la notificarea IP CNED.</w:t>
            </w:r>
          </w:p>
          <w:p w14:paraId="172050E0" w14:textId="7F73776E"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X.2. PMAE stabilește acoperirea cumulată a auditului, astfel încât, pe durata unui ciclu de 4 ani, auditurile să acopere cel puțin 80% din consumul final anual al întreprinderii sau să includă cel puțin două compartimente majore care, împreună, depășesc 80% din consumul final anual.</w:t>
            </w:r>
          </w:p>
          <w:p w14:paraId="3976F989" w14:textId="2B47156F"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X.3. În fiecare an, raportarea cuprinde rapoartele de audit pe obiect/compartiment prevăzute în PMAE + un rezumat anual cu situația întreprinderii (măsuri propuse, perioada de recuperare investiție, economii ex-ante/ex-post, stadiu implementare). La finalul ciclului, întreprinderea prezintă un raport consolidat la nivel de întreprindere, care integrează rezultatele multianuale.</w:t>
            </w:r>
          </w:p>
          <w:p w14:paraId="3D2675DC" w14:textId="365F962E"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X.4. CNED avizează PMAE și poate solicita ajustări pentru a asigura acoperirea minimă, comparabilitatea datelor și relevanța sezonieră a măsurătorilor. Modificările ulterioare ale PMAE se notifică CNED cu cel puțin 15 zile înainte de perioada afectată.</w:t>
            </w:r>
          </w:p>
          <w:p w14:paraId="23B0906F" w14:textId="27F614BC"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X.5. Nerespectarea PMAE fără motive justificate atrage măsuri de conformare potrivit legii; respectarea PMAE echivalează cu </w:t>
            </w:r>
            <w:r w:rsidRPr="00EC65AA">
              <w:rPr>
                <w:rFonts w:ascii="Times New Roman" w:hAnsi="Times New Roman"/>
                <w:iCs/>
                <w:color w:val="000000" w:themeColor="text1"/>
                <w:sz w:val="24"/>
                <w:szCs w:val="28"/>
                <w:lang w:val="ro-RO"/>
              </w:rPr>
              <w:lastRenderedPageBreak/>
              <w:t>respectarea obligației de prezentare a raportului anual aferent perioadei.</w:t>
            </w:r>
          </w:p>
          <w:p w14:paraId="09B9E9D9" w14:textId="0BC2AC47"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X.6. Auditorii aplică standardele SM EN 16247 (părțile 1–5, după caz) și cerințele de conținut din Regulament; pentru transport, se aplică SM EN 16247-4 și se acceptă audit etapizat per parc/locație, cu consolidare anuală.</w:t>
            </w:r>
          </w:p>
          <w:p w14:paraId="3B7F5BDD" w14:textId="1E47D28D"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X.7. Pentru întreprinderile cu ≥5 obiecte, PMAE prevede o acoperire minimă anuală de 20–30% din consumul total (prin obiectele selectate) și, cu prioritate, obiectele/compartimentele cu TRS ≤ 4 ani sau contribuție &gt;15% la consumul total.</w:t>
            </w:r>
          </w:p>
          <w:p w14:paraId="72ADDB49" w14:textId="053F6F9C"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X.8. </w:t>
            </w:r>
            <w:proofErr w:type="spellStart"/>
            <w:r w:rsidRPr="00EC65AA">
              <w:rPr>
                <w:rFonts w:ascii="Times New Roman" w:hAnsi="Times New Roman"/>
                <w:iCs/>
                <w:color w:val="000000" w:themeColor="text1"/>
                <w:sz w:val="24"/>
                <w:szCs w:val="28"/>
                <w:lang w:val="ro-RO"/>
              </w:rPr>
              <w:t>Sezonalitatea</w:t>
            </w:r>
            <w:proofErr w:type="spellEnd"/>
            <w:r w:rsidRPr="00EC65AA">
              <w:rPr>
                <w:rFonts w:ascii="Times New Roman" w:hAnsi="Times New Roman"/>
                <w:iCs/>
                <w:color w:val="000000" w:themeColor="text1"/>
                <w:sz w:val="24"/>
                <w:szCs w:val="28"/>
                <w:lang w:val="ro-RO"/>
              </w:rPr>
              <w:t>: activitățile de colectare a datelor pentru clădiri/CET/CT și procese dependente de temperatură se programează în sezoane reprezentative; dacă notificarea survine în afara sezonului, termenele din PMAE se decalează corespunzător, conform pct. 3³ din Hotărâre.</w:t>
            </w:r>
          </w:p>
        </w:tc>
        <w:tc>
          <w:tcPr>
            <w:tcW w:w="1230" w:type="pct"/>
            <w:tcMar>
              <w:top w:w="0" w:type="dxa"/>
              <w:left w:w="108" w:type="dxa"/>
              <w:bottom w:w="0" w:type="dxa"/>
              <w:right w:w="108" w:type="dxa"/>
            </w:tcMar>
          </w:tcPr>
          <w:p w14:paraId="51FBF58B"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Nu se acceptă.</w:t>
            </w:r>
          </w:p>
          <w:p w14:paraId="278D1D7F"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2C2821F" w14:textId="37F1994A"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 se vedea argumentele de mai sus.</w:t>
            </w:r>
          </w:p>
        </w:tc>
      </w:tr>
      <w:tr w:rsidR="002B5B25" w:rsidRPr="00EC65AA" w14:paraId="70F7F46E" w14:textId="77777777" w:rsidTr="00D779B7">
        <w:trPr>
          <w:trHeight w:val="629"/>
        </w:trPr>
        <w:tc>
          <w:tcPr>
            <w:tcW w:w="866" w:type="pct"/>
            <w:vMerge/>
            <w:tcMar>
              <w:top w:w="0" w:type="dxa"/>
              <w:left w:w="108" w:type="dxa"/>
              <w:bottom w:w="0" w:type="dxa"/>
              <w:right w:w="108" w:type="dxa"/>
            </w:tcMar>
          </w:tcPr>
          <w:p w14:paraId="75225AB0"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1FE0DCB"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DA177ED" w14:textId="16829DF6" w:rsidR="002B5B25" w:rsidRPr="00EC65AA" w:rsidRDefault="002B5B25" w:rsidP="00581EE1">
            <w:pPr>
              <w:pStyle w:val="ListParagraph"/>
              <w:numPr>
                <w:ilvl w:val="0"/>
                <w:numId w:val="21"/>
              </w:numPr>
              <w:autoSpaceDE w:val="0"/>
              <w:autoSpaceDN w:val="0"/>
              <w:adjustRightInd w:val="0"/>
              <w:spacing w:before="120" w:after="12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La capitolul „Raportare și monitorizare” se introduce un punct nou:</w:t>
            </w:r>
          </w:p>
          <w:p w14:paraId="30521DED" w14:textId="77777777"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 xml:space="preserve">Y.1. IP CNED publică anual o notă de planificare privind volumul estimat de </w:t>
            </w:r>
            <w:proofErr w:type="spellStart"/>
            <w:r w:rsidRPr="00EC65AA">
              <w:rPr>
                <w:rFonts w:ascii="Times New Roman" w:hAnsi="Times New Roman"/>
                <w:iCs/>
                <w:color w:val="000000" w:themeColor="text1"/>
                <w:sz w:val="24"/>
                <w:szCs w:val="28"/>
                <w:lang w:val="ro-RO"/>
              </w:rPr>
              <w:t>audite</w:t>
            </w:r>
            <w:proofErr w:type="spellEnd"/>
            <w:r w:rsidRPr="00EC65AA">
              <w:rPr>
                <w:rFonts w:ascii="Times New Roman" w:hAnsi="Times New Roman"/>
                <w:iCs/>
                <w:color w:val="000000" w:themeColor="text1"/>
                <w:sz w:val="24"/>
                <w:szCs w:val="28"/>
                <w:lang w:val="ro-RO"/>
              </w:rPr>
              <w:t xml:space="preserve"> și capacitatea pieței (număr de auditori activi/ disponibili), corelând calendarul notificărilor cu capacitatea existentă; întreprinderile pot solicita eșalonare motivat în PMAE pentru a evita aglomerări nerealiste.</w:t>
            </w:r>
          </w:p>
          <w:p w14:paraId="5CF970C8" w14:textId="77777777"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p>
          <w:p w14:paraId="729C6C2D" w14:textId="77777777" w:rsidR="002B5B25" w:rsidRPr="00EC65AA" w:rsidRDefault="002B5B25" w:rsidP="00581EE1">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III. Ajustări punctuale (armonizare termene)</w:t>
            </w:r>
          </w:p>
          <w:p w14:paraId="5AE0B48F" w14:textId="7CEF2E5D"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Termenul de 12 luni pentru prezentarea primului raport curge de la data notificării IP CNED, dar se consideră îndeplinit dacă, în 12 luni, întreprinderea a livrat rapoartele aferente anului 1 din </w:t>
            </w:r>
            <w:r w:rsidRPr="00EC65AA">
              <w:rPr>
                <w:rFonts w:ascii="Times New Roman" w:hAnsi="Times New Roman"/>
                <w:iCs/>
                <w:color w:val="000000" w:themeColor="text1"/>
                <w:sz w:val="24"/>
                <w:szCs w:val="28"/>
                <w:lang w:val="ro-RO"/>
              </w:rPr>
              <w:lastRenderedPageBreak/>
              <w:t>PMAE și rezumatul anual; raportul consolidat se depune la închiderea ciclului de 4 ani.</w:t>
            </w:r>
          </w:p>
          <w:p w14:paraId="4A640853" w14:textId="73CEDA4A" w:rsidR="002B5B25" w:rsidRPr="00EC65AA" w:rsidRDefault="002B5B25" w:rsidP="00581EE1">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O întârziere cauzată de </w:t>
            </w:r>
            <w:proofErr w:type="spellStart"/>
            <w:r w:rsidRPr="00EC65AA">
              <w:rPr>
                <w:rFonts w:ascii="Times New Roman" w:hAnsi="Times New Roman"/>
                <w:iCs/>
                <w:color w:val="000000" w:themeColor="text1"/>
                <w:sz w:val="24"/>
                <w:szCs w:val="28"/>
                <w:lang w:val="ro-RO"/>
              </w:rPr>
              <w:t>sezonalitate</w:t>
            </w:r>
            <w:proofErr w:type="spellEnd"/>
            <w:r w:rsidRPr="00EC65AA">
              <w:rPr>
                <w:rFonts w:ascii="Times New Roman" w:hAnsi="Times New Roman"/>
                <w:iCs/>
                <w:color w:val="000000" w:themeColor="text1"/>
                <w:sz w:val="24"/>
                <w:szCs w:val="28"/>
                <w:lang w:val="ro-RO"/>
              </w:rPr>
              <w:t xml:space="preserve"> sau de accesul la date se justifică în PMAE și se recuperează în următorul an prin acoperire suplimentară (ex.: +10% consum acoperit).</w:t>
            </w:r>
          </w:p>
        </w:tc>
        <w:tc>
          <w:tcPr>
            <w:tcW w:w="1230" w:type="pct"/>
            <w:tcMar>
              <w:top w:w="0" w:type="dxa"/>
              <w:left w:w="108" w:type="dxa"/>
              <w:bottom w:w="0" w:type="dxa"/>
              <w:right w:w="108" w:type="dxa"/>
            </w:tcMar>
          </w:tcPr>
          <w:p w14:paraId="11BCAD83"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Nu se acceptă. </w:t>
            </w:r>
          </w:p>
          <w:p w14:paraId="10F26AE6"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Termenul în care întreprinderile mari trebuie să asigure elaborarea auditurilor energetice este prevăzut de legea nr. 139/2018 cu privire la eficiența energetică. </w:t>
            </w:r>
          </w:p>
          <w:p w14:paraId="501CE82C" w14:textId="1B951D61"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Auditorii energetici calificați care pot elabora aceste rapoarte sunt incluși în Registrul auditorilor energetici, care este disponibil pe pagina web a CNED (</w:t>
            </w:r>
            <w:hyperlink r:id="rId14" w:history="1">
              <w:r w:rsidRPr="00EC65AA">
                <w:rPr>
                  <w:rStyle w:val="Hyperlink"/>
                  <w:rFonts w:ascii="Times New Roman" w:hAnsi="Times New Roman"/>
                  <w:sz w:val="24"/>
                  <w:szCs w:val="24"/>
                  <w:lang w:val="ro-RO"/>
                </w:rPr>
                <w:t>www.cned.gov.md</w:t>
              </w:r>
            </w:hyperlink>
            <w:r w:rsidRPr="00EC65AA">
              <w:rPr>
                <w:rFonts w:ascii="Times New Roman" w:hAnsi="Times New Roman"/>
                <w:sz w:val="24"/>
                <w:szCs w:val="24"/>
                <w:lang w:val="ro-RO"/>
              </w:rPr>
              <w:t>).</w:t>
            </w:r>
          </w:p>
          <w:p w14:paraId="0CD05BCE"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AA04159" w14:textId="4798E7F8"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În cazul în care întreprinderile mari nu vor prezenta Rapoartele </w:t>
            </w:r>
            <w:r w:rsidRPr="00EC65AA">
              <w:rPr>
                <w:rFonts w:ascii="Times New Roman" w:hAnsi="Times New Roman"/>
                <w:sz w:val="24"/>
                <w:szCs w:val="24"/>
                <w:lang w:val="ro-RO"/>
              </w:rPr>
              <w:lastRenderedPageBreak/>
              <w:t>de audit energetic în termenele prevăzute de lege, acestea urmează să poarte răspundere prin aplicarea sancțiunilor financiare prevăzute de art. 28, alin.3) și 4) din Legea nr. 139/2018 cu privire la eficiența energetică.</w:t>
            </w:r>
          </w:p>
        </w:tc>
      </w:tr>
      <w:tr w:rsidR="002B5B25" w:rsidRPr="00EC65AA" w14:paraId="68A96675" w14:textId="77777777" w:rsidTr="00D779B7">
        <w:trPr>
          <w:trHeight w:val="629"/>
        </w:trPr>
        <w:tc>
          <w:tcPr>
            <w:tcW w:w="866" w:type="pct"/>
            <w:vMerge/>
            <w:tcMar>
              <w:top w:w="0" w:type="dxa"/>
              <w:left w:w="108" w:type="dxa"/>
              <w:bottom w:w="0" w:type="dxa"/>
              <w:right w:w="108" w:type="dxa"/>
            </w:tcMar>
          </w:tcPr>
          <w:p w14:paraId="71D495D8"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38582E6"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9185D51" w14:textId="77777777" w:rsidR="002B5B25" w:rsidRPr="00EC65AA" w:rsidRDefault="002B5B25" w:rsidP="005A308E">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IV. De ce e legal și funcțional (nota de fundamentare – pe scurt)</w:t>
            </w:r>
          </w:p>
          <w:p w14:paraId="321364E3" w14:textId="150EF979" w:rsidR="002B5B25" w:rsidRPr="00EC65AA" w:rsidRDefault="002B5B25" w:rsidP="005A308E">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Proporționalitate și materialitate: obligația de audit rămâne, dar se permite focalizarea acolo unde economiile și perioadele de recuperare investiție sunt minime, evitând costuri nejustificate pe segmente cu impact redus.</w:t>
            </w:r>
          </w:p>
          <w:p w14:paraId="2DCA6FE4" w14:textId="66A7D471" w:rsidR="002B5B25" w:rsidRPr="00EC65AA" w:rsidRDefault="002B5B25" w:rsidP="005A308E">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Conformitate cu ciclul de 4 ani: se păstrează periodicitatea, dar se permite etapizarea pentru întreprinderile cu multe obiecte, cu raport consolidat la final.</w:t>
            </w:r>
          </w:p>
          <w:p w14:paraId="3853854F" w14:textId="5F41250C" w:rsidR="002B5B25" w:rsidRPr="00EC65AA" w:rsidRDefault="002B5B25" w:rsidP="005A308E">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Capacitate de piață: introducerea PMAE și a planificării publice de către CNED evită „vârfurile” imposibile (ex. „45 companii într-un an în 2025”), oferind continuitate și predictibilitate.</w:t>
            </w:r>
          </w:p>
          <w:p w14:paraId="33FB55BF" w14:textId="1CE02A67" w:rsidR="002B5B25" w:rsidRPr="00EC65AA" w:rsidRDefault="002B5B25" w:rsidP="005A308E">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Segoe UI Symbol" w:hAnsi="Segoe UI Symbol" w:cs="Segoe UI Symbol"/>
                <w:iCs/>
                <w:color w:val="000000" w:themeColor="text1"/>
                <w:sz w:val="24"/>
                <w:szCs w:val="28"/>
                <w:lang w:val="ro-RO"/>
              </w:rPr>
              <w:t>➢</w:t>
            </w:r>
            <w:r w:rsidRPr="00EC65AA">
              <w:rPr>
                <w:rFonts w:ascii="Times New Roman" w:hAnsi="Times New Roman"/>
                <w:iCs/>
                <w:color w:val="000000" w:themeColor="text1"/>
                <w:sz w:val="24"/>
                <w:szCs w:val="28"/>
                <w:lang w:val="ro-RO"/>
              </w:rPr>
              <w:t xml:space="preserve"> </w:t>
            </w:r>
            <w:proofErr w:type="spellStart"/>
            <w:r w:rsidRPr="00EC65AA">
              <w:rPr>
                <w:rFonts w:ascii="Times New Roman" w:hAnsi="Times New Roman"/>
                <w:iCs/>
                <w:color w:val="000000" w:themeColor="text1"/>
                <w:sz w:val="24"/>
                <w:szCs w:val="28"/>
                <w:lang w:val="ro-RO"/>
              </w:rPr>
              <w:t>Sezonalitate</w:t>
            </w:r>
            <w:proofErr w:type="spellEnd"/>
            <w:r w:rsidRPr="00EC65AA">
              <w:rPr>
                <w:rFonts w:ascii="Times New Roman" w:hAnsi="Times New Roman"/>
                <w:iCs/>
                <w:color w:val="000000" w:themeColor="text1"/>
                <w:sz w:val="24"/>
                <w:szCs w:val="28"/>
                <w:lang w:val="ro-RO"/>
              </w:rPr>
              <w:t>: datele devin comparabile și reprezentative, reducând riscul de măsuri greșite și de contestări.</w:t>
            </w:r>
          </w:p>
        </w:tc>
        <w:tc>
          <w:tcPr>
            <w:tcW w:w="1230" w:type="pct"/>
            <w:tcMar>
              <w:top w:w="0" w:type="dxa"/>
              <w:left w:w="108" w:type="dxa"/>
              <w:bottom w:w="0" w:type="dxa"/>
              <w:right w:w="108" w:type="dxa"/>
            </w:tcMar>
          </w:tcPr>
          <w:p w14:paraId="7E5AB603" w14:textId="77777777"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Nu se acceptă. </w:t>
            </w:r>
          </w:p>
          <w:p w14:paraId="4C154FF6" w14:textId="715A5202"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A se vedea argumentările de mai sus.</w:t>
            </w:r>
          </w:p>
        </w:tc>
      </w:tr>
      <w:tr w:rsidR="002B5B25" w:rsidRPr="00EC65AA" w14:paraId="460CFA9C" w14:textId="77777777" w:rsidTr="00D779B7">
        <w:trPr>
          <w:trHeight w:val="629"/>
        </w:trPr>
        <w:tc>
          <w:tcPr>
            <w:tcW w:w="866" w:type="pct"/>
            <w:vMerge/>
            <w:tcMar>
              <w:top w:w="0" w:type="dxa"/>
              <w:left w:w="108" w:type="dxa"/>
              <w:bottom w:w="0" w:type="dxa"/>
              <w:right w:w="108" w:type="dxa"/>
            </w:tcMar>
          </w:tcPr>
          <w:p w14:paraId="76069F62" w14:textId="77777777" w:rsidR="002B5B25" w:rsidRPr="00EC65AA" w:rsidRDefault="002B5B25"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771D5DD2" w14:textId="77777777" w:rsidR="002B5B25" w:rsidRPr="00EC65AA" w:rsidRDefault="002B5B25"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9DD42DC" w14:textId="77777777" w:rsidR="002B5B25" w:rsidRPr="00EC65AA" w:rsidRDefault="002B5B25" w:rsidP="001E0BBD">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b/>
                <w:bCs/>
                <w:iCs/>
                <w:color w:val="000000" w:themeColor="text1"/>
                <w:sz w:val="24"/>
                <w:szCs w:val="28"/>
                <w:lang w:val="ro-RO"/>
              </w:rPr>
              <w:t>Solicitări finale</w:t>
            </w:r>
          </w:p>
          <w:p w14:paraId="5C5C3FA0" w14:textId="4A608C39" w:rsidR="002B5B25" w:rsidRPr="00EC65AA" w:rsidRDefault="002B5B25" w:rsidP="001E0BB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1. Integrarea amendamentelor de mai sus în textul proiectului de HG/Regulament și în manualele operaționale aferente.</w:t>
            </w:r>
          </w:p>
          <w:p w14:paraId="10E2FBBD" w14:textId="42199350" w:rsidR="002B5B25" w:rsidRPr="00EC65AA" w:rsidRDefault="002B5B25" w:rsidP="001E0BB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lastRenderedPageBreak/>
              <w:t>2. Organizarea unei ședințe tehnice cu IP CNED, Ministerul Energiei și părțile interesate, pentru parcurgerea propunerilor punct cu punct.</w:t>
            </w:r>
          </w:p>
          <w:p w14:paraId="2C491B88" w14:textId="17D3D5BF" w:rsidR="002B5B25" w:rsidRPr="00EC65AA" w:rsidRDefault="002B5B25" w:rsidP="001E0BBD">
            <w:pPr>
              <w:autoSpaceDE w:val="0"/>
              <w:autoSpaceDN w:val="0"/>
              <w:adjustRightInd w:val="0"/>
              <w:spacing w:before="120" w:after="120"/>
              <w:ind w:firstLine="0"/>
              <w:rPr>
                <w:rFonts w:ascii="Times New Roman" w:hAnsi="Times New Roman"/>
                <w:iCs/>
                <w:color w:val="000000" w:themeColor="text1"/>
                <w:sz w:val="24"/>
                <w:szCs w:val="28"/>
                <w:lang w:val="ro-RO"/>
              </w:rPr>
            </w:pPr>
            <w:r w:rsidRPr="00EC65AA">
              <w:rPr>
                <w:rFonts w:ascii="Times New Roman" w:hAnsi="Times New Roman"/>
                <w:iCs/>
                <w:color w:val="000000" w:themeColor="text1"/>
                <w:sz w:val="24"/>
                <w:szCs w:val="28"/>
                <w:lang w:val="ro-RO"/>
              </w:rPr>
              <w:t>3. Publicarea unei note de răspuns la comentarii (traseu decizional), cu indicarea propunerilor acceptate, parțial acceptate și respinse, împreună cu motivarea.</w:t>
            </w:r>
          </w:p>
          <w:p w14:paraId="3CA53ECB" w14:textId="2387CD93" w:rsidR="002B5B25" w:rsidRPr="00EC65AA" w:rsidRDefault="002B5B25" w:rsidP="001E0BBD">
            <w:pPr>
              <w:autoSpaceDE w:val="0"/>
              <w:autoSpaceDN w:val="0"/>
              <w:adjustRightInd w:val="0"/>
              <w:spacing w:before="120" w:after="120"/>
              <w:ind w:firstLine="0"/>
              <w:rPr>
                <w:rFonts w:ascii="Times New Roman" w:hAnsi="Times New Roman"/>
                <w:b/>
                <w:bCs/>
                <w:iCs/>
                <w:color w:val="000000" w:themeColor="text1"/>
                <w:sz w:val="24"/>
                <w:szCs w:val="28"/>
                <w:lang w:val="ro-RO"/>
              </w:rPr>
            </w:pPr>
            <w:r w:rsidRPr="00EC65AA">
              <w:rPr>
                <w:rFonts w:ascii="Times New Roman" w:hAnsi="Times New Roman"/>
                <w:iCs/>
                <w:color w:val="000000" w:themeColor="text1"/>
                <w:sz w:val="24"/>
                <w:szCs w:val="28"/>
                <w:lang w:val="ro-RO"/>
              </w:rPr>
              <w:t>Vă mulțumim pentru oportunitatea de a contribui la un cadru mai eficient, mai curat administrativ și mai orientat către rezultate reale pentru cetățeni și economie.</w:t>
            </w:r>
          </w:p>
        </w:tc>
        <w:tc>
          <w:tcPr>
            <w:tcW w:w="1230" w:type="pct"/>
            <w:tcMar>
              <w:top w:w="0" w:type="dxa"/>
              <w:left w:w="108" w:type="dxa"/>
              <w:bottom w:w="0" w:type="dxa"/>
              <w:right w:w="108" w:type="dxa"/>
            </w:tcMar>
          </w:tcPr>
          <w:p w14:paraId="1AE0A1CE" w14:textId="1E45AAB5" w:rsidR="002B5B25" w:rsidRPr="00EC65AA" w:rsidRDefault="002B5B25"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p w14:paraId="068E670C" w14:textId="77777777" w:rsidR="002B5B25" w:rsidRPr="00EC65AA" w:rsidRDefault="002B5B25" w:rsidP="001E0B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 xml:space="preserve">Propunerile prezentate la proiectul de Hotărâre de Guvern privind modificarea unor hotărâri ale Guvernului (facilitarea </w:t>
            </w:r>
            <w:r w:rsidRPr="00EC65AA">
              <w:rPr>
                <w:rFonts w:ascii="Times New Roman" w:hAnsi="Times New Roman"/>
                <w:sz w:val="24"/>
                <w:szCs w:val="24"/>
                <w:lang w:val="ro-RO"/>
              </w:rPr>
              <w:lastRenderedPageBreak/>
              <w:t>implementării proiectelor de eficiență energetică), nr. unic 677/</w:t>
            </w:r>
            <w:proofErr w:type="spellStart"/>
            <w:r w:rsidRPr="00EC65AA">
              <w:rPr>
                <w:rFonts w:ascii="Times New Roman" w:hAnsi="Times New Roman"/>
                <w:sz w:val="24"/>
                <w:szCs w:val="24"/>
                <w:lang w:val="ro-RO"/>
              </w:rPr>
              <w:t>MEn</w:t>
            </w:r>
            <w:proofErr w:type="spellEnd"/>
            <w:r w:rsidRPr="00EC65AA">
              <w:rPr>
                <w:rFonts w:ascii="Times New Roman" w:hAnsi="Times New Roman"/>
                <w:sz w:val="24"/>
                <w:szCs w:val="24"/>
                <w:lang w:val="ro-RO"/>
              </w:rPr>
              <w:t xml:space="preserve">/2025  au fost analizate, iar argumentările corespunzătoare sunt prezentate în sinteză. </w:t>
            </w:r>
          </w:p>
          <w:p w14:paraId="6E66A3D3" w14:textId="637CEAEF" w:rsidR="00E07C44" w:rsidRPr="00EC65AA" w:rsidRDefault="00E07C44" w:rsidP="001E0BBD">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EC65AA">
              <w:rPr>
                <w:rFonts w:ascii="Times New Roman" w:hAnsi="Times New Roman"/>
                <w:color w:val="000000" w:themeColor="text1"/>
                <w:sz w:val="24"/>
                <w:szCs w:val="24"/>
                <w:lang w:val="ro-RO"/>
              </w:rPr>
              <w:t xml:space="preserve">În data de </w:t>
            </w:r>
            <w:r w:rsidR="00DE3AFE" w:rsidRPr="00EC65AA">
              <w:rPr>
                <w:rFonts w:ascii="Times New Roman" w:hAnsi="Times New Roman"/>
                <w:color w:val="000000" w:themeColor="text1"/>
                <w:sz w:val="24"/>
                <w:szCs w:val="24"/>
                <w:lang w:val="ro-RO"/>
              </w:rPr>
              <w:t>09</w:t>
            </w:r>
            <w:r w:rsidRPr="00EC65AA">
              <w:rPr>
                <w:rFonts w:ascii="Times New Roman" w:hAnsi="Times New Roman"/>
                <w:color w:val="000000" w:themeColor="text1"/>
                <w:sz w:val="24"/>
                <w:szCs w:val="24"/>
                <w:lang w:val="ro-RO"/>
              </w:rPr>
              <w:t xml:space="preserve">.09.2025 a fost organizată o ședință cu reprezentanții </w:t>
            </w:r>
            <w:proofErr w:type="spellStart"/>
            <w:r w:rsidRPr="00EC65AA">
              <w:rPr>
                <w:rFonts w:ascii="Times New Roman" w:hAnsi="Times New Roman"/>
                <w:color w:val="000000" w:themeColor="text1"/>
                <w:sz w:val="24"/>
                <w:szCs w:val="24"/>
                <w:lang w:val="ro-RO"/>
              </w:rPr>
              <w:t>MEn</w:t>
            </w:r>
            <w:proofErr w:type="spellEnd"/>
            <w:r w:rsidR="008F4727" w:rsidRPr="00EC65AA">
              <w:rPr>
                <w:rFonts w:ascii="Times New Roman" w:hAnsi="Times New Roman"/>
                <w:color w:val="000000" w:themeColor="text1"/>
                <w:sz w:val="24"/>
                <w:szCs w:val="24"/>
                <w:lang w:val="ro-RO"/>
              </w:rPr>
              <w:t xml:space="preserve">, </w:t>
            </w:r>
            <w:r w:rsidRPr="00EC65AA">
              <w:rPr>
                <w:rFonts w:ascii="Times New Roman" w:hAnsi="Times New Roman"/>
                <w:color w:val="000000" w:themeColor="text1"/>
                <w:sz w:val="24"/>
                <w:szCs w:val="24"/>
                <w:lang w:val="ro-RO"/>
              </w:rPr>
              <w:t>IP CNED</w:t>
            </w:r>
            <w:r w:rsidR="008F4727" w:rsidRPr="00EC65AA">
              <w:rPr>
                <w:rFonts w:ascii="Times New Roman" w:hAnsi="Times New Roman"/>
                <w:color w:val="000000" w:themeColor="text1"/>
                <w:sz w:val="24"/>
                <w:szCs w:val="24"/>
                <w:lang w:val="ro-RO"/>
              </w:rPr>
              <w:t xml:space="preserve"> și autorul avizului în cadrul căreia au fost discutate propunerile efectuate asupra proiectului de Hotărâre de Guvern, cu prezentarea argumentărilor corespunzătoare.  </w:t>
            </w:r>
            <w:r w:rsidRPr="00EC65AA">
              <w:rPr>
                <w:rFonts w:ascii="Times New Roman" w:hAnsi="Times New Roman"/>
                <w:color w:val="000000" w:themeColor="text1"/>
                <w:sz w:val="24"/>
                <w:szCs w:val="24"/>
                <w:lang w:val="ro-RO"/>
              </w:rPr>
              <w:t xml:space="preserve">  </w:t>
            </w:r>
          </w:p>
          <w:p w14:paraId="2A66D52D" w14:textId="07606B81" w:rsidR="002B5B25" w:rsidRPr="00EC65AA" w:rsidRDefault="002B5B25" w:rsidP="001E0BB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124608" w:rsidRPr="00EC65AA" w14:paraId="135BE9F6" w14:textId="77777777" w:rsidTr="00D779B7">
        <w:trPr>
          <w:trHeight w:val="629"/>
        </w:trPr>
        <w:tc>
          <w:tcPr>
            <w:tcW w:w="866" w:type="pct"/>
            <w:tcMar>
              <w:top w:w="0" w:type="dxa"/>
              <w:left w:w="108" w:type="dxa"/>
              <w:bottom w:w="0" w:type="dxa"/>
              <w:right w:w="108" w:type="dxa"/>
            </w:tcMar>
          </w:tcPr>
          <w:p w14:paraId="22CE13CA" w14:textId="72EC1894" w:rsidR="00124608" w:rsidRPr="00124608" w:rsidRDefault="00124608"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24608">
              <w:rPr>
                <w:rFonts w:ascii="Times New Roman" w:hAnsi="Times New Roman"/>
                <w:b/>
                <w:bCs/>
                <w:sz w:val="24"/>
                <w:szCs w:val="24"/>
                <w:lang w:val="ro-RO"/>
              </w:rPr>
              <w:lastRenderedPageBreak/>
              <w:t>RED Nord SA</w:t>
            </w:r>
          </w:p>
        </w:tc>
        <w:tc>
          <w:tcPr>
            <w:tcW w:w="577" w:type="pct"/>
            <w:tcMar>
              <w:top w:w="0" w:type="dxa"/>
              <w:left w:w="108" w:type="dxa"/>
              <w:bottom w:w="0" w:type="dxa"/>
              <w:right w:w="108" w:type="dxa"/>
            </w:tcMar>
          </w:tcPr>
          <w:p w14:paraId="56D9F729" w14:textId="72F94B42" w:rsidR="00124608" w:rsidRPr="00124608" w:rsidRDefault="00124608"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24608">
              <w:rPr>
                <w:rFonts w:ascii="Times New Roman" w:hAnsi="Times New Roman"/>
                <w:sz w:val="24"/>
                <w:szCs w:val="24"/>
                <w:lang w:val="ro-RO"/>
              </w:rPr>
              <w:t>STER-09/2142</w:t>
            </w:r>
            <w:r w:rsidRPr="00124608">
              <w:rPr>
                <w:rFonts w:ascii="Times New Roman" w:hAnsi="Times New Roman"/>
                <w:sz w:val="24"/>
                <w:szCs w:val="24"/>
                <w:lang w:val="ro-RO"/>
              </w:rPr>
              <w:t xml:space="preserve"> din 22.09.2025</w:t>
            </w:r>
          </w:p>
        </w:tc>
        <w:tc>
          <w:tcPr>
            <w:tcW w:w="2327" w:type="pct"/>
            <w:tcMar>
              <w:top w:w="0" w:type="dxa"/>
              <w:left w:w="108" w:type="dxa"/>
              <w:bottom w:w="0" w:type="dxa"/>
              <w:right w:w="108" w:type="dxa"/>
            </w:tcMar>
          </w:tcPr>
          <w:p w14:paraId="02EBC461" w14:textId="600FE070" w:rsidR="00124608" w:rsidRPr="00124608" w:rsidRDefault="00124608" w:rsidP="001E0BBD">
            <w:pPr>
              <w:autoSpaceDE w:val="0"/>
              <w:autoSpaceDN w:val="0"/>
              <w:adjustRightInd w:val="0"/>
              <w:spacing w:before="120" w:after="120"/>
              <w:ind w:firstLine="0"/>
              <w:rPr>
                <w:rFonts w:ascii="Times New Roman" w:hAnsi="Times New Roman"/>
                <w:iCs/>
                <w:color w:val="000000" w:themeColor="text1"/>
                <w:sz w:val="24"/>
                <w:szCs w:val="28"/>
                <w:lang w:val="ro-RO"/>
              </w:rPr>
            </w:pPr>
            <w:r w:rsidRPr="00124608">
              <w:rPr>
                <w:rFonts w:ascii="Times New Roman" w:hAnsi="Times New Roman"/>
                <w:iCs/>
                <w:color w:val="000000" w:themeColor="text1"/>
                <w:sz w:val="24"/>
                <w:szCs w:val="28"/>
                <w:lang w:val="ro-RO"/>
              </w:rPr>
              <w:t xml:space="preserve">Prin prezenta, </w:t>
            </w:r>
            <w:proofErr w:type="spellStart"/>
            <w:r w:rsidRPr="00124608">
              <w:rPr>
                <w:rFonts w:ascii="Times New Roman" w:hAnsi="Times New Roman"/>
                <w:iCs/>
                <w:color w:val="000000" w:themeColor="text1"/>
                <w:sz w:val="24"/>
                <w:szCs w:val="28"/>
                <w:lang w:val="ro-RO"/>
              </w:rPr>
              <w:t>administraţia</w:t>
            </w:r>
            <w:proofErr w:type="spellEnd"/>
            <w:r w:rsidRPr="00124608">
              <w:rPr>
                <w:rFonts w:ascii="Times New Roman" w:hAnsi="Times New Roman"/>
                <w:iCs/>
                <w:color w:val="000000" w:themeColor="text1"/>
                <w:sz w:val="24"/>
                <w:szCs w:val="28"/>
                <w:lang w:val="ro-RO"/>
              </w:rPr>
              <w:t xml:space="preserve"> S.A. „RED-Nord” Vă aduce la cunoștință  că a analizat adresarea DVS. Nr. 03-2396 din 09.09.2025 referitor la examinarea proiectului de hotărâre cu privire la  modificarea unor hotărâri ale Guvernului (facilitarea implementării proiectelor de eficiență energetică) (număr unic 677/</w:t>
            </w:r>
            <w:proofErr w:type="spellStart"/>
            <w:r w:rsidRPr="00124608">
              <w:rPr>
                <w:rFonts w:ascii="Times New Roman" w:hAnsi="Times New Roman"/>
                <w:iCs/>
                <w:color w:val="000000" w:themeColor="text1"/>
                <w:sz w:val="24"/>
                <w:szCs w:val="28"/>
                <w:lang w:val="ro-RO"/>
              </w:rPr>
              <w:t>MEn</w:t>
            </w:r>
            <w:proofErr w:type="spellEnd"/>
            <w:r w:rsidRPr="00124608">
              <w:rPr>
                <w:rFonts w:ascii="Times New Roman" w:hAnsi="Times New Roman"/>
                <w:iCs/>
                <w:color w:val="000000" w:themeColor="text1"/>
                <w:sz w:val="24"/>
                <w:szCs w:val="28"/>
                <w:lang w:val="ro-RO"/>
              </w:rPr>
              <w:t xml:space="preserve">/2025). Vă comunicăm că </w:t>
            </w:r>
            <w:proofErr w:type="spellStart"/>
            <w:r w:rsidRPr="00124608">
              <w:rPr>
                <w:rFonts w:ascii="Times New Roman" w:hAnsi="Times New Roman"/>
                <w:iCs/>
                <w:color w:val="000000" w:themeColor="text1"/>
                <w:sz w:val="24"/>
                <w:szCs w:val="28"/>
                <w:lang w:val="ro-RO"/>
              </w:rPr>
              <w:t>administraţia</w:t>
            </w:r>
            <w:proofErr w:type="spellEnd"/>
            <w:r w:rsidRPr="00124608">
              <w:rPr>
                <w:rFonts w:ascii="Times New Roman" w:hAnsi="Times New Roman"/>
                <w:iCs/>
                <w:color w:val="000000" w:themeColor="text1"/>
                <w:sz w:val="24"/>
                <w:szCs w:val="28"/>
                <w:lang w:val="ro-RO"/>
              </w:rPr>
              <w:t xml:space="preserve"> Societății nu are propuneri sau recomandări pe marginea proiectului de Hotărâre menționat.  </w:t>
            </w:r>
          </w:p>
        </w:tc>
        <w:tc>
          <w:tcPr>
            <w:tcW w:w="1230" w:type="pct"/>
            <w:tcMar>
              <w:top w:w="0" w:type="dxa"/>
              <w:left w:w="108" w:type="dxa"/>
              <w:bottom w:w="0" w:type="dxa"/>
              <w:right w:w="108" w:type="dxa"/>
            </w:tcMar>
          </w:tcPr>
          <w:p w14:paraId="29D9609B" w14:textId="355AFB78" w:rsidR="00124608" w:rsidRPr="00124608" w:rsidRDefault="00124608"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24608">
              <w:rPr>
                <w:rFonts w:ascii="Times New Roman" w:hAnsi="Times New Roman"/>
                <w:b/>
                <w:bCs/>
                <w:sz w:val="24"/>
                <w:szCs w:val="24"/>
                <w:lang w:val="ro-RO"/>
              </w:rPr>
              <w:t>Se ia act de informare.</w:t>
            </w:r>
          </w:p>
        </w:tc>
      </w:tr>
      <w:tr w:rsidR="00FC7A12" w:rsidRPr="00EC65AA" w14:paraId="5DD14068" w14:textId="77777777" w:rsidTr="00FC7A12">
        <w:trPr>
          <w:trHeight w:val="629"/>
        </w:trPr>
        <w:tc>
          <w:tcPr>
            <w:tcW w:w="5000" w:type="pct"/>
            <w:gridSpan w:val="4"/>
            <w:tcMar>
              <w:top w:w="0" w:type="dxa"/>
              <w:left w:w="108" w:type="dxa"/>
              <w:bottom w:w="0" w:type="dxa"/>
              <w:right w:w="108" w:type="dxa"/>
            </w:tcMar>
            <w:vAlign w:val="center"/>
          </w:tcPr>
          <w:p w14:paraId="3F313529" w14:textId="7414EEB5" w:rsidR="00FC7A12" w:rsidRPr="00EC65AA" w:rsidRDefault="00FC7A12" w:rsidP="00FC7A1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C65AA">
              <w:rPr>
                <w:rFonts w:ascii="Times New Roman" w:hAnsi="Times New Roman"/>
                <w:b/>
                <w:bCs/>
                <w:sz w:val="24"/>
                <w:szCs w:val="24"/>
                <w:lang w:val="ro-RO"/>
              </w:rPr>
              <w:t>Expertize</w:t>
            </w:r>
          </w:p>
        </w:tc>
      </w:tr>
      <w:tr w:rsidR="00DD0B19" w:rsidRPr="00EC65AA" w14:paraId="3A13AEBA" w14:textId="77777777" w:rsidTr="00D779B7">
        <w:trPr>
          <w:trHeight w:val="629"/>
        </w:trPr>
        <w:tc>
          <w:tcPr>
            <w:tcW w:w="866" w:type="pct"/>
            <w:vMerge w:val="restart"/>
            <w:tcMar>
              <w:top w:w="0" w:type="dxa"/>
              <w:left w:w="108" w:type="dxa"/>
              <w:bottom w:w="0" w:type="dxa"/>
              <w:right w:w="108" w:type="dxa"/>
            </w:tcMar>
          </w:tcPr>
          <w:p w14:paraId="4712A80E" w14:textId="277CC0C7" w:rsidR="00DD0B19" w:rsidRPr="00DD0B19"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D0B19">
              <w:rPr>
                <w:rFonts w:ascii="Times New Roman" w:hAnsi="Times New Roman"/>
                <w:b/>
                <w:bCs/>
                <w:sz w:val="24"/>
                <w:szCs w:val="24"/>
                <w:lang w:val="ro-RO"/>
              </w:rPr>
              <w:t xml:space="preserve">Ministerul Justiției </w:t>
            </w:r>
          </w:p>
        </w:tc>
        <w:tc>
          <w:tcPr>
            <w:tcW w:w="577" w:type="pct"/>
            <w:vMerge w:val="restart"/>
            <w:tcMar>
              <w:top w:w="0" w:type="dxa"/>
              <w:left w:w="108" w:type="dxa"/>
              <w:bottom w:w="0" w:type="dxa"/>
              <w:right w:w="108" w:type="dxa"/>
            </w:tcMar>
          </w:tcPr>
          <w:p w14:paraId="31C6086A" w14:textId="69C673D6"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nr. 04/2-9229</w:t>
            </w:r>
          </w:p>
        </w:tc>
        <w:tc>
          <w:tcPr>
            <w:tcW w:w="2327" w:type="pct"/>
            <w:tcMar>
              <w:top w:w="0" w:type="dxa"/>
              <w:left w:w="108" w:type="dxa"/>
              <w:bottom w:w="0" w:type="dxa"/>
              <w:right w:w="108" w:type="dxa"/>
            </w:tcMar>
          </w:tcPr>
          <w:p w14:paraId="0771C93F" w14:textId="77777777" w:rsidR="00DD0B19" w:rsidRPr="00EC65AA" w:rsidRDefault="00DD0B19" w:rsidP="001E0BBD">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Urmare examinării proiectului hotărârii Guvernului pentru modificarea unor hotărâri ale Guvernului (facilitarea implementării proiectelor de eficiență energetică), </w:t>
            </w:r>
            <w:r w:rsidRPr="00EC65AA">
              <w:rPr>
                <w:rFonts w:ascii="Times New Roman" w:hAnsi="Times New Roman"/>
                <w:b/>
                <w:bCs/>
                <w:iCs/>
                <w:color w:val="000000" w:themeColor="text1"/>
                <w:sz w:val="24"/>
                <w:szCs w:val="24"/>
                <w:lang w:val="ro-RO"/>
              </w:rPr>
              <w:t>număr unic 677/</w:t>
            </w:r>
            <w:proofErr w:type="spellStart"/>
            <w:r w:rsidRPr="00EC65AA">
              <w:rPr>
                <w:rFonts w:ascii="Times New Roman" w:hAnsi="Times New Roman"/>
                <w:b/>
                <w:bCs/>
                <w:iCs/>
                <w:color w:val="000000" w:themeColor="text1"/>
                <w:sz w:val="24"/>
                <w:szCs w:val="24"/>
                <w:lang w:val="ro-RO"/>
              </w:rPr>
              <w:t>MEn</w:t>
            </w:r>
            <w:proofErr w:type="spellEnd"/>
            <w:r w:rsidRPr="00EC65AA">
              <w:rPr>
                <w:rFonts w:ascii="Times New Roman" w:hAnsi="Times New Roman"/>
                <w:b/>
                <w:bCs/>
                <w:iCs/>
                <w:color w:val="000000" w:themeColor="text1"/>
                <w:sz w:val="24"/>
                <w:szCs w:val="24"/>
                <w:lang w:val="ro-RO"/>
              </w:rPr>
              <w:t>/2025,</w:t>
            </w:r>
            <w:r w:rsidRPr="00EC65AA">
              <w:rPr>
                <w:rFonts w:ascii="Times New Roman" w:hAnsi="Times New Roman"/>
                <w:iCs/>
                <w:color w:val="000000" w:themeColor="text1"/>
                <w:sz w:val="24"/>
                <w:szCs w:val="24"/>
                <w:lang w:val="ro-RO"/>
              </w:rPr>
              <w:t xml:space="preserve"> comunicăm următoarele.</w:t>
            </w:r>
          </w:p>
          <w:p w14:paraId="1F4A56FA" w14:textId="77777777" w:rsidR="00DD0B19" w:rsidRPr="00EC65AA" w:rsidRDefault="00DD0B19" w:rsidP="001E0BBD">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lastRenderedPageBreak/>
              <w:t xml:space="preserve">Sub aspectul intenției de reglementare, potrivit expunerii de motive în nota de fundamentare, proiectul de act normativ a fost elaborat ca rezultat al modificărilor efectuate în </w:t>
            </w:r>
            <w:r w:rsidRPr="00EC65AA">
              <w:rPr>
                <w:rFonts w:ascii="Times New Roman" w:hAnsi="Times New Roman"/>
                <w:i/>
                <w:color w:val="000000" w:themeColor="text1"/>
                <w:sz w:val="24"/>
                <w:szCs w:val="24"/>
                <w:lang w:val="ro-RO"/>
              </w:rPr>
              <w:t>Legea nr. 139/2018 cu privire la eficiența energetică (facilitarea implementării proiectelor de eficiență energetică).</w:t>
            </w:r>
          </w:p>
          <w:p w14:paraId="2BB7E0A1"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p>
          <w:p w14:paraId="51052223"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 Pentru a aduce actele normative ale Guvernului în concordanță cu modificările efectuate în </w:t>
            </w:r>
            <w:r w:rsidRPr="00EC65AA">
              <w:rPr>
                <w:rFonts w:ascii="Times New Roman" w:hAnsi="Times New Roman"/>
                <w:i/>
                <w:iCs/>
                <w:color w:val="000000" w:themeColor="text1"/>
                <w:sz w:val="24"/>
                <w:szCs w:val="24"/>
                <w:lang w:val="ro-RO"/>
              </w:rPr>
              <w:t>Legea nr. 139/2018 cu privire la eficiența energetică</w:t>
            </w:r>
            <w:r w:rsidRPr="00EC65AA">
              <w:rPr>
                <w:rFonts w:ascii="Times New Roman" w:hAnsi="Times New Roman"/>
                <w:iCs/>
                <w:color w:val="000000" w:themeColor="text1"/>
                <w:sz w:val="24"/>
                <w:szCs w:val="24"/>
                <w:lang w:val="ro-RO"/>
              </w:rPr>
              <w:t xml:space="preserve">, în cazul proiectului de hotărâre sunt prezentate amendamente la următoarele Hotărâri de Guvern: </w:t>
            </w:r>
            <w:r w:rsidRPr="00EC65AA">
              <w:rPr>
                <w:rFonts w:ascii="Times New Roman" w:hAnsi="Times New Roman"/>
                <w:i/>
                <w:iCs/>
                <w:color w:val="000000" w:themeColor="text1"/>
                <w:sz w:val="24"/>
                <w:szCs w:val="24"/>
                <w:lang w:val="ro-RO"/>
              </w:rPr>
              <w:t>Hotărârea Guvernului nr. 676/2020 cu privire la aprobarea Regulamentului cu privire la auditorii energetici și auditul energetic; Hotărârea Guvernului nr. 1064/2023 cu privire la aprobarea Programului privind implementarea schemei de obligații în domeniul eficienței energetice pentru perioada 2024-2026 (Programul SOEE); Hotărârea Guvernului nr. 1068/2023 cu privire la aprobarea Metodologiei pentru determinarea contribuțiilor ce urmează a fi achitate de părțile obligate; Hotărârea Guvernului nr. 251/2024 cu privire la aprobarea Programului de finanțare „Fondul pentru eficiență energetică în sectorul rezidențial din Republica Moldova”; Hotărârea Guvernului nr. 829/2024 cu privire la aprobarea Regulamentului cu privire la efectuarea auditului energetic de către întreprinderile mari</w:t>
            </w:r>
            <w:r w:rsidRPr="00EC65AA">
              <w:rPr>
                <w:rFonts w:ascii="Times New Roman" w:hAnsi="Times New Roman"/>
                <w:iCs/>
                <w:color w:val="000000" w:themeColor="text1"/>
                <w:sz w:val="24"/>
                <w:szCs w:val="24"/>
                <w:lang w:val="ro-RO"/>
              </w:rPr>
              <w:t>.</w:t>
            </w:r>
          </w:p>
          <w:p w14:paraId="7D1D131F"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Autorul proiectului susține că, modificările propuse vor avea un impact pozitiv asupra întregii populații a Republicii Moldova, prin continuarea efortului Guvernului în vederea facilitării proceselor de implementare a proiectelor de eficiență energetică, care vor contribui la reducerea vulnerabilității energetice a cetățenilor.</w:t>
            </w:r>
          </w:p>
          <w:p w14:paraId="5F737A54"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proofErr w:type="spellStart"/>
            <w:r w:rsidRPr="00EC65AA">
              <w:rPr>
                <w:rFonts w:ascii="Times New Roman" w:hAnsi="Times New Roman"/>
                <w:iCs/>
                <w:color w:val="000000" w:themeColor="text1"/>
                <w:sz w:val="24"/>
                <w:szCs w:val="24"/>
                <w:lang w:val="ro-RO"/>
              </w:rPr>
              <w:lastRenderedPageBreak/>
              <w:t>Raţionamentele</w:t>
            </w:r>
            <w:proofErr w:type="spellEnd"/>
            <w:r w:rsidRPr="00EC65AA">
              <w:rPr>
                <w:rFonts w:ascii="Times New Roman" w:hAnsi="Times New Roman"/>
                <w:iCs/>
                <w:color w:val="000000" w:themeColor="text1"/>
                <w:sz w:val="24"/>
                <w:szCs w:val="24"/>
                <w:lang w:val="ro-RO"/>
              </w:rPr>
              <w:t xml:space="preserve"> expuse de </w:t>
            </w:r>
            <w:proofErr w:type="spellStart"/>
            <w:r w:rsidRPr="00EC65AA">
              <w:rPr>
                <w:rFonts w:ascii="Times New Roman" w:hAnsi="Times New Roman"/>
                <w:iCs/>
                <w:color w:val="000000" w:themeColor="text1"/>
                <w:sz w:val="24"/>
                <w:szCs w:val="24"/>
                <w:lang w:val="ro-RO"/>
              </w:rPr>
              <w:t>iniţiator</w:t>
            </w:r>
            <w:proofErr w:type="spellEnd"/>
            <w:r w:rsidRPr="00EC65AA">
              <w:rPr>
                <w:rFonts w:ascii="Times New Roman" w:hAnsi="Times New Roman"/>
                <w:iCs/>
                <w:color w:val="000000" w:themeColor="text1"/>
                <w:sz w:val="24"/>
                <w:szCs w:val="24"/>
                <w:lang w:val="ro-RO"/>
              </w:rPr>
              <w:t xml:space="preserve"> în notă reflectă motivul care a impus </w:t>
            </w:r>
            <w:proofErr w:type="spellStart"/>
            <w:r w:rsidRPr="00EC65AA">
              <w:rPr>
                <w:rFonts w:ascii="Times New Roman" w:hAnsi="Times New Roman"/>
                <w:iCs/>
                <w:color w:val="000000" w:themeColor="text1"/>
                <w:sz w:val="24"/>
                <w:szCs w:val="24"/>
                <w:lang w:val="ro-RO"/>
              </w:rPr>
              <w:t>intervenţia</w:t>
            </w:r>
            <w:proofErr w:type="spellEnd"/>
            <w:r w:rsidRPr="00EC65AA">
              <w:rPr>
                <w:rFonts w:ascii="Times New Roman" w:hAnsi="Times New Roman"/>
                <w:iCs/>
                <w:color w:val="000000" w:themeColor="text1"/>
                <w:sz w:val="24"/>
                <w:szCs w:val="24"/>
                <w:lang w:val="ro-RO"/>
              </w:rPr>
              <w:t xml:space="preserve"> normativă și obiectivele propuse.</w:t>
            </w:r>
          </w:p>
          <w:p w14:paraId="153D907E" w14:textId="6C28E246"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proofErr w:type="spellStart"/>
            <w:r w:rsidRPr="00EC65AA">
              <w:rPr>
                <w:rFonts w:ascii="Times New Roman" w:hAnsi="Times New Roman"/>
                <w:iCs/>
                <w:color w:val="000000" w:themeColor="text1"/>
                <w:sz w:val="24"/>
                <w:szCs w:val="24"/>
                <w:lang w:val="ro-RO"/>
              </w:rPr>
              <w:t>Obiecţii</w:t>
            </w:r>
            <w:proofErr w:type="spellEnd"/>
            <w:r w:rsidRPr="00EC65AA">
              <w:rPr>
                <w:rFonts w:ascii="Times New Roman" w:hAnsi="Times New Roman"/>
                <w:iCs/>
                <w:color w:val="000000" w:themeColor="text1"/>
                <w:sz w:val="24"/>
                <w:szCs w:val="24"/>
                <w:lang w:val="ro-RO"/>
              </w:rPr>
              <w:t xml:space="preserve"> de ordin conceptual nu avem de formulat.</w:t>
            </w:r>
          </w:p>
        </w:tc>
        <w:tc>
          <w:tcPr>
            <w:tcW w:w="1230" w:type="pct"/>
            <w:tcMar>
              <w:top w:w="0" w:type="dxa"/>
              <w:left w:w="108" w:type="dxa"/>
              <w:bottom w:w="0" w:type="dxa"/>
              <w:right w:w="108" w:type="dxa"/>
            </w:tcMar>
          </w:tcPr>
          <w:p w14:paraId="75DCFE46" w14:textId="26965EE9" w:rsidR="00DD0B19" w:rsidRPr="00EC65AA" w:rsidRDefault="00DD0B19"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ia act de informare. </w:t>
            </w:r>
          </w:p>
        </w:tc>
      </w:tr>
      <w:tr w:rsidR="00DD0B19" w:rsidRPr="00EC65AA" w14:paraId="707967A2" w14:textId="77777777" w:rsidTr="00D779B7">
        <w:trPr>
          <w:trHeight w:val="629"/>
        </w:trPr>
        <w:tc>
          <w:tcPr>
            <w:tcW w:w="866" w:type="pct"/>
            <w:vMerge/>
            <w:tcMar>
              <w:top w:w="0" w:type="dxa"/>
              <w:left w:w="108" w:type="dxa"/>
              <w:bottom w:w="0" w:type="dxa"/>
              <w:right w:w="108" w:type="dxa"/>
            </w:tcMar>
          </w:tcPr>
          <w:p w14:paraId="14FE7C17"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1EB392E"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0EA9E2F"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Pe plan </w:t>
            </w:r>
            <w:proofErr w:type="spellStart"/>
            <w:r w:rsidRPr="00EC65AA">
              <w:rPr>
                <w:rFonts w:ascii="Times New Roman" w:hAnsi="Times New Roman"/>
                <w:iCs/>
                <w:color w:val="000000" w:themeColor="text1"/>
                <w:sz w:val="24"/>
                <w:szCs w:val="24"/>
                <w:lang w:val="ro-RO"/>
              </w:rPr>
              <w:t>redacţional</w:t>
            </w:r>
            <w:proofErr w:type="spellEnd"/>
            <w:r w:rsidRPr="00EC65AA">
              <w:rPr>
                <w:rFonts w:ascii="Times New Roman" w:hAnsi="Times New Roman"/>
                <w:iCs/>
                <w:color w:val="000000" w:themeColor="text1"/>
                <w:sz w:val="24"/>
                <w:szCs w:val="24"/>
                <w:lang w:val="ro-RO"/>
              </w:rPr>
              <w:t xml:space="preserve"> în raport cu normele de tehnică legislativă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a </w:t>
            </w:r>
            <w:proofErr w:type="spellStart"/>
            <w:r w:rsidRPr="00EC65AA">
              <w:rPr>
                <w:rFonts w:ascii="Times New Roman" w:hAnsi="Times New Roman"/>
                <w:iCs/>
                <w:color w:val="000000" w:themeColor="text1"/>
                <w:sz w:val="24"/>
                <w:szCs w:val="24"/>
                <w:lang w:val="ro-RO"/>
              </w:rPr>
              <w:t>cerinţelor</w:t>
            </w:r>
            <w:proofErr w:type="spellEnd"/>
            <w:r w:rsidRPr="00EC65AA">
              <w:rPr>
                <w:rFonts w:ascii="Times New Roman" w:hAnsi="Times New Roman"/>
                <w:iCs/>
                <w:color w:val="000000" w:themeColor="text1"/>
                <w:sz w:val="24"/>
                <w:szCs w:val="24"/>
                <w:lang w:val="ro-RO"/>
              </w:rPr>
              <w:t xml:space="preserve"> de calitate a actului normativ semnalăm că, proiectul actului normativ nu respectă </w:t>
            </w:r>
            <w:proofErr w:type="spellStart"/>
            <w:r w:rsidRPr="00EC65AA">
              <w:rPr>
                <w:rFonts w:ascii="Times New Roman" w:hAnsi="Times New Roman"/>
                <w:iCs/>
                <w:color w:val="000000" w:themeColor="text1"/>
                <w:sz w:val="24"/>
                <w:szCs w:val="24"/>
                <w:lang w:val="ro-RO"/>
              </w:rPr>
              <w:t>cerinţele</w:t>
            </w:r>
            <w:proofErr w:type="spellEnd"/>
            <w:r w:rsidRPr="00EC65AA">
              <w:rPr>
                <w:rFonts w:ascii="Times New Roman" w:hAnsi="Times New Roman"/>
                <w:iCs/>
                <w:color w:val="000000" w:themeColor="text1"/>
                <w:sz w:val="24"/>
                <w:szCs w:val="24"/>
                <w:lang w:val="ro-RO"/>
              </w:rPr>
              <w:t xml:space="preserve"> de calitate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principiul coerenței, </w:t>
            </w:r>
            <w:proofErr w:type="spellStart"/>
            <w:r w:rsidRPr="00EC65AA">
              <w:rPr>
                <w:rFonts w:ascii="Times New Roman" w:hAnsi="Times New Roman"/>
                <w:iCs/>
                <w:color w:val="000000" w:themeColor="text1"/>
                <w:sz w:val="24"/>
                <w:szCs w:val="24"/>
                <w:lang w:val="ro-RO"/>
              </w:rPr>
              <w:t>consecutivităţii</w:t>
            </w:r>
            <w:proofErr w:type="spellEnd"/>
            <w:r w:rsidRPr="00EC65AA">
              <w:rPr>
                <w:rFonts w:ascii="Times New Roman" w:hAnsi="Times New Roman"/>
                <w:iCs/>
                <w:color w:val="000000" w:themeColor="text1"/>
                <w:sz w:val="24"/>
                <w:szCs w:val="24"/>
                <w:lang w:val="ro-RO"/>
              </w:rPr>
              <w:t xml:space="preserv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w:t>
            </w:r>
            <w:proofErr w:type="spellStart"/>
            <w:r w:rsidRPr="00EC65AA">
              <w:rPr>
                <w:rFonts w:ascii="Times New Roman" w:hAnsi="Times New Roman"/>
                <w:iCs/>
                <w:color w:val="000000" w:themeColor="text1"/>
                <w:sz w:val="24"/>
                <w:szCs w:val="24"/>
                <w:lang w:val="ro-RO"/>
              </w:rPr>
              <w:t>predictibilităţii</w:t>
            </w:r>
            <w:proofErr w:type="spellEnd"/>
            <w:r w:rsidRPr="00EC65AA">
              <w:rPr>
                <w:rFonts w:ascii="Times New Roman" w:hAnsi="Times New Roman"/>
                <w:iCs/>
                <w:color w:val="000000" w:themeColor="text1"/>
                <w:sz w:val="24"/>
                <w:szCs w:val="24"/>
                <w:lang w:val="ro-RO"/>
              </w:rPr>
              <w:t xml:space="preserve"> normelor juridice.</w:t>
            </w:r>
          </w:p>
          <w:p w14:paraId="5B550B9B"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Sub aspectul stilului de redactare, </w:t>
            </w:r>
            <w:proofErr w:type="spellStart"/>
            <w:r w:rsidRPr="00EC65AA">
              <w:rPr>
                <w:rFonts w:ascii="Times New Roman" w:hAnsi="Times New Roman"/>
                <w:iCs/>
                <w:color w:val="000000" w:themeColor="text1"/>
                <w:sz w:val="24"/>
                <w:szCs w:val="24"/>
                <w:lang w:val="ro-RO"/>
              </w:rPr>
              <w:t>menţionăm</w:t>
            </w:r>
            <w:proofErr w:type="spellEnd"/>
            <w:r w:rsidRPr="00EC65AA">
              <w:rPr>
                <w:rFonts w:ascii="Times New Roman" w:hAnsi="Times New Roman"/>
                <w:iCs/>
                <w:color w:val="000000" w:themeColor="text1"/>
                <w:sz w:val="24"/>
                <w:szCs w:val="24"/>
                <w:lang w:val="ro-RO"/>
              </w:rPr>
              <w:t xml:space="preserve"> că textul normativ are un mod deficitar de redactare la redarea procedeelor tehnice de modificare a actului normativ. Prin urmare, semnalăm necesitatea revizuirii </w:t>
            </w:r>
            <w:proofErr w:type="spellStart"/>
            <w:r w:rsidRPr="00EC65AA">
              <w:rPr>
                <w:rFonts w:ascii="Times New Roman" w:hAnsi="Times New Roman"/>
                <w:iCs/>
                <w:color w:val="000000" w:themeColor="text1"/>
                <w:sz w:val="24"/>
                <w:szCs w:val="24"/>
                <w:lang w:val="ro-RO"/>
              </w:rPr>
              <w:t>substanţiale</w:t>
            </w:r>
            <w:proofErr w:type="spellEnd"/>
            <w:r w:rsidRPr="00EC65AA">
              <w:rPr>
                <w:rFonts w:ascii="Times New Roman" w:hAnsi="Times New Roman"/>
                <w:iCs/>
                <w:color w:val="000000" w:themeColor="text1"/>
                <w:sz w:val="24"/>
                <w:szCs w:val="24"/>
                <w:lang w:val="ro-RO"/>
              </w:rPr>
              <w:t xml:space="preserve"> a proiectului prin prisma normelor de tehnică legislativă pentru elaborarea proiectelor actelor normative prevăzute de Legea nr. 100/2017 cu privire la actele normative.</w:t>
            </w:r>
          </w:p>
          <w:p w14:paraId="6196464D"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În context, facem următoarele </w:t>
            </w:r>
            <w:proofErr w:type="spellStart"/>
            <w:r w:rsidRPr="00EC65AA">
              <w:rPr>
                <w:rFonts w:ascii="Times New Roman" w:hAnsi="Times New Roman"/>
                <w:iCs/>
                <w:color w:val="000000" w:themeColor="text1"/>
                <w:sz w:val="24"/>
                <w:szCs w:val="24"/>
                <w:lang w:val="ro-RO"/>
              </w:rPr>
              <w:t>obiecţii</w:t>
            </w:r>
            <w:proofErr w:type="spellEnd"/>
            <w:r w:rsidRPr="00EC65AA">
              <w:rPr>
                <w:rFonts w:ascii="Times New Roman" w:hAnsi="Times New Roman"/>
                <w:iCs/>
                <w:color w:val="000000" w:themeColor="text1"/>
                <w:sz w:val="24"/>
                <w:szCs w:val="24"/>
                <w:lang w:val="ro-RO"/>
              </w:rPr>
              <w:t xml:space="preserv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propuneri.</w:t>
            </w:r>
          </w:p>
          <w:p w14:paraId="224FB9BD" w14:textId="77777777"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La pct. 1 (Regulamentul cu privire la auditorii energetici și auditul energetic, aprobat prin Hotărârea Guvernului nr. 676/2020):</w:t>
            </w:r>
          </w:p>
          <w:p w14:paraId="37FD3D61" w14:textId="3E40EC6A"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La sursa publicării, după sintagma „Monitorul Oficial al Republicii Moldova” se va indica anul publicării, în cazul dat prin completarea cu textul „ , 2020,” (observație valabilă și pentru pct. 2-5).</w:t>
            </w:r>
          </w:p>
        </w:tc>
        <w:tc>
          <w:tcPr>
            <w:tcW w:w="1230" w:type="pct"/>
            <w:tcMar>
              <w:top w:w="0" w:type="dxa"/>
              <w:left w:w="108" w:type="dxa"/>
              <w:bottom w:w="0" w:type="dxa"/>
              <w:right w:w="108" w:type="dxa"/>
            </w:tcMar>
          </w:tcPr>
          <w:p w14:paraId="09287767" w14:textId="14A82002" w:rsidR="00DD0B19" w:rsidRPr="00EC65AA" w:rsidRDefault="00DD0B19"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1C6E8428" w14:textId="77777777" w:rsidTr="00D779B7">
        <w:trPr>
          <w:trHeight w:val="629"/>
        </w:trPr>
        <w:tc>
          <w:tcPr>
            <w:tcW w:w="866" w:type="pct"/>
            <w:vMerge/>
            <w:tcMar>
              <w:top w:w="0" w:type="dxa"/>
              <w:left w:w="108" w:type="dxa"/>
              <w:bottom w:w="0" w:type="dxa"/>
              <w:right w:w="108" w:type="dxa"/>
            </w:tcMar>
          </w:tcPr>
          <w:p w14:paraId="0383FB38"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79494F35"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C70A97B" w14:textId="360D8231"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La indicarea actului normativ care se modifică se va indica inclusiv expresia „cu modificările ulterioare”. Obiecția dată este valabilă inclusiv pentru situația similară de la pct. 4 din proiect.</w:t>
            </w:r>
          </w:p>
        </w:tc>
        <w:tc>
          <w:tcPr>
            <w:tcW w:w="1230" w:type="pct"/>
            <w:tcMar>
              <w:top w:w="0" w:type="dxa"/>
              <w:left w:w="108" w:type="dxa"/>
              <w:bottom w:w="0" w:type="dxa"/>
              <w:right w:w="108" w:type="dxa"/>
            </w:tcMar>
          </w:tcPr>
          <w:p w14:paraId="592285A9" w14:textId="55AE1505" w:rsidR="00DD0B19" w:rsidRPr="00EC65AA" w:rsidRDefault="00DD0B19"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6682BB65" w14:textId="77777777" w:rsidTr="00D779B7">
        <w:trPr>
          <w:trHeight w:val="629"/>
        </w:trPr>
        <w:tc>
          <w:tcPr>
            <w:tcW w:w="866" w:type="pct"/>
            <w:vMerge/>
            <w:tcMar>
              <w:top w:w="0" w:type="dxa"/>
              <w:left w:w="108" w:type="dxa"/>
              <w:bottom w:w="0" w:type="dxa"/>
              <w:right w:w="108" w:type="dxa"/>
            </w:tcMar>
          </w:tcPr>
          <w:p w14:paraId="790B8C13"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B09A73E"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C61D68E" w14:textId="19BFB22A"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1.1, pentru asigurarea unui stil juridic normativ, recomandăm utilizarea formulei „pe tot parcursul textului, cuvintele „societate comercială”, la orice formă gramaticală, se </w:t>
            </w:r>
            <w:r w:rsidRPr="00EC65AA">
              <w:rPr>
                <w:rFonts w:ascii="Times New Roman" w:hAnsi="Times New Roman"/>
                <w:iCs/>
                <w:color w:val="000000" w:themeColor="text1"/>
                <w:sz w:val="24"/>
                <w:szCs w:val="24"/>
                <w:lang w:val="ro-RO"/>
              </w:rPr>
              <w:lastRenderedPageBreak/>
              <w:t>substituie cu cuvintele „persoană juridică”, la forma gramaticală corespunzătoare;”.</w:t>
            </w:r>
          </w:p>
        </w:tc>
        <w:tc>
          <w:tcPr>
            <w:tcW w:w="1230" w:type="pct"/>
            <w:tcMar>
              <w:top w:w="0" w:type="dxa"/>
              <w:left w:w="108" w:type="dxa"/>
              <w:bottom w:w="0" w:type="dxa"/>
              <w:right w:w="108" w:type="dxa"/>
            </w:tcMar>
          </w:tcPr>
          <w:p w14:paraId="6070E80A" w14:textId="105083DA" w:rsidR="00DD0B19" w:rsidRPr="00EC65AA" w:rsidRDefault="00DD0B19" w:rsidP="004E00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tc>
      </w:tr>
      <w:tr w:rsidR="00DD0B19" w:rsidRPr="00EC65AA" w14:paraId="24B909E9" w14:textId="77777777" w:rsidTr="00D779B7">
        <w:trPr>
          <w:trHeight w:val="629"/>
        </w:trPr>
        <w:tc>
          <w:tcPr>
            <w:tcW w:w="866" w:type="pct"/>
            <w:vMerge/>
            <w:tcMar>
              <w:top w:w="0" w:type="dxa"/>
              <w:left w:w="108" w:type="dxa"/>
              <w:bottom w:w="0" w:type="dxa"/>
              <w:right w:w="108" w:type="dxa"/>
            </w:tcMar>
          </w:tcPr>
          <w:p w14:paraId="5DE45DD9"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1CF1481E"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F686B28" w14:textId="1C4FAF1D"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1.2 se va reformula redacțional norma propusă „punctul 3 se completează cu noțiunea „grup de clădiri” cu următorul cuprins:”.</w:t>
            </w:r>
          </w:p>
        </w:tc>
        <w:tc>
          <w:tcPr>
            <w:tcW w:w="1230" w:type="pct"/>
            <w:tcMar>
              <w:top w:w="0" w:type="dxa"/>
              <w:left w:w="108" w:type="dxa"/>
              <w:bottom w:w="0" w:type="dxa"/>
              <w:right w:w="108" w:type="dxa"/>
            </w:tcMar>
          </w:tcPr>
          <w:p w14:paraId="13E3C995" w14:textId="2736E4BF" w:rsidR="00DD0B19" w:rsidRPr="00EC65AA" w:rsidRDefault="00DD0B19" w:rsidP="0071597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583BBE2A" w14:textId="77777777" w:rsidTr="00D779B7">
        <w:trPr>
          <w:trHeight w:val="629"/>
        </w:trPr>
        <w:tc>
          <w:tcPr>
            <w:tcW w:w="866" w:type="pct"/>
            <w:vMerge/>
            <w:tcMar>
              <w:top w:w="0" w:type="dxa"/>
              <w:left w:w="108" w:type="dxa"/>
              <w:bottom w:w="0" w:type="dxa"/>
              <w:right w:w="108" w:type="dxa"/>
            </w:tcMar>
          </w:tcPr>
          <w:p w14:paraId="400E27A1"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7A131690"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FB2DF43" w14:textId="6C2BF15E"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1.3, pentru îmbunătățirea calității redacționale a actului normativ, propunem expunerea punctului 6 din Regulament </w:t>
            </w:r>
            <w:r w:rsidRPr="00EC65AA">
              <w:rPr>
                <w:rFonts w:ascii="Times New Roman" w:hAnsi="Times New Roman"/>
                <w:iCs/>
                <w:color w:val="000000" w:themeColor="text1"/>
                <w:sz w:val="24"/>
                <w:szCs w:val="24"/>
                <w:lang w:val="ro-RO"/>
              </w:rPr>
              <w:br/>
              <w:t xml:space="preserve">într-o nouă redacție. </w:t>
            </w:r>
          </w:p>
          <w:p w14:paraId="495592AA" w14:textId="74A10111"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Propunerea este valabilă și pentru subpunctele 1.5, 3.2.1, 3.5.2 din proiect.</w:t>
            </w:r>
          </w:p>
        </w:tc>
        <w:tc>
          <w:tcPr>
            <w:tcW w:w="1230" w:type="pct"/>
            <w:tcMar>
              <w:top w:w="0" w:type="dxa"/>
              <w:left w:w="108" w:type="dxa"/>
              <w:bottom w:w="0" w:type="dxa"/>
              <w:right w:w="108" w:type="dxa"/>
            </w:tcMar>
          </w:tcPr>
          <w:p w14:paraId="7AB57D15" w14:textId="77777777"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b/>
                <w:bCs/>
                <w:sz w:val="24"/>
                <w:szCs w:val="24"/>
                <w:lang w:val="ro-RO"/>
              </w:rPr>
              <w:t xml:space="preserve">Se acceptă parțial. </w:t>
            </w:r>
            <w:r w:rsidRPr="00EC65AA">
              <w:rPr>
                <w:rFonts w:ascii="Times New Roman" w:hAnsi="Times New Roman"/>
                <w:sz w:val="24"/>
                <w:szCs w:val="24"/>
                <w:lang w:val="ro-RO"/>
              </w:rPr>
              <w:t xml:space="preserve">Modificările expuse la punctele 3.2.1. și cele de la 3.5.2 nu se acceptă pe motiv ca acestea vizează modificarea pct. 8 și a pct. 10 din Metodologia </w:t>
            </w:r>
          </w:p>
          <w:p w14:paraId="72E86370" w14:textId="1F8C80D2"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 xml:space="preserve">pentru determinarea contribuțiilor ce urmează a fi achitate de părțile obligate aprobată prin Hotărârea Guvernului nr. 1068/2023. Prin proiectul de Hotărâre de Guvern sunt propuse modificări ce vizează doar unele texte din punctele respective, care sunt mult mai mici ca și conținut, comparativ cu înglobarea în cadrul proiectului a întregului text prevăzut în cadrul acestor puncte.    </w:t>
            </w:r>
          </w:p>
        </w:tc>
      </w:tr>
      <w:tr w:rsidR="00DD0B19" w:rsidRPr="00EC65AA" w14:paraId="52D11A7F" w14:textId="77777777" w:rsidTr="00D779B7">
        <w:trPr>
          <w:trHeight w:val="629"/>
        </w:trPr>
        <w:tc>
          <w:tcPr>
            <w:tcW w:w="866" w:type="pct"/>
            <w:vMerge/>
            <w:tcMar>
              <w:top w:w="0" w:type="dxa"/>
              <w:left w:w="108" w:type="dxa"/>
              <w:bottom w:w="0" w:type="dxa"/>
              <w:right w:w="108" w:type="dxa"/>
            </w:tcMar>
          </w:tcPr>
          <w:p w14:paraId="6DFDCA07"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3C3C5499"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1863457" w14:textId="18B594FD"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1.4 soluția propusă la pct. 7(dețin studii superioare de profil energetic și/sau tehnic absolvite cu o vechime mai mare de cinci ani de la data solicitării calificării) prezintă o neclaritate a normei și poate genera eventual probleme la aplicare. În scopul redării unei clarități, se recomandă reformulare integrală a textului pct. 7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 din Regulament.</w:t>
            </w:r>
          </w:p>
        </w:tc>
        <w:tc>
          <w:tcPr>
            <w:tcW w:w="1230" w:type="pct"/>
            <w:tcMar>
              <w:top w:w="0" w:type="dxa"/>
              <w:left w:w="108" w:type="dxa"/>
              <w:bottom w:w="0" w:type="dxa"/>
              <w:right w:w="108" w:type="dxa"/>
            </w:tcMar>
          </w:tcPr>
          <w:p w14:paraId="5C055D4C" w14:textId="77777777"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p w14:paraId="4492E7BD" w14:textId="3F9ED928"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DD0B19" w:rsidRPr="00EC65AA" w14:paraId="7D5C1FBF" w14:textId="77777777" w:rsidTr="00D779B7">
        <w:trPr>
          <w:trHeight w:val="629"/>
        </w:trPr>
        <w:tc>
          <w:tcPr>
            <w:tcW w:w="866" w:type="pct"/>
            <w:vMerge/>
            <w:tcMar>
              <w:top w:w="0" w:type="dxa"/>
              <w:left w:w="108" w:type="dxa"/>
              <w:bottom w:w="0" w:type="dxa"/>
              <w:right w:w="108" w:type="dxa"/>
            </w:tcMar>
          </w:tcPr>
          <w:p w14:paraId="43F4CC1C"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147355A"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3D675BE" w14:textId="68FBDCAF" w:rsidR="00DD0B19" w:rsidRPr="00EC65AA" w:rsidRDefault="00DD0B19" w:rsidP="0020146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1.6, pentru respectarea exigențelor de redactare, se va exclude sintagma „la sfârșit” ca fiind </w:t>
            </w:r>
            <w:proofErr w:type="spellStart"/>
            <w:r w:rsidRPr="00EC65AA">
              <w:rPr>
                <w:rFonts w:ascii="Times New Roman" w:hAnsi="Times New Roman"/>
                <w:iCs/>
                <w:color w:val="000000" w:themeColor="text1"/>
                <w:sz w:val="24"/>
                <w:szCs w:val="24"/>
                <w:lang w:val="ro-RO"/>
              </w:rPr>
              <w:t>excedentă</w:t>
            </w:r>
            <w:proofErr w:type="spellEnd"/>
            <w:r w:rsidRPr="00EC65AA">
              <w:rPr>
                <w:rFonts w:ascii="Times New Roman" w:hAnsi="Times New Roman"/>
                <w:iCs/>
                <w:color w:val="000000" w:themeColor="text1"/>
                <w:sz w:val="24"/>
                <w:szCs w:val="24"/>
                <w:lang w:val="ro-RO"/>
              </w:rPr>
              <w:t>. La fel, se vor redacta și subpunctele 4.2.4.2, 4.2.6, 4.2.12, în care se menționează locul intervențiilor „după sintagma”, „la final”.</w:t>
            </w:r>
          </w:p>
        </w:tc>
        <w:tc>
          <w:tcPr>
            <w:tcW w:w="1230" w:type="pct"/>
            <w:tcMar>
              <w:top w:w="0" w:type="dxa"/>
              <w:left w:w="108" w:type="dxa"/>
              <w:bottom w:w="0" w:type="dxa"/>
              <w:right w:w="108" w:type="dxa"/>
            </w:tcMar>
          </w:tcPr>
          <w:p w14:paraId="156FCEC5" w14:textId="1F4C5FF2"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59368D1E" w14:textId="77777777" w:rsidTr="00D779B7">
        <w:trPr>
          <w:trHeight w:val="629"/>
        </w:trPr>
        <w:tc>
          <w:tcPr>
            <w:tcW w:w="866" w:type="pct"/>
            <w:vMerge/>
            <w:tcMar>
              <w:top w:w="0" w:type="dxa"/>
              <w:left w:w="108" w:type="dxa"/>
              <w:bottom w:w="0" w:type="dxa"/>
              <w:right w:w="108" w:type="dxa"/>
            </w:tcMar>
          </w:tcPr>
          <w:p w14:paraId="276436C3"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A959E3F"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C1DDFF4" w14:textId="77777777"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b/>
                <w:bCs/>
                <w:iCs/>
                <w:color w:val="000000" w:themeColor="text1"/>
                <w:sz w:val="24"/>
                <w:szCs w:val="24"/>
                <w:lang w:val="ro-RO"/>
              </w:rPr>
              <w:t xml:space="preserve">La pct. 2 </w:t>
            </w:r>
            <w:r w:rsidRPr="00EC65AA">
              <w:rPr>
                <w:rFonts w:ascii="Times New Roman" w:hAnsi="Times New Roman"/>
                <w:iCs/>
                <w:color w:val="000000" w:themeColor="text1"/>
                <w:sz w:val="24"/>
                <w:szCs w:val="24"/>
                <w:lang w:val="ro-RO"/>
              </w:rPr>
              <w:t>(</w:t>
            </w:r>
            <w:r w:rsidRPr="00EC65AA">
              <w:rPr>
                <w:rFonts w:ascii="Times New Roman" w:hAnsi="Times New Roman"/>
                <w:i/>
                <w:iCs/>
                <w:color w:val="000000" w:themeColor="text1"/>
                <w:sz w:val="24"/>
                <w:szCs w:val="24"/>
                <w:lang w:val="ro-RO"/>
              </w:rPr>
              <w:t>Programul privind implementarea schemei de obligații în domeniul eficienței energetice pentru perioada 2024-2026, aprobat prin Hotărârea Guvernului nr. 1064/2023)</w:t>
            </w:r>
            <w:r w:rsidRPr="00EC65AA">
              <w:rPr>
                <w:rFonts w:ascii="Times New Roman" w:hAnsi="Times New Roman"/>
                <w:iCs/>
                <w:color w:val="000000" w:themeColor="text1"/>
                <w:sz w:val="24"/>
                <w:szCs w:val="24"/>
                <w:lang w:val="ro-RO"/>
              </w:rPr>
              <w:t xml:space="preserve">: </w:t>
            </w:r>
          </w:p>
          <w:p w14:paraId="68E4B4B2" w14:textId="01258310"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2.1, 2.1.1 și 2.1.2, pentru o exprimare adecvată, propunem redarea intenției de modificare a textului Programului utilizând formula „pe tot parcursul textului, cuvintele „…”, la orice formă gramaticală, se substituie cu cuvintele „….”, la forma gramaticală corespunzătoare;”. Reiterăm observația dată pentru toate situațiile similare din proiect.</w:t>
            </w:r>
          </w:p>
        </w:tc>
        <w:tc>
          <w:tcPr>
            <w:tcW w:w="1230" w:type="pct"/>
            <w:tcMar>
              <w:top w:w="0" w:type="dxa"/>
              <w:left w:w="108" w:type="dxa"/>
              <w:bottom w:w="0" w:type="dxa"/>
              <w:right w:w="108" w:type="dxa"/>
            </w:tcMar>
          </w:tcPr>
          <w:p w14:paraId="28F4FA64" w14:textId="16D9D734"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55D3A107" w14:textId="77777777" w:rsidTr="00D779B7">
        <w:trPr>
          <w:trHeight w:val="629"/>
        </w:trPr>
        <w:tc>
          <w:tcPr>
            <w:tcW w:w="866" w:type="pct"/>
            <w:vMerge/>
            <w:tcMar>
              <w:top w:w="0" w:type="dxa"/>
              <w:left w:w="108" w:type="dxa"/>
              <w:bottom w:w="0" w:type="dxa"/>
              <w:right w:w="108" w:type="dxa"/>
            </w:tcMar>
          </w:tcPr>
          <w:p w14:paraId="49E0878B"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5BCB5E3"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39AAFDC" w14:textId="0EB40564"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2.2.1, semnalăm că, pentru exprimarea normativă a </w:t>
            </w:r>
            <w:proofErr w:type="spellStart"/>
            <w:r w:rsidRPr="00EC65AA">
              <w:rPr>
                <w:rFonts w:ascii="Times New Roman" w:hAnsi="Times New Roman"/>
                <w:iCs/>
                <w:color w:val="000000" w:themeColor="text1"/>
                <w:sz w:val="24"/>
                <w:szCs w:val="24"/>
                <w:lang w:val="ro-RO"/>
              </w:rPr>
              <w:t>intenţiei</w:t>
            </w:r>
            <w:proofErr w:type="spellEnd"/>
            <w:r w:rsidRPr="00EC65AA">
              <w:rPr>
                <w:rFonts w:ascii="Times New Roman" w:hAnsi="Times New Roman"/>
                <w:iCs/>
                <w:color w:val="000000" w:themeColor="text1"/>
                <w:sz w:val="24"/>
                <w:szCs w:val="24"/>
                <w:lang w:val="ro-RO"/>
              </w:rPr>
              <w:t xml:space="preserve"> de scoatere din vigoare a subpunctului 3) al pct. 5, se va utiliza sintagma „se abrogă ”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nu cuvintele „se exclude”. Sintagma „se exclude” se utilizează doar în cazul excluderii unor cuvinte, sintagme, propoziții.</w:t>
            </w:r>
          </w:p>
        </w:tc>
        <w:tc>
          <w:tcPr>
            <w:tcW w:w="1230" w:type="pct"/>
            <w:tcMar>
              <w:top w:w="0" w:type="dxa"/>
              <w:left w:w="108" w:type="dxa"/>
              <w:bottom w:w="0" w:type="dxa"/>
              <w:right w:w="108" w:type="dxa"/>
            </w:tcMar>
          </w:tcPr>
          <w:p w14:paraId="1059886E" w14:textId="7A02446A"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59AA9339" w14:textId="77777777" w:rsidTr="00D779B7">
        <w:trPr>
          <w:trHeight w:val="629"/>
        </w:trPr>
        <w:tc>
          <w:tcPr>
            <w:tcW w:w="866" w:type="pct"/>
            <w:vMerge/>
            <w:tcMar>
              <w:top w:w="0" w:type="dxa"/>
              <w:left w:w="108" w:type="dxa"/>
              <w:bottom w:w="0" w:type="dxa"/>
              <w:right w:w="108" w:type="dxa"/>
            </w:tcMar>
          </w:tcPr>
          <w:p w14:paraId="7BD32B07"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6F26A9F2"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952933D" w14:textId="1316FA5C"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2.3, pentru claritatea și predictibilitatea normei, sugerăm reformularea redacțională a normei propuse la punctul 14. Totodată, atenționăm că, trimiterile la un proiect de act normativ sunt inacceptabile. Or, actul normativ produce efecte juridice din momentul intrării în vigoare. Prin urmare, trimiterile la normele Strategiei sectoriale pentru renovarea fondului imobiliar național pe termen lung pentru perioada 2025-2050, pot avea loc doar după intrarea în vigoare a acestui act normativ sau concomitent cu aprobarea proiectului respectiv.</w:t>
            </w:r>
          </w:p>
        </w:tc>
        <w:tc>
          <w:tcPr>
            <w:tcW w:w="1230" w:type="pct"/>
            <w:tcMar>
              <w:top w:w="0" w:type="dxa"/>
              <w:left w:w="108" w:type="dxa"/>
              <w:bottom w:w="0" w:type="dxa"/>
              <w:right w:w="108" w:type="dxa"/>
            </w:tcMar>
          </w:tcPr>
          <w:p w14:paraId="2FE75B69" w14:textId="72614F00"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32ABC50D" w14:textId="77777777" w:rsidTr="00D779B7">
        <w:trPr>
          <w:trHeight w:val="629"/>
        </w:trPr>
        <w:tc>
          <w:tcPr>
            <w:tcW w:w="866" w:type="pct"/>
            <w:vMerge/>
            <w:tcMar>
              <w:top w:w="0" w:type="dxa"/>
              <w:left w:w="108" w:type="dxa"/>
              <w:bottom w:w="0" w:type="dxa"/>
              <w:right w:w="108" w:type="dxa"/>
            </w:tcMar>
          </w:tcPr>
          <w:p w14:paraId="25D3E88C"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D8D05C5"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6233846" w14:textId="494BF7C3"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Complimentar, semnalăm necesitatea reformulării punctului 14 în conformitate cu cerințele tehnicii legislative. Astfel, se va ține cont de faptul că, punctul ca element structural al actului normativ are caracter unitar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w:t>
            </w:r>
            <w:proofErr w:type="spellStart"/>
            <w:r w:rsidRPr="00EC65AA">
              <w:rPr>
                <w:rFonts w:ascii="Times New Roman" w:hAnsi="Times New Roman"/>
                <w:iCs/>
                <w:color w:val="000000" w:themeColor="text1"/>
                <w:sz w:val="24"/>
                <w:szCs w:val="24"/>
                <w:lang w:val="ro-RO"/>
              </w:rPr>
              <w:t>conţine</w:t>
            </w:r>
            <w:proofErr w:type="spellEnd"/>
            <w:r w:rsidRPr="00EC65AA">
              <w:rPr>
                <w:rFonts w:ascii="Times New Roman" w:hAnsi="Times New Roman"/>
                <w:iCs/>
                <w:color w:val="000000" w:themeColor="text1"/>
                <w:sz w:val="24"/>
                <w:szCs w:val="24"/>
                <w:lang w:val="ro-RO"/>
              </w:rPr>
              <w:t xml:space="preserve"> una sau mai multe norme cu raport direct între ele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subordonate uneia </w:t>
            </w:r>
            <w:proofErr w:type="spellStart"/>
            <w:r w:rsidRPr="00EC65AA">
              <w:rPr>
                <w:rFonts w:ascii="Times New Roman" w:hAnsi="Times New Roman"/>
                <w:iCs/>
                <w:color w:val="000000" w:themeColor="text1"/>
                <w:sz w:val="24"/>
                <w:szCs w:val="24"/>
                <w:lang w:val="ro-RO"/>
              </w:rPr>
              <w:t>şi</w:t>
            </w:r>
            <w:proofErr w:type="spellEnd"/>
            <w:r w:rsidRPr="00EC65AA">
              <w:rPr>
                <w:rFonts w:ascii="Times New Roman" w:hAnsi="Times New Roman"/>
                <w:iCs/>
                <w:color w:val="000000" w:themeColor="text1"/>
                <w:sz w:val="24"/>
                <w:szCs w:val="24"/>
                <w:lang w:val="ro-RO"/>
              </w:rPr>
              <w:t xml:space="preserve"> </w:t>
            </w:r>
            <w:proofErr w:type="spellStart"/>
            <w:r w:rsidRPr="00EC65AA">
              <w:rPr>
                <w:rFonts w:ascii="Times New Roman" w:hAnsi="Times New Roman"/>
                <w:iCs/>
                <w:color w:val="000000" w:themeColor="text1"/>
                <w:sz w:val="24"/>
                <w:szCs w:val="24"/>
                <w:lang w:val="ro-RO"/>
              </w:rPr>
              <w:t>aceleiaşi</w:t>
            </w:r>
            <w:proofErr w:type="spellEnd"/>
            <w:r w:rsidRPr="00EC65AA">
              <w:rPr>
                <w:rFonts w:ascii="Times New Roman" w:hAnsi="Times New Roman"/>
                <w:iCs/>
                <w:color w:val="000000" w:themeColor="text1"/>
                <w:sz w:val="24"/>
                <w:szCs w:val="24"/>
                <w:lang w:val="ro-RO"/>
              </w:rPr>
              <w:t xml:space="preserve"> idei. Prin urmare, se va evita formularea mai multor ipoteze juridice într-un singur punct.</w:t>
            </w:r>
          </w:p>
        </w:tc>
        <w:tc>
          <w:tcPr>
            <w:tcW w:w="1230" w:type="pct"/>
            <w:tcMar>
              <w:top w:w="0" w:type="dxa"/>
              <w:left w:w="108" w:type="dxa"/>
              <w:bottom w:w="0" w:type="dxa"/>
              <w:right w:w="108" w:type="dxa"/>
            </w:tcMar>
          </w:tcPr>
          <w:p w14:paraId="0032A9E1" w14:textId="7A123493"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D0B19">
              <w:rPr>
                <w:rFonts w:ascii="Times New Roman" w:hAnsi="Times New Roman"/>
                <w:b/>
                <w:bCs/>
                <w:sz w:val="24"/>
                <w:szCs w:val="24"/>
                <w:lang w:val="ro-RO"/>
              </w:rPr>
              <w:t>Se acceptă.</w:t>
            </w:r>
            <w:r w:rsidRPr="00EC65AA">
              <w:rPr>
                <w:rFonts w:ascii="Times New Roman" w:hAnsi="Times New Roman"/>
                <w:b/>
                <w:bCs/>
                <w:sz w:val="24"/>
                <w:szCs w:val="24"/>
                <w:lang w:val="ro-RO"/>
              </w:rPr>
              <w:t xml:space="preserve"> </w:t>
            </w:r>
          </w:p>
        </w:tc>
      </w:tr>
      <w:tr w:rsidR="00DD0B19" w:rsidRPr="00EC65AA" w14:paraId="263466D2" w14:textId="77777777" w:rsidTr="00D779B7">
        <w:trPr>
          <w:trHeight w:val="629"/>
        </w:trPr>
        <w:tc>
          <w:tcPr>
            <w:tcW w:w="866" w:type="pct"/>
            <w:vMerge/>
            <w:tcMar>
              <w:top w:w="0" w:type="dxa"/>
              <w:left w:w="108" w:type="dxa"/>
              <w:bottom w:w="0" w:type="dxa"/>
              <w:right w:w="108" w:type="dxa"/>
            </w:tcMar>
          </w:tcPr>
          <w:p w14:paraId="74221BCB"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B913BD9"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DB1CC78" w14:textId="5ED97326"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2.8, ce modifică pct. 25, substituirea textului „secțiunea a 5-a” se va indica înainte de substituirea textului „volum distribuit, furnizat și/sau comercializat”.</w:t>
            </w:r>
          </w:p>
        </w:tc>
        <w:tc>
          <w:tcPr>
            <w:tcW w:w="1230" w:type="pct"/>
            <w:tcMar>
              <w:top w:w="0" w:type="dxa"/>
              <w:left w:w="108" w:type="dxa"/>
              <w:bottom w:w="0" w:type="dxa"/>
              <w:right w:w="108" w:type="dxa"/>
            </w:tcMar>
          </w:tcPr>
          <w:p w14:paraId="58FE1339" w14:textId="5A7B379F"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highlight w:val="yellow"/>
                <w:lang w:val="ro-RO"/>
              </w:rPr>
            </w:pPr>
            <w:r w:rsidRPr="00EC65AA">
              <w:rPr>
                <w:rFonts w:ascii="Times New Roman" w:hAnsi="Times New Roman"/>
                <w:b/>
                <w:bCs/>
                <w:sz w:val="24"/>
                <w:szCs w:val="24"/>
                <w:lang w:val="ro-RO"/>
              </w:rPr>
              <w:t xml:space="preserve">Se acceptă. </w:t>
            </w:r>
          </w:p>
        </w:tc>
      </w:tr>
      <w:tr w:rsidR="00DD0B19" w:rsidRPr="00EC65AA" w14:paraId="71D27BA0" w14:textId="77777777" w:rsidTr="00D779B7">
        <w:trPr>
          <w:trHeight w:val="629"/>
        </w:trPr>
        <w:tc>
          <w:tcPr>
            <w:tcW w:w="866" w:type="pct"/>
            <w:vMerge/>
            <w:tcMar>
              <w:top w:w="0" w:type="dxa"/>
              <w:left w:w="108" w:type="dxa"/>
              <w:bottom w:w="0" w:type="dxa"/>
              <w:right w:w="108" w:type="dxa"/>
            </w:tcMar>
          </w:tcPr>
          <w:p w14:paraId="70BA51EF"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36E62BD2"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72BEF2E" w14:textId="4BA6073F"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Subpunctele 2.9 și 2.10 se vor comasa într-un singur subpunct, deoarece vizează expunerea în redacție nouă a două elemente structurale ordonate consecutiv.</w:t>
            </w:r>
          </w:p>
        </w:tc>
        <w:tc>
          <w:tcPr>
            <w:tcW w:w="1230" w:type="pct"/>
            <w:tcMar>
              <w:top w:w="0" w:type="dxa"/>
              <w:left w:w="108" w:type="dxa"/>
              <w:bottom w:w="0" w:type="dxa"/>
              <w:right w:w="108" w:type="dxa"/>
            </w:tcMar>
          </w:tcPr>
          <w:p w14:paraId="2B839406" w14:textId="22E2D5BF"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19196513" w14:textId="77777777" w:rsidTr="00D779B7">
        <w:trPr>
          <w:trHeight w:val="629"/>
        </w:trPr>
        <w:tc>
          <w:tcPr>
            <w:tcW w:w="866" w:type="pct"/>
            <w:vMerge/>
            <w:tcMar>
              <w:top w:w="0" w:type="dxa"/>
              <w:left w:w="108" w:type="dxa"/>
              <w:bottom w:w="0" w:type="dxa"/>
              <w:right w:w="108" w:type="dxa"/>
            </w:tcMar>
          </w:tcPr>
          <w:p w14:paraId="104CBC92"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6AEAE30F"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015B53A" w14:textId="3699511E"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2.12, ce vizează modificarea anexei nr. 1, atenționăm că aceasta anexă este constituită din 3 tabele, propuse în redacție nouă la subpunctele 2.12.1-2.12.3. Astfel, anexa nr. 1 urmează a fi expusă integral în redacție nouă.</w:t>
            </w:r>
          </w:p>
        </w:tc>
        <w:tc>
          <w:tcPr>
            <w:tcW w:w="1230" w:type="pct"/>
            <w:tcMar>
              <w:top w:w="0" w:type="dxa"/>
              <w:left w:w="108" w:type="dxa"/>
              <w:bottom w:w="0" w:type="dxa"/>
              <w:right w:w="108" w:type="dxa"/>
            </w:tcMar>
          </w:tcPr>
          <w:p w14:paraId="6BD658CB" w14:textId="5637BD2B"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7E5ECE54" w14:textId="77777777" w:rsidTr="00D779B7">
        <w:trPr>
          <w:trHeight w:val="629"/>
        </w:trPr>
        <w:tc>
          <w:tcPr>
            <w:tcW w:w="866" w:type="pct"/>
            <w:vMerge/>
            <w:tcMar>
              <w:top w:w="0" w:type="dxa"/>
              <w:left w:w="108" w:type="dxa"/>
              <w:bottom w:w="0" w:type="dxa"/>
              <w:right w:w="108" w:type="dxa"/>
            </w:tcMar>
          </w:tcPr>
          <w:p w14:paraId="77B903CA"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FD36282"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3B76CE19" w14:textId="562482CD"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2.14, prin care se modifică anexa nr. 3, la expunerea acesteia în redacție nouă se va indica inclusiv parafa de aprobare și denumirea ei.</w:t>
            </w:r>
          </w:p>
        </w:tc>
        <w:tc>
          <w:tcPr>
            <w:tcW w:w="1230" w:type="pct"/>
            <w:tcMar>
              <w:top w:w="0" w:type="dxa"/>
              <w:left w:w="108" w:type="dxa"/>
              <w:bottom w:w="0" w:type="dxa"/>
              <w:right w:w="108" w:type="dxa"/>
            </w:tcMar>
          </w:tcPr>
          <w:p w14:paraId="57CD69C0" w14:textId="231E3143"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49A28411" w14:textId="77777777" w:rsidTr="00D779B7">
        <w:trPr>
          <w:trHeight w:val="629"/>
        </w:trPr>
        <w:tc>
          <w:tcPr>
            <w:tcW w:w="866" w:type="pct"/>
            <w:vMerge/>
            <w:tcMar>
              <w:top w:w="0" w:type="dxa"/>
              <w:left w:w="108" w:type="dxa"/>
              <w:bottom w:w="0" w:type="dxa"/>
              <w:right w:w="108" w:type="dxa"/>
            </w:tcMar>
          </w:tcPr>
          <w:p w14:paraId="1532E2F6"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C39B196"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C5EA681" w14:textId="632C01A4"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2.15.1 textul „subpunctul 1” se va substitui cu textul „subpunctul 1)”, conform numerotării subpunctelor din anexa nr. 4.</w:t>
            </w:r>
          </w:p>
        </w:tc>
        <w:tc>
          <w:tcPr>
            <w:tcW w:w="1230" w:type="pct"/>
            <w:tcMar>
              <w:top w:w="0" w:type="dxa"/>
              <w:left w:w="108" w:type="dxa"/>
              <w:bottom w:w="0" w:type="dxa"/>
              <w:right w:w="108" w:type="dxa"/>
            </w:tcMar>
          </w:tcPr>
          <w:p w14:paraId="462662A1" w14:textId="6563430E"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1760C1A9" w14:textId="77777777" w:rsidTr="00D779B7">
        <w:trPr>
          <w:trHeight w:val="629"/>
        </w:trPr>
        <w:tc>
          <w:tcPr>
            <w:tcW w:w="866" w:type="pct"/>
            <w:vMerge/>
            <w:tcMar>
              <w:top w:w="0" w:type="dxa"/>
              <w:left w:w="108" w:type="dxa"/>
              <w:bottom w:w="0" w:type="dxa"/>
              <w:right w:w="108" w:type="dxa"/>
            </w:tcMar>
          </w:tcPr>
          <w:p w14:paraId="6CBF83CB"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A2FF338"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C92512E" w14:textId="182E3D88"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2.16.1, pentru asigurarea unui stil juridic normativ, recomandăm utilizarea formulei „pe tot parcursul textului anexei, </w:t>
            </w:r>
            <w:r w:rsidRPr="00EC65AA">
              <w:rPr>
                <w:rFonts w:ascii="Times New Roman" w:hAnsi="Times New Roman"/>
                <w:iCs/>
                <w:color w:val="000000" w:themeColor="text1"/>
                <w:sz w:val="24"/>
                <w:szCs w:val="24"/>
                <w:lang w:val="ro-RO"/>
              </w:rPr>
              <w:lastRenderedPageBreak/>
              <w:t>textul „volum distribuit, furnizat și/sau comercializat” se substituie cu cuvintele „volum distribuit sau importat””.</w:t>
            </w:r>
          </w:p>
        </w:tc>
        <w:tc>
          <w:tcPr>
            <w:tcW w:w="1230" w:type="pct"/>
            <w:tcMar>
              <w:top w:w="0" w:type="dxa"/>
              <w:left w:w="108" w:type="dxa"/>
              <w:bottom w:w="0" w:type="dxa"/>
              <w:right w:w="108" w:type="dxa"/>
            </w:tcMar>
          </w:tcPr>
          <w:p w14:paraId="44414780" w14:textId="001ED543"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tc>
      </w:tr>
      <w:tr w:rsidR="00DD0B19" w:rsidRPr="00EC65AA" w14:paraId="1A6F6E27" w14:textId="77777777" w:rsidTr="00D779B7">
        <w:trPr>
          <w:trHeight w:val="629"/>
        </w:trPr>
        <w:tc>
          <w:tcPr>
            <w:tcW w:w="866" w:type="pct"/>
            <w:vMerge/>
            <w:tcMar>
              <w:top w:w="0" w:type="dxa"/>
              <w:left w:w="108" w:type="dxa"/>
              <w:bottom w:w="0" w:type="dxa"/>
              <w:right w:w="108" w:type="dxa"/>
            </w:tcMar>
          </w:tcPr>
          <w:p w14:paraId="2A2C39E1"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7DB53B69"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CB520B5" w14:textId="5BF9A27A" w:rsidR="00DD0B19" w:rsidRPr="00EC65AA" w:rsidRDefault="00DD0B19" w:rsidP="00A57F24">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2.16.2, pentru precizia normativă, se va indica locul intervenției de modificare „după primul enunț se completează cu un enunț cu următorul cuprins:”.</w:t>
            </w:r>
          </w:p>
        </w:tc>
        <w:tc>
          <w:tcPr>
            <w:tcW w:w="1230" w:type="pct"/>
            <w:tcMar>
              <w:top w:w="0" w:type="dxa"/>
              <w:left w:w="108" w:type="dxa"/>
              <w:bottom w:w="0" w:type="dxa"/>
              <w:right w:w="108" w:type="dxa"/>
            </w:tcMar>
          </w:tcPr>
          <w:p w14:paraId="3BB49972" w14:textId="0AB02BC3"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0D48F31C" w14:textId="77777777" w:rsidTr="00D779B7">
        <w:trPr>
          <w:trHeight w:val="629"/>
        </w:trPr>
        <w:tc>
          <w:tcPr>
            <w:tcW w:w="866" w:type="pct"/>
            <w:vMerge/>
            <w:tcMar>
              <w:top w:w="0" w:type="dxa"/>
              <w:left w:w="108" w:type="dxa"/>
              <w:bottom w:w="0" w:type="dxa"/>
              <w:right w:w="108" w:type="dxa"/>
            </w:tcMar>
          </w:tcPr>
          <w:p w14:paraId="6FF32825"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E5814D7"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779C264" w14:textId="77777777" w:rsidR="00DD0B19" w:rsidRPr="00EC65AA" w:rsidRDefault="00DD0B19" w:rsidP="0093359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r w:rsidRPr="00EC65AA">
              <w:rPr>
                <w:rFonts w:ascii="Times New Roman" w:hAnsi="Times New Roman"/>
                <w:b/>
                <w:bCs/>
                <w:iCs/>
                <w:color w:val="000000" w:themeColor="text1"/>
                <w:sz w:val="24"/>
                <w:szCs w:val="24"/>
                <w:lang w:val="ro-RO"/>
              </w:rPr>
              <w:t xml:space="preserve">pct. 3 </w:t>
            </w:r>
            <w:r w:rsidRPr="00EC65AA">
              <w:rPr>
                <w:rFonts w:ascii="Times New Roman" w:hAnsi="Times New Roman"/>
                <w:i/>
                <w:iCs/>
                <w:color w:val="000000" w:themeColor="text1"/>
                <w:sz w:val="24"/>
                <w:szCs w:val="24"/>
                <w:lang w:val="ro-RO"/>
              </w:rPr>
              <w:t>(Metodologia pentru determinarea contribuțiilor ce urmează a fi achitate de părțile obligate, aprobată prin Hotărârea Guvernului nr. 1068/2023)</w:t>
            </w:r>
            <w:r w:rsidRPr="00EC65AA">
              <w:rPr>
                <w:rFonts w:ascii="Times New Roman" w:hAnsi="Times New Roman"/>
                <w:iCs/>
                <w:color w:val="000000" w:themeColor="text1"/>
                <w:sz w:val="24"/>
                <w:szCs w:val="24"/>
                <w:lang w:val="ro-RO"/>
              </w:rPr>
              <w:t xml:space="preserve">: </w:t>
            </w:r>
          </w:p>
          <w:p w14:paraId="7424709E" w14:textId="352341A2" w:rsidR="00DD0B19" w:rsidRPr="00EC65AA" w:rsidRDefault="00DD0B19" w:rsidP="0093359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Pornind de la cele propuse 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3.2.5, subpunctul 4) urmează a fi abrogat (observație valabilă și pentru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3.3.2, 3.5.2.3).</w:t>
            </w:r>
          </w:p>
        </w:tc>
        <w:tc>
          <w:tcPr>
            <w:tcW w:w="1230" w:type="pct"/>
            <w:tcMar>
              <w:top w:w="0" w:type="dxa"/>
              <w:left w:w="108" w:type="dxa"/>
              <w:bottom w:w="0" w:type="dxa"/>
              <w:right w:w="108" w:type="dxa"/>
            </w:tcMar>
          </w:tcPr>
          <w:p w14:paraId="3501488C" w14:textId="4E2DBD12"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34EBA4F0" w14:textId="77777777" w:rsidTr="00D779B7">
        <w:trPr>
          <w:trHeight w:val="629"/>
        </w:trPr>
        <w:tc>
          <w:tcPr>
            <w:tcW w:w="866" w:type="pct"/>
            <w:vMerge/>
            <w:tcMar>
              <w:top w:w="0" w:type="dxa"/>
              <w:left w:w="108" w:type="dxa"/>
              <w:bottom w:w="0" w:type="dxa"/>
              <w:right w:w="108" w:type="dxa"/>
            </w:tcMar>
          </w:tcPr>
          <w:p w14:paraId="028EF25D"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0F49B93"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3011C51" w14:textId="5A0EAD41" w:rsidR="00DD0B19" w:rsidRPr="00EC65AA" w:rsidRDefault="00DD0B19" w:rsidP="0093359F">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3.5 dispoziția de modificare se va expune în felul următor: „3.5. la punctul 10:”, iar 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3.5.1 urmează a se indica modificarea doar a părții introductive de la punctul 10 fără numerotarea „3.5.1.”.</w:t>
            </w:r>
          </w:p>
        </w:tc>
        <w:tc>
          <w:tcPr>
            <w:tcW w:w="1230" w:type="pct"/>
            <w:tcMar>
              <w:top w:w="0" w:type="dxa"/>
              <w:left w:w="108" w:type="dxa"/>
              <w:bottom w:w="0" w:type="dxa"/>
              <w:right w:w="108" w:type="dxa"/>
            </w:tcMar>
          </w:tcPr>
          <w:p w14:paraId="5CA80599" w14:textId="7D31E378"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738D616C" w14:textId="77777777" w:rsidTr="00D779B7">
        <w:trPr>
          <w:trHeight w:val="629"/>
        </w:trPr>
        <w:tc>
          <w:tcPr>
            <w:tcW w:w="866" w:type="pct"/>
            <w:vMerge/>
            <w:tcMar>
              <w:top w:w="0" w:type="dxa"/>
              <w:left w:w="108" w:type="dxa"/>
              <w:bottom w:w="0" w:type="dxa"/>
              <w:right w:w="108" w:type="dxa"/>
            </w:tcMar>
          </w:tcPr>
          <w:p w14:paraId="7CF6D198"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3D3A4D7"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8F6C34C" w14:textId="7777777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b/>
                <w:bCs/>
                <w:iCs/>
                <w:color w:val="000000" w:themeColor="text1"/>
                <w:sz w:val="24"/>
                <w:szCs w:val="24"/>
                <w:lang w:val="ro-RO"/>
              </w:rPr>
              <w:t xml:space="preserve">La pct. 4 </w:t>
            </w:r>
            <w:r w:rsidRPr="00EC65AA">
              <w:rPr>
                <w:rFonts w:ascii="Times New Roman" w:hAnsi="Times New Roman"/>
                <w:iCs/>
                <w:color w:val="000000" w:themeColor="text1"/>
                <w:sz w:val="24"/>
                <w:szCs w:val="24"/>
                <w:lang w:val="ro-RO"/>
              </w:rPr>
              <w:t>(</w:t>
            </w:r>
            <w:r w:rsidRPr="00EC65AA">
              <w:rPr>
                <w:rFonts w:ascii="Times New Roman" w:hAnsi="Times New Roman"/>
                <w:i/>
                <w:iCs/>
                <w:color w:val="000000" w:themeColor="text1"/>
                <w:sz w:val="24"/>
                <w:szCs w:val="24"/>
                <w:lang w:val="ro-RO"/>
              </w:rPr>
              <w:t>Hotărârea Guvernului nr. 251/2024 cu privire la aprobarea Programului de finanțare „Fondul pentru eficiență energetică în sectorul rezidențial din Republica Moldova)</w:t>
            </w:r>
            <w:r w:rsidRPr="00EC65AA">
              <w:rPr>
                <w:rFonts w:ascii="Times New Roman" w:hAnsi="Times New Roman"/>
                <w:iCs/>
                <w:color w:val="000000" w:themeColor="text1"/>
                <w:sz w:val="24"/>
                <w:szCs w:val="24"/>
                <w:lang w:val="ro-RO"/>
              </w:rPr>
              <w:t xml:space="preserve">: </w:t>
            </w:r>
          </w:p>
          <w:p w14:paraId="3AD2FD6F" w14:textId="7777777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Pentru o exprimare adecvată a modificărilor propuse în textul hotărârii și a Programului, nu este necesar de a indica repetat același act normativ, or, Programul de finanțare „Fondul pentru eficiență energetică în sectorul rezidențial din Republica Moldova este parte componentă a Hotărârea Guvernului nr. 251/2024.</w:t>
            </w:r>
          </w:p>
          <w:p w14:paraId="5C9AF0A1" w14:textId="7777777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În context recomandăm utilizarea următoarei formule: </w:t>
            </w:r>
          </w:p>
          <w:p w14:paraId="3F0E3F3C" w14:textId="7777777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„4. Hotărârea Guvernului nr. 251/2024 cu privire la aprobarea Programului de finanțare „Fondul pentru eficiență energetică în sectorul rezidențial din Republica Moldova” (Monitorul Oficial al </w:t>
            </w:r>
            <w:r w:rsidRPr="00EC65AA">
              <w:rPr>
                <w:rFonts w:ascii="Times New Roman" w:hAnsi="Times New Roman"/>
                <w:iCs/>
                <w:color w:val="000000" w:themeColor="text1"/>
                <w:sz w:val="24"/>
                <w:szCs w:val="24"/>
                <w:lang w:val="ro-RO"/>
              </w:rPr>
              <w:lastRenderedPageBreak/>
              <w:t xml:space="preserve">Republicii Moldova, 2024, nr. 184-187, art. 361), cu modificările ulterioare, se modifică după cum urmează: </w:t>
            </w:r>
          </w:p>
          <w:p w14:paraId="209CA61C" w14:textId="7777777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4.1. punctul 2 subpunctul 2) din hotărâre va avea următorul cuprins: [...]; </w:t>
            </w:r>
          </w:p>
          <w:p w14:paraId="349D3453" w14:textId="7777777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4.2. în Program: [...]”. </w:t>
            </w:r>
          </w:p>
          <w:p w14:paraId="09677FE2" w14:textId="0DED17D1"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Propunerea de mai sus este valabilă și pentru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5.3 din proiect.</w:t>
            </w:r>
          </w:p>
        </w:tc>
        <w:tc>
          <w:tcPr>
            <w:tcW w:w="1230" w:type="pct"/>
            <w:tcMar>
              <w:top w:w="0" w:type="dxa"/>
              <w:left w:w="108" w:type="dxa"/>
              <w:bottom w:w="0" w:type="dxa"/>
              <w:right w:w="108" w:type="dxa"/>
            </w:tcMar>
          </w:tcPr>
          <w:p w14:paraId="62A1C848" w14:textId="533F2693"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 xml:space="preserve">Se acceptă. </w:t>
            </w:r>
          </w:p>
        </w:tc>
      </w:tr>
      <w:tr w:rsidR="00DD0B19" w:rsidRPr="00EC65AA" w14:paraId="587B8C2E" w14:textId="77777777" w:rsidTr="00D779B7">
        <w:trPr>
          <w:trHeight w:val="629"/>
        </w:trPr>
        <w:tc>
          <w:tcPr>
            <w:tcW w:w="866" w:type="pct"/>
            <w:vMerge/>
            <w:tcMar>
              <w:top w:w="0" w:type="dxa"/>
              <w:left w:w="108" w:type="dxa"/>
              <w:bottom w:w="0" w:type="dxa"/>
              <w:right w:w="108" w:type="dxa"/>
            </w:tcMar>
          </w:tcPr>
          <w:p w14:paraId="076EEA63"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522854C"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8608A54" w14:textId="6E1E421F"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4.2.2.1, pentru asigurarea unui stil juridic normativ, sintagma „se expune în următoarea redacție” se va înlocui cu sintagma „va avea următorul cuprins”.</w:t>
            </w:r>
          </w:p>
        </w:tc>
        <w:tc>
          <w:tcPr>
            <w:tcW w:w="1230" w:type="pct"/>
            <w:tcMar>
              <w:top w:w="0" w:type="dxa"/>
              <w:left w:w="108" w:type="dxa"/>
              <w:bottom w:w="0" w:type="dxa"/>
              <w:right w:w="108" w:type="dxa"/>
            </w:tcMar>
          </w:tcPr>
          <w:p w14:paraId="0AA78A91" w14:textId="1937B5B7"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2143594C" w14:textId="77777777" w:rsidTr="00D779B7">
        <w:trPr>
          <w:trHeight w:val="629"/>
        </w:trPr>
        <w:tc>
          <w:tcPr>
            <w:tcW w:w="866" w:type="pct"/>
            <w:vMerge/>
            <w:tcMar>
              <w:top w:w="0" w:type="dxa"/>
              <w:left w:w="108" w:type="dxa"/>
              <w:bottom w:w="0" w:type="dxa"/>
              <w:right w:w="108" w:type="dxa"/>
            </w:tcMar>
          </w:tcPr>
          <w:p w14:paraId="515595EE"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B65B542"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7E79119" w14:textId="716448D5"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4.2.2.2 dispoziția de modificare se va completa cu cuvintele „cu următorul cuprins”.</w:t>
            </w:r>
          </w:p>
        </w:tc>
        <w:tc>
          <w:tcPr>
            <w:tcW w:w="1230" w:type="pct"/>
            <w:tcMar>
              <w:top w:w="0" w:type="dxa"/>
              <w:left w:w="108" w:type="dxa"/>
              <w:bottom w:w="0" w:type="dxa"/>
              <w:right w:w="108" w:type="dxa"/>
            </w:tcMar>
          </w:tcPr>
          <w:p w14:paraId="39B64A0B" w14:textId="5F9A39B9"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DD0B19" w:rsidRPr="00EC65AA" w14:paraId="2078EBAC" w14:textId="77777777" w:rsidTr="00D779B7">
        <w:trPr>
          <w:trHeight w:val="629"/>
        </w:trPr>
        <w:tc>
          <w:tcPr>
            <w:tcW w:w="866" w:type="pct"/>
            <w:vMerge/>
            <w:tcMar>
              <w:top w:w="0" w:type="dxa"/>
              <w:left w:w="108" w:type="dxa"/>
              <w:bottom w:w="0" w:type="dxa"/>
              <w:right w:w="108" w:type="dxa"/>
            </w:tcMar>
          </w:tcPr>
          <w:p w14:paraId="7F12B92E"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0C5709E2"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222D36F" w14:textId="6CDC43D8"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Conținutul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4.2.2.3 se va plasa în debutul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4.2.2, deoarece vizează noțiunea de „beneficiar”, indicată înainte de noțiunea „contribuția beneficiarului”.</w:t>
            </w:r>
          </w:p>
        </w:tc>
        <w:tc>
          <w:tcPr>
            <w:tcW w:w="1230" w:type="pct"/>
            <w:tcMar>
              <w:top w:w="0" w:type="dxa"/>
              <w:left w:w="108" w:type="dxa"/>
              <w:bottom w:w="0" w:type="dxa"/>
              <w:right w:w="108" w:type="dxa"/>
            </w:tcMar>
          </w:tcPr>
          <w:p w14:paraId="0D1602DF" w14:textId="34E1C23D"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17E0AC53" w14:textId="77777777" w:rsidTr="00D779B7">
        <w:trPr>
          <w:trHeight w:val="629"/>
        </w:trPr>
        <w:tc>
          <w:tcPr>
            <w:tcW w:w="866" w:type="pct"/>
            <w:vMerge/>
            <w:tcMar>
              <w:top w:w="0" w:type="dxa"/>
              <w:left w:w="108" w:type="dxa"/>
              <w:bottom w:w="0" w:type="dxa"/>
              <w:right w:w="108" w:type="dxa"/>
            </w:tcMar>
          </w:tcPr>
          <w:p w14:paraId="00EE350A"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D756845"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C2DFC48" w14:textId="1832256C"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4.2.3, pentru precizie normativă, sugerăm revizuirea normelor unde se preconizează intervenția normativă, prin completarea dispoziției de modificare cu textul „subpunctul 3)”.</w:t>
            </w:r>
          </w:p>
        </w:tc>
        <w:tc>
          <w:tcPr>
            <w:tcW w:w="1230" w:type="pct"/>
            <w:tcMar>
              <w:top w:w="0" w:type="dxa"/>
              <w:left w:w="108" w:type="dxa"/>
              <w:bottom w:w="0" w:type="dxa"/>
              <w:right w:w="108" w:type="dxa"/>
            </w:tcMar>
          </w:tcPr>
          <w:p w14:paraId="7B341398" w14:textId="27F6E118"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4B4A3D14" w14:textId="77777777" w:rsidTr="00D779B7">
        <w:trPr>
          <w:trHeight w:val="629"/>
        </w:trPr>
        <w:tc>
          <w:tcPr>
            <w:tcW w:w="866" w:type="pct"/>
            <w:vMerge/>
            <w:tcMar>
              <w:top w:w="0" w:type="dxa"/>
              <w:left w:w="108" w:type="dxa"/>
              <w:bottom w:w="0" w:type="dxa"/>
              <w:right w:w="108" w:type="dxa"/>
            </w:tcMar>
          </w:tcPr>
          <w:p w14:paraId="129446C0"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D6AE055"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682CF9A3" w14:textId="0EA9FBE4"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4.2.3.1 cuvintele „paragraful al doilea” se vor substitui cu cuvintele „liniuța a doua”, iar cuvintele „mai departe după text” se vor exclude.</w:t>
            </w:r>
          </w:p>
        </w:tc>
        <w:tc>
          <w:tcPr>
            <w:tcW w:w="1230" w:type="pct"/>
            <w:tcMar>
              <w:top w:w="0" w:type="dxa"/>
              <w:left w:w="108" w:type="dxa"/>
              <w:bottom w:w="0" w:type="dxa"/>
              <w:right w:w="108" w:type="dxa"/>
            </w:tcMar>
          </w:tcPr>
          <w:p w14:paraId="2071DD79" w14:textId="2F9BCEB0"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74383479" w14:textId="77777777" w:rsidTr="00D779B7">
        <w:trPr>
          <w:trHeight w:val="629"/>
        </w:trPr>
        <w:tc>
          <w:tcPr>
            <w:tcW w:w="866" w:type="pct"/>
            <w:vMerge/>
            <w:tcMar>
              <w:top w:w="0" w:type="dxa"/>
              <w:left w:w="108" w:type="dxa"/>
              <w:bottom w:w="0" w:type="dxa"/>
              <w:right w:w="108" w:type="dxa"/>
            </w:tcMar>
          </w:tcPr>
          <w:p w14:paraId="767DE25A"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56619DB7"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79EC5B9B" w14:textId="0E89F602"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4.2.3.2, în textul propus pentru lit. c) se va redacta actul normativ la care se face trimitere (Codul funciar nr. 22/2024).</w:t>
            </w:r>
          </w:p>
        </w:tc>
        <w:tc>
          <w:tcPr>
            <w:tcW w:w="1230" w:type="pct"/>
            <w:tcMar>
              <w:top w:w="0" w:type="dxa"/>
              <w:left w:w="108" w:type="dxa"/>
              <w:bottom w:w="0" w:type="dxa"/>
              <w:right w:w="108" w:type="dxa"/>
            </w:tcMar>
          </w:tcPr>
          <w:p w14:paraId="7B833940" w14:textId="1EFEDBB0"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Se acceptă.</w:t>
            </w:r>
          </w:p>
        </w:tc>
      </w:tr>
      <w:tr w:rsidR="00DD0B19" w:rsidRPr="00EC65AA" w14:paraId="6854B21D" w14:textId="77777777" w:rsidTr="00D779B7">
        <w:trPr>
          <w:trHeight w:val="629"/>
        </w:trPr>
        <w:tc>
          <w:tcPr>
            <w:tcW w:w="866" w:type="pct"/>
            <w:vMerge/>
            <w:tcMar>
              <w:top w:w="0" w:type="dxa"/>
              <w:left w:w="108" w:type="dxa"/>
              <w:bottom w:w="0" w:type="dxa"/>
              <w:right w:w="108" w:type="dxa"/>
            </w:tcMar>
          </w:tcPr>
          <w:p w14:paraId="762B0B63"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6C60CD5F"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58B3B1D1" w14:textId="0B68C927"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4.2.4.2 textul „subpunctul 4” se va substitui cu textul „subpunctul 4)” (observație valabilă și pentru redacția propusă a </w:t>
            </w:r>
            <w:proofErr w:type="spellStart"/>
            <w:r w:rsidRPr="00EC65AA">
              <w:rPr>
                <w:rFonts w:ascii="Times New Roman" w:hAnsi="Times New Roman"/>
                <w:iCs/>
                <w:color w:val="000000" w:themeColor="text1"/>
                <w:sz w:val="24"/>
                <w:szCs w:val="24"/>
                <w:lang w:val="ro-RO"/>
              </w:rPr>
              <w:lastRenderedPageBreak/>
              <w:t>sbp</w:t>
            </w:r>
            <w:proofErr w:type="spellEnd"/>
            <w:r w:rsidRPr="00EC65AA">
              <w:rPr>
                <w:rFonts w:ascii="Times New Roman" w:hAnsi="Times New Roman"/>
                <w:iCs/>
                <w:color w:val="000000" w:themeColor="text1"/>
                <w:sz w:val="24"/>
                <w:szCs w:val="24"/>
                <w:lang w:val="ro-RO"/>
              </w:rPr>
              <w:t xml:space="preserve">. 6) 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4.2.4.3, 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4.2.5, 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4.2.6 pentru subpunctul 1)).</w:t>
            </w:r>
          </w:p>
        </w:tc>
        <w:tc>
          <w:tcPr>
            <w:tcW w:w="1230" w:type="pct"/>
            <w:tcMar>
              <w:top w:w="0" w:type="dxa"/>
              <w:left w:w="108" w:type="dxa"/>
              <w:bottom w:w="0" w:type="dxa"/>
              <w:right w:w="108" w:type="dxa"/>
            </w:tcMar>
          </w:tcPr>
          <w:p w14:paraId="00B985F5" w14:textId="09EC0DD0"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lastRenderedPageBreak/>
              <w:t>Se acceptă.</w:t>
            </w:r>
          </w:p>
        </w:tc>
      </w:tr>
      <w:tr w:rsidR="00DD0B19" w:rsidRPr="00EC65AA" w14:paraId="33D2D433" w14:textId="77777777" w:rsidTr="00D779B7">
        <w:trPr>
          <w:trHeight w:val="629"/>
        </w:trPr>
        <w:tc>
          <w:tcPr>
            <w:tcW w:w="866" w:type="pct"/>
            <w:vMerge/>
            <w:tcMar>
              <w:top w:w="0" w:type="dxa"/>
              <w:left w:w="108" w:type="dxa"/>
              <w:bottom w:w="0" w:type="dxa"/>
              <w:right w:w="108" w:type="dxa"/>
            </w:tcMar>
          </w:tcPr>
          <w:p w14:paraId="07617070"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023366E"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21EBE737" w14:textId="3DBF9E0F" w:rsidR="00DD0B19" w:rsidRPr="00EC65AA" w:rsidRDefault="00DD0B19" w:rsidP="006E3843">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4.2.12, completarea propusă la pct. 40 nu se integrează armonios în context. În plus, vine în dezacord cu dispoziția pct. 40, potrivit căreia „Perioada de implementare a Programului FEERM este corelată cu durata implementării schemei de obligații în domeniul eficienței energetice prin intermediul Programului privind implementarea schemei de obligații în domeniul eficienței energetice pentru perioada 2024-2026, aprobat prin Hotărârea Guvernului nr. 1064/2023.”.</w:t>
            </w:r>
          </w:p>
        </w:tc>
        <w:tc>
          <w:tcPr>
            <w:tcW w:w="1230" w:type="pct"/>
            <w:tcMar>
              <w:top w:w="0" w:type="dxa"/>
              <w:left w:w="108" w:type="dxa"/>
              <w:bottom w:w="0" w:type="dxa"/>
              <w:right w:w="108" w:type="dxa"/>
            </w:tcMar>
          </w:tcPr>
          <w:p w14:paraId="37B8F4B2" w14:textId="77777777"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Nu se acceptă.</w:t>
            </w:r>
          </w:p>
          <w:p w14:paraId="44F0F747" w14:textId="77777777" w:rsidR="00DD0B19" w:rsidRPr="00EC65AA" w:rsidRDefault="00DD0B19" w:rsidP="002F6D1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C65AA">
              <w:rPr>
                <w:rFonts w:ascii="Times New Roman" w:hAnsi="Times New Roman"/>
                <w:sz w:val="24"/>
                <w:szCs w:val="24"/>
                <w:lang w:val="ro-RO"/>
              </w:rPr>
              <w:t>Conform prevederilor Programului privind implementarea schemei de obligații în domeniul eficienței energetice pentru perioada 2024-2026, contribuțiile părților obligate pentru trimestrul IV 2026 urmează a fi transferate până în ziua a 45-a de la încheierea acestuia, respectiv, acestea vor fi disponibile pentru utilizare începând cu mijlocul lunii februarie 2027.</w:t>
            </w:r>
          </w:p>
          <w:p w14:paraId="7211E6DE" w14:textId="6B4B4631" w:rsidR="00DD0B19" w:rsidRPr="00EC65AA" w:rsidRDefault="00DD0B19" w:rsidP="002F6D1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sz w:val="24"/>
                <w:szCs w:val="24"/>
                <w:lang w:val="ro-RO"/>
              </w:rPr>
              <w:t>Prin urmare este necesară extinderea perioadei de implementare a Programului FEERM până la sfârșitul anului 2027 astfel încât să fie oferită o perioadă de timp suficientă pentru valorificarea integrală a mijloacelor financiare transferate în cadrul schemei de obligații în domeniul eficienței energetice, în conformitate cu prevederile Programului de finanțare FEERM.</w:t>
            </w:r>
            <w:r w:rsidRPr="00EC65AA">
              <w:rPr>
                <w:rFonts w:ascii="Times New Roman" w:hAnsi="Times New Roman"/>
                <w:b/>
                <w:bCs/>
                <w:sz w:val="24"/>
                <w:szCs w:val="24"/>
                <w:lang w:val="ro-RO"/>
              </w:rPr>
              <w:t xml:space="preserve">    </w:t>
            </w:r>
          </w:p>
        </w:tc>
      </w:tr>
      <w:tr w:rsidR="00DD0B19" w:rsidRPr="00EC65AA" w14:paraId="4606EDC6" w14:textId="77777777" w:rsidTr="00D779B7">
        <w:trPr>
          <w:trHeight w:val="629"/>
        </w:trPr>
        <w:tc>
          <w:tcPr>
            <w:tcW w:w="866" w:type="pct"/>
            <w:vMerge/>
            <w:tcMar>
              <w:top w:w="0" w:type="dxa"/>
              <w:left w:w="108" w:type="dxa"/>
              <w:bottom w:w="0" w:type="dxa"/>
              <w:right w:w="108" w:type="dxa"/>
            </w:tcMar>
          </w:tcPr>
          <w:p w14:paraId="38E10A0A"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C4AFBC6"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E20E8E1" w14:textId="77777777" w:rsidR="00DD0B19" w:rsidRPr="00EC65AA" w:rsidRDefault="00DD0B19" w:rsidP="007666A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b/>
                <w:bCs/>
                <w:iCs/>
                <w:color w:val="000000" w:themeColor="text1"/>
                <w:sz w:val="24"/>
                <w:szCs w:val="24"/>
                <w:lang w:val="ro-RO"/>
              </w:rPr>
              <w:t xml:space="preserve">La pct. 5 </w:t>
            </w:r>
            <w:r w:rsidRPr="00EC65AA">
              <w:rPr>
                <w:rFonts w:ascii="Times New Roman" w:hAnsi="Times New Roman"/>
                <w:iCs/>
                <w:color w:val="000000" w:themeColor="text1"/>
                <w:sz w:val="24"/>
                <w:szCs w:val="24"/>
                <w:lang w:val="ro-RO"/>
              </w:rPr>
              <w:t>(</w:t>
            </w:r>
            <w:r w:rsidRPr="00EC65AA">
              <w:rPr>
                <w:rFonts w:ascii="Times New Roman" w:hAnsi="Times New Roman"/>
                <w:i/>
                <w:iCs/>
                <w:color w:val="000000" w:themeColor="text1"/>
                <w:sz w:val="24"/>
                <w:szCs w:val="24"/>
                <w:lang w:val="ro-RO"/>
              </w:rPr>
              <w:t>Hotărârea Guvernului nr. 829/2024 pentru aprobarea Regulamentului cu privire la efectuarea auditului energetic de către întreprinderile mari)</w:t>
            </w:r>
            <w:r w:rsidRPr="00EC65AA">
              <w:rPr>
                <w:rFonts w:ascii="Times New Roman" w:hAnsi="Times New Roman"/>
                <w:iCs/>
                <w:color w:val="000000" w:themeColor="text1"/>
                <w:sz w:val="24"/>
                <w:szCs w:val="24"/>
                <w:lang w:val="ro-RO"/>
              </w:rPr>
              <w:t xml:space="preserve">: </w:t>
            </w:r>
          </w:p>
          <w:p w14:paraId="53A9A21C" w14:textId="5B0C2114" w:rsidR="00DD0B19" w:rsidRPr="00EC65AA" w:rsidRDefault="00DD0B19" w:rsidP="007666A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xml:space="preserve">. 5.1 precizăm că, în conformitate cu normele de tehnică legislativă referitoare la condițiile generale de abrogare (art. 67 alin. (7) din </w:t>
            </w:r>
            <w:r w:rsidRPr="00EC65AA">
              <w:rPr>
                <w:rFonts w:ascii="Times New Roman" w:hAnsi="Times New Roman"/>
                <w:i/>
                <w:iCs/>
                <w:color w:val="000000" w:themeColor="text1"/>
                <w:sz w:val="24"/>
                <w:szCs w:val="24"/>
                <w:lang w:val="ro-RO"/>
              </w:rPr>
              <w:t>Legea nr. 100/207</w:t>
            </w:r>
            <w:r w:rsidRPr="00EC65AA">
              <w:rPr>
                <w:rFonts w:ascii="Times New Roman" w:hAnsi="Times New Roman"/>
                <w:iCs/>
                <w:color w:val="000000" w:themeColor="text1"/>
                <w:sz w:val="24"/>
                <w:szCs w:val="24"/>
                <w:lang w:val="ro-RO"/>
              </w:rPr>
              <w:t>), dispozițiile normative care au avut aplicare temporară și au termenul de aplicare depășit nu se abrogă.</w:t>
            </w:r>
          </w:p>
        </w:tc>
        <w:tc>
          <w:tcPr>
            <w:tcW w:w="1230" w:type="pct"/>
            <w:tcMar>
              <w:top w:w="0" w:type="dxa"/>
              <w:left w:w="108" w:type="dxa"/>
              <w:bottom w:w="0" w:type="dxa"/>
              <w:right w:w="108" w:type="dxa"/>
            </w:tcMar>
          </w:tcPr>
          <w:p w14:paraId="2DBCFB71" w14:textId="7B858593"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highlight w:val="yellow"/>
                <w:lang w:val="ro-RO"/>
              </w:rPr>
            </w:pPr>
            <w:r w:rsidRPr="00EC65AA">
              <w:rPr>
                <w:rFonts w:ascii="Times New Roman" w:hAnsi="Times New Roman"/>
                <w:b/>
                <w:bCs/>
                <w:sz w:val="24"/>
                <w:szCs w:val="24"/>
                <w:lang w:val="ro-RO"/>
              </w:rPr>
              <w:t>Se acceptă.</w:t>
            </w:r>
          </w:p>
        </w:tc>
      </w:tr>
      <w:tr w:rsidR="00DD0B19" w:rsidRPr="00EC65AA" w14:paraId="4EC4B34E" w14:textId="77777777" w:rsidTr="00D779B7">
        <w:trPr>
          <w:trHeight w:val="629"/>
        </w:trPr>
        <w:tc>
          <w:tcPr>
            <w:tcW w:w="866" w:type="pct"/>
            <w:vMerge/>
            <w:tcMar>
              <w:top w:w="0" w:type="dxa"/>
              <w:left w:w="108" w:type="dxa"/>
              <w:bottom w:w="0" w:type="dxa"/>
              <w:right w:w="108" w:type="dxa"/>
            </w:tcMar>
          </w:tcPr>
          <w:p w14:paraId="368190E1"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39FE76C"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487DF25A" w14:textId="18EFCF79" w:rsidR="00DD0B19" w:rsidRPr="00EC65AA" w:rsidRDefault="00DD0B19" w:rsidP="007666A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La </w:t>
            </w:r>
            <w:proofErr w:type="spellStart"/>
            <w:r w:rsidRPr="00EC65AA">
              <w:rPr>
                <w:rFonts w:ascii="Times New Roman" w:hAnsi="Times New Roman"/>
                <w:iCs/>
                <w:color w:val="000000" w:themeColor="text1"/>
                <w:sz w:val="24"/>
                <w:szCs w:val="24"/>
                <w:lang w:val="ro-RO"/>
              </w:rPr>
              <w:t>sbp</w:t>
            </w:r>
            <w:proofErr w:type="spellEnd"/>
            <w:r w:rsidRPr="00EC65AA">
              <w:rPr>
                <w:rFonts w:ascii="Times New Roman" w:hAnsi="Times New Roman"/>
                <w:iCs/>
                <w:color w:val="000000" w:themeColor="text1"/>
                <w:sz w:val="24"/>
                <w:szCs w:val="24"/>
                <w:lang w:val="ro-RO"/>
              </w:rPr>
              <w:t>. 5.3.1 și 5.3.2, pentru unitatea de redactare, modificarea punctelor 25 și 26 din Regulament se vor reda într-un singur subpunct, utilizând formula: „5.3.1. punctele 25 și 26 vor avea următorul cuprins:”, în continuare conform textului propus de autorul proiectului.</w:t>
            </w:r>
          </w:p>
        </w:tc>
        <w:tc>
          <w:tcPr>
            <w:tcW w:w="1230" w:type="pct"/>
            <w:tcMar>
              <w:top w:w="0" w:type="dxa"/>
              <w:left w:w="108" w:type="dxa"/>
              <w:bottom w:w="0" w:type="dxa"/>
              <w:right w:w="108" w:type="dxa"/>
            </w:tcMar>
          </w:tcPr>
          <w:p w14:paraId="22C7318D" w14:textId="06330FC5"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D0B19">
              <w:rPr>
                <w:rFonts w:ascii="Times New Roman" w:hAnsi="Times New Roman"/>
                <w:b/>
                <w:bCs/>
                <w:sz w:val="24"/>
                <w:szCs w:val="24"/>
                <w:lang w:val="ro-RO"/>
              </w:rPr>
              <w:t>Se acceptă.</w:t>
            </w:r>
            <w:r>
              <w:rPr>
                <w:rFonts w:ascii="Times New Roman" w:hAnsi="Times New Roman"/>
                <w:b/>
                <w:bCs/>
                <w:sz w:val="24"/>
                <w:szCs w:val="24"/>
                <w:lang w:val="ro-RO"/>
              </w:rPr>
              <w:t xml:space="preserve"> </w:t>
            </w:r>
          </w:p>
        </w:tc>
      </w:tr>
      <w:tr w:rsidR="00DD0B19" w:rsidRPr="00EC65AA" w14:paraId="714A1676" w14:textId="77777777" w:rsidTr="00D779B7">
        <w:trPr>
          <w:trHeight w:val="629"/>
        </w:trPr>
        <w:tc>
          <w:tcPr>
            <w:tcW w:w="866" w:type="pct"/>
            <w:vMerge/>
            <w:tcMar>
              <w:top w:w="0" w:type="dxa"/>
              <w:left w:w="108" w:type="dxa"/>
              <w:bottom w:w="0" w:type="dxa"/>
              <w:right w:w="108" w:type="dxa"/>
            </w:tcMar>
          </w:tcPr>
          <w:p w14:paraId="2D72ED96"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2D116D68"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09F076D" w14:textId="1949E7A8" w:rsidR="00DD0B19" w:rsidRPr="00EC65AA" w:rsidRDefault="00DD0B19" w:rsidP="007666A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Totodată, norma de la pct. 25 se va revedea în partea ce ține de implementarea sistemului respectiv „până la intrarea în vigoare a prezentului Regulament sau în termen de până la un an din data recepționării notificării prevăzute la art. 19 alin. (1) din Legea nr. 139/2018 cu privire la eficiența energetică”, întrucât nu sunt corecte din punct de vedere al rigorilor de elaborare a actelor normative. Intrarea în vigoare a actului normativ, precum și aplicabilitatea lui, sunt prevăzute nemijlocit în textul acestuia, dar nu în anexele lui. În context, astfel de reglementări urmează a fi incluse în textul hotărârii Guvernului, dar nu în Regulament.</w:t>
            </w:r>
          </w:p>
        </w:tc>
        <w:tc>
          <w:tcPr>
            <w:tcW w:w="1230" w:type="pct"/>
            <w:tcMar>
              <w:top w:w="0" w:type="dxa"/>
              <w:left w:w="108" w:type="dxa"/>
              <w:bottom w:w="0" w:type="dxa"/>
              <w:right w:w="108" w:type="dxa"/>
            </w:tcMar>
          </w:tcPr>
          <w:p w14:paraId="3FEC8F81" w14:textId="2A3F39B3" w:rsidR="00DD0B19" w:rsidRPr="00DD0B19"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D0B19">
              <w:rPr>
                <w:rFonts w:ascii="Times New Roman" w:hAnsi="Times New Roman"/>
                <w:b/>
                <w:bCs/>
                <w:sz w:val="24"/>
                <w:szCs w:val="24"/>
                <w:lang w:val="ro-RO"/>
              </w:rPr>
              <w:t>Se acceptă.</w:t>
            </w:r>
          </w:p>
        </w:tc>
      </w:tr>
      <w:tr w:rsidR="00DD0B19" w:rsidRPr="00EC65AA" w14:paraId="2E5D92FA" w14:textId="77777777" w:rsidTr="00D779B7">
        <w:trPr>
          <w:trHeight w:val="629"/>
        </w:trPr>
        <w:tc>
          <w:tcPr>
            <w:tcW w:w="866" w:type="pct"/>
            <w:vMerge/>
            <w:tcMar>
              <w:top w:w="0" w:type="dxa"/>
              <w:left w:w="108" w:type="dxa"/>
              <w:bottom w:w="0" w:type="dxa"/>
              <w:right w:w="108" w:type="dxa"/>
            </w:tcMar>
          </w:tcPr>
          <w:p w14:paraId="4C2C8E5B"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645E0A5B"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06C021F9" w14:textId="416156CA" w:rsidR="00DD0B19" w:rsidRPr="00EC65AA" w:rsidRDefault="00DD0B19" w:rsidP="007666A7">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 xml:space="preserve">Cu titlu de remarcă generală, semnalăm că, în conformitate cu </w:t>
            </w:r>
            <w:proofErr w:type="spellStart"/>
            <w:r w:rsidRPr="00EC65AA">
              <w:rPr>
                <w:rFonts w:ascii="Times New Roman" w:hAnsi="Times New Roman"/>
                <w:iCs/>
                <w:color w:val="000000" w:themeColor="text1"/>
                <w:sz w:val="24"/>
                <w:szCs w:val="24"/>
                <w:lang w:val="ro-RO"/>
              </w:rPr>
              <w:t>uzanţele</w:t>
            </w:r>
            <w:proofErr w:type="spellEnd"/>
            <w:r w:rsidRPr="00EC65AA">
              <w:rPr>
                <w:rFonts w:ascii="Times New Roman" w:hAnsi="Times New Roman"/>
                <w:iCs/>
                <w:color w:val="000000" w:themeColor="text1"/>
                <w:sz w:val="24"/>
                <w:szCs w:val="24"/>
                <w:lang w:val="ro-RO"/>
              </w:rPr>
              <w:t xml:space="preserve"> de tehnică legislativă, cuvântul „sintagma” se utilizează cu referire la un grup de două sau mai multe cuvinte între care există raporturi de subordonare, cuvântul „textul” se folosește pentru individualizarea unor cuvinte și cifre, cuvinte și semne de </w:t>
            </w:r>
            <w:r w:rsidRPr="00EC65AA">
              <w:rPr>
                <w:rFonts w:ascii="Times New Roman" w:hAnsi="Times New Roman"/>
                <w:iCs/>
                <w:color w:val="000000" w:themeColor="text1"/>
                <w:sz w:val="24"/>
                <w:szCs w:val="24"/>
                <w:lang w:val="ro-RO"/>
              </w:rPr>
              <w:lastRenderedPageBreak/>
              <w:t>punctuație, cifre și semne de punctuație, iar în celelalte cazuri, pentru formularea dispozițiilor de modificare, se utilizează termenii „cuvântul”/„cuvintele”, după caz, termenii „cifra”/„cifrele”.</w:t>
            </w:r>
          </w:p>
        </w:tc>
        <w:tc>
          <w:tcPr>
            <w:tcW w:w="1230" w:type="pct"/>
            <w:tcMar>
              <w:top w:w="0" w:type="dxa"/>
              <w:left w:w="108" w:type="dxa"/>
              <w:bottom w:w="0" w:type="dxa"/>
              <w:right w:w="108" w:type="dxa"/>
            </w:tcMar>
          </w:tcPr>
          <w:p w14:paraId="13E409ED" w14:textId="4BCA682A"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highlight w:val="yellow"/>
                <w:lang w:val="ro-RO"/>
              </w:rPr>
            </w:pPr>
            <w:r w:rsidRPr="00EC65AA">
              <w:rPr>
                <w:rFonts w:ascii="Times New Roman" w:hAnsi="Times New Roman"/>
                <w:b/>
                <w:bCs/>
                <w:sz w:val="24"/>
                <w:szCs w:val="24"/>
                <w:lang w:val="ro-RO"/>
              </w:rPr>
              <w:lastRenderedPageBreak/>
              <w:t>Se ia act de informare.</w:t>
            </w:r>
          </w:p>
        </w:tc>
      </w:tr>
      <w:tr w:rsidR="00DD0B19" w:rsidRPr="00EC65AA" w14:paraId="38866718" w14:textId="77777777" w:rsidTr="00D779B7">
        <w:trPr>
          <w:trHeight w:val="629"/>
        </w:trPr>
        <w:tc>
          <w:tcPr>
            <w:tcW w:w="866" w:type="pct"/>
            <w:vMerge/>
            <w:tcMar>
              <w:top w:w="0" w:type="dxa"/>
              <w:left w:w="108" w:type="dxa"/>
              <w:bottom w:w="0" w:type="dxa"/>
              <w:right w:w="108" w:type="dxa"/>
            </w:tcMar>
          </w:tcPr>
          <w:p w14:paraId="54A1146E" w14:textId="77777777" w:rsidR="00DD0B19" w:rsidRPr="00EC65AA" w:rsidRDefault="00DD0B19"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7" w:type="pct"/>
            <w:vMerge/>
            <w:tcMar>
              <w:top w:w="0" w:type="dxa"/>
              <w:left w:w="108" w:type="dxa"/>
              <w:bottom w:w="0" w:type="dxa"/>
              <w:right w:w="108" w:type="dxa"/>
            </w:tcMar>
          </w:tcPr>
          <w:p w14:paraId="4299AC75" w14:textId="77777777" w:rsidR="00DD0B19" w:rsidRPr="00EC65AA" w:rsidRDefault="00DD0B1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2327" w:type="pct"/>
            <w:tcMar>
              <w:top w:w="0" w:type="dxa"/>
              <w:left w:w="108" w:type="dxa"/>
              <w:bottom w:w="0" w:type="dxa"/>
              <w:right w:w="108" w:type="dxa"/>
            </w:tcMar>
          </w:tcPr>
          <w:p w14:paraId="1C79DEF2" w14:textId="6AA7D5E7" w:rsidR="00DD0B19" w:rsidRPr="00EC65AA" w:rsidRDefault="00DD0B19" w:rsidP="00C928D1">
            <w:pPr>
              <w:autoSpaceDE w:val="0"/>
              <w:autoSpaceDN w:val="0"/>
              <w:adjustRightInd w:val="0"/>
              <w:spacing w:before="120" w:after="120"/>
              <w:ind w:firstLine="0"/>
              <w:rPr>
                <w:rFonts w:ascii="Times New Roman" w:hAnsi="Times New Roman"/>
                <w:iCs/>
                <w:color w:val="000000" w:themeColor="text1"/>
                <w:sz w:val="24"/>
                <w:szCs w:val="24"/>
                <w:lang w:val="ro-RO"/>
              </w:rPr>
            </w:pPr>
            <w:r w:rsidRPr="00EC65AA">
              <w:rPr>
                <w:rFonts w:ascii="Times New Roman" w:hAnsi="Times New Roman"/>
                <w:iCs/>
                <w:color w:val="000000" w:themeColor="text1"/>
                <w:sz w:val="24"/>
                <w:szCs w:val="24"/>
                <w:lang w:val="ro-RO"/>
              </w:rPr>
              <w:t>Complementar, la definitivarea proiectului, numerotarea elementelor structurale urmează a fi revizuită în conformitate cu prevederile art. 52 alin. (3) din Legea nr. 100/2017.</w:t>
            </w:r>
          </w:p>
        </w:tc>
        <w:tc>
          <w:tcPr>
            <w:tcW w:w="1230" w:type="pct"/>
            <w:tcMar>
              <w:top w:w="0" w:type="dxa"/>
              <w:left w:w="108" w:type="dxa"/>
              <w:bottom w:w="0" w:type="dxa"/>
              <w:right w:w="108" w:type="dxa"/>
            </w:tcMar>
          </w:tcPr>
          <w:p w14:paraId="0A6AA69C" w14:textId="1A5F3E6D" w:rsidR="00DD0B19" w:rsidRPr="00EC65AA" w:rsidRDefault="00DD0B19"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C65AA">
              <w:rPr>
                <w:rFonts w:ascii="Times New Roman" w:hAnsi="Times New Roman"/>
                <w:b/>
                <w:bCs/>
                <w:sz w:val="24"/>
                <w:szCs w:val="24"/>
                <w:lang w:val="ro-RO"/>
              </w:rPr>
              <w:t xml:space="preserve">Se acceptă. </w:t>
            </w:r>
          </w:p>
        </w:tc>
      </w:tr>
      <w:tr w:rsidR="008D5CA4" w:rsidRPr="00EC65AA" w14:paraId="6AEA2C1B" w14:textId="77777777" w:rsidTr="00D779B7">
        <w:trPr>
          <w:trHeight w:val="629"/>
        </w:trPr>
        <w:tc>
          <w:tcPr>
            <w:tcW w:w="866" w:type="pct"/>
            <w:tcMar>
              <w:top w:w="0" w:type="dxa"/>
              <w:left w:w="108" w:type="dxa"/>
              <w:bottom w:w="0" w:type="dxa"/>
              <w:right w:w="108" w:type="dxa"/>
            </w:tcMar>
          </w:tcPr>
          <w:p w14:paraId="17E5FC97" w14:textId="047616BE" w:rsidR="008D5CA4" w:rsidRPr="00C63A2B" w:rsidRDefault="008D5CA4" w:rsidP="00073D2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63A2B">
              <w:rPr>
                <w:rFonts w:ascii="Times New Roman" w:hAnsi="Times New Roman"/>
                <w:b/>
                <w:bCs/>
                <w:sz w:val="24"/>
                <w:szCs w:val="24"/>
                <w:lang w:val="ro-RO"/>
              </w:rPr>
              <w:t>Centrul Național Anticorupție</w:t>
            </w:r>
          </w:p>
        </w:tc>
        <w:tc>
          <w:tcPr>
            <w:tcW w:w="577" w:type="pct"/>
            <w:tcMar>
              <w:top w:w="0" w:type="dxa"/>
              <w:left w:w="108" w:type="dxa"/>
              <w:bottom w:w="0" w:type="dxa"/>
              <w:right w:w="108" w:type="dxa"/>
            </w:tcMar>
          </w:tcPr>
          <w:p w14:paraId="6D17E43A" w14:textId="2C3A7165" w:rsidR="008D5CA4" w:rsidRPr="00C63A2B" w:rsidRDefault="008D5CA4"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63A2B">
              <w:rPr>
                <w:rFonts w:ascii="Times New Roman" w:hAnsi="Times New Roman"/>
                <w:sz w:val="24"/>
                <w:szCs w:val="24"/>
                <w:lang w:val="ro-RO"/>
              </w:rPr>
              <w:t xml:space="preserve">Raport de expertiză anticorupție </w:t>
            </w:r>
            <w:r w:rsidR="00C63A2B" w:rsidRPr="00C63A2B">
              <w:rPr>
                <w:rFonts w:ascii="Times New Roman" w:hAnsi="Times New Roman"/>
                <w:sz w:val="24"/>
                <w:szCs w:val="24"/>
                <w:lang w:val="ro-RO"/>
              </w:rPr>
              <w:t>nr. EHG25/10884 din 23.09.2025</w:t>
            </w:r>
          </w:p>
        </w:tc>
        <w:tc>
          <w:tcPr>
            <w:tcW w:w="2327" w:type="pct"/>
            <w:tcMar>
              <w:top w:w="0" w:type="dxa"/>
              <w:left w:w="108" w:type="dxa"/>
              <w:bottom w:w="0" w:type="dxa"/>
              <w:right w:w="108" w:type="dxa"/>
            </w:tcMar>
          </w:tcPr>
          <w:p w14:paraId="2586F385" w14:textId="77777777" w:rsidR="008D5CA4" w:rsidRPr="00C63A2B" w:rsidRDefault="00C63A2B" w:rsidP="00C928D1">
            <w:pPr>
              <w:autoSpaceDE w:val="0"/>
              <w:autoSpaceDN w:val="0"/>
              <w:adjustRightInd w:val="0"/>
              <w:spacing w:before="120" w:after="120"/>
              <w:ind w:firstLine="0"/>
              <w:rPr>
                <w:rFonts w:ascii="Times New Roman" w:hAnsi="Times New Roman"/>
                <w:b/>
                <w:bCs/>
                <w:iCs/>
                <w:color w:val="000000" w:themeColor="text1"/>
                <w:sz w:val="24"/>
                <w:szCs w:val="24"/>
                <w:lang w:val="ro-RO"/>
              </w:rPr>
            </w:pPr>
            <w:r w:rsidRPr="00C63A2B">
              <w:rPr>
                <w:rFonts w:ascii="Times New Roman" w:hAnsi="Times New Roman"/>
                <w:b/>
                <w:bCs/>
                <w:iCs/>
                <w:color w:val="000000" w:themeColor="text1"/>
                <w:sz w:val="24"/>
                <w:szCs w:val="24"/>
                <w:lang w:val="ro-RO"/>
              </w:rPr>
              <w:t>Concluzia expertizei:</w:t>
            </w:r>
          </w:p>
          <w:p w14:paraId="0427B52D" w14:textId="77777777" w:rsidR="00C63A2B" w:rsidRPr="00C63A2B" w:rsidRDefault="00C63A2B" w:rsidP="00C63A2B">
            <w:pPr>
              <w:autoSpaceDE w:val="0"/>
              <w:autoSpaceDN w:val="0"/>
              <w:adjustRightInd w:val="0"/>
              <w:spacing w:before="120" w:after="120"/>
              <w:ind w:firstLine="0"/>
              <w:rPr>
                <w:rFonts w:ascii="Times New Roman" w:hAnsi="Times New Roman"/>
                <w:iCs/>
                <w:color w:val="000000" w:themeColor="text1"/>
                <w:sz w:val="24"/>
                <w:szCs w:val="24"/>
                <w:lang w:val="ro-RO"/>
              </w:rPr>
            </w:pPr>
            <w:r w:rsidRPr="00C63A2B">
              <w:rPr>
                <w:rFonts w:ascii="Times New Roman" w:hAnsi="Times New Roman"/>
                <w:iCs/>
                <w:color w:val="000000" w:themeColor="text1"/>
                <w:sz w:val="24"/>
                <w:szCs w:val="24"/>
                <w:lang w:val="ro-RO"/>
              </w:rPr>
              <w:t>În nota de fundamentare se menționează că: „Proiectul de Hotărâre de Guvern cu privire la modificarea unor hotărâri ale Guvernului (facilitarea implementării proiectelor de eficiență energetică) a fost elaborat ca rezultat al modificărilor efectuate asupra Legii nr. 139/2018 cu privire la eficiența energetică prin Legea nr. 111/2025 pentru modificarea Legii nr. 139/2018 cu privire la eficiența energetică (facilitarea implementării proiectelor de eficiență energetică).</w:t>
            </w:r>
          </w:p>
          <w:p w14:paraId="22D23247" w14:textId="49E84053" w:rsidR="00C63A2B" w:rsidRPr="00C63A2B" w:rsidRDefault="00C63A2B" w:rsidP="00C63A2B">
            <w:pPr>
              <w:autoSpaceDE w:val="0"/>
              <w:autoSpaceDN w:val="0"/>
              <w:adjustRightInd w:val="0"/>
              <w:spacing w:before="120" w:after="120"/>
              <w:ind w:firstLine="0"/>
              <w:rPr>
                <w:rFonts w:ascii="Times New Roman" w:hAnsi="Times New Roman"/>
                <w:iCs/>
                <w:color w:val="000000" w:themeColor="text1"/>
                <w:sz w:val="24"/>
                <w:szCs w:val="24"/>
                <w:lang w:val="ro-RO"/>
              </w:rPr>
            </w:pPr>
            <w:r w:rsidRPr="00C63A2B">
              <w:rPr>
                <w:rFonts w:ascii="Times New Roman" w:hAnsi="Times New Roman"/>
                <w:iCs/>
                <w:color w:val="000000" w:themeColor="text1"/>
                <w:sz w:val="24"/>
                <w:szCs w:val="24"/>
                <w:lang w:val="ro-RO"/>
              </w:rPr>
              <w:t>Aprobarea proiectului de Hotărâre are drept obiectiv de bază alinierea cadrului normativ secundar în domeniul eficienței energetice la prevederile legii nr. 111/2025 pentru modificarea Legii nr. 139/2018 cu privire la eficiența energetică (facilitarea implementării proiectelor de eficiență energetică)”.</w:t>
            </w:r>
          </w:p>
          <w:p w14:paraId="3E0A3EC1" w14:textId="7342C1E6" w:rsidR="00C63A2B" w:rsidRPr="00C63A2B" w:rsidRDefault="00C63A2B" w:rsidP="00C63A2B">
            <w:pPr>
              <w:autoSpaceDE w:val="0"/>
              <w:autoSpaceDN w:val="0"/>
              <w:adjustRightInd w:val="0"/>
              <w:spacing w:before="120" w:after="120"/>
              <w:ind w:firstLine="0"/>
              <w:rPr>
                <w:rFonts w:ascii="Times New Roman" w:hAnsi="Times New Roman"/>
                <w:iCs/>
                <w:color w:val="000000" w:themeColor="text1"/>
                <w:sz w:val="24"/>
                <w:szCs w:val="24"/>
                <w:lang w:val="ro-RO"/>
              </w:rPr>
            </w:pPr>
            <w:r w:rsidRPr="00C63A2B">
              <w:rPr>
                <w:rFonts w:ascii="Times New Roman" w:hAnsi="Times New Roman"/>
                <w:iCs/>
                <w:color w:val="000000" w:themeColor="text1"/>
                <w:sz w:val="24"/>
                <w:szCs w:val="24"/>
                <w:lang w:val="ro-RO"/>
              </w:rPr>
              <w:t>La fel, în notă sunt descrise informații detaliate cu privire la impactul financiar și argumentarea costurilor estimative.</w:t>
            </w:r>
          </w:p>
          <w:p w14:paraId="489B7ED4" w14:textId="2A165326" w:rsidR="00C63A2B" w:rsidRPr="00C63A2B" w:rsidRDefault="00C63A2B" w:rsidP="00C63A2B">
            <w:pPr>
              <w:autoSpaceDE w:val="0"/>
              <w:autoSpaceDN w:val="0"/>
              <w:adjustRightInd w:val="0"/>
              <w:spacing w:before="120" w:after="120"/>
              <w:ind w:firstLine="0"/>
              <w:rPr>
                <w:rFonts w:ascii="Times New Roman" w:hAnsi="Times New Roman"/>
                <w:iCs/>
                <w:color w:val="000000" w:themeColor="text1"/>
                <w:sz w:val="24"/>
                <w:szCs w:val="24"/>
                <w:lang w:val="ro-RO"/>
              </w:rPr>
            </w:pPr>
            <w:r w:rsidRPr="00C63A2B">
              <w:rPr>
                <w:rFonts w:ascii="Times New Roman" w:hAnsi="Times New Roman"/>
                <w:iCs/>
                <w:color w:val="000000" w:themeColor="text1"/>
                <w:sz w:val="24"/>
                <w:szCs w:val="24"/>
                <w:lang w:val="ro-RO"/>
              </w:rPr>
              <w:t>În final, menționăm că în redacția propusă, proiectul nu conține factori și riscuri de corupție.</w:t>
            </w:r>
          </w:p>
        </w:tc>
        <w:tc>
          <w:tcPr>
            <w:tcW w:w="1230" w:type="pct"/>
            <w:tcMar>
              <w:top w:w="0" w:type="dxa"/>
              <w:left w:w="108" w:type="dxa"/>
              <w:bottom w:w="0" w:type="dxa"/>
              <w:right w:w="108" w:type="dxa"/>
            </w:tcMar>
          </w:tcPr>
          <w:p w14:paraId="105D6B4D" w14:textId="6E6A2B3C" w:rsidR="008D5CA4" w:rsidRPr="00C63A2B" w:rsidRDefault="00C63A2B" w:rsidP="007334F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ia act de informare.</w:t>
            </w:r>
          </w:p>
        </w:tc>
      </w:tr>
    </w:tbl>
    <w:p w14:paraId="34BFF4D2" w14:textId="77777777" w:rsidR="00120CD7" w:rsidRPr="00EC65AA" w:rsidRDefault="00120C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7953BF6" w14:textId="77777777" w:rsidR="00A032C2" w:rsidRPr="00EC65AA"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6D9E507" w14:textId="77777777" w:rsidR="00A032C2" w:rsidRPr="00EC65AA"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32922B11" w14:textId="74B1C361" w:rsidR="00A032C2" w:rsidRPr="00EC65AA" w:rsidRDefault="00A032C2" w:rsidP="00DD0B19">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sidRPr="00EC65AA">
        <w:rPr>
          <w:b/>
          <w:bCs/>
          <w:sz w:val="28"/>
          <w:szCs w:val="28"/>
          <w:lang w:val="ro-RO"/>
        </w:rPr>
        <w:lastRenderedPageBreak/>
        <w:t xml:space="preserve">                                        </w:t>
      </w:r>
      <w:r w:rsidR="005F50F5">
        <w:rPr>
          <w:b/>
          <w:bCs/>
          <w:sz w:val="28"/>
          <w:szCs w:val="28"/>
          <w:lang w:val="ro-RO"/>
        </w:rPr>
        <w:t xml:space="preserve">Ministrul </w:t>
      </w:r>
      <w:r w:rsidR="000574FA">
        <w:rPr>
          <w:b/>
          <w:bCs/>
          <w:sz w:val="28"/>
          <w:szCs w:val="28"/>
          <w:lang w:val="ro-RO"/>
        </w:rPr>
        <w:t>e</w:t>
      </w:r>
      <w:r w:rsidR="005F50F5">
        <w:rPr>
          <w:b/>
          <w:bCs/>
          <w:sz w:val="28"/>
          <w:szCs w:val="28"/>
          <w:lang w:val="ro-RO"/>
        </w:rPr>
        <w:t>nergiei</w:t>
      </w:r>
      <w:r w:rsidRPr="00EC65AA">
        <w:rPr>
          <w:b/>
          <w:bCs/>
          <w:sz w:val="28"/>
          <w:szCs w:val="28"/>
          <w:lang w:val="ro-RO"/>
        </w:rPr>
        <w:t xml:space="preserve">                   </w:t>
      </w:r>
      <w:r w:rsidRPr="00EC65AA">
        <w:rPr>
          <w:sz w:val="28"/>
          <w:szCs w:val="28"/>
          <w:lang w:val="ro-RO"/>
        </w:rPr>
        <w:t xml:space="preserve"> </w:t>
      </w:r>
      <w:r w:rsidR="003D62B5" w:rsidRPr="00EC65AA">
        <w:rPr>
          <w:sz w:val="28"/>
          <w:szCs w:val="28"/>
          <w:lang w:val="ro-RO"/>
        </w:rPr>
        <w:t>/semnat electronic/</w:t>
      </w:r>
      <w:r w:rsidRPr="00EC65AA">
        <w:rPr>
          <w:sz w:val="28"/>
          <w:szCs w:val="28"/>
          <w:lang w:val="ro-RO"/>
        </w:rPr>
        <w:t xml:space="preserve">                                                </w:t>
      </w:r>
      <w:r w:rsidR="005F50F5">
        <w:rPr>
          <w:b/>
          <w:bCs/>
          <w:sz w:val="28"/>
          <w:szCs w:val="28"/>
          <w:lang w:val="ro-RO"/>
        </w:rPr>
        <w:t>Dorin</w:t>
      </w:r>
      <w:r w:rsidR="009831D6" w:rsidRPr="00EC65AA">
        <w:rPr>
          <w:b/>
          <w:bCs/>
          <w:sz w:val="28"/>
          <w:szCs w:val="28"/>
          <w:lang w:val="ro-RO"/>
        </w:rPr>
        <w:t xml:space="preserve"> </w:t>
      </w:r>
      <w:r w:rsidR="005F50F5">
        <w:rPr>
          <w:b/>
          <w:bCs/>
          <w:sz w:val="28"/>
          <w:szCs w:val="28"/>
          <w:lang w:val="ro-RO"/>
        </w:rPr>
        <w:t>JUNGHIETU</w:t>
      </w:r>
    </w:p>
    <w:sectPr w:rsidR="00A032C2" w:rsidRPr="00EC65AA" w:rsidSect="00170441">
      <w:headerReference w:type="default" r:id="rId15"/>
      <w:headerReference w:type="first" r:id="rId16"/>
      <w:pgSz w:w="16840" w:h="11907" w:orient="landscape"/>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07B1" w14:textId="77777777" w:rsidR="00D32945" w:rsidRDefault="00D32945">
      <w:r>
        <w:separator/>
      </w:r>
    </w:p>
  </w:endnote>
  <w:endnote w:type="continuationSeparator" w:id="0">
    <w:p w14:paraId="6EE6F71D" w14:textId="77777777" w:rsidR="00D32945" w:rsidRDefault="00D3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CD8B" w14:textId="77777777" w:rsidR="00D32945" w:rsidRDefault="00D32945">
      <w:r>
        <w:separator/>
      </w:r>
    </w:p>
  </w:footnote>
  <w:footnote w:type="continuationSeparator" w:id="0">
    <w:p w14:paraId="522DCE36" w14:textId="77777777" w:rsidR="00D32945" w:rsidRDefault="00D3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0750" w14:textId="77777777" w:rsidR="00365521" w:rsidRDefault="00365521">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25A76" w:rsidRPr="00025A76">
      <w:rPr>
        <w:noProof/>
        <w:sz w:val="28"/>
        <w:szCs w:val="28"/>
        <w:lang w:val="ro-RO"/>
      </w:rPr>
      <w:t>21</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829" w14:textId="77777777" w:rsidR="00365521" w:rsidRDefault="0036552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38"/>
    <w:multiLevelType w:val="multilevel"/>
    <w:tmpl w:val="1F2C5F44"/>
    <w:lvl w:ilvl="0">
      <w:start w:val="19"/>
      <w:numFmt w:val="decimal"/>
      <w:lvlText w:val="%1."/>
      <w:lvlJc w:val="left"/>
      <w:pPr>
        <w:ind w:left="5070" w:hanging="480"/>
      </w:pPr>
      <w:rPr>
        <w:rFonts w:hint="default"/>
      </w:rPr>
    </w:lvl>
    <w:lvl w:ilvl="1">
      <w:start w:val="1"/>
      <w:numFmt w:val="decimal"/>
      <w:lvlText w:val="%1.%2."/>
      <w:lvlJc w:val="left"/>
      <w:pPr>
        <w:ind w:left="5070" w:hanging="480"/>
      </w:pPr>
      <w:rPr>
        <w:rFonts w:hint="default"/>
      </w:rPr>
    </w:lvl>
    <w:lvl w:ilvl="2">
      <w:start w:val="1"/>
      <w:numFmt w:val="decimal"/>
      <w:lvlText w:val="%1.%2.%3."/>
      <w:lvlJc w:val="left"/>
      <w:pPr>
        <w:ind w:left="531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5670" w:hanging="108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030" w:hanging="1440"/>
      </w:pPr>
      <w:rPr>
        <w:rFonts w:hint="default"/>
      </w:rPr>
    </w:lvl>
    <w:lvl w:ilvl="8">
      <w:start w:val="1"/>
      <w:numFmt w:val="decimal"/>
      <w:lvlText w:val="%1.%2.%3.%4.%5.%6.%7.%8.%9."/>
      <w:lvlJc w:val="left"/>
      <w:pPr>
        <w:ind w:left="6390" w:hanging="1800"/>
      </w:pPr>
      <w:rPr>
        <w:rFonts w:hint="default"/>
      </w:rPr>
    </w:lvl>
  </w:abstractNum>
  <w:abstractNum w:abstractNumId="1"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3496F"/>
    <w:multiLevelType w:val="hybridMultilevel"/>
    <w:tmpl w:val="C520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40B4F"/>
    <w:multiLevelType w:val="hybridMultilevel"/>
    <w:tmpl w:val="FFD653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1974BB0"/>
    <w:multiLevelType w:val="hybridMultilevel"/>
    <w:tmpl w:val="5016C6F4"/>
    <w:lvl w:ilvl="0" w:tplc="AD261E22">
      <w:start w:val="1"/>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C1A77"/>
    <w:multiLevelType w:val="multilevel"/>
    <w:tmpl w:val="FFFFFFFF"/>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2B7A1ADD"/>
    <w:multiLevelType w:val="hybridMultilevel"/>
    <w:tmpl w:val="F37CA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8B4646"/>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447EF"/>
    <w:multiLevelType w:val="hybridMultilevel"/>
    <w:tmpl w:val="86BAF772"/>
    <w:lvl w:ilvl="0" w:tplc="C18A668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5472F"/>
    <w:multiLevelType w:val="hybridMultilevel"/>
    <w:tmpl w:val="CCDED68E"/>
    <w:lvl w:ilvl="0" w:tplc="2F60F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56FC5"/>
    <w:multiLevelType w:val="hybridMultilevel"/>
    <w:tmpl w:val="26C84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E4AB5"/>
    <w:multiLevelType w:val="hybridMultilevel"/>
    <w:tmpl w:val="42A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24A53"/>
    <w:multiLevelType w:val="hybridMultilevel"/>
    <w:tmpl w:val="B89C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0066B6"/>
    <w:multiLevelType w:val="hybridMultilevel"/>
    <w:tmpl w:val="6D666506"/>
    <w:lvl w:ilvl="0" w:tplc="56B833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E5658"/>
    <w:multiLevelType w:val="hybridMultilevel"/>
    <w:tmpl w:val="CF5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25AA8"/>
    <w:multiLevelType w:val="multilevel"/>
    <w:tmpl w:val="FFFFFFFF"/>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5A5E0FDA"/>
    <w:multiLevelType w:val="hybridMultilevel"/>
    <w:tmpl w:val="AED220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841AF7"/>
    <w:multiLevelType w:val="hybridMultilevel"/>
    <w:tmpl w:val="47D635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65F42"/>
    <w:multiLevelType w:val="multilevel"/>
    <w:tmpl w:val="5E38F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3E1894"/>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9F1CEF"/>
    <w:multiLevelType w:val="multilevel"/>
    <w:tmpl w:val="C7CEA8E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01F1543"/>
    <w:multiLevelType w:val="hybridMultilevel"/>
    <w:tmpl w:val="9DC0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348BF"/>
    <w:multiLevelType w:val="hybridMultilevel"/>
    <w:tmpl w:val="1EE2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94573">
    <w:abstractNumId w:val="12"/>
  </w:num>
  <w:num w:numId="2" w16cid:durableId="165442870">
    <w:abstractNumId w:val="6"/>
  </w:num>
  <w:num w:numId="3" w16cid:durableId="564995373">
    <w:abstractNumId w:val="1"/>
  </w:num>
  <w:num w:numId="4" w16cid:durableId="1697922130">
    <w:abstractNumId w:val="4"/>
  </w:num>
  <w:num w:numId="5" w16cid:durableId="1830900559">
    <w:abstractNumId w:val="7"/>
  </w:num>
  <w:num w:numId="6" w16cid:durableId="770206637">
    <w:abstractNumId w:val="19"/>
  </w:num>
  <w:num w:numId="7" w16cid:durableId="1942684953">
    <w:abstractNumId w:val="17"/>
  </w:num>
  <w:num w:numId="8" w16cid:durableId="1300265324">
    <w:abstractNumId w:val="20"/>
  </w:num>
  <w:num w:numId="9" w16cid:durableId="148909689">
    <w:abstractNumId w:val="0"/>
  </w:num>
  <w:num w:numId="10" w16cid:durableId="26608591">
    <w:abstractNumId w:val="15"/>
  </w:num>
  <w:num w:numId="11" w16cid:durableId="2029212785">
    <w:abstractNumId w:val="5"/>
  </w:num>
  <w:num w:numId="12" w16cid:durableId="1577280917">
    <w:abstractNumId w:val="18"/>
  </w:num>
  <w:num w:numId="13" w16cid:durableId="1413239269">
    <w:abstractNumId w:val="2"/>
  </w:num>
  <w:num w:numId="14" w16cid:durableId="1426611388">
    <w:abstractNumId w:val="14"/>
  </w:num>
  <w:num w:numId="15" w16cid:durableId="1577739166">
    <w:abstractNumId w:val="22"/>
  </w:num>
  <w:num w:numId="16" w16cid:durableId="1481187679">
    <w:abstractNumId w:val="8"/>
  </w:num>
  <w:num w:numId="17" w16cid:durableId="951204628">
    <w:abstractNumId w:val="11"/>
  </w:num>
  <w:num w:numId="18" w16cid:durableId="730613024">
    <w:abstractNumId w:val="10"/>
  </w:num>
  <w:num w:numId="19" w16cid:durableId="911278789">
    <w:abstractNumId w:val="21"/>
  </w:num>
  <w:num w:numId="20" w16cid:durableId="2054383563">
    <w:abstractNumId w:val="13"/>
  </w:num>
  <w:num w:numId="21" w16cid:durableId="1538855018">
    <w:abstractNumId w:val="16"/>
  </w:num>
  <w:num w:numId="22" w16cid:durableId="2038962347">
    <w:abstractNumId w:val="9"/>
  </w:num>
  <w:num w:numId="23" w16cid:durableId="99780962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D7"/>
    <w:rsid w:val="00000359"/>
    <w:rsid w:val="000077AE"/>
    <w:rsid w:val="00007BA6"/>
    <w:rsid w:val="00011466"/>
    <w:rsid w:val="000135AC"/>
    <w:rsid w:val="00015494"/>
    <w:rsid w:val="00016975"/>
    <w:rsid w:val="0001699D"/>
    <w:rsid w:val="00020CC5"/>
    <w:rsid w:val="000228BC"/>
    <w:rsid w:val="00022C51"/>
    <w:rsid w:val="00025A76"/>
    <w:rsid w:val="00026818"/>
    <w:rsid w:val="0002710F"/>
    <w:rsid w:val="00030628"/>
    <w:rsid w:val="00032FEE"/>
    <w:rsid w:val="000365F5"/>
    <w:rsid w:val="00037DDD"/>
    <w:rsid w:val="000428D3"/>
    <w:rsid w:val="00044270"/>
    <w:rsid w:val="000500C7"/>
    <w:rsid w:val="000574FA"/>
    <w:rsid w:val="00063358"/>
    <w:rsid w:val="00071977"/>
    <w:rsid w:val="00073D20"/>
    <w:rsid w:val="00076B4E"/>
    <w:rsid w:val="00081F58"/>
    <w:rsid w:val="00093E90"/>
    <w:rsid w:val="000A4D8B"/>
    <w:rsid w:val="000B1D0C"/>
    <w:rsid w:val="000B2133"/>
    <w:rsid w:val="000B27B2"/>
    <w:rsid w:val="000B6E41"/>
    <w:rsid w:val="000C19B1"/>
    <w:rsid w:val="000C5477"/>
    <w:rsid w:val="000C78AF"/>
    <w:rsid w:val="000D1E97"/>
    <w:rsid w:val="000D4192"/>
    <w:rsid w:val="000E0DDF"/>
    <w:rsid w:val="000E539E"/>
    <w:rsid w:val="000F56EA"/>
    <w:rsid w:val="00101AFD"/>
    <w:rsid w:val="00120984"/>
    <w:rsid w:val="00120CD7"/>
    <w:rsid w:val="00124608"/>
    <w:rsid w:val="001358D9"/>
    <w:rsid w:val="00135C7E"/>
    <w:rsid w:val="00141211"/>
    <w:rsid w:val="00143ABC"/>
    <w:rsid w:val="00145403"/>
    <w:rsid w:val="00153C58"/>
    <w:rsid w:val="001562A7"/>
    <w:rsid w:val="001602B2"/>
    <w:rsid w:val="00162FF5"/>
    <w:rsid w:val="0016681B"/>
    <w:rsid w:val="00170441"/>
    <w:rsid w:val="00176542"/>
    <w:rsid w:val="001773BB"/>
    <w:rsid w:val="00186D4A"/>
    <w:rsid w:val="001942D3"/>
    <w:rsid w:val="001A1C7E"/>
    <w:rsid w:val="001A40D5"/>
    <w:rsid w:val="001A730F"/>
    <w:rsid w:val="001B24EE"/>
    <w:rsid w:val="001B35B3"/>
    <w:rsid w:val="001C1829"/>
    <w:rsid w:val="001C3A5A"/>
    <w:rsid w:val="001C4578"/>
    <w:rsid w:val="001D023B"/>
    <w:rsid w:val="001D0E9D"/>
    <w:rsid w:val="001D226B"/>
    <w:rsid w:val="001D3ECC"/>
    <w:rsid w:val="001D4A44"/>
    <w:rsid w:val="001E0BBD"/>
    <w:rsid w:val="001E6FA0"/>
    <w:rsid w:val="001F1C80"/>
    <w:rsid w:val="001F4A06"/>
    <w:rsid w:val="001F5872"/>
    <w:rsid w:val="001F5D57"/>
    <w:rsid w:val="00201461"/>
    <w:rsid w:val="002148CD"/>
    <w:rsid w:val="00214E75"/>
    <w:rsid w:val="00215314"/>
    <w:rsid w:val="00221D4C"/>
    <w:rsid w:val="0022492C"/>
    <w:rsid w:val="002275FB"/>
    <w:rsid w:val="00230BA2"/>
    <w:rsid w:val="00234686"/>
    <w:rsid w:val="00237654"/>
    <w:rsid w:val="00237FA8"/>
    <w:rsid w:val="00240DF4"/>
    <w:rsid w:val="00241179"/>
    <w:rsid w:val="00241C09"/>
    <w:rsid w:val="00242EC7"/>
    <w:rsid w:val="002475E7"/>
    <w:rsid w:val="00257862"/>
    <w:rsid w:val="00257E5C"/>
    <w:rsid w:val="002659C4"/>
    <w:rsid w:val="00271508"/>
    <w:rsid w:val="00274BF5"/>
    <w:rsid w:val="00277381"/>
    <w:rsid w:val="00280909"/>
    <w:rsid w:val="00287ED7"/>
    <w:rsid w:val="002A0BD6"/>
    <w:rsid w:val="002A2E4E"/>
    <w:rsid w:val="002A655C"/>
    <w:rsid w:val="002B404A"/>
    <w:rsid w:val="002B5842"/>
    <w:rsid w:val="002B5B25"/>
    <w:rsid w:val="002B7F1D"/>
    <w:rsid w:val="002C0513"/>
    <w:rsid w:val="002D2756"/>
    <w:rsid w:val="002D66CD"/>
    <w:rsid w:val="002E4B8D"/>
    <w:rsid w:val="002F32C7"/>
    <w:rsid w:val="002F5F39"/>
    <w:rsid w:val="002F6D1E"/>
    <w:rsid w:val="002F748D"/>
    <w:rsid w:val="00304F56"/>
    <w:rsid w:val="00313323"/>
    <w:rsid w:val="003135A5"/>
    <w:rsid w:val="00316055"/>
    <w:rsid w:val="00322786"/>
    <w:rsid w:val="0033369C"/>
    <w:rsid w:val="0034765B"/>
    <w:rsid w:val="00351251"/>
    <w:rsid w:val="00351318"/>
    <w:rsid w:val="00351DD9"/>
    <w:rsid w:val="00352B8D"/>
    <w:rsid w:val="003548C7"/>
    <w:rsid w:val="00357988"/>
    <w:rsid w:val="00365521"/>
    <w:rsid w:val="00365C62"/>
    <w:rsid w:val="0037244F"/>
    <w:rsid w:val="00372A48"/>
    <w:rsid w:val="00384DB3"/>
    <w:rsid w:val="003901E3"/>
    <w:rsid w:val="00391876"/>
    <w:rsid w:val="00397B1A"/>
    <w:rsid w:val="003B027E"/>
    <w:rsid w:val="003C1A0F"/>
    <w:rsid w:val="003C22FE"/>
    <w:rsid w:val="003C42BB"/>
    <w:rsid w:val="003C6A71"/>
    <w:rsid w:val="003D182C"/>
    <w:rsid w:val="003D2AA6"/>
    <w:rsid w:val="003D62B5"/>
    <w:rsid w:val="003D6E28"/>
    <w:rsid w:val="003E4752"/>
    <w:rsid w:val="003F3568"/>
    <w:rsid w:val="003F6D2A"/>
    <w:rsid w:val="00404321"/>
    <w:rsid w:val="00411D55"/>
    <w:rsid w:val="00414813"/>
    <w:rsid w:val="00414AC2"/>
    <w:rsid w:val="00415FAD"/>
    <w:rsid w:val="00417CD7"/>
    <w:rsid w:val="00417EB4"/>
    <w:rsid w:val="0042025C"/>
    <w:rsid w:val="00423148"/>
    <w:rsid w:val="00424AAA"/>
    <w:rsid w:val="004269E8"/>
    <w:rsid w:val="00426F97"/>
    <w:rsid w:val="0043131C"/>
    <w:rsid w:val="00431EE2"/>
    <w:rsid w:val="004376D6"/>
    <w:rsid w:val="00442EF2"/>
    <w:rsid w:val="004535E8"/>
    <w:rsid w:val="00454146"/>
    <w:rsid w:val="004555DF"/>
    <w:rsid w:val="004557D0"/>
    <w:rsid w:val="00455D75"/>
    <w:rsid w:val="00460D47"/>
    <w:rsid w:val="00464C9C"/>
    <w:rsid w:val="00465AB8"/>
    <w:rsid w:val="00466089"/>
    <w:rsid w:val="004670DE"/>
    <w:rsid w:val="0047225B"/>
    <w:rsid w:val="004724D7"/>
    <w:rsid w:val="00473238"/>
    <w:rsid w:val="00484B19"/>
    <w:rsid w:val="00484FAA"/>
    <w:rsid w:val="00485986"/>
    <w:rsid w:val="00486FA8"/>
    <w:rsid w:val="004A021D"/>
    <w:rsid w:val="004A38E9"/>
    <w:rsid w:val="004A3CB9"/>
    <w:rsid w:val="004B1A84"/>
    <w:rsid w:val="004B2124"/>
    <w:rsid w:val="004B3EED"/>
    <w:rsid w:val="004C3D76"/>
    <w:rsid w:val="004C786B"/>
    <w:rsid w:val="004E00B7"/>
    <w:rsid w:val="004E1900"/>
    <w:rsid w:val="004E207E"/>
    <w:rsid w:val="004E2BE9"/>
    <w:rsid w:val="004F0C52"/>
    <w:rsid w:val="004F4D27"/>
    <w:rsid w:val="004F5FFA"/>
    <w:rsid w:val="00500C5A"/>
    <w:rsid w:val="00501AF4"/>
    <w:rsid w:val="0050246A"/>
    <w:rsid w:val="00502815"/>
    <w:rsid w:val="0050619A"/>
    <w:rsid w:val="00516F2C"/>
    <w:rsid w:val="00517D1A"/>
    <w:rsid w:val="00517FCC"/>
    <w:rsid w:val="005204AC"/>
    <w:rsid w:val="00521471"/>
    <w:rsid w:val="005258A1"/>
    <w:rsid w:val="00535095"/>
    <w:rsid w:val="0054031D"/>
    <w:rsid w:val="0054104F"/>
    <w:rsid w:val="00544460"/>
    <w:rsid w:val="00544995"/>
    <w:rsid w:val="00546A2C"/>
    <w:rsid w:val="00553DBA"/>
    <w:rsid w:val="00555C6D"/>
    <w:rsid w:val="00556095"/>
    <w:rsid w:val="0055688E"/>
    <w:rsid w:val="00557240"/>
    <w:rsid w:val="00567DC4"/>
    <w:rsid w:val="00571150"/>
    <w:rsid w:val="00581EE1"/>
    <w:rsid w:val="00583BF2"/>
    <w:rsid w:val="00587C72"/>
    <w:rsid w:val="005953C6"/>
    <w:rsid w:val="00595E7B"/>
    <w:rsid w:val="005A2B2C"/>
    <w:rsid w:val="005A308E"/>
    <w:rsid w:val="005A3D05"/>
    <w:rsid w:val="005B46ED"/>
    <w:rsid w:val="005C1D1C"/>
    <w:rsid w:val="005D3665"/>
    <w:rsid w:val="005E44FF"/>
    <w:rsid w:val="005F50F5"/>
    <w:rsid w:val="005F78B5"/>
    <w:rsid w:val="00600D7F"/>
    <w:rsid w:val="0060298E"/>
    <w:rsid w:val="006069DF"/>
    <w:rsid w:val="00613496"/>
    <w:rsid w:val="0061610E"/>
    <w:rsid w:val="00620616"/>
    <w:rsid w:val="00622865"/>
    <w:rsid w:val="00625E8B"/>
    <w:rsid w:val="00627FB8"/>
    <w:rsid w:val="00630A0D"/>
    <w:rsid w:val="00634344"/>
    <w:rsid w:val="006445CE"/>
    <w:rsid w:val="00646546"/>
    <w:rsid w:val="006479EF"/>
    <w:rsid w:val="006601CD"/>
    <w:rsid w:val="00671959"/>
    <w:rsid w:val="0067241B"/>
    <w:rsid w:val="006726AD"/>
    <w:rsid w:val="00672D3E"/>
    <w:rsid w:val="006779A1"/>
    <w:rsid w:val="0068023C"/>
    <w:rsid w:val="00680273"/>
    <w:rsid w:val="00680CB8"/>
    <w:rsid w:val="0068148F"/>
    <w:rsid w:val="00692116"/>
    <w:rsid w:val="00693ADC"/>
    <w:rsid w:val="0069645A"/>
    <w:rsid w:val="006A0DC9"/>
    <w:rsid w:val="006A4F08"/>
    <w:rsid w:val="006B056B"/>
    <w:rsid w:val="006B2FEF"/>
    <w:rsid w:val="006B3567"/>
    <w:rsid w:val="006C1529"/>
    <w:rsid w:val="006C5634"/>
    <w:rsid w:val="006E3843"/>
    <w:rsid w:val="006E4173"/>
    <w:rsid w:val="006F51C8"/>
    <w:rsid w:val="007016D6"/>
    <w:rsid w:val="007051CB"/>
    <w:rsid w:val="0071597A"/>
    <w:rsid w:val="00716C1D"/>
    <w:rsid w:val="00716D08"/>
    <w:rsid w:val="00721387"/>
    <w:rsid w:val="0072262D"/>
    <w:rsid w:val="00723874"/>
    <w:rsid w:val="00723DB5"/>
    <w:rsid w:val="00732AD5"/>
    <w:rsid w:val="007334FC"/>
    <w:rsid w:val="00734B8D"/>
    <w:rsid w:val="00740B22"/>
    <w:rsid w:val="00745504"/>
    <w:rsid w:val="0074621D"/>
    <w:rsid w:val="007467C6"/>
    <w:rsid w:val="0075177A"/>
    <w:rsid w:val="00761FC5"/>
    <w:rsid w:val="007638DE"/>
    <w:rsid w:val="007640B1"/>
    <w:rsid w:val="0076468D"/>
    <w:rsid w:val="007666A7"/>
    <w:rsid w:val="007670A3"/>
    <w:rsid w:val="00785F57"/>
    <w:rsid w:val="00790773"/>
    <w:rsid w:val="007923D8"/>
    <w:rsid w:val="007A12CE"/>
    <w:rsid w:val="007A232F"/>
    <w:rsid w:val="007A31D4"/>
    <w:rsid w:val="007A4976"/>
    <w:rsid w:val="007A6FD1"/>
    <w:rsid w:val="007B6655"/>
    <w:rsid w:val="007C27B4"/>
    <w:rsid w:val="007C3F50"/>
    <w:rsid w:val="007C5C1F"/>
    <w:rsid w:val="007C71D8"/>
    <w:rsid w:val="007D2493"/>
    <w:rsid w:val="007D27D4"/>
    <w:rsid w:val="007D51CE"/>
    <w:rsid w:val="007E0168"/>
    <w:rsid w:val="007E29CD"/>
    <w:rsid w:val="007F095E"/>
    <w:rsid w:val="007F37CB"/>
    <w:rsid w:val="007F6CB1"/>
    <w:rsid w:val="0080030E"/>
    <w:rsid w:val="0080089A"/>
    <w:rsid w:val="0080298A"/>
    <w:rsid w:val="00802B29"/>
    <w:rsid w:val="0080472A"/>
    <w:rsid w:val="00807D0B"/>
    <w:rsid w:val="00810184"/>
    <w:rsid w:val="008147E9"/>
    <w:rsid w:val="00815C79"/>
    <w:rsid w:val="00816CF3"/>
    <w:rsid w:val="00817E6A"/>
    <w:rsid w:val="008218B4"/>
    <w:rsid w:val="00830851"/>
    <w:rsid w:val="00837F48"/>
    <w:rsid w:val="00841CFC"/>
    <w:rsid w:val="00846741"/>
    <w:rsid w:val="00846E00"/>
    <w:rsid w:val="008507A2"/>
    <w:rsid w:val="00851E7F"/>
    <w:rsid w:val="00862579"/>
    <w:rsid w:val="0086766F"/>
    <w:rsid w:val="008677DC"/>
    <w:rsid w:val="008742B1"/>
    <w:rsid w:val="00895AE3"/>
    <w:rsid w:val="008A0DB3"/>
    <w:rsid w:val="008A35F6"/>
    <w:rsid w:val="008C0268"/>
    <w:rsid w:val="008C1722"/>
    <w:rsid w:val="008C39FC"/>
    <w:rsid w:val="008C6904"/>
    <w:rsid w:val="008C7097"/>
    <w:rsid w:val="008D344B"/>
    <w:rsid w:val="008D5CA4"/>
    <w:rsid w:val="008D72ED"/>
    <w:rsid w:val="008E1BC5"/>
    <w:rsid w:val="008E5E79"/>
    <w:rsid w:val="008F00F1"/>
    <w:rsid w:val="008F037A"/>
    <w:rsid w:val="008F4727"/>
    <w:rsid w:val="00904173"/>
    <w:rsid w:val="009124EE"/>
    <w:rsid w:val="009153E9"/>
    <w:rsid w:val="009178EA"/>
    <w:rsid w:val="00917F4B"/>
    <w:rsid w:val="00923CEE"/>
    <w:rsid w:val="00924E4D"/>
    <w:rsid w:val="0092680D"/>
    <w:rsid w:val="00926DE9"/>
    <w:rsid w:val="009306D7"/>
    <w:rsid w:val="00930C5F"/>
    <w:rsid w:val="0093359F"/>
    <w:rsid w:val="00933A4A"/>
    <w:rsid w:val="00934DC1"/>
    <w:rsid w:val="00941A69"/>
    <w:rsid w:val="009504AD"/>
    <w:rsid w:val="00953635"/>
    <w:rsid w:val="00957549"/>
    <w:rsid w:val="009577A4"/>
    <w:rsid w:val="00957A8E"/>
    <w:rsid w:val="009606CD"/>
    <w:rsid w:val="00966CDE"/>
    <w:rsid w:val="00967469"/>
    <w:rsid w:val="009726AE"/>
    <w:rsid w:val="00974D4C"/>
    <w:rsid w:val="00980A1A"/>
    <w:rsid w:val="009831D6"/>
    <w:rsid w:val="00996F8A"/>
    <w:rsid w:val="009A1D98"/>
    <w:rsid w:val="009B1609"/>
    <w:rsid w:val="009B63BE"/>
    <w:rsid w:val="009C1DFD"/>
    <w:rsid w:val="009C3898"/>
    <w:rsid w:val="009C4B2B"/>
    <w:rsid w:val="009C5C98"/>
    <w:rsid w:val="009C6FD7"/>
    <w:rsid w:val="009C77EB"/>
    <w:rsid w:val="009D282A"/>
    <w:rsid w:val="009D6DB7"/>
    <w:rsid w:val="009E4951"/>
    <w:rsid w:val="009F0197"/>
    <w:rsid w:val="009F468E"/>
    <w:rsid w:val="009F5664"/>
    <w:rsid w:val="00A032C2"/>
    <w:rsid w:val="00A03C50"/>
    <w:rsid w:val="00A053C0"/>
    <w:rsid w:val="00A0686E"/>
    <w:rsid w:val="00A1056A"/>
    <w:rsid w:val="00A1127C"/>
    <w:rsid w:val="00A1345D"/>
    <w:rsid w:val="00A16A95"/>
    <w:rsid w:val="00A21440"/>
    <w:rsid w:val="00A22509"/>
    <w:rsid w:val="00A303C5"/>
    <w:rsid w:val="00A31213"/>
    <w:rsid w:val="00A32ADD"/>
    <w:rsid w:val="00A34EF6"/>
    <w:rsid w:val="00A42F1E"/>
    <w:rsid w:val="00A51863"/>
    <w:rsid w:val="00A56158"/>
    <w:rsid w:val="00A57F24"/>
    <w:rsid w:val="00A66A41"/>
    <w:rsid w:val="00A6769F"/>
    <w:rsid w:val="00A70269"/>
    <w:rsid w:val="00A70FCB"/>
    <w:rsid w:val="00A72102"/>
    <w:rsid w:val="00A8583E"/>
    <w:rsid w:val="00A915FA"/>
    <w:rsid w:val="00A94C8A"/>
    <w:rsid w:val="00A96E4A"/>
    <w:rsid w:val="00AA137B"/>
    <w:rsid w:val="00AA1849"/>
    <w:rsid w:val="00AA4A0B"/>
    <w:rsid w:val="00AA7189"/>
    <w:rsid w:val="00AB4921"/>
    <w:rsid w:val="00AB6442"/>
    <w:rsid w:val="00AC584B"/>
    <w:rsid w:val="00AC65D9"/>
    <w:rsid w:val="00AD2405"/>
    <w:rsid w:val="00AD7F50"/>
    <w:rsid w:val="00AE346A"/>
    <w:rsid w:val="00AE7407"/>
    <w:rsid w:val="00AF43D6"/>
    <w:rsid w:val="00B00271"/>
    <w:rsid w:val="00B01C68"/>
    <w:rsid w:val="00B03EC3"/>
    <w:rsid w:val="00B04E45"/>
    <w:rsid w:val="00B1263E"/>
    <w:rsid w:val="00B20DBE"/>
    <w:rsid w:val="00B27953"/>
    <w:rsid w:val="00B33D86"/>
    <w:rsid w:val="00B34841"/>
    <w:rsid w:val="00B36230"/>
    <w:rsid w:val="00B370F7"/>
    <w:rsid w:val="00B419D6"/>
    <w:rsid w:val="00B421BC"/>
    <w:rsid w:val="00B44B88"/>
    <w:rsid w:val="00B52D77"/>
    <w:rsid w:val="00B532AB"/>
    <w:rsid w:val="00B80C63"/>
    <w:rsid w:val="00B816FC"/>
    <w:rsid w:val="00B82BCE"/>
    <w:rsid w:val="00B82DE1"/>
    <w:rsid w:val="00B8621C"/>
    <w:rsid w:val="00B86827"/>
    <w:rsid w:val="00B968ED"/>
    <w:rsid w:val="00BA1B0F"/>
    <w:rsid w:val="00BA46E0"/>
    <w:rsid w:val="00BA5685"/>
    <w:rsid w:val="00BB360A"/>
    <w:rsid w:val="00BB5812"/>
    <w:rsid w:val="00BC0B89"/>
    <w:rsid w:val="00BC11EB"/>
    <w:rsid w:val="00BC74C5"/>
    <w:rsid w:val="00BC7A09"/>
    <w:rsid w:val="00BD4B2A"/>
    <w:rsid w:val="00BE15F8"/>
    <w:rsid w:val="00BF6C98"/>
    <w:rsid w:val="00C0499E"/>
    <w:rsid w:val="00C05064"/>
    <w:rsid w:val="00C13977"/>
    <w:rsid w:val="00C21832"/>
    <w:rsid w:val="00C241D4"/>
    <w:rsid w:val="00C31A26"/>
    <w:rsid w:val="00C41418"/>
    <w:rsid w:val="00C4180A"/>
    <w:rsid w:val="00C43250"/>
    <w:rsid w:val="00C457AD"/>
    <w:rsid w:val="00C51AE6"/>
    <w:rsid w:val="00C53665"/>
    <w:rsid w:val="00C576CA"/>
    <w:rsid w:val="00C612CF"/>
    <w:rsid w:val="00C61EC0"/>
    <w:rsid w:val="00C6273F"/>
    <w:rsid w:val="00C63A2B"/>
    <w:rsid w:val="00C75135"/>
    <w:rsid w:val="00C75EED"/>
    <w:rsid w:val="00C76BDD"/>
    <w:rsid w:val="00C7723B"/>
    <w:rsid w:val="00C8408A"/>
    <w:rsid w:val="00C84899"/>
    <w:rsid w:val="00C928D1"/>
    <w:rsid w:val="00C96C62"/>
    <w:rsid w:val="00CA69EB"/>
    <w:rsid w:val="00CB2600"/>
    <w:rsid w:val="00CB6883"/>
    <w:rsid w:val="00CB7F25"/>
    <w:rsid w:val="00CC4571"/>
    <w:rsid w:val="00CC4B83"/>
    <w:rsid w:val="00CC57D4"/>
    <w:rsid w:val="00CE2E5F"/>
    <w:rsid w:val="00CE41EA"/>
    <w:rsid w:val="00D025B1"/>
    <w:rsid w:val="00D02BA2"/>
    <w:rsid w:val="00D071C2"/>
    <w:rsid w:val="00D168B0"/>
    <w:rsid w:val="00D212D7"/>
    <w:rsid w:val="00D2217E"/>
    <w:rsid w:val="00D27CA3"/>
    <w:rsid w:val="00D30FE8"/>
    <w:rsid w:val="00D32945"/>
    <w:rsid w:val="00D3309A"/>
    <w:rsid w:val="00D374A0"/>
    <w:rsid w:val="00D4041D"/>
    <w:rsid w:val="00D40AC1"/>
    <w:rsid w:val="00D44BF7"/>
    <w:rsid w:val="00D51230"/>
    <w:rsid w:val="00D60709"/>
    <w:rsid w:val="00D64765"/>
    <w:rsid w:val="00D72F08"/>
    <w:rsid w:val="00D779B7"/>
    <w:rsid w:val="00D800C7"/>
    <w:rsid w:val="00D844FB"/>
    <w:rsid w:val="00D875CF"/>
    <w:rsid w:val="00D87F46"/>
    <w:rsid w:val="00D9242D"/>
    <w:rsid w:val="00D97385"/>
    <w:rsid w:val="00DA19D7"/>
    <w:rsid w:val="00DA1EAF"/>
    <w:rsid w:val="00DA6E98"/>
    <w:rsid w:val="00DB5B3E"/>
    <w:rsid w:val="00DC2736"/>
    <w:rsid w:val="00DC3B29"/>
    <w:rsid w:val="00DC49D0"/>
    <w:rsid w:val="00DD0B19"/>
    <w:rsid w:val="00DD15B6"/>
    <w:rsid w:val="00DD1DD6"/>
    <w:rsid w:val="00DD24D0"/>
    <w:rsid w:val="00DD3691"/>
    <w:rsid w:val="00DD4A16"/>
    <w:rsid w:val="00DD5334"/>
    <w:rsid w:val="00DD6C76"/>
    <w:rsid w:val="00DE3AFE"/>
    <w:rsid w:val="00DE45DC"/>
    <w:rsid w:val="00DE5AFD"/>
    <w:rsid w:val="00DF4287"/>
    <w:rsid w:val="00E06239"/>
    <w:rsid w:val="00E07C44"/>
    <w:rsid w:val="00E10B4C"/>
    <w:rsid w:val="00E12297"/>
    <w:rsid w:val="00E12F7F"/>
    <w:rsid w:val="00E12F85"/>
    <w:rsid w:val="00E151C0"/>
    <w:rsid w:val="00E16F10"/>
    <w:rsid w:val="00E176CA"/>
    <w:rsid w:val="00E2704D"/>
    <w:rsid w:val="00E3267D"/>
    <w:rsid w:val="00E32E4D"/>
    <w:rsid w:val="00E46BD3"/>
    <w:rsid w:val="00E53FAF"/>
    <w:rsid w:val="00E54952"/>
    <w:rsid w:val="00E56AC2"/>
    <w:rsid w:val="00E620CB"/>
    <w:rsid w:val="00E660AC"/>
    <w:rsid w:val="00E7027D"/>
    <w:rsid w:val="00E71F69"/>
    <w:rsid w:val="00E76627"/>
    <w:rsid w:val="00E847BF"/>
    <w:rsid w:val="00E84A79"/>
    <w:rsid w:val="00E85366"/>
    <w:rsid w:val="00E86302"/>
    <w:rsid w:val="00E868C3"/>
    <w:rsid w:val="00E86E58"/>
    <w:rsid w:val="00E87839"/>
    <w:rsid w:val="00E92BFA"/>
    <w:rsid w:val="00EA1305"/>
    <w:rsid w:val="00EA1B27"/>
    <w:rsid w:val="00EA7D4C"/>
    <w:rsid w:val="00EB628A"/>
    <w:rsid w:val="00EB632C"/>
    <w:rsid w:val="00EB6C8A"/>
    <w:rsid w:val="00EC0B1D"/>
    <w:rsid w:val="00EC5D5B"/>
    <w:rsid w:val="00EC5FCB"/>
    <w:rsid w:val="00EC65AA"/>
    <w:rsid w:val="00EC71AA"/>
    <w:rsid w:val="00EC7C71"/>
    <w:rsid w:val="00EC7D14"/>
    <w:rsid w:val="00ED75E9"/>
    <w:rsid w:val="00EE02C8"/>
    <w:rsid w:val="00EE414E"/>
    <w:rsid w:val="00EE66FC"/>
    <w:rsid w:val="00EE6779"/>
    <w:rsid w:val="00EF35C5"/>
    <w:rsid w:val="00EF401D"/>
    <w:rsid w:val="00F007B3"/>
    <w:rsid w:val="00F0107F"/>
    <w:rsid w:val="00F04191"/>
    <w:rsid w:val="00F07944"/>
    <w:rsid w:val="00F107BD"/>
    <w:rsid w:val="00F168DE"/>
    <w:rsid w:val="00F225B8"/>
    <w:rsid w:val="00F32D4D"/>
    <w:rsid w:val="00F3351A"/>
    <w:rsid w:val="00F42DDB"/>
    <w:rsid w:val="00F56822"/>
    <w:rsid w:val="00F57032"/>
    <w:rsid w:val="00F57BB1"/>
    <w:rsid w:val="00F6014F"/>
    <w:rsid w:val="00F61EA5"/>
    <w:rsid w:val="00F62019"/>
    <w:rsid w:val="00F666CA"/>
    <w:rsid w:val="00F71E5E"/>
    <w:rsid w:val="00F72127"/>
    <w:rsid w:val="00F762D1"/>
    <w:rsid w:val="00F80F75"/>
    <w:rsid w:val="00F82CF9"/>
    <w:rsid w:val="00F8374F"/>
    <w:rsid w:val="00F84DB0"/>
    <w:rsid w:val="00F86ABC"/>
    <w:rsid w:val="00FA140E"/>
    <w:rsid w:val="00FA1A71"/>
    <w:rsid w:val="00FA6537"/>
    <w:rsid w:val="00FA75E0"/>
    <w:rsid w:val="00FB29FA"/>
    <w:rsid w:val="00FB3AD7"/>
    <w:rsid w:val="00FB54AE"/>
    <w:rsid w:val="00FC213C"/>
    <w:rsid w:val="00FC3031"/>
    <w:rsid w:val="00FC7A12"/>
    <w:rsid w:val="00FD18AD"/>
    <w:rsid w:val="00FD4452"/>
    <w:rsid w:val="00FD5243"/>
    <w:rsid w:val="00FD61F5"/>
    <w:rsid w:val="00FD7428"/>
    <w:rsid w:val="00FE0D04"/>
    <w:rsid w:val="00FE2899"/>
    <w:rsid w:val="00FE3A6C"/>
    <w:rsid w:val="00FE7A21"/>
    <w:rsid w:val="00FF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848"/>
  <w15:docId w15:val="{F6951AC3-EEDA-4DD2-AEF5-38A7E2C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uiPriority w:val="9"/>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
    <w:name w:val="Char"/>
    <w:basedOn w:val="Normal"/>
    <w:rsid w:val="009C5C98"/>
    <w:pPr>
      <w:spacing w:after="160" w:line="240" w:lineRule="exact"/>
      <w:ind w:firstLine="0"/>
      <w:jc w:val="left"/>
    </w:pPr>
    <w:rPr>
      <w:rFonts w:ascii="Arial" w:eastAsia="Batang" w:hAnsi="Arial" w:cs="Arial"/>
      <w:lang w:val="ro-MD"/>
    </w:rPr>
  </w:style>
  <w:style w:type="character" w:customStyle="1" w:styleId="NormalWebChar">
    <w:name w:val="Normal (Web) Char"/>
    <w:aliases w:val="Footnote Text Char2 Char Char,Footnote Text Char1 Char Char Char,Footnote Text Char2 Char Char Char Char,Footnote Text Char1 Char Char Char Char Char,Cha Char,Текст сноски1 Char,Знак Знак1 Знак Char,webb Char,webb Знак Знак Char"/>
    <w:link w:val="NormalWeb"/>
    <w:uiPriority w:val="99"/>
    <w:locked/>
    <w:rsid w:val="00FD18AD"/>
    <w:rPr>
      <w:sz w:val="24"/>
      <w:szCs w:val="24"/>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7F6CB1"/>
    <w:rPr>
      <w:lang w:val="en-US" w:eastAsia="en-US"/>
    </w:rPr>
  </w:style>
  <w:style w:type="paragraph" w:customStyle="1" w:styleId="CharChar1CharCharChar">
    <w:name w:val="Char Char1 Char Знак Знак Char Знак Знак Char"/>
    <w:basedOn w:val="Normal"/>
    <w:rsid w:val="00FC213C"/>
    <w:pPr>
      <w:spacing w:after="160" w:line="240" w:lineRule="exact"/>
      <w:ind w:firstLine="0"/>
      <w:jc w:val="left"/>
    </w:pPr>
    <w:rPr>
      <w:rFonts w:ascii="Arial" w:eastAsia="Batang" w:hAnsi="Arial" w:cs="Arial"/>
      <w:lang w:val="ro-MD"/>
    </w:rPr>
  </w:style>
  <w:style w:type="paragraph" w:styleId="BodyText">
    <w:name w:val="Body Text"/>
    <w:basedOn w:val="Normal"/>
    <w:link w:val="BodyTextChar1"/>
    <w:rsid w:val="00120984"/>
    <w:pPr>
      <w:suppressAutoHyphens/>
      <w:spacing w:before="120"/>
      <w:ind w:firstLine="0"/>
      <w:jc w:val="left"/>
    </w:pPr>
    <w:rPr>
      <w:rFonts w:ascii="Cambria" w:hAnsi="Cambria"/>
      <w:sz w:val="24"/>
      <w:szCs w:val="24"/>
      <w:lang w:val="ru-RU" w:eastAsia="ar-SA"/>
    </w:rPr>
  </w:style>
  <w:style w:type="character" w:customStyle="1" w:styleId="BodyTextChar">
    <w:name w:val="Body Text Char"/>
    <w:basedOn w:val="DefaultParagraphFont"/>
    <w:uiPriority w:val="99"/>
    <w:semiHidden/>
    <w:rsid w:val="00120984"/>
    <w:rPr>
      <w:lang w:val="en-US" w:eastAsia="en-US"/>
    </w:rPr>
  </w:style>
  <w:style w:type="character" w:customStyle="1" w:styleId="BodyTextChar1">
    <w:name w:val="Body Text Char1"/>
    <w:basedOn w:val="DefaultParagraphFont"/>
    <w:link w:val="BodyText"/>
    <w:rsid w:val="00120984"/>
    <w:rPr>
      <w:rFonts w:ascii="Cambria" w:hAnsi="Cambria"/>
      <w:sz w:val="24"/>
      <w:szCs w:val="24"/>
      <w:lang w:eastAsia="ar-SA"/>
    </w:rPr>
  </w:style>
  <w:style w:type="character" w:styleId="UnresolvedMention">
    <w:name w:val="Unresolved Mention"/>
    <w:basedOn w:val="DefaultParagraphFont"/>
    <w:uiPriority w:val="99"/>
    <w:semiHidden/>
    <w:unhideWhenUsed/>
    <w:rsid w:val="004F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927">
      <w:bodyDiv w:val="1"/>
      <w:marLeft w:val="0"/>
      <w:marRight w:val="0"/>
      <w:marTop w:val="0"/>
      <w:marBottom w:val="0"/>
      <w:divBdr>
        <w:top w:val="none" w:sz="0" w:space="0" w:color="auto"/>
        <w:left w:val="none" w:sz="0" w:space="0" w:color="auto"/>
        <w:bottom w:val="none" w:sz="0" w:space="0" w:color="auto"/>
        <w:right w:val="none" w:sz="0" w:space="0" w:color="auto"/>
      </w:divBdr>
    </w:div>
    <w:div w:id="125054231">
      <w:bodyDiv w:val="1"/>
      <w:marLeft w:val="0"/>
      <w:marRight w:val="0"/>
      <w:marTop w:val="0"/>
      <w:marBottom w:val="0"/>
      <w:divBdr>
        <w:top w:val="none" w:sz="0" w:space="0" w:color="auto"/>
        <w:left w:val="none" w:sz="0" w:space="0" w:color="auto"/>
        <w:bottom w:val="none" w:sz="0" w:space="0" w:color="auto"/>
        <w:right w:val="none" w:sz="0" w:space="0" w:color="auto"/>
      </w:divBdr>
    </w:div>
    <w:div w:id="323823878">
      <w:bodyDiv w:val="1"/>
      <w:marLeft w:val="0"/>
      <w:marRight w:val="0"/>
      <w:marTop w:val="0"/>
      <w:marBottom w:val="0"/>
      <w:divBdr>
        <w:top w:val="none" w:sz="0" w:space="0" w:color="auto"/>
        <w:left w:val="none" w:sz="0" w:space="0" w:color="auto"/>
        <w:bottom w:val="none" w:sz="0" w:space="0" w:color="auto"/>
        <w:right w:val="none" w:sz="0" w:space="0" w:color="auto"/>
      </w:divBdr>
    </w:div>
    <w:div w:id="333186700">
      <w:bodyDiv w:val="1"/>
      <w:marLeft w:val="0"/>
      <w:marRight w:val="0"/>
      <w:marTop w:val="0"/>
      <w:marBottom w:val="0"/>
      <w:divBdr>
        <w:top w:val="none" w:sz="0" w:space="0" w:color="auto"/>
        <w:left w:val="none" w:sz="0" w:space="0" w:color="auto"/>
        <w:bottom w:val="none" w:sz="0" w:space="0" w:color="auto"/>
        <w:right w:val="none" w:sz="0" w:space="0" w:color="auto"/>
      </w:divBdr>
    </w:div>
    <w:div w:id="354767359">
      <w:bodyDiv w:val="1"/>
      <w:marLeft w:val="0"/>
      <w:marRight w:val="0"/>
      <w:marTop w:val="0"/>
      <w:marBottom w:val="0"/>
      <w:divBdr>
        <w:top w:val="none" w:sz="0" w:space="0" w:color="auto"/>
        <w:left w:val="none" w:sz="0" w:space="0" w:color="auto"/>
        <w:bottom w:val="none" w:sz="0" w:space="0" w:color="auto"/>
        <w:right w:val="none" w:sz="0" w:space="0" w:color="auto"/>
      </w:divBdr>
    </w:div>
    <w:div w:id="415135237">
      <w:bodyDiv w:val="1"/>
      <w:marLeft w:val="0"/>
      <w:marRight w:val="0"/>
      <w:marTop w:val="0"/>
      <w:marBottom w:val="0"/>
      <w:divBdr>
        <w:top w:val="none" w:sz="0" w:space="0" w:color="auto"/>
        <w:left w:val="none" w:sz="0" w:space="0" w:color="auto"/>
        <w:bottom w:val="none" w:sz="0" w:space="0" w:color="auto"/>
        <w:right w:val="none" w:sz="0" w:space="0" w:color="auto"/>
      </w:divBdr>
    </w:div>
    <w:div w:id="540173631">
      <w:bodyDiv w:val="1"/>
      <w:marLeft w:val="0"/>
      <w:marRight w:val="0"/>
      <w:marTop w:val="0"/>
      <w:marBottom w:val="0"/>
      <w:divBdr>
        <w:top w:val="none" w:sz="0" w:space="0" w:color="auto"/>
        <w:left w:val="none" w:sz="0" w:space="0" w:color="auto"/>
        <w:bottom w:val="none" w:sz="0" w:space="0" w:color="auto"/>
        <w:right w:val="none" w:sz="0" w:space="0" w:color="auto"/>
      </w:divBdr>
    </w:div>
    <w:div w:id="549418236">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44362393">
      <w:bodyDiv w:val="1"/>
      <w:marLeft w:val="0"/>
      <w:marRight w:val="0"/>
      <w:marTop w:val="0"/>
      <w:marBottom w:val="0"/>
      <w:divBdr>
        <w:top w:val="none" w:sz="0" w:space="0" w:color="auto"/>
        <w:left w:val="none" w:sz="0" w:space="0" w:color="auto"/>
        <w:bottom w:val="none" w:sz="0" w:space="0" w:color="auto"/>
        <w:right w:val="none" w:sz="0" w:space="0" w:color="auto"/>
      </w:divBdr>
    </w:div>
    <w:div w:id="650061986">
      <w:bodyDiv w:val="1"/>
      <w:marLeft w:val="0"/>
      <w:marRight w:val="0"/>
      <w:marTop w:val="0"/>
      <w:marBottom w:val="0"/>
      <w:divBdr>
        <w:top w:val="none" w:sz="0" w:space="0" w:color="auto"/>
        <w:left w:val="none" w:sz="0" w:space="0" w:color="auto"/>
        <w:bottom w:val="none" w:sz="0" w:space="0" w:color="auto"/>
        <w:right w:val="none" w:sz="0" w:space="0" w:color="auto"/>
      </w:divBdr>
    </w:div>
    <w:div w:id="660547890">
      <w:bodyDiv w:val="1"/>
      <w:marLeft w:val="0"/>
      <w:marRight w:val="0"/>
      <w:marTop w:val="0"/>
      <w:marBottom w:val="0"/>
      <w:divBdr>
        <w:top w:val="none" w:sz="0" w:space="0" w:color="auto"/>
        <w:left w:val="none" w:sz="0" w:space="0" w:color="auto"/>
        <w:bottom w:val="none" w:sz="0" w:space="0" w:color="auto"/>
        <w:right w:val="none" w:sz="0" w:space="0" w:color="auto"/>
      </w:divBdr>
    </w:div>
    <w:div w:id="841629461">
      <w:bodyDiv w:val="1"/>
      <w:marLeft w:val="0"/>
      <w:marRight w:val="0"/>
      <w:marTop w:val="0"/>
      <w:marBottom w:val="0"/>
      <w:divBdr>
        <w:top w:val="none" w:sz="0" w:space="0" w:color="auto"/>
        <w:left w:val="none" w:sz="0" w:space="0" w:color="auto"/>
        <w:bottom w:val="none" w:sz="0" w:space="0" w:color="auto"/>
        <w:right w:val="none" w:sz="0" w:space="0" w:color="auto"/>
      </w:divBdr>
    </w:div>
    <w:div w:id="863516453">
      <w:bodyDiv w:val="1"/>
      <w:marLeft w:val="0"/>
      <w:marRight w:val="0"/>
      <w:marTop w:val="0"/>
      <w:marBottom w:val="0"/>
      <w:divBdr>
        <w:top w:val="none" w:sz="0" w:space="0" w:color="auto"/>
        <w:left w:val="none" w:sz="0" w:space="0" w:color="auto"/>
        <w:bottom w:val="none" w:sz="0" w:space="0" w:color="auto"/>
        <w:right w:val="none" w:sz="0" w:space="0" w:color="auto"/>
      </w:divBdr>
    </w:div>
    <w:div w:id="926500164">
      <w:bodyDiv w:val="1"/>
      <w:marLeft w:val="0"/>
      <w:marRight w:val="0"/>
      <w:marTop w:val="0"/>
      <w:marBottom w:val="0"/>
      <w:divBdr>
        <w:top w:val="none" w:sz="0" w:space="0" w:color="auto"/>
        <w:left w:val="none" w:sz="0" w:space="0" w:color="auto"/>
        <w:bottom w:val="none" w:sz="0" w:space="0" w:color="auto"/>
        <w:right w:val="none" w:sz="0" w:space="0" w:color="auto"/>
      </w:divBdr>
    </w:div>
    <w:div w:id="926961064">
      <w:bodyDiv w:val="1"/>
      <w:marLeft w:val="0"/>
      <w:marRight w:val="0"/>
      <w:marTop w:val="0"/>
      <w:marBottom w:val="0"/>
      <w:divBdr>
        <w:top w:val="none" w:sz="0" w:space="0" w:color="auto"/>
        <w:left w:val="none" w:sz="0" w:space="0" w:color="auto"/>
        <w:bottom w:val="none" w:sz="0" w:space="0" w:color="auto"/>
        <w:right w:val="none" w:sz="0" w:space="0" w:color="auto"/>
      </w:divBdr>
    </w:div>
    <w:div w:id="941491294">
      <w:bodyDiv w:val="1"/>
      <w:marLeft w:val="0"/>
      <w:marRight w:val="0"/>
      <w:marTop w:val="0"/>
      <w:marBottom w:val="0"/>
      <w:divBdr>
        <w:top w:val="none" w:sz="0" w:space="0" w:color="auto"/>
        <w:left w:val="none" w:sz="0" w:space="0" w:color="auto"/>
        <w:bottom w:val="none" w:sz="0" w:space="0" w:color="auto"/>
        <w:right w:val="none" w:sz="0" w:space="0" w:color="auto"/>
      </w:divBdr>
    </w:div>
    <w:div w:id="953635747">
      <w:bodyDiv w:val="1"/>
      <w:marLeft w:val="0"/>
      <w:marRight w:val="0"/>
      <w:marTop w:val="0"/>
      <w:marBottom w:val="0"/>
      <w:divBdr>
        <w:top w:val="none" w:sz="0" w:space="0" w:color="auto"/>
        <w:left w:val="none" w:sz="0" w:space="0" w:color="auto"/>
        <w:bottom w:val="none" w:sz="0" w:space="0" w:color="auto"/>
        <w:right w:val="none" w:sz="0" w:space="0" w:color="auto"/>
      </w:divBdr>
    </w:div>
    <w:div w:id="977302551">
      <w:bodyDiv w:val="1"/>
      <w:marLeft w:val="0"/>
      <w:marRight w:val="0"/>
      <w:marTop w:val="0"/>
      <w:marBottom w:val="0"/>
      <w:divBdr>
        <w:top w:val="none" w:sz="0" w:space="0" w:color="auto"/>
        <w:left w:val="none" w:sz="0" w:space="0" w:color="auto"/>
        <w:bottom w:val="none" w:sz="0" w:space="0" w:color="auto"/>
        <w:right w:val="none" w:sz="0" w:space="0" w:color="auto"/>
      </w:divBdr>
    </w:div>
    <w:div w:id="1010371139">
      <w:bodyDiv w:val="1"/>
      <w:marLeft w:val="0"/>
      <w:marRight w:val="0"/>
      <w:marTop w:val="0"/>
      <w:marBottom w:val="0"/>
      <w:divBdr>
        <w:top w:val="none" w:sz="0" w:space="0" w:color="auto"/>
        <w:left w:val="none" w:sz="0" w:space="0" w:color="auto"/>
        <w:bottom w:val="none" w:sz="0" w:space="0" w:color="auto"/>
        <w:right w:val="none" w:sz="0" w:space="0" w:color="auto"/>
      </w:divBdr>
    </w:div>
    <w:div w:id="1046875745">
      <w:bodyDiv w:val="1"/>
      <w:marLeft w:val="0"/>
      <w:marRight w:val="0"/>
      <w:marTop w:val="0"/>
      <w:marBottom w:val="0"/>
      <w:divBdr>
        <w:top w:val="none" w:sz="0" w:space="0" w:color="auto"/>
        <w:left w:val="none" w:sz="0" w:space="0" w:color="auto"/>
        <w:bottom w:val="none" w:sz="0" w:space="0" w:color="auto"/>
        <w:right w:val="none" w:sz="0" w:space="0" w:color="auto"/>
      </w:divBdr>
    </w:div>
    <w:div w:id="1062947836">
      <w:bodyDiv w:val="1"/>
      <w:marLeft w:val="0"/>
      <w:marRight w:val="0"/>
      <w:marTop w:val="0"/>
      <w:marBottom w:val="0"/>
      <w:divBdr>
        <w:top w:val="none" w:sz="0" w:space="0" w:color="auto"/>
        <w:left w:val="none" w:sz="0" w:space="0" w:color="auto"/>
        <w:bottom w:val="none" w:sz="0" w:space="0" w:color="auto"/>
        <w:right w:val="none" w:sz="0" w:space="0" w:color="auto"/>
      </w:divBdr>
    </w:div>
    <w:div w:id="1084109944">
      <w:bodyDiv w:val="1"/>
      <w:marLeft w:val="0"/>
      <w:marRight w:val="0"/>
      <w:marTop w:val="0"/>
      <w:marBottom w:val="0"/>
      <w:divBdr>
        <w:top w:val="none" w:sz="0" w:space="0" w:color="auto"/>
        <w:left w:val="none" w:sz="0" w:space="0" w:color="auto"/>
        <w:bottom w:val="none" w:sz="0" w:space="0" w:color="auto"/>
        <w:right w:val="none" w:sz="0" w:space="0" w:color="auto"/>
      </w:divBdr>
    </w:div>
    <w:div w:id="1206452676">
      <w:bodyDiv w:val="1"/>
      <w:marLeft w:val="0"/>
      <w:marRight w:val="0"/>
      <w:marTop w:val="0"/>
      <w:marBottom w:val="0"/>
      <w:divBdr>
        <w:top w:val="none" w:sz="0" w:space="0" w:color="auto"/>
        <w:left w:val="none" w:sz="0" w:space="0" w:color="auto"/>
        <w:bottom w:val="none" w:sz="0" w:space="0" w:color="auto"/>
        <w:right w:val="none" w:sz="0" w:space="0" w:color="auto"/>
      </w:divBdr>
    </w:div>
    <w:div w:id="1258751975">
      <w:bodyDiv w:val="1"/>
      <w:marLeft w:val="0"/>
      <w:marRight w:val="0"/>
      <w:marTop w:val="0"/>
      <w:marBottom w:val="0"/>
      <w:divBdr>
        <w:top w:val="none" w:sz="0" w:space="0" w:color="auto"/>
        <w:left w:val="none" w:sz="0" w:space="0" w:color="auto"/>
        <w:bottom w:val="none" w:sz="0" w:space="0" w:color="auto"/>
        <w:right w:val="none" w:sz="0" w:space="0" w:color="auto"/>
      </w:divBdr>
    </w:div>
    <w:div w:id="1272276251">
      <w:bodyDiv w:val="1"/>
      <w:marLeft w:val="0"/>
      <w:marRight w:val="0"/>
      <w:marTop w:val="0"/>
      <w:marBottom w:val="0"/>
      <w:divBdr>
        <w:top w:val="none" w:sz="0" w:space="0" w:color="auto"/>
        <w:left w:val="none" w:sz="0" w:space="0" w:color="auto"/>
        <w:bottom w:val="none" w:sz="0" w:space="0" w:color="auto"/>
        <w:right w:val="none" w:sz="0" w:space="0" w:color="auto"/>
      </w:divBdr>
    </w:div>
    <w:div w:id="1375037492">
      <w:bodyDiv w:val="1"/>
      <w:marLeft w:val="0"/>
      <w:marRight w:val="0"/>
      <w:marTop w:val="0"/>
      <w:marBottom w:val="0"/>
      <w:divBdr>
        <w:top w:val="none" w:sz="0" w:space="0" w:color="auto"/>
        <w:left w:val="none" w:sz="0" w:space="0" w:color="auto"/>
        <w:bottom w:val="none" w:sz="0" w:space="0" w:color="auto"/>
        <w:right w:val="none" w:sz="0" w:space="0" w:color="auto"/>
      </w:divBdr>
    </w:div>
    <w:div w:id="1393970011">
      <w:bodyDiv w:val="1"/>
      <w:marLeft w:val="0"/>
      <w:marRight w:val="0"/>
      <w:marTop w:val="0"/>
      <w:marBottom w:val="0"/>
      <w:divBdr>
        <w:top w:val="none" w:sz="0" w:space="0" w:color="auto"/>
        <w:left w:val="none" w:sz="0" w:space="0" w:color="auto"/>
        <w:bottom w:val="none" w:sz="0" w:space="0" w:color="auto"/>
        <w:right w:val="none" w:sz="0" w:space="0" w:color="auto"/>
      </w:divBdr>
    </w:div>
    <w:div w:id="1473208507">
      <w:bodyDiv w:val="1"/>
      <w:marLeft w:val="0"/>
      <w:marRight w:val="0"/>
      <w:marTop w:val="0"/>
      <w:marBottom w:val="0"/>
      <w:divBdr>
        <w:top w:val="none" w:sz="0" w:space="0" w:color="auto"/>
        <w:left w:val="none" w:sz="0" w:space="0" w:color="auto"/>
        <w:bottom w:val="none" w:sz="0" w:space="0" w:color="auto"/>
        <w:right w:val="none" w:sz="0" w:space="0" w:color="auto"/>
      </w:divBdr>
    </w:div>
    <w:div w:id="1477869048">
      <w:bodyDiv w:val="1"/>
      <w:marLeft w:val="0"/>
      <w:marRight w:val="0"/>
      <w:marTop w:val="0"/>
      <w:marBottom w:val="0"/>
      <w:divBdr>
        <w:top w:val="none" w:sz="0" w:space="0" w:color="auto"/>
        <w:left w:val="none" w:sz="0" w:space="0" w:color="auto"/>
        <w:bottom w:val="none" w:sz="0" w:space="0" w:color="auto"/>
        <w:right w:val="none" w:sz="0" w:space="0" w:color="auto"/>
      </w:divBdr>
    </w:div>
    <w:div w:id="1737121900">
      <w:bodyDiv w:val="1"/>
      <w:marLeft w:val="0"/>
      <w:marRight w:val="0"/>
      <w:marTop w:val="0"/>
      <w:marBottom w:val="0"/>
      <w:divBdr>
        <w:top w:val="none" w:sz="0" w:space="0" w:color="auto"/>
        <w:left w:val="none" w:sz="0" w:space="0" w:color="auto"/>
        <w:bottom w:val="none" w:sz="0" w:space="0" w:color="auto"/>
        <w:right w:val="none" w:sz="0" w:space="0" w:color="auto"/>
      </w:divBdr>
    </w:div>
    <w:div w:id="1774128141">
      <w:bodyDiv w:val="1"/>
      <w:marLeft w:val="0"/>
      <w:marRight w:val="0"/>
      <w:marTop w:val="0"/>
      <w:marBottom w:val="0"/>
      <w:divBdr>
        <w:top w:val="none" w:sz="0" w:space="0" w:color="auto"/>
        <w:left w:val="none" w:sz="0" w:space="0" w:color="auto"/>
        <w:bottom w:val="none" w:sz="0" w:space="0" w:color="auto"/>
        <w:right w:val="none" w:sz="0" w:space="0" w:color="auto"/>
      </w:divBdr>
    </w:div>
    <w:div w:id="1853061980">
      <w:bodyDiv w:val="1"/>
      <w:marLeft w:val="0"/>
      <w:marRight w:val="0"/>
      <w:marTop w:val="0"/>
      <w:marBottom w:val="0"/>
      <w:divBdr>
        <w:top w:val="none" w:sz="0" w:space="0" w:color="auto"/>
        <w:left w:val="none" w:sz="0" w:space="0" w:color="auto"/>
        <w:bottom w:val="none" w:sz="0" w:space="0" w:color="auto"/>
        <w:right w:val="none" w:sz="0" w:space="0" w:color="auto"/>
      </w:divBdr>
    </w:div>
    <w:div w:id="1922248959">
      <w:bodyDiv w:val="1"/>
      <w:marLeft w:val="0"/>
      <w:marRight w:val="0"/>
      <w:marTop w:val="0"/>
      <w:marBottom w:val="0"/>
      <w:divBdr>
        <w:top w:val="none" w:sz="0" w:space="0" w:color="auto"/>
        <w:left w:val="none" w:sz="0" w:space="0" w:color="auto"/>
        <w:bottom w:val="none" w:sz="0" w:space="0" w:color="auto"/>
        <w:right w:val="none" w:sz="0" w:space="0" w:color="auto"/>
      </w:divBdr>
    </w:div>
    <w:div w:id="1987319638">
      <w:bodyDiv w:val="1"/>
      <w:marLeft w:val="0"/>
      <w:marRight w:val="0"/>
      <w:marTop w:val="0"/>
      <w:marBottom w:val="0"/>
      <w:divBdr>
        <w:top w:val="none" w:sz="0" w:space="0" w:color="auto"/>
        <w:left w:val="none" w:sz="0" w:space="0" w:color="auto"/>
        <w:bottom w:val="none" w:sz="0" w:space="0" w:color="auto"/>
        <w:right w:val="none" w:sz="0" w:space="0" w:color="auto"/>
      </w:divBdr>
    </w:div>
    <w:div w:id="21039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hizi&#539;ii.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ldlex.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ldlex.m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ed.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C598D84D-5545-495D-AB7B-6B37301D222C}">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56</Pages>
  <Words>13190</Words>
  <Characters>75189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88203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Valerian Colun</cp:lastModifiedBy>
  <cp:revision>227</cp:revision>
  <cp:lastPrinted>2025-01-24T12:05:00Z</cp:lastPrinted>
  <dcterms:created xsi:type="dcterms:W3CDTF">2024-06-13T04:23:00Z</dcterms:created>
  <dcterms:modified xsi:type="dcterms:W3CDTF">2025-09-24T14:34:00Z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