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9444C7" w:rsidRDefault="008B4BE6" w:rsidP="00F37ED4">
      <w:pPr>
        <w:pBdr>
          <w:top w:val="none" w:sz="4" w:space="0" w:color="000000"/>
          <w:left w:val="none" w:sz="4" w:space="0" w:color="000000"/>
          <w:bottom w:val="none" w:sz="4" w:space="0" w:color="000000"/>
          <w:right w:val="none" w:sz="4" w:space="0" w:color="000000"/>
        </w:pBdr>
        <w:tabs>
          <w:tab w:val="left" w:pos="884"/>
          <w:tab w:val="left" w:pos="1196"/>
        </w:tabs>
      </w:pPr>
    </w:p>
    <w:p w14:paraId="19B5E71F" w14:textId="7A61C0EE" w:rsidR="008B4BE6" w:rsidRPr="009444C7" w:rsidRDefault="006933C3" w:rsidP="000C2594">
      <w:pPr>
        <w:jc w:val="center"/>
        <w:rPr>
          <w:rFonts w:eastAsia="Calibri"/>
          <w:b/>
        </w:rPr>
      </w:pPr>
      <w:r w:rsidRPr="009444C7">
        <w:rPr>
          <w:rFonts w:eastAsia="Calibri"/>
          <w:b/>
        </w:rPr>
        <w:t>NOTA</w:t>
      </w:r>
      <w:r w:rsidR="00032B46" w:rsidRPr="009444C7">
        <w:rPr>
          <w:rFonts w:eastAsia="Calibri"/>
          <w:b/>
        </w:rPr>
        <w:t xml:space="preserve"> </w:t>
      </w:r>
      <w:r w:rsidRPr="009444C7">
        <w:rPr>
          <w:rFonts w:eastAsia="Calibri"/>
          <w:b/>
        </w:rPr>
        <w:t>DE</w:t>
      </w:r>
      <w:r w:rsidR="00032B46" w:rsidRPr="009444C7">
        <w:rPr>
          <w:rFonts w:eastAsia="Calibri"/>
          <w:b/>
        </w:rPr>
        <w:t xml:space="preserve"> </w:t>
      </w:r>
      <w:r w:rsidRPr="009444C7">
        <w:rPr>
          <w:rFonts w:eastAsia="Calibri"/>
          <w:b/>
        </w:rPr>
        <w:t>FUNDAMENTARE</w:t>
      </w:r>
    </w:p>
    <w:p w14:paraId="581CF8BF" w14:textId="201E8EC9" w:rsidR="008B4BE6" w:rsidRPr="009444C7" w:rsidRDefault="006933C3" w:rsidP="003368B8">
      <w:pPr>
        <w:spacing w:before="120" w:after="120"/>
        <w:jc w:val="center"/>
        <w:rPr>
          <w:rFonts w:eastAsia="Calibri"/>
          <w:b/>
        </w:rPr>
      </w:pPr>
      <w:r w:rsidRPr="009444C7">
        <w:rPr>
          <w:rFonts w:eastAsia="Calibri"/>
          <w:b/>
        </w:rPr>
        <w:t>la</w:t>
      </w:r>
      <w:r w:rsidR="00032B46" w:rsidRPr="009444C7">
        <w:rPr>
          <w:rFonts w:eastAsia="Calibri"/>
          <w:b/>
        </w:rPr>
        <w:t xml:space="preserve"> </w:t>
      </w:r>
      <w:r w:rsidRPr="009444C7">
        <w:rPr>
          <w:rFonts w:eastAsia="Calibri"/>
          <w:b/>
        </w:rPr>
        <w:t>proiectul</w:t>
      </w:r>
      <w:r w:rsidR="00032B46" w:rsidRPr="009444C7">
        <w:rPr>
          <w:rFonts w:eastAsia="Calibri"/>
          <w:b/>
        </w:rPr>
        <w:t xml:space="preserve"> </w:t>
      </w:r>
      <w:r w:rsidR="00AB0105" w:rsidRPr="009444C7">
        <w:rPr>
          <w:rFonts w:eastAsia="Calibri"/>
          <w:b/>
        </w:rPr>
        <w:t xml:space="preserve">de </w:t>
      </w:r>
      <w:r w:rsidR="00EC241E" w:rsidRPr="009444C7">
        <w:rPr>
          <w:rFonts w:eastAsia="Calibri"/>
          <w:b/>
        </w:rPr>
        <w:t>Hotărâre de Guvern cu privire la modificarea unor hotărâri ale Guvernului</w:t>
      </w:r>
      <w:r w:rsidR="0088682B" w:rsidRPr="009444C7">
        <w:rPr>
          <w:rFonts w:eastAsia="Calibri"/>
          <w:b/>
        </w:rPr>
        <w:t xml:space="preserve"> (facilitarea implementării proiectelor de eficiență energetică)</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9444C7"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9444C7" w:rsidRDefault="0036135C" w:rsidP="000E1660">
            <w:pPr>
              <w:rPr>
                <w:rFonts w:ascii="Times New Roman" w:hAnsi="Times New Roman"/>
                <w:b/>
                <w:bCs/>
              </w:rPr>
            </w:pPr>
            <w:r w:rsidRPr="009444C7">
              <w:rPr>
                <w:rFonts w:ascii="Times New Roman" w:hAnsi="Times New Roman"/>
                <w:b/>
                <w:bCs/>
              </w:rPr>
              <w:t>1.</w:t>
            </w:r>
            <w:r w:rsidR="00032B46" w:rsidRPr="009444C7">
              <w:rPr>
                <w:rFonts w:ascii="Times New Roman" w:hAnsi="Times New Roman"/>
                <w:b/>
                <w:bCs/>
              </w:rPr>
              <w:t xml:space="preserve"> </w:t>
            </w:r>
            <w:r w:rsidR="006933C3" w:rsidRPr="009444C7">
              <w:rPr>
                <w:rFonts w:ascii="Times New Roman" w:hAnsi="Times New Roman"/>
                <w:b/>
                <w:bCs/>
              </w:rPr>
              <w:t>Denumirea</w:t>
            </w:r>
            <w:r w:rsidR="00032B46" w:rsidRPr="009444C7">
              <w:rPr>
                <w:rFonts w:ascii="Times New Roman" w:hAnsi="Times New Roman"/>
                <w:b/>
                <w:bCs/>
              </w:rPr>
              <w:t xml:space="preserve"> </w:t>
            </w:r>
            <w:r w:rsidR="006933C3" w:rsidRPr="009444C7">
              <w:rPr>
                <w:rFonts w:ascii="Times New Roman" w:hAnsi="Times New Roman"/>
                <w:b/>
                <w:bCs/>
              </w:rPr>
              <w:t>sau</w:t>
            </w:r>
            <w:r w:rsidR="00032B46" w:rsidRPr="009444C7">
              <w:rPr>
                <w:rFonts w:ascii="Times New Roman" w:hAnsi="Times New Roman"/>
                <w:b/>
                <w:bCs/>
              </w:rPr>
              <w:t xml:space="preserve"> </w:t>
            </w:r>
            <w:r w:rsidR="006933C3" w:rsidRPr="009444C7">
              <w:rPr>
                <w:rFonts w:ascii="Times New Roman" w:hAnsi="Times New Roman"/>
                <w:b/>
                <w:bCs/>
              </w:rPr>
              <w:t>numele</w:t>
            </w:r>
            <w:r w:rsidR="00032B46" w:rsidRPr="009444C7">
              <w:rPr>
                <w:rFonts w:ascii="Times New Roman" w:hAnsi="Times New Roman"/>
                <w:b/>
                <w:bCs/>
              </w:rPr>
              <w:t xml:space="preserve"> </w:t>
            </w:r>
            <w:r w:rsidR="006933C3" w:rsidRPr="009444C7">
              <w:rPr>
                <w:rFonts w:ascii="Times New Roman" w:hAnsi="Times New Roman"/>
                <w:b/>
                <w:bCs/>
              </w:rPr>
              <w:t>autorului</w:t>
            </w:r>
            <w:r w:rsidR="00032B46" w:rsidRPr="009444C7">
              <w:rPr>
                <w:rFonts w:ascii="Times New Roman" w:hAnsi="Times New Roman"/>
                <w:b/>
                <w:bCs/>
              </w:rPr>
              <w:t xml:space="preserve"> </w:t>
            </w:r>
            <w:r w:rsidR="00863417" w:rsidRPr="009444C7">
              <w:rPr>
                <w:rFonts w:ascii="Times New Roman" w:hAnsi="Times New Roman"/>
                <w:b/>
                <w:bCs/>
              </w:rPr>
              <w:t>ș</w:t>
            </w:r>
            <w:r w:rsidR="006933C3" w:rsidRPr="009444C7">
              <w:rPr>
                <w:rFonts w:ascii="Times New Roman" w:hAnsi="Times New Roman"/>
                <w:b/>
                <w:bCs/>
              </w:rPr>
              <w:t>i,</w:t>
            </w:r>
            <w:r w:rsidR="00032B46" w:rsidRPr="009444C7">
              <w:rPr>
                <w:rFonts w:ascii="Times New Roman" w:hAnsi="Times New Roman"/>
                <w:b/>
                <w:bCs/>
              </w:rPr>
              <w:t xml:space="preserve"> </w:t>
            </w:r>
            <w:r w:rsidR="006933C3" w:rsidRPr="009444C7">
              <w:rPr>
                <w:rFonts w:ascii="Times New Roman" w:hAnsi="Times New Roman"/>
                <w:b/>
                <w:bCs/>
              </w:rPr>
              <w:t>după</w:t>
            </w:r>
            <w:r w:rsidR="00032B46" w:rsidRPr="009444C7">
              <w:rPr>
                <w:rFonts w:ascii="Times New Roman" w:hAnsi="Times New Roman"/>
                <w:b/>
                <w:bCs/>
              </w:rPr>
              <w:t xml:space="preserve"> </w:t>
            </w:r>
            <w:r w:rsidR="006933C3" w:rsidRPr="009444C7">
              <w:rPr>
                <w:rFonts w:ascii="Times New Roman" w:hAnsi="Times New Roman"/>
                <w:b/>
                <w:bCs/>
              </w:rPr>
              <w:t>caz,</w:t>
            </w:r>
            <w:r w:rsidR="00032B46" w:rsidRPr="009444C7">
              <w:rPr>
                <w:rFonts w:ascii="Times New Roman" w:hAnsi="Times New Roman"/>
                <w:b/>
                <w:bCs/>
              </w:rPr>
              <w:t xml:space="preserve"> </w:t>
            </w:r>
            <w:r w:rsidR="006933C3" w:rsidRPr="009444C7">
              <w:rPr>
                <w:rFonts w:ascii="Times New Roman" w:hAnsi="Times New Roman"/>
                <w:b/>
                <w:bCs/>
              </w:rPr>
              <w:t>a</w:t>
            </w:r>
            <w:r w:rsidR="00E94FA8" w:rsidRPr="009444C7">
              <w:rPr>
                <w:rFonts w:ascii="Times New Roman" w:hAnsi="Times New Roman"/>
                <w:b/>
                <w:bCs/>
              </w:rPr>
              <w:t>/al</w:t>
            </w:r>
            <w:r w:rsidR="00032B46" w:rsidRPr="009444C7">
              <w:rPr>
                <w:rFonts w:ascii="Times New Roman" w:hAnsi="Times New Roman"/>
                <w:b/>
                <w:bCs/>
              </w:rPr>
              <w:t xml:space="preserve"> </w:t>
            </w:r>
            <w:r w:rsidR="006933C3" w:rsidRPr="009444C7">
              <w:rPr>
                <w:rFonts w:ascii="Times New Roman" w:hAnsi="Times New Roman"/>
                <w:b/>
                <w:bCs/>
              </w:rPr>
              <w:t>participan</w:t>
            </w:r>
            <w:r w:rsidR="00863417" w:rsidRPr="009444C7">
              <w:rPr>
                <w:rFonts w:ascii="Times New Roman" w:hAnsi="Times New Roman"/>
                <w:b/>
                <w:bCs/>
              </w:rPr>
              <w:t>ț</w:t>
            </w:r>
            <w:r w:rsidR="006933C3" w:rsidRPr="009444C7">
              <w:rPr>
                <w:rFonts w:ascii="Times New Roman" w:hAnsi="Times New Roman"/>
                <w:b/>
                <w:bCs/>
              </w:rPr>
              <w:t>ilor</w:t>
            </w:r>
            <w:r w:rsidR="00032B46" w:rsidRPr="009444C7">
              <w:rPr>
                <w:rFonts w:ascii="Times New Roman" w:hAnsi="Times New Roman"/>
                <w:b/>
                <w:bCs/>
              </w:rPr>
              <w:t xml:space="preserve"> </w:t>
            </w:r>
            <w:r w:rsidR="006933C3" w:rsidRPr="009444C7">
              <w:rPr>
                <w:rFonts w:ascii="Times New Roman" w:hAnsi="Times New Roman"/>
                <w:b/>
                <w:bCs/>
              </w:rPr>
              <w:t>la</w:t>
            </w:r>
            <w:r w:rsidR="00032B46" w:rsidRPr="009444C7">
              <w:rPr>
                <w:rFonts w:ascii="Times New Roman" w:hAnsi="Times New Roman"/>
                <w:b/>
                <w:bCs/>
              </w:rPr>
              <w:t xml:space="preserve"> </w:t>
            </w:r>
            <w:r w:rsidR="006933C3" w:rsidRPr="009444C7">
              <w:rPr>
                <w:rFonts w:ascii="Times New Roman" w:hAnsi="Times New Roman"/>
                <w:b/>
                <w:bCs/>
              </w:rPr>
              <w:t>elaborarea</w:t>
            </w:r>
            <w:r w:rsidR="00032B46" w:rsidRPr="009444C7">
              <w:rPr>
                <w:rFonts w:ascii="Times New Roman" w:hAnsi="Times New Roman"/>
                <w:b/>
                <w:bCs/>
              </w:rPr>
              <w:t xml:space="preserve"> </w:t>
            </w:r>
            <w:r w:rsidR="006933C3" w:rsidRPr="009444C7">
              <w:rPr>
                <w:rFonts w:ascii="Times New Roman" w:hAnsi="Times New Roman"/>
                <w:b/>
                <w:bCs/>
              </w:rPr>
              <w:t>proiectului</w:t>
            </w:r>
            <w:r w:rsidR="00032B46" w:rsidRPr="009444C7">
              <w:rPr>
                <w:rFonts w:ascii="Times New Roman" w:hAnsi="Times New Roman"/>
                <w:b/>
                <w:bCs/>
              </w:rPr>
              <w:t xml:space="preserve"> </w:t>
            </w:r>
            <w:r w:rsidR="006933C3" w:rsidRPr="009444C7">
              <w:rPr>
                <w:rFonts w:ascii="Times New Roman" w:hAnsi="Times New Roman"/>
                <w:b/>
                <w:bCs/>
              </w:rPr>
              <w:t>actului</w:t>
            </w:r>
            <w:r w:rsidR="00032B46" w:rsidRPr="009444C7">
              <w:rPr>
                <w:rFonts w:ascii="Times New Roman" w:hAnsi="Times New Roman"/>
                <w:b/>
                <w:bCs/>
              </w:rPr>
              <w:t xml:space="preserve"> </w:t>
            </w:r>
            <w:r w:rsidR="006933C3" w:rsidRPr="009444C7">
              <w:rPr>
                <w:rFonts w:ascii="Times New Roman" w:hAnsi="Times New Roman"/>
                <w:b/>
                <w:bCs/>
              </w:rPr>
              <w:t>normativ</w:t>
            </w:r>
          </w:p>
        </w:tc>
      </w:tr>
      <w:tr w:rsidR="006D3EB7" w:rsidRPr="009444C7"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AFD50E7" w:rsidR="008B4BE6" w:rsidRPr="009444C7" w:rsidRDefault="000E1660" w:rsidP="001A76A5">
            <w:pPr>
              <w:jc w:val="both"/>
              <w:rPr>
                <w:rFonts w:ascii="Times New Roman" w:hAnsi="Times New Roman"/>
              </w:rPr>
            </w:pPr>
            <w:r w:rsidRPr="009444C7">
              <w:rPr>
                <w:rFonts w:ascii="Times New Roman" w:hAnsi="Times New Roman"/>
              </w:rPr>
              <w:t>Proiectul de</w:t>
            </w:r>
            <w:r w:rsidR="00AF64D3" w:rsidRPr="009444C7">
              <w:rPr>
                <w:rFonts w:ascii="Times New Roman" w:hAnsi="Times New Roman"/>
              </w:rPr>
              <w:t xml:space="preserve"> </w:t>
            </w:r>
            <w:r w:rsidR="00EC241E" w:rsidRPr="009444C7">
              <w:rPr>
                <w:rFonts w:ascii="Times New Roman" w:hAnsi="Times New Roman"/>
              </w:rPr>
              <w:t xml:space="preserve">Hotărâre de Guvern cu privire la modificarea unor hotărâri ale Guvernului </w:t>
            </w:r>
            <w:r w:rsidR="0088682B" w:rsidRPr="009444C7">
              <w:rPr>
                <w:rFonts w:ascii="Times New Roman" w:hAnsi="Times New Roman"/>
              </w:rPr>
              <w:t>(facilitarea implementării proiectelor de eficiență energetică)</w:t>
            </w:r>
            <w:r w:rsidR="000D5CFA" w:rsidRPr="009444C7">
              <w:rPr>
                <w:rFonts w:ascii="Times New Roman" w:hAnsi="Times New Roman"/>
              </w:rPr>
              <w:t xml:space="preserve"> </w:t>
            </w:r>
            <w:r w:rsidRPr="009444C7">
              <w:rPr>
                <w:rFonts w:ascii="Times New Roman" w:hAnsi="Times New Roman"/>
              </w:rPr>
              <w:t xml:space="preserve">a fost elaborat de către Ministerul Energiei cu suportul „Moldovan Green Transition Technical Assistance Facility project” implementat de către Expertise France. </w:t>
            </w:r>
          </w:p>
        </w:tc>
      </w:tr>
      <w:tr w:rsidR="006D3EB7" w:rsidRPr="009444C7"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9444C7" w:rsidRDefault="006933C3" w:rsidP="000E1660">
            <w:pPr>
              <w:rPr>
                <w:rFonts w:ascii="Times New Roman" w:hAnsi="Times New Roman"/>
                <w:b/>
                <w:bCs/>
              </w:rPr>
            </w:pPr>
            <w:r w:rsidRPr="009444C7">
              <w:rPr>
                <w:rFonts w:ascii="Times New Roman" w:hAnsi="Times New Roman"/>
                <w:b/>
                <w:bCs/>
              </w:rPr>
              <w:t>2.</w:t>
            </w:r>
            <w:r w:rsidR="00032B46" w:rsidRPr="009444C7">
              <w:rPr>
                <w:rFonts w:ascii="Times New Roman" w:hAnsi="Times New Roman"/>
                <w:b/>
                <w:bCs/>
              </w:rPr>
              <w:t xml:space="preserve"> </w:t>
            </w:r>
            <w:r w:rsidRPr="009444C7">
              <w:rPr>
                <w:rFonts w:ascii="Times New Roman" w:hAnsi="Times New Roman"/>
                <w:b/>
                <w:bCs/>
              </w:rPr>
              <w:t>Condi</w:t>
            </w:r>
            <w:r w:rsidR="00863417" w:rsidRPr="009444C7">
              <w:rPr>
                <w:rFonts w:ascii="Times New Roman" w:hAnsi="Times New Roman"/>
                <w:b/>
                <w:bCs/>
              </w:rPr>
              <w:t>ț</w:t>
            </w:r>
            <w:r w:rsidRPr="009444C7">
              <w:rPr>
                <w:rFonts w:ascii="Times New Roman" w:hAnsi="Times New Roman"/>
                <w:b/>
                <w:bCs/>
              </w:rPr>
              <w:t>iile</w:t>
            </w:r>
            <w:r w:rsidR="00032B46" w:rsidRPr="009444C7">
              <w:rPr>
                <w:rFonts w:ascii="Times New Roman" w:hAnsi="Times New Roman"/>
                <w:b/>
                <w:bCs/>
              </w:rPr>
              <w:t xml:space="preserve"> </w:t>
            </w:r>
            <w:r w:rsidRPr="009444C7">
              <w:rPr>
                <w:rFonts w:ascii="Times New Roman" w:hAnsi="Times New Roman"/>
                <w:b/>
                <w:bCs/>
              </w:rPr>
              <w:t>ce</w:t>
            </w:r>
            <w:r w:rsidR="00032B46" w:rsidRPr="009444C7">
              <w:rPr>
                <w:rFonts w:ascii="Times New Roman" w:hAnsi="Times New Roman"/>
                <w:b/>
                <w:bCs/>
              </w:rPr>
              <w:t xml:space="preserve"> </w:t>
            </w:r>
            <w:r w:rsidRPr="009444C7">
              <w:rPr>
                <w:rFonts w:ascii="Times New Roman" w:hAnsi="Times New Roman"/>
                <w:b/>
                <w:bCs/>
              </w:rPr>
              <w:t>au</w:t>
            </w:r>
            <w:r w:rsidR="00032B46" w:rsidRPr="009444C7">
              <w:rPr>
                <w:rFonts w:ascii="Times New Roman" w:hAnsi="Times New Roman"/>
                <w:b/>
                <w:bCs/>
              </w:rPr>
              <w:t xml:space="preserve"> </w:t>
            </w:r>
            <w:r w:rsidRPr="009444C7">
              <w:rPr>
                <w:rFonts w:ascii="Times New Roman" w:hAnsi="Times New Roman"/>
                <w:b/>
                <w:bCs/>
              </w:rPr>
              <w:t>impus</w:t>
            </w:r>
            <w:r w:rsidR="00032B46" w:rsidRPr="009444C7">
              <w:rPr>
                <w:rFonts w:ascii="Times New Roman" w:hAnsi="Times New Roman"/>
                <w:b/>
                <w:bCs/>
              </w:rPr>
              <w:t xml:space="preserve"> </w:t>
            </w:r>
            <w:r w:rsidRPr="009444C7">
              <w:rPr>
                <w:rFonts w:ascii="Times New Roman" w:hAnsi="Times New Roman"/>
                <w:b/>
                <w:bCs/>
              </w:rPr>
              <w:t>elaborarea</w:t>
            </w:r>
            <w:r w:rsidR="00032B46" w:rsidRPr="009444C7">
              <w:rPr>
                <w:rFonts w:ascii="Times New Roman" w:hAnsi="Times New Roman"/>
                <w:b/>
                <w:bCs/>
              </w:rPr>
              <w:t xml:space="preserve"> </w:t>
            </w:r>
            <w:r w:rsidRPr="009444C7">
              <w:rPr>
                <w:rFonts w:ascii="Times New Roman" w:hAnsi="Times New Roman"/>
                <w:b/>
                <w:bCs/>
              </w:rPr>
              <w:t>proiectului</w:t>
            </w:r>
            <w:r w:rsidR="00032B46" w:rsidRPr="009444C7">
              <w:rPr>
                <w:rFonts w:ascii="Times New Roman" w:hAnsi="Times New Roman"/>
                <w:b/>
                <w:bCs/>
              </w:rPr>
              <w:t xml:space="preserve"> </w:t>
            </w:r>
            <w:r w:rsidRPr="009444C7">
              <w:rPr>
                <w:rFonts w:ascii="Times New Roman" w:hAnsi="Times New Roman"/>
                <w:b/>
                <w:bCs/>
              </w:rPr>
              <w:t>actului</w:t>
            </w:r>
            <w:r w:rsidR="00032B46" w:rsidRPr="009444C7">
              <w:rPr>
                <w:rFonts w:ascii="Times New Roman" w:hAnsi="Times New Roman"/>
                <w:b/>
                <w:bCs/>
              </w:rPr>
              <w:t xml:space="preserve"> </w:t>
            </w:r>
            <w:r w:rsidRPr="009444C7">
              <w:rPr>
                <w:rFonts w:ascii="Times New Roman" w:hAnsi="Times New Roman"/>
                <w:b/>
                <w:bCs/>
              </w:rPr>
              <w:t>normativ</w:t>
            </w:r>
          </w:p>
        </w:tc>
      </w:tr>
      <w:tr w:rsidR="006D3EB7" w:rsidRPr="009444C7" w14:paraId="4F79667C" w14:textId="77777777" w:rsidTr="00764A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05F2CC" w14:textId="77777777" w:rsidR="008B4BE6" w:rsidRPr="009444C7" w:rsidRDefault="006933C3" w:rsidP="000E1660">
            <w:pPr>
              <w:rPr>
                <w:rFonts w:ascii="Times New Roman" w:hAnsi="Times New Roman"/>
                <w:i/>
              </w:rPr>
            </w:pPr>
            <w:r w:rsidRPr="009444C7">
              <w:rPr>
                <w:rFonts w:ascii="Times New Roman" w:hAnsi="Times New Roman"/>
                <w:i/>
              </w:rPr>
              <w:t>2.1.</w:t>
            </w:r>
            <w:r w:rsidR="00032B46" w:rsidRPr="009444C7">
              <w:rPr>
                <w:rFonts w:ascii="Times New Roman" w:hAnsi="Times New Roman"/>
                <w:i/>
              </w:rPr>
              <w:t xml:space="preserve"> </w:t>
            </w:r>
            <w:r w:rsidRPr="009444C7">
              <w:rPr>
                <w:rFonts w:ascii="Times New Roman" w:hAnsi="Times New Roman"/>
                <w:i/>
              </w:rPr>
              <w:t>Temeiul</w:t>
            </w:r>
            <w:r w:rsidR="00032B46" w:rsidRPr="009444C7">
              <w:rPr>
                <w:rFonts w:ascii="Times New Roman" w:hAnsi="Times New Roman"/>
                <w:i/>
              </w:rPr>
              <w:t xml:space="preserve"> </w:t>
            </w:r>
            <w:r w:rsidRPr="009444C7">
              <w:rPr>
                <w:rFonts w:ascii="Times New Roman" w:hAnsi="Times New Roman"/>
                <w:i/>
              </w:rPr>
              <w:t>legal</w:t>
            </w:r>
            <w:r w:rsidR="00825DC9" w:rsidRPr="009444C7">
              <w:rPr>
                <w:rFonts w:ascii="Times New Roman" w:hAnsi="Times New Roman"/>
                <w:i/>
              </w:rPr>
              <w:t xml:space="preserve"> sau</w:t>
            </w:r>
            <w:r w:rsidRPr="009444C7">
              <w:rPr>
                <w:rFonts w:ascii="Times New Roman" w:hAnsi="Times New Roman"/>
                <w:i/>
              </w:rPr>
              <w:t>,</w:t>
            </w:r>
            <w:r w:rsidR="00032B46" w:rsidRPr="009444C7">
              <w:rPr>
                <w:rFonts w:ascii="Times New Roman" w:hAnsi="Times New Roman"/>
                <w:i/>
              </w:rPr>
              <w:t xml:space="preserve"> </w:t>
            </w:r>
            <w:r w:rsidRPr="009444C7">
              <w:rPr>
                <w:rFonts w:ascii="Times New Roman" w:hAnsi="Times New Roman"/>
                <w:i/>
              </w:rPr>
              <w:t>după</w:t>
            </w:r>
            <w:r w:rsidR="00032B46" w:rsidRPr="009444C7">
              <w:rPr>
                <w:rFonts w:ascii="Times New Roman" w:hAnsi="Times New Roman"/>
                <w:i/>
              </w:rPr>
              <w:t xml:space="preserve"> </w:t>
            </w:r>
            <w:r w:rsidRPr="009444C7">
              <w:rPr>
                <w:rFonts w:ascii="Times New Roman" w:hAnsi="Times New Roman"/>
                <w:i/>
              </w:rPr>
              <w:t>caz</w:t>
            </w:r>
            <w:r w:rsidR="00825DC9" w:rsidRPr="009444C7">
              <w:rPr>
                <w:rFonts w:ascii="Times New Roman" w:hAnsi="Times New Roman"/>
                <w:i/>
              </w:rPr>
              <w:t>,</w:t>
            </w:r>
            <w:r w:rsidR="00032B46" w:rsidRPr="009444C7">
              <w:rPr>
                <w:rFonts w:ascii="Times New Roman" w:hAnsi="Times New Roman"/>
                <w:i/>
              </w:rPr>
              <w:t xml:space="preserve"> </w:t>
            </w:r>
            <w:r w:rsidRPr="009444C7">
              <w:rPr>
                <w:rFonts w:ascii="Times New Roman" w:hAnsi="Times New Roman"/>
                <w:i/>
              </w:rPr>
              <w:t>sursa</w:t>
            </w:r>
            <w:r w:rsidR="00032B46" w:rsidRPr="009444C7">
              <w:rPr>
                <w:rFonts w:ascii="Times New Roman" w:hAnsi="Times New Roman"/>
                <w:i/>
              </w:rPr>
              <w:t xml:space="preserve"> </w:t>
            </w:r>
            <w:r w:rsidRPr="009444C7">
              <w:rPr>
                <w:rFonts w:ascii="Times New Roman" w:hAnsi="Times New Roman"/>
                <w:i/>
              </w:rPr>
              <w:t>proiectului</w:t>
            </w:r>
            <w:r w:rsidR="00032B46" w:rsidRPr="009444C7">
              <w:rPr>
                <w:rFonts w:ascii="Times New Roman" w:hAnsi="Times New Roman"/>
                <w:i/>
              </w:rPr>
              <w:t xml:space="preserve"> </w:t>
            </w:r>
            <w:r w:rsidRPr="009444C7">
              <w:rPr>
                <w:rFonts w:ascii="Times New Roman" w:hAnsi="Times New Roman"/>
                <w:i/>
              </w:rPr>
              <w:t>actului</w:t>
            </w:r>
            <w:r w:rsidR="00032B46" w:rsidRPr="009444C7">
              <w:rPr>
                <w:rFonts w:ascii="Times New Roman" w:hAnsi="Times New Roman"/>
                <w:i/>
              </w:rPr>
              <w:t xml:space="preserve"> </w:t>
            </w:r>
            <w:r w:rsidRPr="009444C7">
              <w:rPr>
                <w:rFonts w:ascii="Times New Roman" w:hAnsi="Times New Roman"/>
                <w:i/>
              </w:rPr>
              <w:t>normativ</w:t>
            </w:r>
          </w:p>
          <w:p w14:paraId="2243B249" w14:textId="59A2A56B" w:rsidR="00D76764" w:rsidRPr="009444C7" w:rsidRDefault="000E1660" w:rsidP="001A76A5">
            <w:pPr>
              <w:jc w:val="both"/>
              <w:rPr>
                <w:rFonts w:ascii="Times New Roman" w:hAnsi="Times New Roman"/>
              </w:rPr>
            </w:pPr>
            <w:r w:rsidRPr="009444C7">
              <w:rPr>
                <w:rFonts w:ascii="Times New Roman" w:hAnsi="Times New Roman"/>
              </w:rPr>
              <w:t xml:space="preserve">Proiectul </w:t>
            </w:r>
            <w:r w:rsidR="00FE1B07" w:rsidRPr="009444C7">
              <w:rPr>
                <w:rFonts w:ascii="Times New Roman" w:hAnsi="Times New Roman"/>
              </w:rPr>
              <w:t xml:space="preserve">Hotărâre de Guvern cu privire la modificarea unor hotărâri ale Guvernului </w:t>
            </w:r>
            <w:r w:rsidR="0088682B" w:rsidRPr="009444C7">
              <w:rPr>
                <w:rFonts w:ascii="Times New Roman" w:hAnsi="Times New Roman"/>
              </w:rPr>
              <w:t>(facilitarea implementării proiectelor de eficiență energetică)</w:t>
            </w:r>
            <w:r w:rsidR="000D5CFA" w:rsidRPr="009444C7">
              <w:rPr>
                <w:rFonts w:ascii="Times New Roman" w:hAnsi="Times New Roman"/>
              </w:rPr>
              <w:t xml:space="preserve"> a fost elaborat</w:t>
            </w:r>
            <w:r w:rsidR="00FE1B07" w:rsidRPr="009444C7">
              <w:rPr>
                <w:rFonts w:ascii="Times New Roman" w:hAnsi="Times New Roman"/>
              </w:rPr>
              <w:t xml:space="preserve"> ca rezultat al modificărilor efectuate asupra legii nr. 139/2018 cu privire la eficiența energetică prin </w:t>
            </w:r>
            <w:r w:rsidR="000B76BC" w:rsidRPr="009444C7">
              <w:rPr>
                <w:rFonts w:ascii="Times New Roman" w:hAnsi="Times New Roman"/>
              </w:rPr>
              <w:t>L</w:t>
            </w:r>
            <w:r w:rsidR="00FE1B07" w:rsidRPr="009444C7">
              <w:rPr>
                <w:rFonts w:ascii="Times New Roman" w:hAnsi="Times New Roman"/>
              </w:rPr>
              <w:t xml:space="preserve">egea nr. 111/2025 pentru modificarea Legii nr. 139/2018 cu privire la eficiența energetică (facilitarea implementării proiectelor de eficiență energetică). </w:t>
            </w:r>
          </w:p>
          <w:p w14:paraId="2E2152FC" w14:textId="6FFAAD65" w:rsidR="00FE1B07" w:rsidRPr="009444C7" w:rsidRDefault="00D36607" w:rsidP="001A76A5">
            <w:pPr>
              <w:jc w:val="both"/>
              <w:rPr>
                <w:rFonts w:ascii="Times New Roman" w:hAnsi="Times New Roman"/>
              </w:rPr>
            </w:pPr>
            <w:r w:rsidRPr="009444C7">
              <w:rPr>
                <w:rFonts w:ascii="Times New Roman" w:hAnsi="Times New Roman"/>
              </w:rPr>
              <w:t>Astfel, proiectul de Hotărâre este elaborat în temeiul art. 6 lit. h) din Legea nr. 136/2017 cu privire la Guvern (Monitorul Oficial al Republicii Moldova, 2017, nr. 252, art. 412), art.9 alin.</w:t>
            </w:r>
            <w:r w:rsidR="00F901BD" w:rsidRPr="009444C7">
              <w:rPr>
                <w:rFonts w:ascii="Times New Roman" w:hAnsi="Times New Roman"/>
              </w:rPr>
              <w:t xml:space="preserve"> </w:t>
            </w:r>
            <w:r w:rsidRPr="009444C7">
              <w:rPr>
                <w:rFonts w:ascii="Times New Roman" w:hAnsi="Times New Roman"/>
              </w:rPr>
              <w:t>(1) lit. c) și art. 23</w:t>
            </w:r>
            <w:r w:rsidRPr="009444C7">
              <w:rPr>
                <w:rFonts w:ascii="Times New Roman" w:hAnsi="Times New Roman"/>
                <w:vertAlign w:val="superscript"/>
              </w:rPr>
              <w:t>3</w:t>
            </w:r>
            <w:r w:rsidRPr="009444C7">
              <w:rPr>
                <w:rFonts w:ascii="Times New Roman" w:hAnsi="Times New Roman"/>
              </w:rPr>
              <w:t xml:space="preserve"> alin. (1) – (3) din Legea nr. 139/2018 cu privire la eficiența energetică (Monitorul Oficial al Republicii Moldova, 2018, Nr. 309-320 art. 476, cu modificările ulterioare. </w:t>
            </w:r>
          </w:p>
        </w:tc>
      </w:tr>
      <w:tr w:rsidR="006D3EB7" w:rsidRPr="009444C7" w14:paraId="6F56D62C" w14:textId="77777777" w:rsidTr="00764A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0AD9EB" w14:textId="5D900D2C" w:rsidR="008B4BE6" w:rsidRPr="009444C7" w:rsidRDefault="006933C3" w:rsidP="000E1660">
            <w:pPr>
              <w:rPr>
                <w:rFonts w:ascii="Times New Roman" w:hAnsi="Times New Roman"/>
                <w:i/>
              </w:rPr>
            </w:pPr>
            <w:r w:rsidRPr="009444C7">
              <w:rPr>
                <w:rFonts w:ascii="Times New Roman" w:hAnsi="Times New Roman"/>
                <w:i/>
              </w:rPr>
              <w:t>2.2.</w:t>
            </w:r>
            <w:r w:rsidR="00032B46" w:rsidRPr="009444C7">
              <w:rPr>
                <w:rFonts w:ascii="Times New Roman" w:hAnsi="Times New Roman"/>
                <w:i/>
              </w:rPr>
              <w:t xml:space="preserve"> </w:t>
            </w:r>
            <w:r w:rsidRPr="009444C7">
              <w:rPr>
                <w:rFonts w:ascii="Times New Roman" w:hAnsi="Times New Roman"/>
                <w:i/>
              </w:rPr>
              <w:t>Descrierea</w:t>
            </w:r>
            <w:r w:rsidR="00032B46" w:rsidRPr="009444C7">
              <w:rPr>
                <w:rFonts w:ascii="Times New Roman" w:hAnsi="Times New Roman"/>
                <w:i/>
              </w:rPr>
              <w:t xml:space="preserve"> </w:t>
            </w:r>
            <w:r w:rsidRPr="009444C7">
              <w:rPr>
                <w:rFonts w:ascii="Times New Roman" w:hAnsi="Times New Roman"/>
                <w:i/>
              </w:rPr>
              <w:t>situa</w:t>
            </w:r>
            <w:r w:rsidR="00863417" w:rsidRPr="009444C7">
              <w:rPr>
                <w:rFonts w:ascii="Times New Roman" w:hAnsi="Times New Roman"/>
                <w:i/>
              </w:rPr>
              <w:t>ț</w:t>
            </w:r>
            <w:r w:rsidRPr="009444C7">
              <w:rPr>
                <w:rFonts w:ascii="Times New Roman" w:hAnsi="Times New Roman"/>
                <w:i/>
              </w:rPr>
              <w:t>iei</w:t>
            </w:r>
            <w:r w:rsidR="00032B46" w:rsidRPr="009444C7">
              <w:rPr>
                <w:rFonts w:ascii="Times New Roman" w:hAnsi="Times New Roman"/>
                <w:i/>
              </w:rPr>
              <w:t xml:space="preserve"> </w:t>
            </w:r>
            <w:r w:rsidRPr="009444C7">
              <w:rPr>
                <w:rFonts w:ascii="Times New Roman" w:hAnsi="Times New Roman"/>
                <w:i/>
              </w:rPr>
              <w:t>actuale</w:t>
            </w:r>
            <w:r w:rsidR="00032B46" w:rsidRPr="009444C7">
              <w:rPr>
                <w:rFonts w:ascii="Times New Roman" w:hAnsi="Times New Roman"/>
                <w:i/>
              </w:rPr>
              <w:t xml:space="preserve"> </w:t>
            </w:r>
            <w:r w:rsidR="00863417" w:rsidRPr="009444C7">
              <w:rPr>
                <w:rFonts w:ascii="Times New Roman" w:hAnsi="Times New Roman"/>
                <w:i/>
              </w:rPr>
              <w:t>ș</w:t>
            </w:r>
            <w:r w:rsidRPr="009444C7">
              <w:rPr>
                <w:rFonts w:ascii="Times New Roman" w:hAnsi="Times New Roman"/>
                <w:i/>
              </w:rPr>
              <w:t>i</w:t>
            </w:r>
            <w:r w:rsidR="00032B46" w:rsidRPr="009444C7">
              <w:rPr>
                <w:rFonts w:ascii="Times New Roman" w:hAnsi="Times New Roman"/>
                <w:i/>
              </w:rPr>
              <w:t xml:space="preserve"> </w:t>
            </w:r>
            <w:r w:rsidRPr="009444C7">
              <w:rPr>
                <w:rFonts w:ascii="Times New Roman" w:hAnsi="Times New Roman"/>
                <w:i/>
              </w:rPr>
              <w:t>a</w:t>
            </w:r>
            <w:r w:rsidR="00032B46" w:rsidRPr="009444C7">
              <w:rPr>
                <w:rFonts w:ascii="Times New Roman" w:hAnsi="Times New Roman"/>
                <w:i/>
              </w:rPr>
              <w:t xml:space="preserve"> </w:t>
            </w:r>
            <w:r w:rsidRPr="009444C7">
              <w:rPr>
                <w:rFonts w:ascii="Times New Roman" w:hAnsi="Times New Roman"/>
                <w:i/>
              </w:rPr>
              <w:t>problemelor</w:t>
            </w:r>
            <w:r w:rsidR="00032B46" w:rsidRPr="009444C7">
              <w:rPr>
                <w:rFonts w:ascii="Times New Roman" w:hAnsi="Times New Roman"/>
                <w:i/>
              </w:rPr>
              <w:t xml:space="preserve"> </w:t>
            </w:r>
            <w:r w:rsidRPr="009444C7">
              <w:rPr>
                <w:rFonts w:ascii="Times New Roman" w:hAnsi="Times New Roman"/>
                <w:i/>
              </w:rPr>
              <w:t>care</w:t>
            </w:r>
            <w:r w:rsidR="00032B46" w:rsidRPr="009444C7">
              <w:rPr>
                <w:rFonts w:ascii="Times New Roman" w:hAnsi="Times New Roman"/>
                <w:i/>
              </w:rPr>
              <w:t xml:space="preserve"> </w:t>
            </w:r>
            <w:r w:rsidRPr="009444C7">
              <w:rPr>
                <w:rFonts w:ascii="Times New Roman" w:hAnsi="Times New Roman"/>
                <w:i/>
              </w:rPr>
              <w:t>impun</w:t>
            </w:r>
            <w:r w:rsidR="00032B46" w:rsidRPr="009444C7">
              <w:rPr>
                <w:rFonts w:ascii="Times New Roman" w:hAnsi="Times New Roman"/>
                <w:i/>
              </w:rPr>
              <w:t xml:space="preserve"> </w:t>
            </w:r>
            <w:r w:rsidRPr="009444C7">
              <w:rPr>
                <w:rFonts w:ascii="Times New Roman" w:hAnsi="Times New Roman"/>
                <w:i/>
              </w:rPr>
              <w:t>interven</w:t>
            </w:r>
            <w:r w:rsidR="00863417" w:rsidRPr="009444C7">
              <w:rPr>
                <w:rFonts w:ascii="Times New Roman" w:hAnsi="Times New Roman"/>
                <w:i/>
              </w:rPr>
              <w:t>ț</w:t>
            </w:r>
            <w:r w:rsidRPr="009444C7">
              <w:rPr>
                <w:rFonts w:ascii="Times New Roman" w:hAnsi="Times New Roman"/>
                <w:i/>
              </w:rPr>
              <w:t>ia,</w:t>
            </w:r>
            <w:r w:rsidR="00032B46" w:rsidRPr="009444C7">
              <w:rPr>
                <w:rFonts w:ascii="Times New Roman" w:hAnsi="Times New Roman"/>
                <w:i/>
              </w:rPr>
              <w:t xml:space="preserve"> </w:t>
            </w:r>
            <w:r w:rsidRPr="009444C7">
              <w:rPr>
                <w:rFonts w:ascii="Times New Roman" w:hAnsi="Times New Roman"/>
                <w:i/>
              </w:rPr>
              <w:t>inclusiv</w:t>
            </w:r>
            <w:r w:rsidR="00032B46" w:rsidRPr="009444C7">
              <w:rPr>
                <w:rFonts w:ascii="Times New Roman" w:hAnsi="Times New Roman"/>
                <w:i/>
              </w:rPr>
              <w:t xml:space="preserve"> </w:t>
            </w:r>
            <w:r w:rsidR="005C7769" w:rsidRPr="009444C7">
              <w:rPr>
                <w:rFonts w:ascii="Times New Roman" w:hAnsi="Times New Roman"/>
                <w:i/>
              </w:rPr>
              <w:t xml:space="preserve">a </w:t>
            </w:r>
            <w:r w:rsidRPr="009444C7">
              <w:rPr>
                <w:rFonts w:ascii="Times New Roman" w:hAnsi="Times New Roman"/>
                <w:i/>
              </w:rPr>
              <w:t>cadrul</w:t>
            </w:r>
            <w:r w:rsidR="005C7769" w:rsidRPr="009444C7">
              <w:rPr>
                <w:rFonts w:ascii="Times New Roman" w:hAnsi="Times New Roman"/>
                <w:i/>
              </w:rPr>
              <w:t>ui</w:t>
            </w:r>
            <w:r w:rsidR="00032B46" w:rsidRPr="009444C7">
              <w:rPr>
                <w:rFonts w:ascii="Times New Roman" w:hAnsi="Times New Roman"/>
                <w:i/>
              </w:rPr>
              <w:t xml:space="preserve"> </w:t>
            </w:r>
            <w:r w:rsidRPr="009444C7">
              <w:rPr>
                <w:rFonts w:ascii="Times New Roman" w:hAnsi="Times New Roman"/>
                <w:i/>
              </w:rPr>
              <w:t>normativ</w:t>
            </w:r>
            <w:r w:rsidR="00032B46" w:rsidRPr="009444C7">
              <w:rPr>
                <w:rFonts w:ascii="Times New Roman" w:hAnsi="Times New Roman"/>
                <w:i/>
              </w:rPr>
              <w:t xml:space="preserve"> </w:t>
            </w:r>
            <w:r w:rsidRPr="009444C7">
              <w:rPr>
                <w:rFonts w:ascii="Times New Roman" w:hAnsi="Times New Roman"/>
                <w:i/>
              </w:rPr>
              <w:t>aplicabil</w:t>
            </w:r>
            <w:r w:rsidR="00032B46" w:rsidRPr="009444C7">
              <w:rPr>
                <w:rFonts w:ascii="Times New Roman" w:hAnsi="Times New Roman"/>
                <w:i/>
              </w:rPr>
              <w:t xml:space="preserve"> </w:t>
            </w:r>
            <w:r w:rsidR="00863417" w:rsidRPr="009444C7">
              <w:rPr>
                <w:rFonts w:ascii="Times New Roman" w:hAnsi="Times New Roman"/>
                <w:i/>
              </w:rPr>
              <w:t>ș</w:t>
            </w:r>
            <w:r w:rsidRPr="009444C7">
              <w:rPr>
                <w:rFonts w:ascii="Times New Roman" w:hAnsi="Times New Roman"/>
                <w:i/>
              </w:rPr>
              <w:t>i</w:t>
            </w:r>
            <w:r w:rsidR="00032B46" w:rsidRPr="009444C7">
              <w:rPr>
                <w:rFonts w:ascii="Times New Roman" w:hAnsi="Times New Roman"/>
                <w:i/>
              </w:rPr>
              <w:t xml:space="preserve"> </w:t>
            </w:r>
            <w:r w:rsidR="005C7769" w:rsidRPr="009444C7">
              <w:rPr>
                <w:rFonts w:ascii="Times New Roman" w:hAnsi="Times New Roman"/>
                <w:i/>
              </w:rPr>
              <w:t xml:space="preserve">a </w:t>
            </w:r>
            <w:r w:rsidRPr="009444C7">
              <w:rPr>
                <w:rFonts w:ascii="Times New Roman" w:hAnsi="Times New Roman"/>
                <w:i/>
              </w:rPr>
              <w:t>deficien</w:t>
            </w:r>
            <w:r w:rsidR="00863417" w:rsidRPr="009444C7">
              <w:rPr>
                <w:rFonts w:ascii="Times New Roman" w:hAnsi="Times New Roman"/>
                <w:i/>
              </w:rPr>
              <w:t>ț</w:t>
            </w:r>
            <w:r w:rsidRPr="009444C7">
              <w:rPr>
                <w:rFonts w:ascii="Times New Roman" w:hAnsi="Times New Roman"/>
                <w:i/>
              </w:rPr>
              <w:t>el</w:t>
            </w:r>
            <w:r w:rsidR="005C7769" w:rsidRPr="009444C7">
              <w:rPr>
                <w:rFonts w:ascii="Times New Roman" w:hAnsi="Times New Roman"/>
                <w:i/>
              </w:rPr>
              <w:t>or</w:t>
            </w:r>
            <w:r w:rsidRPr="009444C7">
              <w:rPr>
                <w:rFonts w:ascii="Times New Roman" w:hAnsi="Times New Roman"/>
                <w:i/>
              </w:rPr>
              <w:t>/lacunel</w:t>
            </w:r>
            <w:r w:rsidR="005C7769" w:rsidRPr="009444C7">
              <w:rPr>
                <w:rFonts w:ascii="Times New Roman" w:hAnsi="Times New Roman"/>
                <w:i/>
              </w:rPr>
              <w:t>or</w:t>
            </w:r>
            <w:r w:rsidR="00032B46" w:rsidRPr="009444C7">
              <w:rPr>
                <w:rFonts w:ascii="Times New Roman" w:hAnsi="Times New Roman"/>
                <w:i/>
              </w:rPr>
              <w:t xml:space="preserve"> </w:t>
            </w:r>
            <w:r w:rsidRPr="009444C7">
              <w:rPr>
                <w:rFonts w:ascii="Times New Roman" w:hAnsi="Times New Roman"/>
                <w:i/>
              </w:rPr>
              <w:t>normative</w:t>
            </w:r>
          </w:p>
        </w:tc>
      </w:tr>
      <w:tr w:rsidR="00452C6C" w:rsidRPr="009444C7" w14:paraId="30963134" w14:textId="77777777" w:rsidTr="00764A7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71F60D" w14:textId="7AC6D680" w:rsidR="00F23FA5" w:rsidRPr="009444C7" w:rsidRDefault="00900093" w:rsidP="00900093">
            <w:pPr>
              <w:spacing w:before="120" w:after="120"/>
              <w:jc w:val="both"/>
              <w:rPr>
                <w:rFonts w:ascii="Times New Roman" w:hAnsi="Times New Roman"/>
              </w:rPr>
            </w:pPr>
            <w:r w:rsidRPr="009444C7">
              <w:rPr>
                <w:rFonts w:ascii="Times New Roman" w:hAnsi="Times New Roman"/>
              </w:rPr>
              <w:t xml:space="preserve">Conform prevederilor </w:t>
            </w:r>
            <w:r w:rsidR="000B76BC" w:rsidRPr="009444C7">
              <w:rPr>
                <w:rFonts w:ascii="Times New Roman" w:hAnsi="Times New Roman"/>
              </w:rPr>
              <w:t>L</w:t>
            </w:r>
            <w:r w:rsidRPr="009444C7">
              <w:rPr>
                <w:rFonts w:ascii="Times New Roman" w:hAnsi="Times New Roman"/>
              </w:rPr>
              <w:t xml:space="preserve">egii nr. 111/2025 pentru modificarea Legii nr. 139/2018 cu privire la eficiența energetică (facilitarea implementării proiectelor de eficiență energetică) au fost aduse mai multe modificări/completări la </w:t>
            </w:r>
            <w:r w:rsidR="000B76BC" w:rsidRPr="009444C7">
              <w:rPr>
                <w:rFonts w:ascii="Times New Roman" w:hAnsi="Times New Roman"/>
              </w:rPr>
              <w:t>L</w:t>
            </w:r>
            <w:r w:rsidRPr="009444C7">
              <w:rPr>
                <w:rFonts w:ascii="Times New Roman" w:hAnsi="Times New Roman"/>
              </w:rPr>
              <w:t xml:space="preserve">egea nr. 139/2018 cu privire la eficiența energetică, printre care putem menționa: </w:t>
            </w:r>
          </w:p>
          <w:p w14:paraId="452393A8" w14:textId="31CFF721" w:rsidR="00BC3B25" w:rsidRPr="009444C7" w:rsidRDefault="00BC3B25" w:rsidP="00900093">
            <w:pPr>
              <w:numPr>
                <w:ilvl w:val="0"/>
                <w:numId w:val="21"/>
              </w:numPr>
              <w:spacing w:before="60" w:line="276" w:lineRule="auto"/>
              <w:jc w:val="both"/>
              <w:rPr>
                <w:rFonts w:ascii="Times New Roman" w:hAnsi="Times New Roman"/>
                <w:iCs/>
              </w:rPr>
            </w:pPr>
            <w:r w:rsidRPr="009444C7">
              <w:rPr>
                <w:rFonts w:ascii="Times New Roman" w:hAnsi="Times New Roman"/>
                <w:iCs/>
              </w:rPr>
              <w:t>înlocuirea pe tot textul legii a sintagmei „instituție publică de suport”</w:t>
            </w:r>
            <w:r w:rsidR="00BE123A" w:rsidRPr="009444C7">
              <w:rPr>
                <w:rFonts w:ascii="Times New Roman" w:hAnsi="Times New Roman"/>
                <w:iCs/>
              </w:rPr>
              <w:t>, la orice formă gramaticală,</w:t>
            </w:r>
            <w:r w:rsidRPr="009444C7">
              <w:rPr>
                <w:rFonts w:ascii="Times New Roman" w:hAnsi="Times New Roman"/>
                <w:iCs/>
              </w:rPr>
              <w:t xml:space="preserve"> cu sintagma „Centrul Național pentru Energie Durabilă”</w:t>
            </w:r>
            <w:r w:rsidR="00BC7979">
              <w:rPr>
                <w:rFonts w:ascii="Times New Roman" w:hAnsi="Times New Roman"/>
                <w:iCs/>
              </w:rPr>
              <w:t xml:space="preserve"> (în continuare IP CNED)</w:t>
            </w:r>
            <w:r w:rsidRPr="009444C7">
              <w:rPr>
                <w:rFonts w:ascii="Times New Roman" w:hAnsi="Times New Roman"/>
                <w:iCs/>
              </w:rPr>
              <w:t>;</w:t>
            </w:r>
          </w:p>
          <w:p w14:paraId="008C0C4F" w14:textId="78EED463" w:rsidR="00900093" w:rsidRPr="009444C7" w:rsidRDefault="00900093" w:rsidP="00900093">
            <w:pPr>
              <w:numPr>
                <w:ilvl w:val="0"/>
                <w:numId w:val="21"/>
              </w:numPr>
              <w:spacing w:before="60" w:line="276" w:lineRule="auto"/>
              <w:jc w:val="both"/>
              <w:rPr>
                <w:rFonts w:ascii="Times New Roman" w:hAnsi="Times New Roman"/>
                <w:iCs/>
              </w:rPr>
            </w:pPr>
            <w:r w:rsidRPr="009444C7">
              <w:rPr>
                <w:rFonts w:ascii="Times New Roman" w:hAnsi="Times New Roman"/>
                <w:iCs/>
              </w:rPr>
              <w:t>excluderea din lista părților obligate a furnizorilor de energie termic</w:t>
            </w:r>
            <w:r w:rsidRPr="009444C7">
              <w:rPr>
                <w:rFonts w:ascii="Times New Roman" w:hAnsi="Times New Roman"/>
                <w:i/>
                <w:cs/>
              </w:rPr>
              <w:t>ă</w:t>
            </w:r>
            <w:r w:rsidRPr="009444C7">
              <w:rPr>
                <w:rFonts w:ascii="Times New Roman" w:hAnsi="Times New Roman"/>
                <w:iCs/>
              </w:rPr>
              <w:t xml:space="preserve"> pentru încălzire și/sau preparare a apei calde menajere, și/sau răcire, care va avea un efect pozitiv asupra tarifelor la energia termică a consumatorilor conectați la sistemele de alimentare centralizată cu energie termică;</w:t>
            </w:r>
          </w:p>
          <w:p w14:paraId="17C0F35D" w14:textId="42571E91" w:rsidR="00900093" w:rsidRPr="009444C7" w:rsidRDefault="00900093" w:rsidP="00900093">
            <w:pPr>
              <w:numPr>
                <w:ilvl w:val="0"/>
                <w:numId w:val="21"/>
              </w:numPr>
              <w:spacing w:before="60" w:line="276" w:lineRule="auto"/>
              <w:jc w:val="both"/>
              <w:rPr>
                <w:rFonts w:ascii="Times New Roman" w:hAnsi="Times New Roman"/>
                <w:iCs/>
              </w:rPr>
            </w:pPr>
            <w:r w:rsidRPr="009444C7">
              <w:rPr>
                <w:rFonts w:ascii="Times New Roman" w:hAnsi="Times New Roman"/>
                <w:iCs/>
              </w:rPr>
              <w:t xml:space="preserve">excluderea obligativității includerii </w:t>
            </w:r>
            <w:r w:rsidRPr="009444C7">
              <w:rPr>
                <w:rFonts w:ascii="Times New Roman" w:hAnsi="Times New Roman"/>
                <w:i/>
                <w:cs/>
              </w:rPr>
              <w:t>î</w:t>
            </w:r>
            <w:r w:rsidRPr="009444C7">
              <w:rPr>
                <w:rFonts w:ascii="Times New Roman" w:hAnsi="Times New Roman"/>
                <w:iCs/>
              </w:rPr>
              <w:t xml:space="preserve">n cadrul Programului privind implementarea schemei de obligații </w:t>
            </w:r>
            <w:r w:rsidRPr="009444C7">
              <w:rPr>
                <w:rFonts w:ascii="Times New Roman" w:hAnsi="Times New Roman"/>
                <w:i/>
                <w:cs/>
              </w:rPr>
              <w:t>î</w:t>
            </w:r>
            <w:r w:rsidRPr="009444C7">
              <w:rPr>
                <w:rFonts w:ascii="Times New Roman" w:hAnsi="Times New Roman"/>
                <w:iCs/>
              </w:rPr>
              <w:t xml:space="preserve">n domeniul eficienței energetice, aprobat de Guvern, a listei părților obligate. Elaborarea și actualizarea acestei liste urmează a fi efectuată de către ANRE și publicată pe pagina web a acesteia;   </w:t>
            </w:r>
          </w:p>
          <w:p w14:paraId="60450742" w14:textId="033DF3EA" w:rsidR="00900093" w:rsidRPr="009444C7" w:rsidRDefault="00900093" w:rsidP="00900093">
            <w:pPr>
              <w:numPr>
                <w:ilvl w:val="0"/>
                <w:numId w:val="21"/>
              </w:numPr>
              <w:spacing w:before="60" w:line="276" w:lineRule="auto"/>
              <w:jc w:val="both"/>
              <w:rPr>
                <w:rFonts w:ascii="Times New Roman" w:hAnsi="Times New Roman"/>
                <w:iCs/>
              </w:rPr>
            </w:pPr>
            <w:r w:rsidRPr="009444C7">
              <w:rPr>
                <w:rFonts w:ascii="Times New Roman" w:hAnsi="Times New Roman"/>
                <w:iCs/>
              </w:rPr>
              <w:t xml:space="preserve">contribuțiile în cadrul schemei de obligații în domeniul eficienței energetice achitate de importatorii de produse petroliere în calitate de părți obligate vor fi efectuate în funcție de volumele importate și nu din cele comercializate; </w:t>
            </w:r>
          </w:p>
          <w:p w14:paraId="53345777" w14:textId="2FB3EC52" w:rsidR="00900093" w:rsidRPr="009444C7" w:rsidRDefault="00900093" w:rsidP="00900093">
            <w:pPr>
              <w:numPr>
                <w:ilvl w:val="0"/>
                <w:numId w:val="21"/>
              </w:numPr>
              <w:spacing w:before="60" w:line="276" w:lineRule="auto"/>
              <w:jc w:val="both"/>
              <w:rPr>
                <w:rFonts w:ascii="Times New Roman" w:hAnsi="Times New Roman"/>
                <w:iCs/>
              </w:rPr>
            </w:pPr>
            <w:r w:rsidRPr="009444C7">
              <w:rPr>
                <w:rFonts w:ascii="Times New Roman" w:hAnsi="Times New Roman"/>
                <w:iCs/>
              </w:rPr>
              <w:t>instituirea la nivel de act legislativ primar a Fondului pentru Eficiență Energetică, care este propus a fi creat întru finanțarea măsurilor de eficiență energetică</w:t>
            </w:r>
            <w:r w:rsidR="00430C13" w:rsidRPr="009444C7">
              <w:rPr>
                <w:rFonts w:ascii="Times New Roman" w:hAnsi="Times New Roman"/>
                <w:iCs/>
              </w:rPr>
              <w:t xml:space="preserve"> (EE)</w:t>
            </w:r>
            <w:r w:rsidRPr="009444C7">
              <w:rPr>
                <w:rFonts w:ascii="Times New Roman" w:hAnsi="Times New Roman"/>
                <w:iCs/>
              </w:rPr>
              <w:t xml:space="preserve"> și/sau </w:t>
            </w:r>
            <w:r w:rsidRPr="009444C7">
              <w:rPr>
                <w:rFonts w:ascii="Times New Roman" w:hAnsi="Times New Roman"/>
                <w:iCs/>
              </w:rPr>
              <w:lastRenderedPageBreak/>
              <w:t>valorificare a surselor regenerabile de energie</w:t>
            </w:r>
            <w:r w:rsidR="00430C13" w:rsidRPr="009444C7">
              <w:rPr>
                <w:rFonts w:ascii="Times New Roman" w:hAnsi="Times New Roman"/>
                <w:iCs/>
              </w:rPr>
              <w:t xml:space="preserve"> (SER)</w:t>
            </w:r>
            <w:r w:rsidRPr="009444C7">
              <w:rPr>
                <w:rFonts w:ascii="Times New Roman" w:hAnsi="Times New Roman"/>
                <w:iCs/>
              </w:rPr>
              <w:t xml:space="preserve"> în baza programelor de finanțare implementate prin intermediul IP </w:t>
            </w:r>
            <w:r w:rsidR="00BC7979">
              <w:rPr>
                <w:rFonts w:ascii="Times New Roman" w:hAnsi="Times New Roman"/>
                <w:iCs/>
              </w:rPr>
              <w:t>CNED</w:t>
            </w:r>
            <w:r w:rsidRPr="009444C7">
              <w:rPr>
                <w:rFonts w:ascii="Times New Roman" w:hAnsi="Times New Roman"/>
                <w:iCs/>
              </w:rPr>
              <w:t>;</w:t>
            </w:r>
          </w:p>
          <w:p w14:paraId="1A0C425B" w14:textId="0C776F79" w:rsidR="00900093" w:rsidRPr="009444C7" w:rsidRDefault="00900093" w:rsidP="00900093">
            <w:pPr>
              <w:numPr>
                <w:ilvl w:val="0"/>
                <w:numId w:val="21"/>
              </w:numPr>
              <w:spacing w:before="60" w:line="276" w:lineRule="auto"/>
              <w:jc w:val="both"/>
              <w:rPr>
                <w:rFonts w:ascii="Times New Roman" w:hAnsi="Times New Roman"/>
                <w:iCs/>
              </w:rPr>
            </w:pPr>
            <w:r w:rsidRPr="009444C7">
              <w:rPr>
                <w:rFonts w:ascii="Times New Roman" w:hAnsi="Times New Roman"/>
                <w:iCs/>
              </w:rPr>
              <w:t xml:space="preserve">completarea </w:t>
            </w:r>
            <w:r w:rsidR="008F7854" w:rsidRPr="009444C7">
              <w:rPr>
                <w:rFonts w:ascii="Times New Roman" w:hAnsi="Times New Roman"/>
                <w:iCs/>
              </w:rPr>
              <w:t>atribuțiilor</w:t>
            </w:r>
            <w:r w:rsidRPr="009444C7">
              <w:rPr>
                <w:rFonts w:ascii="Times New Roman" w:hAnsi="Times New Roman"/>
                <w:iCs/>
              </w:rPr>
              <w:t xml:space="preserve"> IP </w:t>
            </w:r>
            <w:r w:rsidR="00BC7979">
              <w:rPr>
                <w:rFonts w:ascii="Times New Roman" w:hAnsi="Times New Roman"/>
                <w:iCs/>
              </w:rPr>
              <w:t>CNED</w:t>
            </w:r>
            <w:r w:rsidRPr="009444C7">
              <w:rPr>
                <w:rFonts w:ascii="Times New Roman" w:hAnsi="Times New Roman"/>
                <w:iCs/>
              </w:rPr>
              <w:t xml:space="preserve"> </w:t>
            </w:r>
            <w:r w:rsidR="008F7854" w:rsidRPr="009444C7">
              <w:rPr>
                <w:rFonts w:ascii="Times New Roman" w:hAnsi="Times New Roman"/>
                <w:iCs/>
              </w:rPr>
              <w:t xml:space="preserve">cu prevederi care îi </w:t>
            </w:r>
            <w:r w:rsidRPr="009444C7">
              <w:rPr>
                <w:rFonts w:ascii="Times New Roman" w:hAnsi="Times New Roman"/>
                <w:iCs/>
              </w:rPr>
              <w:t>ofer</w:t>
            </w:r>
            <w:r w:rsidR="008F7854" w:rsidRPr="009444C7">
              <w:rPr>
                <w:rFonts w:ascii="Times New Roman" w:hAnsi="Times New Roman"/>
                <w:iCs/>
              </w:rPr>
              <w:t>ă dreptul de a acorda</w:t>
            </w:r>
            <w:r w:rsidRPr="009444C7">
              <w:rPr>
                <w:rFonts w:ascii="Times New Roman" w:hAnsi="Times New Roman"/>
                <w:iCs/>
              </w:rPr>
              <w:t xml:space="preserve"> garanții financiare și rambursarea ratei dobânzii pentru credite acordate asociațiilor de proprietari </w:t>
            </w:r>
            <w:r w:rsidRPr="009444C7">
              <w:rPr>
                <w:rFonts w:ascii="Times New Roman" w:hAnsi="Times New Roman"/>
                <w:i/>
                <w:cs/>
              </w:rPr>
              <w:t>î</w:t>
            </w:r>
            <w:r w:rsidRPr="009444C7">
              <w:rPr>
                <w:rFonts w:ascii="Times New Roman" w:hAnsi="Times New Roman"/>
                <w:iCs/>
              </w:rPr>
              <w:t>n condominiu pentru finanțarea proiectelor de eficiență energetică și/sau valorificare a surselor regenerabile de energie;</w:t>
            </w:r>
          </w:p>
          <w:p w14:paraId="635A5388" w14:textId="5CFC3279" w:rsidR="00900093" w:rsidRPr="009444C7" w:rsidRDefault="00F901BD" w:rsidP="00900093">
            <w:pPr>
              <w:numPr>
                <w:ilvl w:val="0"/>
                <w:numId w:val="21"/>
              </w:numPr>
              <w:spacing w:before="60" w:line="276" w:lineRule="auto"/>
              <w:jc w:val="both"/>
              <w:rPr>
                <w:rFonts w:ascii="Times New Roman" w:hAnsi="Times New Roman"/>
                <w:iCs/>
              </w:rPr>
            </w:pPr>
            <w:r w:rsidRPr="009444C7">
              <w:rPr>
                <w:rFonts w:ascii="Times New Roman" w:hAnsi="Times New Roman"/>
                <w:iCs/>
              </w:rPr>
              <w:t xml:space="preserve">revizuirea condițiilor privind valorificarea mijloacelor financiare colectate în cadrul schemei de obligații pentru a </w:t>
            </w:r>
            <w:r w:rsidR="00900093" w:rsidRPr="009444C7">
              <w:rPr>
                <w:rFonts w:ascii="Times New Roman" w:hAnsi="Times New Roman"/>
                <w:iCs/>
              </w:rPr>
              <w:t>oferi</w:t>
            </w:r>
            <w:r w:rsidRPr="009444C7">
              <w:rPr>
                <w:rFonts w:ascii="Times New Roman" w:hAnsi="Times New Roman"/>
                <w:iCs/>
              </w:rPr>
              <w:t xml:space="preserve"> (în conformitate cu condițiile stabilite în programele de finanțare aprobate de Guvern)</w:t>
            </w:r>
            <w:r w:rsidR="00900093" w:rsidRPr="009444C7">
              <w:rPr>
                <w:rFonts w:ascii="Times New Roman" w:hAnsi="Times New Roman"/>
                <w:iCs/>
              </w:rPr>
              <w:t xml:space="preserve"> posibilit</w:t>
            </w:r>
            <w:r w:rsidRPr="009444C7">
              <w:rPr>
                <w:rFonts w:ascii="Times New Roman" w:hAnsi="Times New Roman"/>
                <w:iCs/>
              </w:rPr>
              <w:t>atea</w:t>
            </w:r>
            <w:r w:rsidR="00900093" w:rsidRPr="009444C7">
              <w:rPr>
                <w:rFonts w:ascii="Times New Roman" w:hAnsi="Times New Roman"/>
                <w:iCs/>
              </w:rPr>
              <w:t xml:space="preserve"> Asociațiilor de Proprietari în condominiu și proprietarilor de case individuale (cu excepția celor cu grad de vulnerabilitate energetică extremă) să selecteze agentul economic care va executa lucrările aferente implementării proiectelor de EE și/sau valorificare a SER, iar ulterior </w:t>
            </w:r>
            <w:r w:rsidR="00BC7979">
              <w:rPr>
                <w:rFonts w:ascii="Times New Roman" w:hAnsi="Times New Roman"/>
                <w:iCs/>
              </w:rPr>
              <w:t>IP CNED</w:t>
            </w:r>
            <w:r w:rsidR="00900093" w:rsidRPr="009444C7">
              <w:rPr>
                <w:rFonts w:ascii="Times New Roman" w:hAnsi="Times New Roman"/>
                <w:iCs/>
              </w:rPr>
              <w:t xml:space="preserve">, prin intermediul programului de finanțare </w:t>
            </w:r>
            <w:r w:rsidR="00F23BDC" w:rsidRPr="009444C7">
              <w:rPr>
                <w:rFonts w:ascii="Times New Roman" w:hAnsi="Times New Roman"/>
              </w:rPr>
              <w:t>„Fondul pentru eficiență energetică în sectorul rezidențial din Republica Moldova” (</w:t>
            </w:r>
            <w:r w:rsidR="00900093" w:rsidRPr="009444C7">
              <w:rPr>
                <w:rFonts w:ascii="Times New Roman" w:hAnsi="Times New Roman"/>
                <w:iCs/>
              </w:rPr>
              <w:t>FEERM</w:t>
            </w:r>
            <w:r w:rsidR="00F23BDC" w:rsidRPr="009444C7">
              <w:rPr>
                <w:rFonts w:ascii="Times New Roman" w:hAnsi="Times New Roman"/>
                <w:iCs/>
              </w:rPr>
              <w:t>)</w:t>
            </w:r>
            <w:r w:rsidR="00900093" w:rsidRPr="009444C7">
              <w:rPr>
                <w:rFonts w:ascii="Times New Roman" w:hAnsi="Times New Roman"/>
                <w:iCs/>
              </w:rPr>
              <w:t>, va subvenționa o parte din costul lucrărilor, cu condiția c</w:t>
            </w:r>
            <w:r w:rsidR="00900093" w:rsidRPr="009444C7">
              <w:rPr>
                <w:rFonts w:ascii="Times New Roman" w:hAnsi="Times New Roman"/>
                <w:i/>
                <w:cs/>
              </w:rPr>
              <w:t>ă</w:t>
            </w:r>
            <w:r w:rsidR="00900093" w:rsidRPr="009444C7">
              <w:rPr>
                <w:rFonts w:ascii="Times New Roman" w:hAnsi="Times New Roman"/>
                <w:iCs/>
              </w:rPr>
              <w:t xml:space="preserve"> aceștia au respectat toate cerințele necesare stabilite de IP CNED prin produsul de finanțare „Casa Verde”;</w:t>
            </w:r>
          </w:p>
          <w:p w14:paraId="1B436445" w14:textId="081368B4" w:rsidR="00900093" w:rsidRPr="009444C7" w:rsidRDefault="00F74360" w:rsidP="00900093">
            <w:pPr>
              <w:numPr>
                <w:ilvl w:val="0"/>
                <w:numId w:val="21"/>
              </w:numPr>
              <w:spacing w:before="60" w:line="276" w:lineRule="auto"/>
              <w:jc w:val="both"/>
              <w:rPr>
                <w:rFonts w:ascii="Times New Roman" w:hAnsi="Times New Roman"/>
                <w:iCs/>
              </w:rPr>
            </w:pPr>
            <w:r w:rsidRPr="009444C7">
              <w:rPr>
                <w:rFonts w:ascii="Times New Roman" w:hAnsi="Times New Roman"/>
                <w:iCs/>
              </w:rPr>
              <w:t>perioada de elaborare a</w:t>
            </w:r>
            <w:r w:rsidR="00900093" w:rsidRPr="009444C7">
              <w:rPr>
                <w:rFonts w:ascii="Times New Roman" w:hAnsi="Times New Roman"/>
                <w:iCs/>
              </w:rPr>
              <w:t xml:space="preserve"> planuril</w:t>
            </w:r>
            <w:r w:rsidRPr="009444C7">
              <w:rPr>
                <w:rFonts w:ascii="Times New Roman" w:hAnsi="Times New Roman"/>
                <w:iCs/>
              </w:rPr>
              <w:t>or</w:t>
            </w:r>
            <w:r w:rsidR="00900093" w:rsidRPr="009444C7">
              <w:rPr>
                <w:rFonts w:ascii="Times New Roman" w:hAnsi="Times New Roman"/>
                <w:iCs/>
              </w:rPr>
              <w:t xml:space="preserve"> locale integrate privind energia și clima</w:t>
            </w:r>
            <w:r w:rsidRPr="009444C7">
              <w:rPr>
                <w:rFonts w:ascii="Times New Roman" w:hAnsi="Times New Roman"/>
                <w:iCs/>
              </w:rPr>
              <w:t xml:space="preserve"> corespunde cu cea pentru care este elaborat Planul național integrat privind energia și clima</w:t>
            </w:r>
            <w:r w:rsidR="00900093" w:rsidRPr="009444C7">
              <w:rPr>
                <w:rFonts w:ascii="Times New Roman" w:hAnsi="Times New Roman"/>
                <w:iCs/>
              </w:rPr>
              <w:t>. Totodată, obligativitate</w:t>
            </w:r>
            <w:r w:rsidR="00430C13" w:rsidRPr="009444C7">
              <w:rPr>
                <w:rFonts w:ascii="Times New Roman" w:hAnsi="Times New Roman"/>
                <w:iCs/>
              </w:rPr>
              <w:t>a</w:t>
            </w:r>
            <w:r w:rsidR="00900093" w:rsidRPr="009444C7">
              <w:rPr>
                <w:rFonts w:ascii="Times New Roman" w:hAnsi="Times New Roman"/>
                <w:iCs/>
              </w:rPr>
              <w:t xml:space="preserve"> </w:t>
            </w:r>
            <w:r w:rsidR="00430C13" w:rsidRPr="009444C7">
              <w:rPr>
                <w:rFonts w:ascii="Times New Roman" w:hAnsi="Times New Roman"/>
                <w:iCs/>
              </w:rPr>
              <w:t xml:space="preserve">elaborării </w:t>
            </w:r>
            <w:r w:rsidR="00900093" w:rsidRPr="009444C7">
              <w:rPr>
                <w:rFonts w:ascii="Times New Roman" w:hAnsi="Times New Roman"/>
                <w:iCs/>
              </w:rPr>
              <w:t>acestor planuri</w:t>
            </w:r>
            <w:r w:rsidR="009E6596" w:rsidRPr="009444C7">
              <w:rPr>
                <w:rFonts w:ascii="Times New Roman" w:hAnsi="Times New Roman"/>
                <w:iCs/>
              </w:rPr>
              <w:t xml:space="preserve"> a fost stabilită doar pentru </w:t>
            </w:r>
            <w:r w:rsidR="00900093" w:rsidRPr="009444C7">
              <w:rPr>
                <w:rFonts w:ascii="Times New Roman" w:hAnsi="Times New Roman"/>
                <w:iCs/>
              </w:rPr>
              <w:t>APL care au statut de municipii (Chișinău, Bălți, Cahul, Cead</w:t>
            </w:r>
            <w:r w:rsidR="00900093" w:rsidRPr="009444C7">
              <w:rPr>
                <w:rFonts w:ascii="Times New Roman" w:hAnsi="Times New Roman"/>
                <w:i/>
                <w:cs/>
              </w:rPr>
              <w:t>î</w:t>
            </w:r>
            <w:r w:rsidR="00900093" w:rsidRPr="009444C7">
              <w:rPr>
                <w:rFonts w:ascii="Times New Roman" w:hAnsi="Times New Roman"/>
                <w:iCs/>
              </w:rPr>
              <w:t>r-Lunga, Comrat, Edineț, H</w:t>
            </w:r>
            <w:r w:rsidR="00900093" w:rsidRPr="009444C7">
              <w:rPr>
                <w:rFonts w:ascii="Times New Roman" w:hAnsi="Times New Roman"/>
                <w:i/>
                <w:cs/>
              </w:rPr>
              <w:t>î</w:t>
            </w:r>
            <w:r w:rsidR="00900093" w:rsidRPr="009444C7">
              <w:rPr>
                <w:rFonts w:ascii="Times New Roman" w:hAnsi="Times New Roman"/>
                <w:iCs/>
              </w:rPr>
              <w:t>ncești, Orhei, Soroca, Strășeni, și Ungheni);</w:t>
            </w:r>
          </w:p>
          <w:p w14:paraId="036A7912" w14:textId="6BA48499" w:rsidR="00900093" w:rsidRPr="009444C7" w:rsidRDefault="00F74360" w:rsidP="00900093">
            <w:pPr>
              <w:numPr>
                <w:ilvl w:val="0"/>
                <w:numId w:val="21"/>
              </w:numPr>
              <w:spacing w:before="60" w:line="276" w:lineRule="auto"/>
              <w:jc w:val="both"/>
              <w:rPr>
                <w:rFonts w:ascii="Times New Roman" w:hAnsi="Times New Roman"/>
                <w:iCs/>
              </w:rPr>
            </w:pPr>
            <w:r w:rsidRPr="009444C7">
              <w:rPr>
                <w:rFonts w:ascii="Times New Roman" w:hAnsi="Times New Roman"/>
                <w:iCs/>
              </w:rPr>
              <w:t>s</w:t>
            </w:r>
            <w:r w:rsidR="00900093" w:rsidRPr="009444C7">
              <w:rPr>
                <w:rFonts w:ascii="Times New Roman" w:hAnsi="Times New Roman"/>
                <w:iCs/>
              </w:rPr>
              <w:t>ervicii</w:t>
            </w:r>
            <w:r w:rsidRPr="009444C7">
              <w:rPr>
                <w:rFonts w:ascii="Times New Roman" w:hAnsi="Times New Roman"/>
                <w:iCs/>
              </w:rPr>
              <w:t>le</w:t>
            </w:r>
            <w:r w:rsidR="00900093" w:rsidRPr="009444C7">
              <w:rPr>
                <w:rFonts w:ascii="Times New Roman" w:hAnsi="Times New Roman"/>
                <w:iCs/>
              </w:rPr>
              <w:t xml:space="preserve"> de audit energetic</w:t>
            </w:r>
            <w:r w:rsidRPr="009444C7">
              <w:rPr>
                <w:rFonts w:ascii="Times New Roman" w:hAnsi="Times New Roman"/>
                <w:iCs/>
              </w:rPr>
              <w:t xml:space="preserve"> </w:t>
            </w:r>
            <w:r w:rsidR="009E6596" w:rsidRPr="009444C7">
              <w:rPr>
                <w:rFonts w:ascii="Times New Roman" w:hAnsi="Times New Roman"/>
                <w:iCs/>
              </w:rPr>
              <w:t xml:space="preserve">pot fi </w:t>
            </w:r>
            <w:r w:rsidRPr="009444C7">
              <w:rPr>
                <w:rFonts w:ascii="Times New Roman" w:hAnsi="Times New Roman"/>
                <w:iCs/>
              </w:rPr>
              <w:t>prestate</w:t>
            </w:r>
            <w:r w:rsidR="00900093" w:rsidRPr="009444C7">
              <w:rPr>
                <w:rFonts w:ascii="Times New Roman" w:hAnsi="Times New Roman"/>
                <w:iCs/>
              </w:rPr>
              <w:t xml:space="preserve"> de c</w:t>
            </w:r>
            <w:r w:rsidR="00900093" w:rsidRPr="009444C7">
              <w:rPr>
                <w:rFonts w:ascii="Times New Roman" w:hAnsi="Times New Roman"/>
                <w:i/>
                <w:cs/>
              </w:rPr>
              <w:t>ă</w:t>
            </w:r>
            <w:r w:rsidR="00900093" w:rsidRPr="009444C7">
              <w:rPr>
                <w:rFonts w:ascii="Times New Roman" w:hAnsi="Times New Roman"/>
                <w:iCs/>
              </w:rPr>
              <w:t>tre toate persoanele juridice</w:t>
            </w:r>
            <w:r w:rsidRPr="009444C7">
              <w:rPr>
                <w:rFonts w:ascii="Times New Roman" w:hAnsi="Times New Roman"/>
                <w:iCs/>
              </w:rPr>
              <w:t xml:space="preserve"> sub orice formă organizatorico-juridică</w:t>
            </w:r>
            <w:r w:rsidR="00900093" w:rsidRPr="009444C7">
              <w:rPr>
                <w:rFonts w:ascii="Times New Roman" w:hAnsi="Times New Roman"/>
                <w:iCs/>
              </w:rPr>
              <w:t>,</w:t>
            </w:r>
            <w:r w:rsidRPr="009444C7">
              <w:rPr>
                <w:rFonts w:ascii="Times New Roman" w:hAnsi="Times New Roman"/>
                <w:iCs/>
              </w:rPr>
              <w:t xml:space="preserve"> inclusiv organizațiile necomerciale</w:t>
            </w:r>
            <w:r w:rsidR="00900093" w:rsidRPr="009444C7">
              <w:rPr>
                <w:rFonts w:ascii="Times New Roman" w:hAnsi="Times New Roman"/>
                <w:iCs/>
              </w:rPr>
              <w:t>;</w:t>
            </w:r>
          </w:p>
          <w:p w14:paraId="26B35E63" w14:textId="217FDF2A" w:rsidR="00900093" w:rsidRPr="009444C7" w:rsidRDefault="00F74360" w:rsidP="00900093">
            <w:pPr>
              <w:numPr>
                <w:ilvl w:val="0"/>
                <w:numId w:val="21"/>
              </w:numPr>
              <w:spacing w:before="60" w:line="276" w:lineRule="auto"/>
              <w:jc w:val="both"/>
              <w:rPr>
                <w:rFonts w:ascii="Times New Roman" w:hAnsi="Times New Roman"/>
                <w:iCs/>
              </w:rPr>
            </w:pPr>
            <w:r w:rsidRPr="009444C7">
              <w:rPr>
                <w:rFonts w:ascii="Times New Roman" w:hAnsi="Times New Roman"/>
                <w:iCs/>
              </w:rPr>
              <w:t>revizuirea</w:t>
            </w:r>
            <w:r w:rsidR="00900093" w:rsidRPr="009444C7">
              <w:rPr>
                <w:rFonts w:ascii="Times New Roman" w:hAnsi="Times New Roman"/>
                <w:iCs/>
              </w:rPr>
              <w:t xml:space="preserve"> caracterului obligatoriu de elaborare a auditului energetic pentru proiectele de eficienț</w:t>
            </w:r>
            <w:r w:rsidR="00900093" w:rsidRPr="009444C7">
              <w:rPr>
                <w:rFonts w:ascii="Times New Roman" w:hAnsi="Times New Roman"/>
                <w:i/>
                <w:cs/>
              </w:rPr>
              <w:t>ă</w:t>
            </w:r>
            <w:r w:rsidR="00900093" w:rsidRPr="009444C7">
              <w:rPr>
                <w:rFonts w:ascii="Times New Roman" w:hAnsi="Times New Roman"/>
                <w:iCs/>
              </w:rPr>
              <w:t xml:space="preserve"> energetic</w:t>
            </w:r>
            <w:r w:rsidR="00900093" w:rsidRPr="009444C7">
              <w:rPr>
                <w:rFonts w:ascii="Times New Roman" w:hAnsi="Times New Roman"/>
                <w:i/>
                <w:cs/>
              </w:rPr>
              <w:t>ă</w:t>
            </w:r>
            <w:r w:rsidR="00900093" w:rsidRPr="009444C7">
              <w:rPr>
                <w:rFonts w:ascii="Times New Roman" w:hAnsi="Times New Roman"/>
                <w:iCs/>
              </w:rPr>
              <w:t xml:space="preserve"> finanțate total sau parțial de la bugetul de stat, bugetul autorit</w:t>
            </w:r>
            <w:r w:rsidR="00900093" w:rsidRPr="009444C7">
              <w:rPr>
                <w:rFonts w:ascii="Times New Roman" w:hAnsi="Times New Roman"/>
                <w:i/>
                <w:cs/>
              </w:rPr>
              <w:t>ă</w:t>
            </w:r>
            <w:r w:rsidR="00900093" w:rsidRPr="009444C7">
              <w:rPr>
                <w:rFonts w:ascii="Times New Roman" w:hAnsi="Times New Roman"/>
                <w:iCs/>
              </w:rPr>
              <w:t xml:space="preserve">ților publice locale sau prin intermediul IP CNED. Astfel, efectuarea auditului energetic </w:t>
            </w:r>
            <w:r w:rsidRPr="009444C7">
              <w:rPr>
                <w:rFonts w:ascii="Times New Roman" w:hAnsi="Times New Roman"/>
                <w:iCs/>
              </w:rPr>
              <w:t xml:space="preserve">este </w:t>
            </w:r>
            <w:r w:rsidR="00900093" w:rsidRPr="009444C7">
              <w:rPr>
                <w:rFonts w:ascii="Times New Roman" w:hAnsi="Times New Roman"/>
                <w:iCs/>
              </w:rPr>
              <w:t>obligatorie în cazul proiectelor în domeniul eficienței energetice finanțate total sau parțial din bugetul de stat sau din bugetele autorităților administrației publice locale, precum și al proiectelor finanțate de IP CNED, cu excepția proiectelor în domeniul eficienței energetice a clădirilor sau al unui grup de clădiri care au o suprafață utilă totală mai mică sau egală  cu 250 m</w:t>
            </w:r>
            <w:r w:rsidR="00900093" w:rsidRPr="009444C7">
              <w:rPr>
                <w:rFonts w:ascii="Times New Roman" w:hAnsi="Times New Roman"/>
                <w:iCs/>
                <w:vertAlign w:val="superscript"/>
              </w:rPr>
              <w:t>2</w:t>
            </w:r>
            <w:r w:rsidR="00900093" w:rsidRPr="009444C7">
              <w:rPr>
                <w:rFonts w:ascii="Times New Roman" w:hAnsi="Times New Roman"/>
                <w:iCs/>
              </w:rPr>
              <w:t xml:space="preserve">. </w:t>
            </w:r>
            <w:r w:rsidR="009E6596" w:rsidRPr="009444C7">
              <w:rPr>
                <w:rFonts w:ascii="Times New Roman" w:hAnsi="Times New Roman"/>
                <w:iCs/>
              </w:rPr>
              <w:t>Totodată, î</w:t>
            </w:r>
            <w:r w:rsidR="00900093" w:rsidRPr="009444C7">
              <w:rPr>
                <w:rFonts w:ascii="Times New Roman" w:hAnsi="Times New Roman"/>
                <w:iCs/>
              </w:rPr>
              <w:t>n cazul proiectelor de eficiență energetică în cadrul blocurilor locative și caselor individuale cu o suprafață utilă totală mai mare 250 m</w:t>
            </w:r>
            <w:r w:rsidR="00900093" w:rsidRPr="009444C7">
              <w:rPr>
                <w:rFonts w:ascii="Times New Roman" w:hAnsi="Times New Roman"/>
                <w:iCs/>
                <w:vertAlign w:val="superscript"/>
              </w:rPr>
              <w:t xml:space="preserve">2 </w:t>
            </w:r>
            <w:r w:rsidR="00900093" w:rsidRPr="009444C7">
              <w:rPr>
                <w:rFonts w:ascii="Times New Roman" w:hAnsi="Times New Roman"/>
                <w:iCs/>
              </w:rPr>
              <w:t>auditul energetic poate fi substituit cu certificatul de performanță energetică, întocmit conform prevederilor Legii nr. 282/2023 privind performanța energetică a clădirilor, în condițiile disponibilității acestuia</w:t>
            </w:r>
            <w:r w:rsidR="00E54C93" w:rsidRPr="009444C7">
              <w:rPr>
                <w:rFonts w:ascii="Times New Roman" w:hAnsi="Times New Roman"/>
                <w:iCs/>
              </w:rPr>
              <w:t>;</w:t>
            </w:r>
          </w:p>
          <w:p w14:paraId="545E9462" w14:textId="1575AD6C" w:rsidR="00E54C93" w:rsidRPr="009444C7" w:rsidRDefault="00E54C93" w:rsidP="00900093">
            <w:pPr>
              <w:numPr>
                <w:ilvl w:val="0"/>
                <w:numId w:val="21"/>
              </w:numPr>
              <w:spacing w:before="60" w:line="276" w:lineRule="auto"/>
              <w:jc w:val="both"/>
              <w:rPr>
                <w:rFonts w:ascii="Times New Roman" w:hAnsi="Times New Roman"/>
                <w:iCs/>
              </w:rPr>
            </w:pPr>
            <w:r w:rsidRPr="009444C7">
              <w:rPr>
                <w:rFonts w:ascii="Times New Roman" w:hAnsi="Times New Roman"/>
                <w:iCs/>
              </w:rPr>
              <w:t xml:space="preserve">perioada în care întreprinderile mari vor trebui să asigure elaborarea auditului energetic, prevăzut conform </w:t>
            </w:r>
            <w:r w:rsidRPr="009444C7">
              <w:rPr>
                <w:rFonts w:ascii="Times New Roman" w:hAnsi="Times New Roman"/>
                <w:shd w:val="clear" w:color="auto" w:fill="FFFFFF"/>
              </w:rPr>
              <w:t xml:space="preserve">art. 30 alin. (14) din </w:t>
            </w:r>
            <w:r w:rsidR="000B76BC" w:rsidRPr="009444C7">
              <w:rPr>
                <w:rFonts w:ascii="Times New Roman" w:hAnsi="Times New Roman"/>
                <w:shd w:val="clear" w:color="auto" w:fill="FFFFFF"/>
              </w:rPr>
              <w:t>L</w:t>
            </w:r>
            <w:r w:rsidRPr="009444C7">
              <w:rPr>
                <w:rFonts w:ascii="Times New Roman" w:hAnsi="Times New Roman"/>
                <w:shd w:val="clear" w:color="auto" w:fill="FFFFFF"/>
              </w:rPr>
              <w:t xml:space="preserve">egea nr. 139/2018 cu privire la eficiența energetică, constituie 1 an și decurge din momentul recepționării de către întreprinderile mari a notificării, expediată de către IP CNED, cu privire la obligativitatea efectuării auditului energetic.  </w:t>
            </w:r>
          </w:p>
          <w:p w14:paraId="522A8B11" w14:textId="4226B1CA" w:rsidR="008F7854" w:rsidRPr="009444C7" w:rsidRDefault="008F7854" w:rsidP="00E54505">
            <w:pPr>
              <w:spacing w:before="120" w:after="120"/>
              <w:jc w:val="both"/>
              <w:rPr>
                <w:rFonts w:ascii="Times New Roman" w:hAnsi="Times New Roman"/>
              </w:rPr>
            </w:pPr>
            <w:r w:rsidRPr="009444C7">
              <w:rPr>
                <w:rFonts w:ascii="Times New Roman" w:hAnsi="Times New Roman"/>
              </w:rPr>
              <w:lastRenderedPageBreak/>
              <w:t>Detaliile care au stat la baza modificărilor sus menționate au fost prezentate în Nota de fundamentare aferente legii nr. nr. 111/2025 pentru modificarea Legii nr. 139/2018 cu privire la eficiența energetică (facilitarea implementării proiectelor de eficiență energetică).</w:t>
            </w:r>
          </w:p>
          <w:p w14:paraId="74533EA7" w14:textId="774DB56D" w:rsidR="00E54505" w:rsidRPr="009444C7" w:rsidRDefault="00E54505" w:rsidP="00E54505">
            <w:pPr>
              <w:spacing w:before="120" w:after="120"/>
              <w:jc w:val="both"/>
              <w:rPr>
                <w:rFonts w:ascii="Times New Roman" w:hAnsi="Times New Roman"/>
              </w:rPr>
            </w:pPr>
            <w:r w:rsidRPr="009444C7">
              <w:rPr>
                <w:rFonts w:ascii="Times New Roman" w:hAnsi="Times New Roman"/>
              </w:rPr>
              <w:t xml:space="preserve">Prin urmare, pentru a aduce actele normative ale Guvernului în concordanță cu modificările efectuate asupra </w:t>
            </w:r>
            <w:r w:rsidR="009E6596" w:rsidRPr="009444C7">
              <w:rPr>
                <w:rFonts w:ascii="Times New Roman" w:hAnsi="Times New Roman"/>
              </w:rPr>
              <w:t>L</w:t>
            </w:r>
            <w:r w:rsidRPr="009444C7">
              <w:rPr>
                <w:rFonts w:ascii="Times New Roman" w:hAnsi="Times New Roman"/>
              </w:rPr>
              <w:t xml:space="preserve">egii nr. 139/2018 cu privire la eficiența energetică, </w:t>
            </w:r>
            <w:r w:rsidR="00F23BDC" w:rsidRPr="009444C7">
              <w:rPr>
                <w:rFonts w:ascii="Times New Roman" w:hAnsi="Times New Roman"/>
              </w:rPr>
              <w:t>în cazul prezent</w:t>
            </w:r>
            <w:r w:rsidR="009E6596" w:rsidRPr="009444C7">
              <w:rPr>
                <w:rFonts w:ascii="Times New Roman" w:hAnsi="Times New Roman"/>
              </w:rPr>
              <w:t>ului proiect de</w:t>
            </w:r>
            <w:r w:rsidR="00F23BDC" w:rsidRPr="009444C7">
              <w:rPr>
                <w:rFonts w:ascii="Times New Roman" w:hAnsi="Times New Roman"/>
              </w:rPr>
              <w:t xml:space="preserve"> </w:t>
            </w:r>
            <w:r w:rsidR="005A4AD0" w:rsidRPr="009444C7">
              <w:rPr>
                <w:rFonts w:ascii="Times New Roman" w:hAnsi="Times New Roman"/>
              </w:rPr>
              <w:t>Hotărâr</w:t>
            </w:r>
            <w:r w:rsidR="009E6596" w:rsidRPr="009444C7">
              <w:rPr>
                <w:rFonts w:ascii="Times New Roman" w:hAnsi="Times New Roman"/>
              </w:rPr>
              <w:t>e</w:t>
            </w:r>
            <w:r w:rsidR="005A4AD0" w:rsidRPr="009444C7">
              <w:rPr>
                <w:rFonts w:ascii="Times New Roman" w:hAnsi="Times New Roman"/>
              </w:rPr>
              <w:t xml:space="preserve"> de Guvern sunt</w:t>
            </w:r>
            <w:r w:rsidRPr="009444C7">
              <w:rPr>
                <w:rFonts w:ascii="Times New Roman" w:hAnsi="Times New Roman"/>
              </w:rPr>
              <w:t xml:space="preserve"> </w:t>
            </w:r>
            <w:r w:rsidR="005A4AD0" w:rsidRPr="009444C7">
              <w:rPr>
                <w:rFonts w:ascii="Times New Roman" w:hAnsi="Times New Roman"/>
              </w:rPr>
              <w:t>prezentate</w:t>
            </w:r>
            <w:r w:rsidRPr="009444C7">
              <w:rPr>
                <w:rFonts w:ascii="Times New Roman" w:hAnsi="Times New Roman"/>
              </w:rPr>
              <w:t xml:space="preserve"> </w:t>
            </w:r>
            <w:r w:rsidR="005A4AD0" w:rsidRPr="009444C7">
              <w:rPr>
                <w:rFonts w:ascii="Times New Roman" w:hAnsi="Times New Roman"/>
              </w:rPr>
              <w:t>amendamente la</w:t>
            </w:r>
            <w:r w:rsidRPr="009444C7">
              <w:rPr>
                <w:rFonts w:ascii="Times New Roman" w:hAnsi="Times New Roman"/>
              </w:rPr>
              <w:t xml:space="preserve"> următoare</w:t>
            </w:r>
            <w:r w:rsidR="005A4AD0" w:rsidRPr="009444C7">
              <w:rPr>
                <w:rFonts w:ascii="Times New Roman" w:hAnsi="Times New Roman"/>
              </w:rPr>
              <w:t>le</w:t>
            </w:r>
            <w:r w:rsidRPr="009444C7">
              <w:rPr>
                <w:rFonts w:ascii="Times New Roman" w:hAnsi="Times New Roman"/>
              </w:rPr>
              <w:t xml:space="preserve"> Hotărâri de Guvern:</w:t>
            </w:r>
          </w:p>
          <w:p w14:paraId="4048520E" w14:textId="56971036" w:rsidR="00E54505" w:rsidRPr="009444C7" w:rsidRDefault="000B4CA4" w:rsidP="00E54505">
            <w:pPr>
              <w:pStyle w:val="ListParagraph"/>
              <w:numPr>
                <w:ilvl w:val="0"/>
                <w:numId w:val="22"/>
              </w:numPr>
              <w:spacing w:before="120" w:after="120"/>
              <w:jc w:val="both"/>
              <w:rPr>
                <w:rFonts w:ascii="Times New Roman" w:hAnsi="Times New Roman"/>
              </w:rPr>
            </w:pPr>
            <w:r w:rsidRPr="009444C7">
              <w:rPr>
                <w:rFonts w:ascii="Times New Roman" w:hAnsi="Times New Roman"/>
              </w:rPr>
              <w:t xml:space="preserve">Hotărârea Guvernului </w:t>
            </w:r>
            <w:r w:rsidR="009E6596" w:rsidRPr="009444C7">
              <w:rPr>
                <w:rFonts w:ascii="Times New Roman" w:hAnsi="Times New Roman"/>
              </w:rPr>
              <w:t>nr</w:t>
            </w:r>
            <w:r w:rsidRPr="009444C7">
              <w:rPr>
                <w:rFonts w:ascii="Times New Roman" w:hAnsi="Times New Roman"/>
              </w:rPr>
              <w:t>. 676/2020 cu privire la aprobarea Regulamentului cu privire la auditorii energetici și auditul energetic;</w:t>
            </w:r>
          </w:p>
          <w:p w14:paraId="122D98AB" w14:textId="6EE4927D" w:rsidR="000B4CA4" w:rsidRPr="009444C7" w:rsidRDefault="000B4CA4" w:rsidP="00E54505">
            <w:pPr>
              <w:pStyle w:val="ListParagraph"/>
              <w:numPr>
                <w:ilvl w:val="0"/>
                <w:numId w:val="22"/>
              </w:numPr>
              <w:spacing w:before="120" w:after="120"/>
              <w:jc w:val="both"/>
              <w:rPr>
                <w:rFonts w:ascii="Times New Roman" w:hAnsi="Times New Roman"/>
              </w:rPr>
            </w:pPr>
            <w:r w:rsidRPr="009444C7">
              <w:rPr>
                <w:rFonts w:ascii="Times New Roman" w:hAnsi="Times New Roman"/>
              </w:rPr>
              <w:t xml:space="preserve">Hotărârea Guvernului </w:t>
            </w:r>
            <w:r w:rsidR="009E6596" w:rsidRPr="009444C7">
              <w:rPr>
                <w:rFonts w:ascii="Times New Roman" w:hAnsi="Times New Roman"/>
              </w:rPr>
              <w:t>nr</w:t>
            </w:r>
            <w:r w:rsidRPr="009444C7">
              <w:rPr>
                <w:rFonts w:ascii="Times New Roman" w:hAnsi="Times New Roman"/>
              </w:rPr>
              <w:t>. 1064/2023 cu privire la aprobarea Programului privind implementarea schemei de obligații în domeniul eficienței energetice pentru perioada 2024-2026</w:t>
            </w:r>
            <w:r w:rsidR="005D2622" w:rsidRPr="009444C7">
              <w:rPr>
                <w:rFonts w:ascii="Times New Roman" w:hAnsi="Times New Roman"/>
              </w:rPr>
              <w:t xml:space="preserve"> (Programul SOEE)</w:t>
            </w:r>
            <w:r w:rsidRPr="009444C7">
              <w:rPr>
                <w:rFonts w:ascii="Times New Roman" w:hAnsi="Times New Roman"/>
              </w:rPr>
              <w:t>;</w:t>
            </w:r>
          </w:p>
          <w:p w14:paraId="6EB15FDB" w14:textId="057CD720" w:rsidR="000B4CA4" w:rsidRPr="009444C7" w:rsidRDefault="000B4CA4" w:rsidP="00E54505">
            <w:pPr>
              <w:pStyle w:val="ListParagraph"/>
              <w:numPr>
                <w:ilvl w:val="0"/>
                <w:numId w:val="22"/>
              </w:numPr>
              <w:spacing w:before="120" w:after="120"/>
              <w:jc w:val="both"/>
              <w:rPr>
                <w:rFonts w:ascii="Times New Roman" w:hAnsi="Times New Roman"/>
              </w:rPr>
            </w:pPr>
            <w:r w:rsidRPr="009444C7">
              <w:rPr>
                <w:rFonts w:ascii="Times New Roman" w:hAnsi="Times New Roman"/>
              </w:rPr>
              <w:t xml:space="preserve">Hotărârea Guvernului </w:t>
            </w:r>
            <w:r w:rsidR="009E6596" w:rsidRPr="009444C7">
              <w:rPr>
                <w:rFonts w:ascii="Times New Roman" w:hAnsi="Times New Roman"/>
              </w:rPr>
              <w:t>nr</w:t>
            </w:r>
            <w:r w:rsidRPr="009444C7">
              <w:rPr>
                <w:rFonts w:ascii="Times New Roman" w:hAnsi="Times New Roman"/>
              </w:rPr>
              <w:t>. 1068/2023 cu privire la aprobarea Metodologiei pentru determinarea contribuțiilor ce urmează a fi achitate de părțile obligate;</w:t>
            </w:r>
          </w:p>
          <w:p w14:paraId="6DC8DC6C" w14:textId="689338C3" w:rsidR="000B4CA4" w:rsidRPr="009444C7" w:rsidRDefault="000B4CA4" w:rsidP="00E54505">
            <w:pPr>
              <w:pStyle w:val="ListParagraph"/>
              <w:numPr>
                <w:ilvl w:val="0"/>
                <w:numId w:val="22"/>
              </w:numPr>
              <w:spacing w:before="120" w:after="120"/>
              <w:jc w:val="both"/>
              <w:rPr>
                <w:rFonts w:ascii="Times New Roman" w:hAnsi="Times New Roman"/>
              </w:rPr>
            </w:pPr>
            <w:r w:rsidRPr="009444C7">
              <w:rPr>
                <w:rFonts w:ascii="Times New Roman" w:hAnsi="Times New Roman"/>
              </w:rPr>
              <w:t xml:space="preserve">Hotărârea Guvernului </w:t>
            </w:r>
            <w:r w:rsidR="009E6596" w:rsidRPr="009444C7">
              <w:rPr>
                <w:rFonts w:ascii="Times New Roman" w:hAnsi="Times New Roman"/>
              </w:rPr>
              <w:t>nr</w:t>
            </w:r>
            <w:r w:rsidRPr="009444C7">
              <w:rPr>
                <w:rFonts w:ascii="Times New Roman" w:hAnsi="Times New Roman"/>
              </w:rPr>
              <w:t>. 251/2024 cu privire la aprobarea Programului de finanțare „Fondul pentru eficiență energetică în sectorul rezidențial din Republica Moldova”;</w:t>
            </w:r>
          </w:p>
          <w:p w14:paraId="493C9D02" w14:textId="69BAB713" w:rsidR="000B4CA4" w:rsidRPr="009444C7" w:rsidRDefault="000B4CA4" w:rsidP="00E54505">
            <w:pPr>
              <w:pStyle w:val="ListParagraph"/>
              <w:numPr>
                <w:ilvl w:val="0"/>
                <w:numId w:val="22"/>
              </w:numPr>
              <w:spacing w:before="120" w:after="120"/>
              <w:jc w:val="both"/>
              <w:rPr>
                <w:rFonts w:ascii="Times New Roman" w:hAnsi="Times New Roman"/>
              </w:rPr>
            </w:pPr>
            <w:r w:rsidRPr="009444C7">
              <w:rPr>
                <w:rFonts w:ascii="Times New Roman" w:hAnsi="Times New Roman"/>
              </w:rPr>
              <w:t xml:space="preserve">Hotărârea Guvernului </w:t>
            </w:r>
            <w:r w:rsidR="009E6596" w:rsidRPr="009444C7">
              <w:rPr>
                <w:rFonts w:ascii="Times New Roman" w:hAnsi="Times New Roman"/>
              </w:rPr>
              <w:t>nr</w:t>
            </w:r>
            <w:r w:rsidRPr="009444C7">
              <w:rPr>
                <w:rFonts w:ascii="Times New Roman" w:hAnsi="Times New Roman"/>
              </w:rPr>
              <w:t>. 829/2024 cu privire la aprobarea Regulamentului cu privire la efectuarea auditului energetic de către întreprinderile mari.</w:t>
            </w:r>
          </w:p>
          <w:p w14:paraId="1D982A23" w14:textId="52292AAA" w:rsidR="005E2A24" w:rsidRPr="009444C7" w:rsidRDefault="009033DF" w:rsidP="005E2A24">
            <w:pPr>
              <w:spacing w:before="120" w:after="120"/>
              <w:jc w:val="both"/>
              <w:rPr>
                <w:rFonts w:ascii="Times New Roman" w:hAnsi="Times New Roman"/>
                <w:shd w:val="clear" w:color="auto" w:fill="FFFFFF"/>
              </w:rPr>
            </w:pPr>
            <w:r w:rsidRPr="009444C7">
              <w:rPr>
                <w:rFonts w:ascii="Times New Roman" w:hAnsi="Times New Roman"/>
                <w:shd w:val="clear" w:color="auto" w:fill="FFFFFF"/>
              </w:rPr>
              <w:t xml:space="preserve">Totodată, ca rezultat al implementării </w:t>
            </w:r>
            <w:r w:rsidR="00A74C6D" w:rsidRPr="009444C7">
              <w:rPr>
                <w:rFonts w:ascii="Times New Roman" w:hAnsi="Times New Roman"/>
                <w:shd w:val="clear" w:color="auto" w:fill="FFFFFF"/>
              </w:rPr>
              <w:t>Hotărârilor de Guvern sus menționate, au fost identificate și alte ajustări necesare a fi efectuate asupra acestora,</w:t>
            </w:r>
            <w:r w:rsidR="005E2A24" w:rsidRPr="009444C7">
              <w:rPr>
                <w:rFonts w:ascii="Times New Roman" w:hAnsi="Times New Roman"/>
                <w:shd w:val="clear" w:color="auto" w:fill="FFFFFF"/>
              </w:rPr>
              <w:t xml:space="preserve"> conform informațiilor prezentate de către IP </w:t>
            </w:r>
            <w:r w:rsidR="00BC7979">
              <w:rPr>
                <w:rFonts w:ascii="Times New Roman" w:hAnsi="Times New Roman"/>
                <w:shd w:val="clear" w:color="auto" w:fill="FFFFFF"/>
              </w:rPr>
              <w:t>CNED</w:t>
            </w:r>
            <w:r w:rsidR="005E2A24" w:rsidRPr="009444C7">
              <w:rPr>
                <w:rFonts w:ascii="Times New Roman" w:hAnsi="Times New Roman"/>
                <w:shd w:val="clear" w:color="auto" w:fill="FFFFFF"/>
              </w:rPr>
              <w:t xml:space="preserve">. Informațiile prezentate au fost analizate în cadrul ședințelor de lucru cu reprezentanții IP CNED, iar modificările </w:t>
            </w:r>
            <w:r w:rsidR="009D136E" w:rsidRPr="009444C7">
              <w:rPr>
                <w:rFonts w:ascii="Times New Roman" w:hAnsi="Times New Roman"/>
                <w:shd w:val="clear" w:color="auto" w:fill="FFFFFF"/>
              </w:rPr>
              <w:t>necesare</w:t>
            </w:r>
            <w:r w:rsidR="005E2A24" w:rsidRPr="009444C7">
              <w:rPr>
                <w:rFonts w:ascii="Times New Roman" w:hAnsi="Times New Roman"/>
                <w:shd w:val="clear" w:color="auto" w:fill="FFFFFF"/>
              </w:rPr>
              <w:t xml:space="preserve"> sunt prezentate în proiectul Hotărârii.</w:t>
            </w:r>
          </w:p>
          <w:p w14:paraId="1E0D2F79" w14:textId="42E93137" w:rsidR="00F23BDC" w:rsidRPr="009444C7" w:rsidRDefault="00FF40CE" w:rsidP="005E2A24">
            <w:pPr>
              <w:spacing w:before="120" w:after="120"/>
              <w:jc w:val="both"/>
              <w:rPr>
                <w:rFonts w:ascii="Times New Roman" w:hAnsi="Times New Roman"/>
                <w:color w:val="000000" w:themeColor="text1"/>
              </w:rPr>
            </w:pPr>
            <w:r w:rsidRPr="009444C7">
              <w:rPr>
                <w:rFonts w:ascii="Times New Roman" w:hAnsi="Times New Roman"/>
                <w:color w:val="000000" w:themeColor="text1"/>
              </w:rPr>
              <w:t>Printre modificările propuse a fost identificată inclusiv necesitatea de ajustare a perioadei de implementare a Programului de finanțare „Fondul pentru eficiență energetică în sectorul rezidențial din Republica Moldova”, pe motiv că mijloacele financiare necesare pentru implementare</w:t>
            </w:r>
            <w:r w:rsidR="009E6596" w:rsidRPr="009444C7">
              <w:rPr>
                <w:rFonts w:ascii="Times New Roman" w:hAnsi="Times New Roman"/>
                <w:color w:val="000000" w:themeColor="text1"/>
              </w:rPr>
              <w:t>a</w:t>
            </w:r>
            <w:r w:rsidRPr="009444C7">
              <w:rPr>
                <w:rFonts w:ascii="Times New Roman" w:hAnsi="Times New Roman"/>
                <w:color w:val="000000" w:themeColor="text1"/>
              </w:rPr>
              <w:t xml:space="preserve"> acestuia </w:t>
            </w:r>
            <w:r w:rsidR="009E6596" w:rsidRPr="009444C7">
              <w:rPr>
                <w:rFonts w:ascii="Times New Roman" w:hAnsi="Times New Roman"/>
                <w:color w:val="000000" w:themeColor="text1"/>
              </w:rPr>
              <w:t xml:space="preserve">provin </w:t>
            </w:r>
            <w:r w:rsidR="00F23BDC" w:rsidRPr="009444C7">
              <w:rPr>
                <w:rFonts w:ascii="Times New Roman" w:hAnsi="Times New Roman"/>
                <w:color w:val="000000" w:themeColor="text1"/>
              </w:rPr>
              <w:t>în mare parte</w:t>
            </w:r>
            <w:r w:rsidR="001E05AD" w:rsidRPr="009444C7">
              <w:rPr>
                <w:rFonts w:ascii="Times New Roman" w:hAnsi="Times New Roman"/>
                <w:color w:val="000000" w:themeColor="text1"/>
              </w:rPr>
              <w:t xml:space="preserve"> din</w:t>
            </w:r>
            <w:r w:rsidRPr="009444C7">
              <w:rPr>
                <w:rFonts w:ascii="Times New Roman" w:hAnsi="Times New Roman"/>
                <w:color w:val="000000" w:themeColor="text1"/>
              </w:rPr>
              <w:t xml:space="preserve"> resursel</w:t>
            </w:r>
            <w:r w:rsidR="001E05AD" w:rsidRPr="009444C7">
              <w:rPr>
                <w:rFonts w:ascii="Times New Roman" w:hAnsi="Times New Roman"/>
                <w:color w:val="000000" w:themeColor="text1"/>
              </w:rPr>
              <w:t>e</w:t>
            </w:r>
            <w:r w:rsidRPr="009444C7">
              <w:rPr>
                <w:rFonts w:ascii="Times New Roman" w:hAnsi="Times New Roman"/>
                <w:color w:val="000000" w:themeColor="text1"/>
              </w:rPr>
              <w:t xml:space="preserve"> financiare colectate în cadrul Programului privind implementarea schemei de obligații în domeniul eficienței energetice pentru perioada 2024-2026, aprobat prin Hotărârea Guvernului nr.1064/2023. Conform prevederilor Programului privind implementarea schemei de obligații în domeniul eficienței energetice pentru perioada 2024-2026</w:t>
            </w:r>
            <w:r w:rsidR="00F23BDC" w:rsidRPr="009444C7">
              <w:rPr>
                <w:rFonts w:ascii="Times New Roman" w:hAnsi="Times New Roman"/>
                <w:color w:val="000000" w:themeColor="text1"/>
              </w:rPr>
              <w:t>,</w:t>
            </w:r>
            <w:r w:rsidRPr="009444C7">
              <w:rPr>
                <w:rFonts w:ascii="Times New Roman" w:hAnsi="Times New Roman"/>
                <w:color w:val="000000" w:themeColor="text1"/>
              </w:rPr>
              <w:t xml:space="preserve"> contribuții</w:t>
            </w:r>
            <w:r w:rsidR="00F23BDC" w:rsidRPr="009444C7">
              <w:rPr>
                <w:rFonts w:ascii="Times New Roman" w:hAnsi="Times New Roman"/>
                <w:color w:val="000000" w:themeColor="text1"/>
              </w:rPr>
              <w:t>le părților obligate</w:t>
            </w:r>
            <w:r w:rsidRPr="009444C7">
              <w:rPr>
                <w:rFonts w:ascii="Times New Roman" w:hAnsi="Times New Roman"/>
                <w:color w:val="000000" w:themeColor="text1"/>
              </w:rPr>
              <w:t xml:space="preserve"> pentru trimestrul IV 2026 urmează a fi transferate până în ziua a 45-a de la încheierea acestuia, respectiv, acestea </w:t>
            </w:r>
            <w:r w:rsidR="001E05AD" w:rsidRPr="009444C7">
              <w:rPr>
                <w:rFonts w:ascii="Times New Roman" w:hAnsi="Times New Roman"/>
                <w:color w:val="000000" w:themeColor="text1"/>
              </w:rPr>
              <w:t xml:space="preserve">vor </w:t>
            </w:r>
            <w:r w:rsidRPr="009444C7">
              <w:rPr>
                <w:rFonts w:ascii="Times New Roman" w:hAnsi="Times New Roman"/>
                <w:color w:val="000000" w:themeColor="text1"/>
              </w:rPr>
              <w:t xml:space="preserve">fi disponibile pentru utilizare </w:t>
            </w:r>
            <w:r w:rsidR="00F23BDC" w:rsidRPr="009444C7">
              <w:rPr>
                <w:rFonts w:ascii="Times New Roman" w:hAnsi="Times New Roman"/>
                <w:color w:val="000000" w:themeColor="text1"/>
              </w:rPr>
              <w:t>începând</w:t>
            </w:r>
            <w:r w:rsidRPr="009444C7">
              <w:rPr>
                <w:rFonts w:ascii="Times New Roman" w:hAnsi="Times New Roman"/>
                <w:color w:val="000000" w:themeColor="text1"/>
              </w:rPr>
              <w:t xml:space="preserve"> cu mijlocul lunii februarie 2027</w:t>
            </w:r>
            <w:r w:rsidR="00F23BDC" w:rsidRPr="009444C7">
              <w:rPr>
                <w:rFonts w:ascii="Times New Roman" w:hAnsi="Times New Roman"/>
                <w:color w:val="000000" w:themeColor="text1"/>
              </w:rPr>
              <w:t>.</w:t>
            </w:r>
          </w:p>
          <w:p w14:paraId="1B5FF274" w14:textId="73DF7F02" w:rsidR="00FF40CE" w:rsidRPr="009444C7" w:rsidRDefault="00F23BDC" w:rsidP="005E2A24">
            <w:pPr>
              <w:spacing w:before="120" w:after="120"/>
              <w:jc w:val="both"/>
              <w:rPr>
                <w:rFonts w:ascii="Times New Roman" w:hAnsi="Times New Roman"/>
                <w:color w:val="000000" w:themeColor="text1"/>
              </w:rPr>
            </w:pPr>
            <w:r w:rsidRPr="009444C7">
              <w:rPr>
                <w:rFonts w:ascii="Times New Roman" w:hAnsi="Times New Roman"/>
                <w:color w:val="000000" w:themeColor="text1"/>
              </w:rPr>
              <w:t>Prin urmare</w:t>
            </w:r>
            <w:r w:rsidR="00C73B94" w:rsidRPr="009444C7">
              <w:rPr>
                <w:rFonts w:ascii="Times New Roman" w:hAnsi="Times New Roman"/>
                <w:color w:val="000000" w:themeColor="text1"/>
              </w:rPr>
              <w:t xml:space="preserve"> </w:t>
            </w:r>
            <w:r w:rsidR="00FF40CE" w:rsidRPr="009444C7">
              <w:rPr>
                <w:rFonts w:ascii="Times New Roman" w:hAnsi="Times New Roman"/>
                <w:color w:val="000000" w:themeColor="text1"/>
              </w:rPr>
              <w:t xml:space="preserve">este necesară </w:t>
            </w:r>
            <w:r w:rsidRPr="009444C7">
              <w:rPr>
                <w:rFonts w:ascii="Times New Roman" w:hAnsi="Times New Roman"/>
                <w:color w:val="000000" w:themeColor="text1"/>
              </w:rPr>
              <w:t xml:space="preserve">extinderea perioadei de implementare a Programului FEERM până la sfârșitul anului 2027 astfel încât </w:t>
            </w:r>
            <w:r w:rsidR="00C73B94" w:rsidRPr="009444C7">
              <w:rPr>
                <w:rFonts w:ascii="Times New Roman" w:hAnsi="Times New Roman"/>
                <w:color w:val="000000" w:themeColor="text1"/>
              </w:rPr>
              <w:t>să fie oferită o perioadă de timp suficientă pentru valorificarea integrală a mijloacelor financiare transferate în cadrul schemei de obligații în domeniul eficienței energetice, în conformitate cu prevederile Programului de finanțare FEERM</w:t>
            </w:r>
            <w:r w:rsidRPr="009444C7">
              <w:rPr>
                <w:rFonts w:ascii="Times New Roman" w:hAnsi="Times New Roman"/>
                <w:color w:val="000000" w:themeColor="text1"/>
              </w:rPr>
              <w:t xml:space="preserve">. </w:t>
            </w:r>
            <w:r w:rsidR="00FF40CE" w:rsidRPr="009444C7">
              <w:rPr>
                <w:rFonts w:ascii="Times New Roman" w:hAnsi="Times New Roman"/>
                <w:color w:val="000000" w:themeColor="text1"/>
              </w:rPr>
              <w:t xml:space="preserve">  </w:t>
            </w:r>
          </w:p>
          <w:p w14:paraId="30493947" w14:textId="77777777" w:rsidR="00097A1C" w:rsidRPr="009444C7" w:rsidRDefault="00097A1C" w:rsidP="00097A1C">
            <w:pPr>
              <w:spacing w:before="120" w:after="120"/>
              <w:jc w:val="both"/>
              <w:rPr>
                <w:rFonts w:ascii="Times New Roman" w:hAnsi="Times New Roman"/>
                <w:shd w:val="clear" w:color="auto" w:fill="FFFFFF"/>
              </w:rPr>
            </w:pPr>
            <w:r w:rsidRPr="009444C7">
              <w:rPr>
                <w:rFonts w:ascii="Times New Roman" w:hAnsi="Times New Roman"/>
                <w:shd w:val="clear" w:color="auto" w:fill="FFFFFF"/>
              </w:rPr>
              <w:t xml:space="preserve">Totodată, modificările aduse la Legea nr. 139/2018 cu privire la eficiența energetică, menționate mai sus, presupun și anumite ajustări la mărimea contribuțiilor ce urmează a fi achitate de către fiecare parte obligată, în baza plăților fixe, pe unitate de energie sau de volum distribuit sau importat, care sunt efectuate trimestrial dar nu mai târziu de ziua a 45-a de la încheierea trimestrului de gestiune. </w:t>
            </w:r>
          </w:p>
          <w:p w14:paraId="04271B09" w14:textId="77777777" w:rsidR="00097A1C" w:rsidRPr="009444C7" w:rsidRDefault="00097A1C" w:rsidP="00097A1C">
            <w:pPr>
              <w:spacing w:before="120" w:after="120"/>
              <w:jc w:val="both"/>
              <w:rPr>
                <w:rFonts w:ascii="Times New Roman" w:hAnsi="Times New Roman"/>
                <w:shd w:val="clear" w:color="auto" w:fill="FFFFFF"/>
              </w:rPr>
            </w:pPr>
            <w:r w:rsidRPr="009444C7">
              <w:rPr>
                <w:rFonts w:ascii="Times New Roman" w:hAnsi="Times New Roman"/>
                <w:shd w:val="clear" w:color="auto" w:fill="FFFFFF"/>
              </w:rPr>
              <w:t>Este de menționat că calcularea plăților fixe ce urmează a fi achitate de părțile obligate are loc în conformitate cu metodologia pentru determinarea contribuțiilor ce urmează a fi achitate de părțile obligate, aprobată prin Hotărârea de Guvern nr. 1068/2023, iar aceasta, la moment, nu cuprinde careva prevederi care ar trebui luate în considerare la actualizarea plăților fixe ce urmează a fi achitate de părțile obligate pe durata Programului SOEE.</w:t>
            </w:r>
          </w:p>
          <w:p w14:paraId="60684F7C" w14:textId="4C36889E" w:rsidR="00097A1C" w:rsidRPr="009444C7" w:rsidRDefault="00097A1C" w:rsidP="00097A1C">
            <w:pPr>
              <w:spacing w:before="120" w:after="120"/>
              <w:jc w:val="both"/>
              <w:rPr>
                <w:rFonts w:ascii="Times New Roman" w:hAnsi="Times New Roman"/>
                <w:shd w:val="clear" w:color="auto" w:fill="FFFFFF"/>
              </w:rPr>
            </w:pPr>
            <w:r w:rsidRPr="009444C7">
              <w:rPr>
                <w:rFonts w:ascii="Times New Roman" w:hAnsi="Times New Roman"/>
                <w:shd w:val="clear" w:color="auto" w:fill="FFFFFF"/>
              </w:rPr>
              <w:lastRenderedPageBreak/>
              <w:t>Astfel, a fost identificată necesitatea completării Metodologiei pentru determinarea contribuțiilor ce urmează a fi achitate de părțile obligate, cu un capitol nou care să cuprindă prevederi care ar urma a fi luate în considerare în cadrul procedurii de actualizare a plăților fixe</w:t>
            </w:r>
            <w:r w:rsidR="005D2622" w:rsidRPr="009444C7">
              <w:rPr>
                <w:rFonts w:ascii="Times New Roman" w:hAnsi="Times New Roman"/>
                <w:shd w:val="clear" w:color="auto" w:fill="FFFFFF"/>
              </w:rPr>
              <w:t xml:space="preserve"> prevăzute în cadrul programului privind SOEE.</w:t>
            </w:r>
          </w:p>
          <w:p w14:paraId="5A45DF24" w14:textId="0B1F28FE" w:rsidR="00E54505" w:rsidRPr="009444C7" w:rsidRDefault="00E54505" w:rsidP="00CF11F7">
            <w:pPr>
              <w:spacing w:before="120" w:after="120"/>
              <w:jc w:val="both"/>
              <w:rPr>
                <w:rFonts w:ascii="Times New Roman" w:hAnsi="Times New Roman"/>
                <w:shd w:val="clear" w:color="auto" w:fill="FFFFFF"/>
              </w:rPr>
            </w:pPr>
            <w:r w:rsidRPr="009444C7">
              <w:rPr>
                <w:rFonts w:ascii="Times New Roman" w:hAnsi="Times New Roman"/>
                <w:shd w:val="clear" w:color="auto" w:fill="FFFFFF"/>
              </w:rPr>
              <w:t xml:space="preserve">Intrarea în vigoare a  proiectului de Hotărâre de Guvern la data publicării în Monitorul Oficial al Republicii Moldova este argumentată de </w:t>
            </w:r>
            <w:r w:rsidR="00CF11F7" w:rsidRPr="009444C7">
              <w:rPr>
                <w:rFonts w:ascii="Times New Roman" w:hAnsi="Times New Roman"/>
                <w:shd w:val="clear" w:color="auto" w:fill="FFFFFF"/>
              </w:rPr>
              <w:t xml:space="preserve">prevederile art. II alin. (2) din Legea </w:t>
            </w:r>
            <w:r w:rsidR="00CF11F7" w:rsidRPr="009444C7">
              <w:rPr>
                <w:rFonts w:ascii="Times New Roman" w:hAnsi="Times New Roman"/>
                <w:shd w:val="clear" w:color="auto" w:fill="FFFFFF"/>
              </w:rPr>
              <w:br/>
              <w:t xml:space="preserve">nr. 111/2025 pentru modificarea Legii nr. 139/2018 cu privire la eficiența energetică (facilitarea implementării proiectelor de eficiență energetică), care menționează că „Guvernul în termen de 3 luni de la data intrării în vigoare a prezentei legi, va modifica actele sale normative în conformitate cu prezenta </w:t>
            </w:r>
            <w:r w:rsidR="000B76BC" w:rsidRPr="009444C7">
              <w:rPr>
                <w:rFonts w:ascii="Times New Roman" w:hAnsi="Times New Roman"/>
                <w:shd w:val="clear" w:color="auto" w:fill="FFFFFF"/>
              </w:rPr>
              <w:t>L</w:t>
            </w:r>
            <w:r w:rsidR="00CF11F7" w:rsidRPr="009444C7">
              <w:rPr>
                <w:rFonts w:ascii="Times New Roman" w:hAnsi="Times New Roman"/>
                <w:shd w:val="clear" w:color="auto" w:fill="FFFFFF"/>
              </w:rPr>
              <w:t>ege”.</w:t>
            </w:r>
          </w:p>
          <w:p w14:paraId="7AF8A9C7" w14:textId="376CE082" w:rsidR="00784FAA" w:rsidRPr="009444C7" w:rsidRDefault="00E54505" w:rsidP="001A76A5">
            <w:pPr>
              <w:spacing w:before="120" w:after="120"/>
              <w:jc w:val="both"/>
              <w:rPr>
                <w:rFonts w:ascii="Times New Roman" w:hAnsi="Times New Roman"/>
                <w:color w:val="EE0000"/>
              </w:rPr>
            </w:pPr>
            <w:r w:rsidRPr="009444C7">
              <w:rPr>
                <w:rFonts w:ascii="Times New Roman" w:hAnsi="Times New Roman"/>
                <w:bCs/>
                <w:shd w:val="clear" w:color="auto" w:fill="FFFFFF"/>
              </w:rPr>
              <w:t xml:space="preserve">Astfel, din aceste considerente, intrarea în vigoare a prezentului proiect de </w:t>
            </w:r>
            <w:r w:rsidR="00AA223A" w:rsidRPr="009444C7">
              <w:rPr>
                <w:rFonts w:ascii="Times New Roman" w:hAnsi="Times New Roman"/>
                <w:bCs/>
                <w:shd w:val="clear" w:color="auto" w:fill="FFFFFF"/>
              </w:rPr>
              <w:t>Hotărâre</w:t>
            </w:r>
            <w:r w:rsidRPr="009444C7">
              <w:rPr>
                <w:rFonts w:ascii="Times New Roman" w:hAnsi="Times New Roman"/>
                <w:bCs/>
                <w:shd w:val="clear" w:color="auto" w:fill="FFFFFF"/>
              </w:rPr>
              <w:t xml:space="preserve"> la data publicării în Monitorul Oficial, </w:t>
            </w:r>
            <w:r w:rsidR="00657865" w:rsidRPr="009444C7">
              <w:rPr>
                <w:rFonts w:ascii="Times New Roman" w:hAnsi="Times New Roman"/>
                <w:bCs/>
                <w:shd w:val="clear" w:color="auto" w:fill="FFFFFF"/>
              </w:rPr>
              <w:t>reprezintă o necesitate stringentă</w:t>
            </w:r>
            <w:r w:rsidR="00097A1C" w:rsidRPr="009444C7">
              <w:rPr>
                <w:rFonts w:ascii="Times New Roman" w:hAnsi="Times New Roman"/>
                <w:bCs/>
                <w:shd w:val="clear" w:color="auto" w:fill="FFFFFF"/>
              </w:rPr>
              <w:t>.</w:t>
            </w:r>
          </w:p>
        </w:tc>
      </w:tr>
      <w:tr w:rsidR="006D3EB7" w:rsidRPr="009444C7"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9444C7" w:rsidRDefault="006933C3" w:rsidP="000E1660">
            <w:pPr>
              <w:rPr>
                <w:rFonts w:ascii="Times New Roman" w:hAnsi="Times New Roman"/>
                <w:b/>
                <w:bCs/>
              </w:rPr>
            </w:pPr>
            <w:r w:rsidRPr="009444C7">
              <w:rPr>
                <w:rFonts w:ascii="Times New Roman" w:hAnsi="Times New Roman"/>
                <w:b/>
                <w:bCs/>
              </w:rPr>
              <w:lastRenderedPageBreak/>
              <w:t>3.</w:t>
            </w:r>
            <w:r w:rsidR="00032B46" w:rsidRPr="009444C7">
              <w:rPr>
                <w:rFonts w:ascii="Times New Roman" w:hAnsi="Times New Roman"/>
                <w:b/>
                <w:bCs/>
              </w:rPr>
              <w:t xml:space="preserve"> </w:t>
            </w:r>
            <w:r w:rsidRPr="009444C7">
              <w:rPr>
                <w:rFonts w:ascii="Times New Roman" w:hAnsi="Times New Roman"/>
                <w:b/>
                <w:bCs/>
              </w:rPr>
              <w:t>Obiectivele</w:t>
            </w:r>
            <w:r w:rsidR="00032B46" w:rsidRPr="009444C7">
              <w:rPr>
                <w:rFonts w:ascii="Times New Roman" w:hAnsi="Times New Roman"/>
                <w:b/>
                <w:bCs/>
              </w:rPr>
              <w:t xml:space="preserve"> </w:t>
            </w:r>
            <w:r w:rsidRPr="009444C7">
              <w:rPr>
                <w:rFonts w:ascii="Times New Roman" w:hAnsi="Times New Roman"/>
                <w:b/>
                <w:bCs/>
              </w:rPr>
              <w:t>urmărite</w:t>
            </w:r>
            <w:r w:rsidR="00032B46" w:rsidRPr="009444C7">
              <w:rPr>
                <w:rFonts w:ascii="Times New Roman" w:hAnsi="Times New Roman"/>
                <w:b/>
                <w:bCs/>
              </w:rPr>
              <w:t xml:space="preserve"> </w:t>
            </w:r>
            <w:r w:rsidR="00863417" w:rsidRPr="009444C7">
              <w:rPr>
                <w:rFonts w:ascii="Times New Roman" w:hAnsi="Times New Roman"/>
                <w:b/>
                <w:bCs/>
              </w:rPr>
              <w:t>ș</w:t>
            </w:r>
            <w:r w:rsidRPr="009444C7">
              <w:rPr>
                <w:rFonts w:ascii="Times New Roman" w:hAnsi="Times New Roman"/>
                <w:b/>
                <w:bCs/>
              </w:rPr>
              <w:t>i</w:t>
            </w:r>
            <w:r w:rsidR="00032B46" w:rsidRPr="009444C7">
              <w:rPr>
                <w:rFonts w:ascii="Times New Roman" w:hAnsi="Times New Roman"/>
                <w:b/>
                <w:bCs/>
              </w:rPr>
              <w:t xml:space="preserve"> </w:t>
            </w:r>
            <w:r w:rsidRPr="009444C7">
              <w:rPr>
                <w:rFonts w:ascii="Times New Roman" w:hAnsi="Times New Roman"/>
                <w:b/>
                <w:bCs/>
              </w:rPr>
              <w:t>solu</w:t>
            </w:r>
            <w:r w:rsidR="00863417" w:rsidRPr="009444C7">
              <w:rPr>
                <w:rFonts w:ascii="Times New Roman" w:hAnsi="Times New Roman"/>
                <w:b/>
                <w:bCs/>
              </w:rPr>
              <w:t>ț</w:t>
            </w:r>
            <w:r w:rsidRPr="009444C7">
              <w:rPr>
                <w:rFonts w:ascii="Times New Roman" w:hAnsi="Times New Roman"/>
                <w:b/>
                <w:bCs/>
              </w:rPr>
              <w:t>iile</w:t>
            </w:r>
            <w:r w:rsidR="00032B46" w:rsidRPr="009444C7">
              <w:rPr>
                <w:rFonts w:ascii="Times New Roman" w:hAnsi="Times New Roman"/>
                <w:b/>
                <w:bCs/>
              </w:rPr>
              <w:t xml:space="preserve"> </w:t>
            </w:r>
            <w:r w:rsidRPr="009444C7">
              <w:rPr>
                <w:rFonts w:ascii="Times New Roman" w:hAnsi="Times New Roman"/>
                <w:b/>
                <w:bCs/>
              </w:rPr>
              <w:t>propuse</w:t>
            </w:r>
          </w:p>
        </w:tc>
      </w:tr>
      <w:tr w:rsidR="006D3EB7" w:rsidRPr="009444C7" w14:paraId="256ADACA" w14:textId="77777777" w:rsidTr="008A482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BB4011" w14:textId="77777777" w:rsidR="00D927DB" w:rsidRPr="009444C7" w:rsidRDefault="00D927DB" w:rsidP="000E1660">
            <w:pPr>
              <w:rPr>
                <w:rFonts w:ascii="Times New Roman" w:hAnsi="Times New Roman"/>
                <w:i/>
              </w:rPr>
            </w:pPr>
            <w:r w:rsidRPr="009444C7">
              <w:rPr>
                <w:rFonts w:ascii="Times New Roman" w:hAnsi="Times New Roman"/>
                <w:i/>
              </w:rPr>
              <w:t>3.1.</w:t>
            </w:r>
            <w:r w:rsidR="00032B46" w:rsidRPr="009444C7">
              <w:rPr>
                <w:rFonts w:ascii="Times New Roman" w:hAnsi="Times New Roman"/>
                <w:i/>
              </w:rPr>
              <w:t xml:space="preserve"> </w:t>
            </w:r>
            <w:r w:rsidRPr="009444C7">
              <w:rPr>
                <w:rFonts w:ascii="Times New Roman" w:hAnsi="Times New Roman"/>
                <w:i/>
              </w:rPr>
              <w:t>Principalele</w:t>
            </w:r>
            <w:r w:rsidR="00032B46" w:rsidRPr="009444C7">
              <w:rPr>
                <w:rFonts w:ascii="Times New Roman" w:hAnsi="Times New Roman"/>
                <w:i/>
              </w:rPr>
              <w:t xml:space="preserve"> </w:t>
            </w:r>
            <w:r w:rsidRPr="009444C7">
              <w:rPr>
                <w:rFonts w:ascii="Times New Roman" w:hAnsi="Times New Roman"/>
                <w:i/>
              </w:rPr>
              <w:t>prevederi</w:t>
            </w:r>
            <w:r w:rsidR="00032B46" w:rsidRPr="009444C7">
              <w:rPr>
                <w:rFonts w:ascii="Times New Roman" w:hAnsi="Times New Roman"/>
                <w:i/>
              </w:rPr>
              <w:t xml:space="preserve"> </w:t>
            </w:r>
            <w:r w:rsidRPr="009444C7">
              <w:rPr>
                <w:rFonts w:ascii="Times New Roman" w:hAnsi="Times New Roman"/>
                <w:i/>
              </w:rPr>
              <w:t>ale</w:t>
            </w:r>
            <w:r w:rsidR="00032B46" w:rsidRPr="009444C7">
              <w:rPr>
                <w:rFonts w:ascii="Times New Roman" w:hAnsi="Times New Roman"/>
                <w:i/>
              </w:rPr>
              <w:t xml:space="preserve"> </w:t>
            </w:r>
            <w:r w:rsidRPr="009444C7">
              <w:rPr>
                <w:rFonts w:ascii="Times New Roman" w:hAnsi="Times New Roman"/>
                <w:i/>
              </w:rPr>
              <w:t>proiectului</w:t>
            </w:r>
            <w:r w:rsidR="00032B46" w:rsidRPr="009444C7">
              <w:rPr>
                <w:rFonts w:ascii="Times New Roman" w:hAnsi="Times New Roman"/>
                <w:i/>
              </w:rPr>
              <w:t xml:space="preserve"> </w:t>
            </w:r>
            <w:r w:rsidR="00863417" w:rsidRPr="009444C7">
              <w:rPr>
                <w:rFonts w:ascii="Times New Roman" w:hAnsi="Times New Roman"/>
                <w:i/>
              </w:rPr>
              <w:t>ș</w:t>
            </w:r>
            <w:r w:rsidRPr="009444C7">
              <w:rPr>
                <w:rFonts w:ascii="Times New Roman" w:hAnsi="Times New Roman"/>
                <w:i/>
              </w:rPr>
              <w:t>i</w:t>
            </w:r>
            <w:r w:rsidR="00032B46" w:rsidRPr="009444C7">
              <w:rPr>
                <w:rFonts w:ascii="Times New Roman" w:hAnsi="Times New Roman"/>
                <w:i/>
              </w:rPr>
              <w:t xml:space="preserve"> </w:t>
            </w:r>
            <w:r w:rsidRPr="009444C7">
              <w:rPr>
                <w:rFonts w:ascii="Times New Roman" w:hAnsi="Times New Roman"/>
                <w:i/>
              </w:rPr>
              <w:t>eviden</w:t>
            </w:r>
            <w:r w:rsidR="00863417" w:rsidRPr="009444C7">
              <w:rPr>
                <w:rFonts w:ascii="Times New Roman" w:hAnsi="Times New Roman"/>
                <w:i/>
              </w:rPr>
              <w:t>ț</w:t>
            </w:r>
            <w:r w:rsidRPr="009444C7">
              <w:rPr>
                <w:rFonts w:ascii="Times New Roman" w:hAnsi="Times New Roman"/>
                <w:i/>
              </w:rPr>
              <w:t>ierea</w:t>
            </w:r>
            <w:r w:rsidR="00032B46" w:rsidRPr="009444C7">
              <w:rPr>
                <w:rFonts w:ascii="Times New Roman" w:hAnsi="Times New Roman"/>
                <w:i/>
              </w:rPr>
              <w:t xml:space="preserve"> </w:t>
            </w:r>
            <w:r w:rsidRPr="009444C7">
              <w:rPr>
                <w:rFonts w:ascii="Times New Roman" w:hAnsi="Times New Roman"/>
                <w:i/>
              </w:rPr>
              <w:t>elementelor</w:t>
            </w:r>
            <w:r w:rsidR="00032B46" w:rsidRPr="009444C7">
              <w:rPr>
                <w:rFonts w:ascii="Times New Roman" w:hAnsi="Times New Roman"/>
                <w:i/>
              </w:rPr>
              <w:t xml:space="preserve"> </w:t>
            </w:r>
            <w:r w:rsidRPr="009444C7">
              <w:rPr>
                <w:rFonts w:ascii="Times New Roman" w:hAnsi="Times New Roman"/>
                <w:i/>
              </w:rPr>
              <w:t>noi</w:t>
            </w:r>
          </w:p>
          <w:p w14:paraId="037BA3F7" w14:textId="6965DFA1" w:rsidR="00853FC5" w:rsidRPr="009444C7" w:rsidRDefault="00853FC5" w:rsidP="00853FC5">
            <w:pPr>
              <w:spacing w:before="120" w:after="120"/>
              <w:jc w:val="both"/>
              <w:rPr>
                <w:rFonts w:ascii="Times New Roman" w:hAnsi="Times New Roman"/>
              </w:rPr>
            </w:pPr>
            <w:r w:rsidRPr="009444C7">
              <w:rPr>
                <w:rFonts w:ascii="Times New Roman" w:hAnsi="Times New Roman"/>
              </w:rPr>
              <w:t xml:space="preserve">Aprobarea </w:t>
            </w:r>
            <w:r w:rsidR="008C3AE8" w:rsidRPr="009444C7">
              <w:rPr>
                <w:rFonts w:ascii="Times New Roman" w:hAnsi="Times New Roman"/>
              </w:rPr>
              <w:t xml:space="preserve">proiectului de </w:t>
            </w:r>
            <w:r w:rsidRPr="009444C7">
              <w:rPr>
                <w:rFonts w:ascii="Times New Roman" w:hAnsi="Times New Roman"/>
              </w:rPr>
              <w:t>Hotărâre are drept obiectiv de bază alinierea cadrului normativ secundar în domeniul eficienței energetice la prevederile legii nr. 111/2025 pentru modificarea Legii nr. 139/2018 cu privire la eficiența energetică (facilitarea implementării proiectelor de eficiență energetică).</w:t>
            </w:r>
          </w:p>
          <w:p w14:paraId="5100A62D" w14:textId="6F4E70DA" w:rsidR="00234AA7" w:rsidRPr="009444C7" w:rsidRDefault="00234AA7" w:rsidP="001A76A5">
            <w:pPr>
              <w:jc w:val="both"/>
              <w:rPr>
                <w:rFonts w:ascii="Times New Roman" w:hAnsi="Times New Roman"/>
              </w:rPr>
            </w:pPr>
            <w:r w:rsidRPr="009444C7">
              <w:rPr>
                <w:rFonts w:ascii="Times New Roman" w:hAnsi="Times New Roman"/>
              </w:rPr>
              <w:t xml:space="preserve">Proiectul </w:t>
            </w:r>
            <w:r w:rsidR="00CA1827" w:rsidRPr="009444C7">
              <w:rPr>
                <w:rFonts w:ascii="Times New Roman" w:hAnsi="Times New Roman"/>
              </w:rPr>
              <w:t>de Hotărâre</w:t>
            </w:r>
            <w:r w:rsidRPr="009444C7">
              <w:rPr>
                <w:rFonts w:ascii="Times New Roman" w:hAnsi="Times New Roman"/>
              </w:rPr>
              <w:t xml:space="preserve"> prevede modificarea mai multor </w:t>
            </w:r>
            <w:r w:rsidR="00CA1827" w:rsidRPr="009444C7">
              <w:rPr>
                <w:rFonts w:ascii="Times New Roman" w:hAnsi="Times New Roman"/>
              </w:rPr>
              <w:t>Hotărâri de Guvern</w:t>
            </w:r>
            <w:r w:rsidRPr="009444C7">
              <w:rPr>
                <w:rFonts w:ascii="Times New Roman" w:hAnsi="Times New Roman"/>
              </w:rPr>
              <w:t>, după cum urmează:</w:t>
            </w:r>
          </w:p>
          <w:p w14:paraId="2C767670" w14:textId="10D040D8" w:rsidR="00CA1827" w:rsidRPr="009444C7" w:rsidRDefault="00583799" w:rsidP="00CA1827">
            <w:pPr>
              <w:pStyle w:val="ListParagraph"/>
              <w:numPr>
                <w:ilvl w:val="0"/>
                <w:numId w:val="23"/>
              </w:numPr>
              <w:spacing w:before="120" w:after="120"/>
              <w:jc w:val="both"/>
              <w:rPr>
                <w:rFonts w:ascii="Times New Roman" w:hAnsi="Times New Roman"/>
              </w:rPr>
            </w:pPr>
            <w:r w:rsidRPr="009444C7">
              <w:rPr>
                <w:rFonts w:ascii="Times New Roman" w:hAnsi="Times New Roman"/>
              </w:rPr>
              <w:t>Regulamentul cu privire la auditorii energetici și auditul energetic aprobat prin Hotărârea Guvernului Nr. 676/2020 (Monitorul Oficial al Republicii Moldova Nr. 235-239 art. 813)</w:t>
            </w:r>
            <w:r w:rsidR="00CA1827" w:rsidRPr="009444C7">
              <w:rPr>
                <w:rFonts w:ascii="Times New Roman" w:hAnsi="Times New Roman"/>
              </w:rPr>
              <w:t>:</w:t>
            </w:r>
          </w:p>
          <w:p w14:paraId="4EA2E4C2" w14:textId="3501245B" w:rsidR="006D1285" w:rsidRPr="009444C7" w:rsidRDefault="006D1285" w:rsidP="00D50328">
            <w:pPr>
              <w:pStyle w:val="ListParagraph"/>
              <w:numPr>
                <w:ilvl w:val="2"/>
                <w:numId w:val="23"/>
              </w:numPr>
              <w:spacing w:before="120" w:after="120"/>
              <w:jc w:val="both"/>
              <w:rPr>
                <w:rFonts w:ascii="Times New Roman" w:hAnsi="Times New Roman"/>
              </w:rPr>
            </w:pPr>
            <w:r w:rsidRPr="009444C7">
              <w:rPr>
                <w:rFonts w:ascii="Times New Roman" w:hAnsi="Times New Roman"/>
              </w:rPr>
              <w:t>Modificarea prevederilor care impun obligativitatea elaborării auditului energetic în baza prevederilor de la art. 19 alin.(3) din Legea nr. 139/2018 cu privire la eficiența energetică;</w:t>
            </w:r>
          </w:p>
          <w:p w14:paraId="300F2300" w14:textId="34487C66" w:rsidR="006D1285" w:rsidRPr="009444C7" w:rsidRDefault="006D1285" w:rsidP="00D50328">
            <w:pPr>
              <w:pStyle w:val="ListParagraph"/>
              <w:numPr>
                <w:ilvl w:val="2"/>
                <w:numId w:val="23"/>
              </w:numPr>
              <w:spacing w:before="120" w:after="120"/>
              <w:jc w:val="both"/>
              <w:rPr>
                <w:rFonts w:ascii="Times New Roman" w:hAnsi="Times New Roman"/>
              </w:rPr>
            </w:pPr>
            <w:r w:rsidRPr="009444C7">
              <w:rPr>
                <w:rFonts w:ascii="Times New Roman" w:hAnsi="Times New Roman"/>
              </w:rPr>
              <w:t>Efectuarea ajustărilor necesare care reglementează modalitatea de prestare a serviciilor de audit energetic în conformitate cu prevederile art.20 alin.(2) din Legea nr. 139/2018 cu privire la eficiența energetică</w:t>
            </w:r>
            <w:r w:rsidR="00B755C5" w:rsidRPr="009444C7">
              <w:rPr>
                <w:rFonts w:ascii="Times New Roman" w:hAnsi="Times New Roman"/>
              </w:rPr>
              <w:t>.</w:t>
            </w:r>
          </w:p>
          <w:p w14:paraId="57AA707E" w14:textId="238BFAB9" w:rsidR="00CA1827" w:rsidRPr="009444C7" w:rsidRDefault="00CA1827" w:rsidP="00D50328">
            <w:pPr>
              <w:pStyle w:val="ListParagraph"/>
              <w:numPr>
                <w:ilvl w:val="0"/>
                <w:numId w:val="23"/>
              </w:numPr>
              <w:spacing w:before="120" w:after="120"/>
              <w:contextualSpacing w:val="0"/>
              <w:jc w:val="both"/>
              <w:rPr>
                <w:rFonts w:ascii="Times New Roman" w:hAnsi="Times New Roman"/>
              </w:rPr>
            </w:pPr>
            <w:r w:rsidRPr="009444C7">
              <w:rPr>
                <w:rFonts w:ascii="Times New Roman" w:hAnsi="Times New Roman"/>
              </w:rPr>
              <w:t>Hotărârea Guvernului Nr. 1064/2023 cu privire la aprobarea Programului privind implementarea schemei de obligații în domeniul eficienței energetice pentru perioada 2024-2026</w:t>
            </w:r>
            <w:r w:rsidR="001743E4" w:rsidRPr="009444C7">
              <w:rPr>
                <w:rFonts w:ascii="Times New Roman" w:hAnsi="Times New Roman"/>
              </w:rPr>
              <w:t>:</w:t>
            </w:r>
          </w:p>
          <w:p w14:paraId="42A78B18" w14:textId="5F2475BB" w:rsidR="001743E4" w:rsidRPr="009444C7" w:rsidRDefault="001606DC" w:rsidP="00D50328">
            <w:pPr>
              <w:pStyle w:val="ListParagraph"/>
              <w:numPr>
                <w:ilvl w:val="0"/>
                <w:numId w:val="24"/>
              </w:numPr>
              <w:spacing w:before="120" w:after="120"/>
              <w:contextualSpacing w:val="0"/>
              <w:jc w:val="both"/>
              <w:rPr>
                <w:rFonts w:ascii="Times New Roman" w:hAnsi="Times New Roman"/>
              </w:rPr>
            </w:pPr>
            <w:r w:rsidRPr="009444C7">
              <w:rPr>
                <w:rFonts w:ascii="Times New Roman" w:hAnsi="Times New Roman"/>
              </w:rPr>
              <w:t xml:space="preserve">Ajustarea </w:t>
            </w:r>
            <w:r w:rsidR="001E05AD" w:rsidRPr="009444C7">
              <w:rPr>
                <w:rFonts w:ascii="Times New Roman" w:hAnsi="Times New Roman"/>
              </w:rPr>
              <w:t xml:space="preserve">Programului </w:t>
            </w:r>
            <w:r w:rsidRPr="009444C7">
              <w:rPr>
                <w:rFonts w:ascii="Times New Roman" w:hAnsi="Times New Roman"/>
              </w:rPr>
              <w:t>prin excluderea listei părților obligate</w:t>
            </w:r>
            <w:r w:rsidR="000F61A5" w:rsidRPr="009444C7">
              <w:rPr>
                <w:rFonts w:ascii="Times New Roman" w:hAnsi="Times New Roman"/>
              </w:rPr>
              <w:t>;</w:t>
            </w:r>
          </w:p>
          <w:p w14:paraId="0BFF3E71" w14:textId="20545EAF" w:rsidR="006D1285" w:rsidRPr="009444C7" w:rsidRDefault="000F61A5" w:rsidP="00D50328">
            <w:pPr>
              <w:pStyle w:val="ListParagraph"/>
              <w:numPr>
                <w:ilvl w:val="0"/>
                <w:numId w:val="24"/>
              </w:numPr>
              <w:spacing w:before="120" w:after="120"/>
              <w:contextualSpacing w:val="0"/>
              <w:jc w:val="both"/>
              <w:rPr>
                <w:rFonts w:ascii="Times New Roman" w:hAnsi="Times New Roman"/>
              </w:rPr>
            </w:pPr>
            <w:r w:rsidRPr="009444C7">
              <w:rPr>
                <w:rFonts w:ascii="Times New Roman" w:hAnsi="Times New Roman"/>
              </w:rPr>
              <w:t>Completarea unor prevederi din cadrul Programului care să permită utilizarea mijloacelor financiare colectate în cadrul schemei de obligații în domeniul eficienței energetice inclusiv în cadrul produselor de garantare și/sau compensare</w:t>
            </w:r>
            <w:r w:rsidR="006D1285" w:rsidRPr="009444C7">
              <w:rPr>
                <w:rFonts w:ascii="Times New Roman" w:hAnsi="Times New Roman"/>
              </w:rPr>
              <w:t xml:space="preserve"> conform prevederilor art. 23</w:t>
            </w:r>
            <w:r w:rsidR="006D1285" w:rsidRPr="009444C7">
              <w:rPr>
                <w:rFonts w:ascii="Times New Roman" w:hAnsi="Times New Roman"/>
                <w:vertAlign w:val="superscript"/>
              </w:rPr>
              <w:t>3</w:t>
            </w:r>
            <w:r w:rsidR="006D1285" w:rsidRPr="009444C7">
              <w:rPr>
                <w:rFonts w:ascii="Times New Roman" w:hAnsi="Times New Roman"/>
              </w:rPr>
              <w:t xml:space="preserve"> din Legea nr. 139/2018 cu privire la eficiența energetică;</w:t>
            </w:r>
          </w:p>
          <w:p w14:paraId="0B5EDBE7" w14:textId="7439FD83" w:rsidR="006D1285" w:rsidRPr="009444C7" w:rsidRDefault="006D1285" w:rsidP="00D50328">
            <w:pPr>
              <w:pStyle w:val="ListParagraph"/>
              <w:numPr>
                <w:ilvl w:val="0"/>
                <w:numId w:val="24"/>
              </w:numPr>
              <w:spacing w:before="120" w:after="120"/>
              <w:contextualSpacing w:val="0"/>
              <w:jc w:val="both"/>
              <w:rPr>
                <w:rFonts w:ascii="Times New Roman" w:hAnsi="Times New Roman"/>
              </w:rPr>
            </w:pPr>
            <w:r w:rsidRPr="009444C7">
              <w:rPr>
                <w:rFonts w:ascii="Times New Roman" w:hAnsi="Times New Roman"/>
              </w:rPr>
              <w:t>Modificarea mărimii plăților părților obligate și a contribuțiilor ce urmează a fi achitate de către acestea pe perioada rămasă a Programului;</w:t>
            </w:r>
          </w:p>
          <w:p w14:paraId="502F0206" w14:textId="6FFDF836" w:rsidR="000F61A5" w:rsidRPr="009444C7" w:rsidRDefault="00BF74C6" w:rsidP="00D50328">
            <w:pPr>
              <w:pStyle w:val="ListParagraph"/>
              <w:numPr>
                <w:ilvl w:val="0"/>
                <w:numId w:val="24"/>
              </w:numPr>
              <w:spacing w:before="120" w:after="120"/>
              <w:contextualSpacing w:val="0"/>
              <w:jc w:val="both"/>
              <w:rPr>
                <w:rFonts w:ascii="Times New Roman" w:hAnsi="Times New Roman"/>
              </w:rPr>
            </w:pPr>
            <w:r w:rsidRPr="009444C7">
              <w:rPr>
                <w:rFonts w:ascii="Times New Roman" w:hAnsi="Times New Roman"/>
              </w:rPr>
              <w:t xml:space="preserve">Excluderea din lista măsurilor eligibile a fi finanțată din mijloacele financiare </w:t>
            </w:r>
            <w:r w:rsidR="008A6FD1" w:rsidRPr="009444C7">
              <w:rPr>
                <w:rFonts w:ascii="Times New Roman" w:hAnsi="Times New Roman"/>
              </w:rPr>
              <w:t>ale programului SOEE a măsurii</w:t>
            </w:r>
            <w:r w:rsidRPr="009444C7">
              <w:rPr>
                <w:rFonts w:ascii="Times New Roman" w:hAnsi="Times New Roman"/>
              </w:rPr>
              <w:t xml:space="preserve"> „instalarea cazanelor pe gaz natural în condensație cu randament sporit, în afara zonei de acoperire SACET</w:t>
            </w:r>
            <w:r w:rsidR="008A6FD1" w:rsidRPr="009444C7">
              <w:rPr>
                <w:rFonts w:ascii="Times New Roman" w:hAnsi="Times New Roman"/>
              </w:rPr>
              <w:t>”</w:t>
            </w:r>
            <w:r w:rsidR="001E05AD" w:rsidRPr="009444C7">
              <w:rPr>
                <w:rFonts w:ascii="Times New Roman" w:hAnsi="Times New Roman"/>
              </w:rPr>
              <w:t xml:space="preserve"> </w:t>
            </w:r>
            <w:r w:rsidR="008A6FD1" w:rsidRPr="009444C7">
              <w:rPr>
                <w:rFonts w:ascii="Times New Roman" w:hAnsi="Times New Roman"/>
              </w:rPr>
              <w:t xml:space="preserve">pentru a fi în concordanță cu </w:t>
            </w:r>
            <w:r w:rsidR="00FB78A7" w:rsidRPr="009444C7">
              <w:rPr>
                <w:rFonts w:ascii="Times New Roman" w:hAnsi="Times New Roman"/>
              </w:rPr>
              <w:t>prevederile Directivei (UE) 2024/1275 a Parlamentului European și a Consiliului din 24 aprilie 2024 privind performanța energetică a clădirilor</w:t>
            </w:r>
            <w:r w:rsidR="008A6FD1" w:rsidRPr="009444C7">
              <w:rPr>
                <w:rFonts w:ascii="Times New Roman" w:hAnsi="Times New Roman"/>
              </w:rPr>
              <w:t>, care prev</w:t>
            </w:r>
            <w:r w:rsidR="00FB78A7" w:rsidRPr="009444C7">
              <w:rPr>
                <w:rFonts w:ascii="Times New Roman" w:hAnsi="Times New Roman"/>
              </w:rPr>
              <w:t>ede întreprinderea măsurilor ce se impun pentru eliminarea treptată a combustibililor fosili utilizați pentru încălzire și răcire</w:t>
            </w:r>
            <w:r w:rsidR="009D136E" w:rsidRPr="009444C7">
              <w:rPr>
                <w:rFonts w:ascii="Times New Roman" w:hAnsi="Times New Roman"/>
              </w:rPr>
              <w:t>.</w:t>
            </w:r>
          </w:p>
          <w:p w14:paraId="40AA6864" w14:textId="7D282301" w:rsidR="00CA1827" w:rsidRPr="009444C7" w:rsidRDefault="00543DF5" w:rsidP="00CA1827">
            <w:pPr>
              <w:pStyle w:val="ListParagraph"/>
              <w:numPr>
                <w:ilvl w:val="0"/>
                <w:numId w:val="23"/>
              </w:numPr>
              <w:spacing w:before="120" w:after="120"/>
              <w:jc w:val="both"/>
              <w:rPr>
                <w:rFonts w:ascii="Times New Roman" w:hAnsi="Times New Roman"/>
              </w:rPr>
            </w:pPr>
            <w:r w:rsidRPr="009444C7">
              <w:rPr>
                <w:rFonts w:ascii="Times New Roman" w:hAnsi="Times New Roman"/>
              </w:rPr>
              <w:lastRenderedPageBreak/>
              <w:t>Metodologia pentru determinarea contribuțiilor ce urmează a fi achitate de părțile obligate aprobat prin Hotărârea Guvernului Nr. 1068/2023 (Monitorul Oficial al Republicii Moldova Nr. 515-518 art. 1277):</w:t>
            </w:r>
          </w:p>
          <w:p w14:paraId="2B723544" w14:textId="77777777" w:rsidR="00097A1C" w:rsidRPr="009444C7" w:rsidRDefault="00DE3A9A" w:rsidP="001743E4">
            <w:pPr>
              <w:pStyle w:val="ListParagraph"/>
              <w:numPr>
                <w:ilvl w:val="0"/>
                <w:numId w:val="24"/>
              </w:numPr>
              <w:spacing w:before="120" w:after="120"/>
              <w:jc w:val="both"/>
              <w:rPr>
                <w:rFonts w:ascii="Times New Roman" w:hAnsi="Times New Roman"/>
              </w:rPr>
            </w:pPr>
            <w:r w:rsidRPr="009444C7">
              <w:rPr>
                <w:rFonts w:ascii="Times New Roman" w:hAnsi="Times New Roman"/>
              </w:rPr>
              <w:t>Excluderea din cadrul formulelor de calcul a contribuțiilor totale anuale ale părților obligate a furnizorilor de energie termică, iar pentru importatorii de produse petroliere au fost efectuate ajustările necesare astfel încât plățile fixe din partea acestora să fie efectuate reieșind din volumul de produse petroliere importate</w:t>
            </w:r>
            <w:r w:rsidR="00097A1C" w:rsidRPr="009444C7">
              <w:rPr>
                <w:rFonts w:ascii="Times New Roman" w:hAnsi="Times New Roman"/>
              </w:rPr>
              <w:t>;</w:t>
            </w:r>
          </w:p>
          <w:p w14:paraId="1C5540F3" w14:textId="66EDB703" w:rsidR="001743E4" w:rsidRPr="009444C7" w:rsidRDefault="00097A1C" w:rsidP="001743E4">
            <w:pPr>
              <w:pStyle w:val="ListParagraph"/>
              <w:numPr>
                <w:ilvl w:val="0"/>
                <w:numId w:val="24"/>
              </w:numPr>
              <w:spacing w:before="120" w:after="120"/>
              <w:jc w:val="both"/>
              <w:rPr>
                <w:rFonts w:ascii="Times New Roman" w:hAnsi="Times New Roman"/>
              </w:rPr>
            </w:pPr>
            <w:r w:rsidRPr="009444C7">
              <w:rPr>
                <w:rFonts w:ascii="Times New Roman" w:hAnsi="Times New Roman"/>
              </w:rPr>
              <w:t xml:space="preserve">Completarea metodologiei cu un nou capitol care să prevadă modalitatea de determinare a mărimii contribuțiilor prin stabilirea unei plăți fixe pe unitate de energie sau de volum distribuit  sau importat în cadrul procedurii de actualizare a programului privind implementarea schemei de obligații în domeniul eficienței energetice. </w:t>
            </w:r>
          </w:p>
          <w:p w14:paraId="64739D44" w14:textId="2635A0A2" w:rsidR="00CA1827" w:rsidRPr="009444C7" w:rsidRDefault="00CA1827" w:rsidP="00CA1827">
            <w:pPr>
              <w:pStyle w:val="ListParagraph"/>
              <w:numPr>
                <w:ilvl w:val="0"/>
                <w:numId w:val="23"/>
              </w:numPr>
              <w:spacing w:before="120" w:after="120"/>
              <w:jc w:val="both"/>
              <w:rPr>
                <w:rFonts w:ascii="Times New Roman" w:hAnsi="Times New Roman"/>
              </w:rPr>
            </w:pPr>
            <w:r w:rsidRPr="009444C7">
              <w:rPr>
                <w:rFonts w:ascii="Times New Roman" w:hAnsi="Times New Roman"/>
              </w:rPr>
              <w:t>Hotărârea Guvernului Nr. 251/2024 cu privire la aprobarea Programului de finanțare „Fondul pentru eficiență energetică în sectorul rezidențial din Republica Moldova”</w:t>
            </w:r>
            <w:r w:rsidR="001743E4" w:rsidRPr="009444C7">
              <w:rPr>
                <w:rFonts w:ascii="Times New Roman" w:hAnsi="Times New Roman"/>
              </w:rPr>
              <w:t>:</w:t>
            </w:r>
          </w:p>
          <w:p w14:paraId="44659DC9" w14:textId="77777777" w:rsidR="00AB07B9" w:rsidRPr="009444C7" w:rsidRDefault="00DE3A9A" w:rsidP="00AB07B9">
            <w:pPr>
              <w:pStyle w:val="ListParagraph"/>
              <w:numPr>
                <w:ilvl w:val="0"/>
                <w:numId w:val="24"/>
              </w:numPr>
              <w:spacing w:before="120" w:after="120"/>
              <w:jc w:val="both"/>
              <w:rPr>
                <w:rFonts w:ascii="Times New Roman" w:hAnsi="Times New Roman"/>
              </w:rPr>
            </w:pPr>
            <w:r w:rsidRPr="009444C7">
              <w:rPr>
                <w:rFonts w:ascii="Times New Roman" w:hAnsi="Times New Roman"/>
              </w:rPr>
              <w:t xml:space="preserve">În tot textul Programului </w:t>
            </w:r>
            <w:r w:rsidR="00AB07B9" w:rsidRPr="009444C7">
              <w:rPr>
                <w:rFonts w:ascii="Times New Roman" w:hAnsi="Times New Roman"/>
              </w:rPr>
              <w:t>au fost efectuate modificările care prevăd că manualele operaționale sunt elaborate separat pentru fiecare produs de finanțare, împreună cu ghidurile de aplicare;</w:t>
            </w:r>
          </w:p>
          <w:p w14:paraId="5B5B5528" w14:textId="29D2703B" w:rsidR="005F25A4" w:rsidRPr="009444C7" w:rsidRDefault="00AB07B9" w:rsidP="00AB07B9">
            <w:pPr>
              <w:pStyle w:val="ListParagraph"/>
              <w:numPr>
                <w:ilvl w:val="0"/>
                <w:numId w:val="24"/>
              </w:numPr>
              <w:spacing w:before="120" w:after="120"/>
              <w:jc w:val="both"/>
              <w:rPr>
                <w:rFonts w:ascii="Times New Roman" w:hAnsi="Times New Roman"/>
              </w:rPr>
            </w:pPr>
            <w:r w:rsidRPr="009444C7">
              <w:rPr>
                <w:rFonts w:ascii="Times New Roman" w:hAnsi="Times New Roman"/>
              </w:rPr>
              <w:t>Au fost aduse completările necesare în vederea includerii în calitate de beneficiari ai programului inclusiv a proprietarilor de terenuri pentru construcția caselor individuale, datorită interesului manifestat din partea proiectului „Eficiență Energetică și Energii Regenerabile în Republica Moldova (E4M), implementat de GiZ de a aloca mijloace financiare pentru implementarea unui produs de finanțare în vederea promovării clădirilor cu consum aproape egal cu zero și/sau a clădirilor pasive</w:t>
            </w:r>
            <w:r w:rsidR="005F25A4" w:rsidRPr="009444C7">
              <w:rPr>
                <w:rFonts w:ascii="Times New Roman" w:hAnsi="Times New Roman"/>
              </w:rPr>
              <w:t>;</w:t>
            </w:r>
          </w:p>
          <w:p w14:paraId="0CF791D1" w14:textId="77777777" w:rsidR="005F25A4" w:rsidRPr="009444C7" w:rsidRDefault="005F25A4" w:rsidP="00AB07B9">
            <w:pPr>
              <w:pStyle w:val="ListParagraph"/>
              <w:numPr>
                <w:ilvl w:val="0"/>
                <w:numId w:val="24"/>
              </w:numPr>
              <w:spacing w:before="120" w:after="120"/>
              <w:jc w:val="both"/>
              <w:rPr>
                <w:rFonts w:ascii="Times New Roman" w:hAnsi="Times New Roman"/>
              </w:rPr>
            </w:pPr>
            <w:r w:rsidRPr="009444C7">
              <w:rPr>
                <w:rFonts w:ascii="Times New Roman" w:hAnsi="Times New Roman"/>
              </w:rPr>
              <w:t>Modificarea ponderii cheltuielilor pentru realizarea măsurilor de eficiență energetică și valorificarea surselor regenerabile de energie în cadrul blocurilor locative de la 75% la 50%;</w:t>
            </w:r>
          </w:p>
          <w:p w14:paraId="20CE6525" w14:textId="77777777" w:rsidR="001606DC" w:rsidRPr="009444C7" w:rsidRDefault="005F25A4" w:rsidP="00AB07B9">
            <w:pPr>
              <w:pStyle w:val="ListParagraph"/>
              <w:numPr>
                <w:ilvl w:val="0"/>
                <w:numId w:val="24"/>
              </w:numPr>
              <w:spacing w:before="120" w:after="120"/>
              <w:jc w:val="both"/>
              <w:rPr>
                <w:rFonts w:ascii="Times New Roman" w:hAnsi="Times New Roman"/>
              </w:rPr>
            </w:pPr>
            <w:r w:rsidRPr="009444C7">
              <w:rPr>
                <w:rFonts w:ascii="Times New Roman" w:hAnsi="Times New Roman"/>
              </w:rPr>
              <w:t xml:space="preserve">Excluderea referinței la Raportul de audit energetic în calitate de document unic pentru demonstrarea fezabilității tehnico-economice a proiectelor, urmând ca aceasta să fie determinate în conformitate cu prevederile produselor de finanțare aplicabile. </w:t>
            </w:r>
          </w:p>
          <w:p w14:paraId="3035BB8D" w14:textId="0431A326" w:rsidR="005F25A4" w:rsidRPr="009444C7" w:rsidRDefault="001606DC" w:rsidP="00AB07B9">
            <w:pPr>
              <w:pStyle w:val="ListParagraph"/>
              <w:numPr>
                <w:ilvl w:val="0"/>
                <w:numId w:val="24"/>
              </w:numPr>
              <w:spacing w:before="120" w:after="120"/>
              <w:jc w:val="both"/>
              <w:rPr>
                <w:rFonts w:ascii="Times New Roman" w:hAnsi="Times New Roman"/>
              </w:rPr>
            </w:pPr>
            <w:r w:rsidRPr="009444C7">
              <w:rPr>
                <w:rFonts w:ascii="Times New Roman" w:hAnsi="Times New Roman"/>
              </w:rPr>
              <w:t>Alte prevederi ce țin de perioada de implementare,</w:t>
            </w:r>
            <w:r w:rsidR="00622019" w:rsidRPr="009444C7">
              <w:rPr>
                <w:rFonts w:ascii="Times New Roman" w:hAnsi="Times New Roman"/>
              </w:rPr>
              <w:t xml:space="preserve"> diferențierea contribuției efective a beneficiarului de contribuția beneficiarului, clarificarea cerințelor care urmează a fi întrunite de către proiectele ce urmează a fi finanțe din mijloacele financiare ale Programului,</w:t>
            </w:r>
            <w:r w:rsidRPr="009444C7">
              <w:rPr>
                <w:rFonts w:ascii="Times New Roman" w:hAnsi="Times New Roman"/>
              </w:rPr>
              <w:t xml:space="preserve"> concretizarea termenului limită de prezentare a Rapoartelor anuale de monitorizare, etc. </w:t>
            </w:r>
            <w:r w:rsidR="005F25A4" w:rsidRPr="009444C7">
              <w:rPr>
                <w:rFonts w:ascii="Times New Roman" w:hAnsi="Times New Roman"/>
              </w:rPr>
              <w:t xml:space="preserve"> </w:t>
            </w:r>
            <w:r w:rsidR="00AB07B9" w:rsidRPr="009444C7">
              <w:rPr>
                <w:rFonts w:ascii="Times New Roman" w:hAnsi="Times New Roman"/>
              </w:rPr>
              <w:t xml:space="preserve"> </w:t>
            </w:r>
          </w:p>
          <w:p w14:paraId="42652AD8" w14:textId="09E40AA2" w:rsidR="00CA1827" w:rsidRPr="009444C7" w:rsidRDefault="00CA1827" w:rsidP="00CA1827">
            <w:pPr>
              <w:pStyle w:val="ListParagraph"/>
              <w:numPr>
                <w:ilvl w:val="0"/>
                <w:numId w:val="23"/>
              </w:numPr>
              <w:spacing w:before="120" w:after="120"/>
              <w:jc w:val="both"/>
              <w:rPr>
                <w:rFonts w:ascii="Times New Roman" w:hAnsi="Times New Roman"/>
              </w:rPr>
            </w:pPr>
            <w:r w:rsidRPr="009444C7">
              <w:rPr>
                <w:rFonts w:ascii="Times New Roman" w:hAnsi="Times New Roman"/>
              </w:rPr>
              <w:t>Hotărârea Guvernului Nr. 829/2024 cu privire la aprobarea Regulamentului cu privire la efectuarea auditului energetic de către întreprinderile mari</w:t>
            </w:r>
            <w:r w:rsidR="001743E4" w:rsidRPr="009444C7">
              <w:rPr>
                <w:rFonts w:ascii="Times New Roman" w:hAnsi="Times New Roman"/>
              </w:rPr>
              <w:t>:</w:t>
            </w:r>
          </w:p>
          <w:p w14:paraId="7686EEBE" w14:textId="77777777" w:rsidR="001606DC" w:rsidRPr="009444C7" w:rsidRDefault="001606DC" w:rsidP="001606DC">
            <w:pPr>
              <w:pStyle w:val="ListParagraph"/>
              <w:numPr>
                <w:ilvl w:val="0"/>
                <w:numId w:val="24"/>
              </w:numPr>
              <w:spacing w:before="120" w:after="120"/>
              <w:jc w:val="both"/>
              <w:rPr>
                <w:rFonts w:ascii="Times New Roman" w:hAnsi="Times New Roman"/>
              </w:rPr>
            </w:pPr>
            <w:r w:rsidRPr="009444C7">
              <w:rPr>
                <w:rFonts w:ascii="Times New Roman" w:hAnsi="Times New Roman"/>
              </w:rPr>
              <w:t>Ajustarea unor prevederi cu privire la notificarea întreprinderilor mari despre necesitatea elaborării Rapoartelor de audit energetic;</w:t>
            </w:r>
          </w:p>
          <w:p w14:paraId="2F971DD5" w14:textId="644D55AB" w:rsidR="001606DC" w:rsidRPr="009444C7" w:rsidRDefault="001606DC" w:rsidP="001606DC">
            <w:pPr>
              <w:pStyle w:val="ListParagraph"/>
              <w:numPr>
                <w:ilvl w:val="0"/>
                <w:numId w:val="24"/>
              </w:numPr>
              <w:spacing w:before="120" w:after="120"/>
              <w:jc w:val="both"/>
              <w:rPr>
                <w:rFonts w:ascii="Times New Roman" w:hAnsi="Times New Roman"/>
              </w:rPr>
            </w:pPr>
            <w:r w:rsidRPr="009444C7">
              <w:rPr>
                <w:rFonts w:ascii="Times New Roman" w:hAnsi="Times New Roman"/>
              </w:rPr>
              <w:t>Operarea modificărilor care obligă întreprinderile mari, care implementează sistemul de management energetic sau de mediu, să prezinte în adresa IP CNED copiile Rapoartelor de audit energetic elaborate pe parcursul etapelor de implementare a acestor sisteme</w:t>
            </w:r>
            <w:r w:rsidR="00AD070D" w:rsidRPr="009444C7">
              <w:rPr>
                <w:rFonts w:ascii="Times New Roman" w:hAnsi="Times New Roman"/>
              </w:rPr>
              <w:t xml:space="preserve"> pentru verificarea corespunderii acestora cu cerințele minime indicate la pct. 50 din Regulamentul cu privire la auditorii energetici și auditul energetic, aprobat prin Hotărârea Guvernului nr. 676/2020.</w:t>
            </w:r>
          </w:p>
          <w:p w14:paraId="606E23DD" w14:textId="26DCE4C0" w:rsidR="001606DC" w:rsidRPr="009444C7" w:rsidRDefault="00AD070D" w:rsidP="001606DC">
            <w:pPr>
              <w:pStyle w:val="ListParagraph"/>
              <w:numPr>
                <w:ilvl w:val="0"/>
                <w:numId w:val="24"/>
              </w:numPr>
              <w:spacing w:before="120" w:after="120"/>
              <w:jc w:val="both"/>
              <w:rPr>
                <w:rFonts w:ascii="Times New Roman" w:hAnsi="Times New Roman"/>
              </w:rPr>
            </w:pPr>
            <w:r w:rsidRPr="009444C7">
              <w:rPr>
                <w:rFonts w:ascii="Times New Roman" w:hAnsi="Times New Roman"/>
              </w:rPr>
              <w:t>Abrogarea prevederii de la pct. 28 din cadrul Regulamentului care prevede obligativitatea</w:t>
            </w:r>
            <w:r w:rsidR="009F306A" w:rsidRPr="009444C7">
              <w:rPr>
                <w:rFonts w:ascii="Times New Roman" w:hAnsi="Times New Roman"/>
              </w:rPr>
              <w:t xml:space="preserve"> </w:t>
            </w:r>
            <w:r w:rsidRPr="009444C7">
              <w:rPr>
                <w:rFonts w:ascii="Times New Roman" w:hAnsi="Times New Roman"/>
              </w:rPr>
              <w:t>întreprinderilor mari de a notifica IP CNED</w:t>
            </w:r>
            <w:r w:rsidR="009F306A" w:rsidRPr="009444C7">
              <w:rPr>
                <w:rFonts w:ascii="Times New Roman" w:hAnsi="Times New Roman"/>
              </w:rPr>
              <w:t xml:space="preserve"> despre expirarea certificatului </w:t>
            </w:r>
            <w:r w:rsidRPr="009444C7">
              <w:rPr>
                <w:rFonts w:ascii="Times New Roman" w:hAnsi="Times New Roman"/>
              </w:rPr>
              <w:t xml:space="preserve"> ce atestă implementarea sistemului de management energetic sau de mediu</w:t>
            </w:r>
            <w:r w:rsidR="009F306A" w:rsidRPr="009444C7">
              <w:rPr>
                <w:rFonts w:ascii="Times New Roman" w:hAnsi="Times New Roman"/>
              </w:rPr>
              <w:t xml:space="preserve"> </w:t>
            </w:r>
            <w:r w:rsidRPr="009444C7">
              <w:rPr>
                <w:rFonts w:ascii="Times New Roman" w:hAnsi="Times New Roman"/>
              </w:rPr>
              <w:t xml:space="preserve">și să prezinte raportul privind efectuarea auditului energetic realizat pentru perioada deținerii certificatului </w:t>
            </w:r>
            <w:r w:rsidR="009F306A" w:rsidRPr="009444C7">
              <w:rPr>
                <w:rFonts w:ascii="Times New Roman" w:hAnsi="Times New Roman"/>
              </w:rPr>
              <w:t>respective. Abrogarea acestui punct este necesară pe motiv că IP CNED monitorizează anual respectarea prevederilor Regulament</w:t>
            </w:r>
            <w:r w:rsidR="009D136E" w:rsidRPr="009444C7">
              <w:rPr>
                <w:rFonts w:ascii="Times New Roman" w:hAnsi="Times New Roman"/>
              </w:rPr>
              <w:t>ului cu privire la efectuarea auditului energetic</w:t>
            </w:r>
            <w:r w:rsidR="009F306A" w:rsidRPr="009444C7">
              <w:rPr>
                <w:rFonts w:ascii="Times New Roman" w:hAnsi="Times New Roman"/>
              </w:rPr>
              <w:t xml:space="preserve"> de către întreprinderile mari și deține informația necesară </w:t>
            </w:r>
            <w:r w:rsidR="009F306A" w:rsidRPr="009444C7">
              <w:rPr>
                <w:rFonts w:ascii="Times New Roman" w:hAnsi="Times New Roman"/>
              </w:rPr>
              <w:lastRenderedPageBreak/>
              <w:t xml:space="preserve">inclusiv cu privire la  perioada pentru care întreprinderile </w:t>
            </w:r>
            <w:r w:rsidR="00622019" w:rsidRPr="009444C7">
              <w:rPr>
                <w:rFonts w:ascii="Times New Roman" w:hAnsi="Times New Roman"/>
              </w:rPr>
              <w:t xml:space="preserve">mari </w:t>
            </w:r>
            <w:r w:rsidR="009F306A" w:rsidRPr="009444C7">
              <w:rPr>
                <w:rFonts w:ascii="Times New Roman" w:hAnsi="Times New Roman"/>
              </w:rPr>
              <w:t xml:space="preserve">au implementat sisteme de management energetic sau de mediu.  </w:t>
            </w:r>
            <w:r w:rsidRPr="009444C7">
              <w:rPr>
                <w:rFonts w:ascii="Times New Roman" w:hAnsi="Times New Roman"/>
              </w:rPr>
              <w:t xml:space="preserve"> </w:t>
            </w:r>
            <w:r w:rsidR="001606DC" w:rsidRPr="009444C7">
              <w:rPr>
                <w:rFonts w:ascii="Times New Roman" w:hAnsi="Times New Roman"/>
              </w:rPr>
              <w:t xml:space="preserve">  </w:t>
            </w:r>
          </w:p>
          <w:p w14:paraId="3C404B21" w14:textId="2095D8C8" w:rsidR="00234AA7" w:rsidRPr="009444C7" w:rsidRDefault="00BE123A" w:rsidP="00CB7480">
            <w:pPr>
              <w:jc w:val="both"/>
              <w:rPr>
                <w:rFonts w:ascii="Times New Roman" w:hAnsi="Times New Roman"/>
                <w:color w:val="EE0000"/>
                <w:shd w:val="clear" w:color="auto" w:fill="FFFFFF"/>
              </w:rPr>
            </w:pPr>
            <w:r w:rsidRPr="009444C7">
              <w:rPr>
                <w:rFonts w:ascii="Times New Roman" w:hAnsi="Times New Roman"/>
              </w:rPr>
              <w:t>Totodată</w:t>
            </w:r>
            <w:r w:rsidR="0060531E" w:rsidRPr="009444C7">
              <w:rPr>
                <w:rFonts w:ascii="Times New Roman" w:hAnsi="Times New Roman"/>
              </w:rPr>
              <w:t>,</w:t>
            </w:r>
            <w:r w:rsidRPr="009444C7">
              <w:rPr>
                <w:rFonts w:ascii="Times New Roman" w:hAnsi="Times New Roman"/>
              </w:rPr>
              <w:t xml:space="preserve"> în cadrul Program</w:t>
            </w:r>
            <w:r w:rsidR="00DE729A" w:rsidRPr="009444C7">
              <w:rPr>
                <w:rFonts w:ascii="Times New Roman" w:hAnsi="Times New Roman"/>
              </w:rPr>
              <w:t>ului</w:t>
            </w:r>
            <w:r w:rsidRPr="009444C7">
              <w:rPr>
                <w:rFonts w:ascii="Times New Roman" w:hAnsi="Times New Roman"/>
              </w:rPr>
              <w:t xml:space="preserve"> </w:t>
            </w:r>
            <w:r w:rsidR="00DE729A" w:rsidRPr="009444C7">
              <w:rPr>
                <w:rFonts w:ascii="Times New Roman" w:hAnsi="Times New Roman"/>
              </w:rPr>
              <w:t xml:space="preserve">privind implementarea schemei de obligații în domeniul eficienței energetice pentru perioada 2024-2026 </w:t>
            </w:r>
            <w:r w:rsidRPr="009444C7">
              <w:rPr>
                <w:rFonts w:ascii="Times New Roman" w:hAnsi="Times New Roman"/>
              </w:rPr>
              <w:t>și Metodologiei</w:t>
            </w:r>
            <w:r w:rsidR="00DE729A" w:rsidRPr="009444C7">
              <w:rPr>
                <w:rFonts w:ascii="Times New Roman" w:hAnsi="Times New Roman"/>
              </w:rPr>
              <w:t xml:space="preserve"> pentru determinarea contribuțiilor ce urmează a fi achitate de părțile obligate </w:t>
            </w:r>
            <w:r w:rsidRPr="009444C7">
              <w:rPr>
                <w:rFonts w:ascii="Times New Roman" w:hAnsi="Times New Roman"/>
                <w:iCs/>
              </w:rPr>
              <w:t>sintagma „instituție publică de suport”, la orice formă gramaticală, este înlocuită cu sintagma „Centrul Național pentru Energie Durabilă”.</w:t>
            </w:r>
            <w:r w:rsidR="00C02694" w:rsidRPr="009444C7">
              <w:rPr>
                <w:rFonts w:ascii="Times New Roman" w:hAnsi="Times New Roman"/>
                <w:color w:val="EE0000"/>
                <w:shd w:val="clear" w:color="auto" w:fill="FFFFFF"/>
              </w:rPr>
              <w:t xml:space="preserve"> </w:t>
            </w:r>
          </w:p>
          <w:p w14:paraId="098F0536" w14:textId="43655877" w:rsidR="00A256C2" w:rsidRPr="009444C7" w:rsidRDefault="00A256C2" w:rsidP="00A256C2">
            <w:pPr>
              <w:tabs>
                <w:tab w:val="left" w:pos="884"/>
                <w:tab w:val="left" w:pos="1196"/>
              </w:tabs>
              <w:spacing w:before="120" w:after="120"/>
              <w:jc w:val="both"/>
              <w:rPr>
                <w:rFonts w:ascii="Times New Roman" w:hAnsi="Times New Roman"/>
              </w:rPr>
            </w:pPr>
            <w:r w:rsidRPr="009444C7">
              <w:rPr>
                <w:rFonts w:ascii="Times New Roman" w:hAnsi="Times New Roman"/>
              </w:rPr>
              <w:t>Este de menționat că până la moment IP CNED a lansat trei produse de finanțare pentru finanțarea proiectelor de reabilitare energetică a clădirilor din sectorul rezidențial. Cu toate acestea gradul de valorificare a mijloacelor financiare pentru implementarea proiectelor de reabilitare energetică a caselor individuale și blocurilor multietajate este unul modest pe motiv că până la moment a fost necesară parcurgerea anumitor etape pentru pregătirea proiectelor de eficiență energetică și valorificare a surselor regenerabile de energie pentru sectorul rezidențial cum ar fi: elaborarea produselor de finanțare aferente FEERM și a manualelor operaționale, selectarea primelor propuneri de proiect din rândul Asociațiilor de Proprietari în Condominiu și proprietarilor de case individuale cu grad de vulnerabilitate energetică extremă pentru elaborarea Rapoartelor de audit energetic și a documentației de proiect, după caz, activități de comunicare și mediatizare a condițiilor produselor de finanțare, etc.</w:t>
            </w:r>
          </w:p>
          <w:p w14:paraId="4EC7A263" w14:textId="56D05DEB" w:rsidR="00A256C2" w:rsidRPr="009444C7" w:rsidRDefault="00A256C2" w:rsidP="00A256C2">
            <w:pPr>
              <w:tabs>
                <w:tab w:val="left" w:pos="884"/>
                <w:tab w:val="left" w:pos="1196"/>
              </w:tabs>
              <w:spacing w:before="120" w:after="120"/>
              <w:jc w:val="both"/>
              <w:rPr>
                <w:rFonts w:ascii="Times New Roman" w:hAnsi="Times New Roman"/>
              </w:rPr>
            </w:pPr>
            <w:r w:rsidRPr="009444C7">
              <w:rPr>
                <w:rFonts w:ascii="Times New Roman" w:hAnsi="Times New Roman"/>
              </w:rPr>
              <w:t xml:space="preserve">Prin urmare, ținând cont de faptul că proiectele de eficiență energetică și valorificare a surselor regenerabile de energie necesită parcurgerea anumitor etape preparatorii, care durează în timp, valorificarea mijloacelor financiare va fi impulsionată în următoarea perioadă, inclusiv datorită lansării în data de 03.07.2025 a produsului de finanțare „Casa verde” care sa dovedit a fi de un interes major pentru proprietarii de case individuale, fapt confirmat prin cele 745 de cereri de finanțare depuse </w:t>
            </w:r>
            <w:r w:rsidR="00E24349" w:rsidRPr="009444C7">
              <w:rPr>
                <w:rFonts w:ascii="Times New Roman" w:hAnsi="Times New Roman"/>
              </w:rPr>
              <w:t>în doar</w:t>
            </w:r>
            <w:r w:rsidRPr="009444C7">
              <w:rPr>
                <w:rFonts w:ascii="Times New Roman" w:hAnsi="Times New Roman"/>
              </w:rPr>
              <w:t xml:space="preserve"> 2 săptămâni de la lansare</w:t>
            </w:r>
            <w:r w:rsidR="00E24349" w:rsidRPr="009444C7">
              <w:rPr>
                <w:rFonts w:ascii="Times New Roman" w:hAnsi="Times New Roman"/>
              </w:rPr>
              <w:t>a acestuia</w:t>
            </w:r>
            <w:r w:rsidRPr="009444C7">
              <w:rPr>
                <w:rFonts w:ascii="Times New Roman" w:hAnsi="Times New Roman"/>
              </w:rPr>
              <w:t xml:space="preserve">. Astfel, prin aceste cereri, bugetul alocat acestui produs de finanțare, pentru anul 2025, în valoare de 149 mil. lei se prezumă că este consumat, în cazul în care toate cererile depuse vor parcurge cu succes toate etapele de evaluare și aprobare din partea IP CNED.  </w:t>
            </w:r>
          </w:p>
          <w:p w14:paraId="5BAD8B87" w14:textId="77777777" w:rsidR="00A256C2" w:rsidRPr="009444C7" w:rsidRDefault="00A256C2" w:rsidP="00A256C2">
            <w:pPr>
              <w:tabs>
                <w:tab w:val="left" w:pos="884"/>
                <w:tab w:val="left" w:pos="1196"/>
              </w:tabs>
              <w:spacing w:before="120" w:after="120"/>
              <w:jc w:val="both"/>
              <w:rPr>
                <w:rFonts w:ascii="Times New Roman" w:hAnsi="Times New Roman"/>
              </w:rPr>
            </w:pPr>
            <w:r w:rsidRPr="009444C7">
              <w:rPr>
                <w:rFonts w:ascii="Times New Roman" w:hAnsi="Times New Roman"/>
              </w:rPr>
              <w:t>Totodată, au fost lansate procedurile de achiziții pentru contractarea serviciilor de elaborare a documentației de proiect pentru mai multe blocuri locative, iar în scurt timp urmează ca IP CNED să anunțe licitația pentru contractarea agenților economici care vor executa lucrările pentru primele blocuri locative.</w:t>
            </w:r>
          </w:p>
          <w:p w14:paraId="2BCE9289" w14:textId="77777777" w:rsidR="00A256C2" w:rsidRPr="009444C7" w:rsidRDefault="00A256C2" w:rsidP="00A256C2">
            <w:pPr>
              <w:tabs>
                <w:tab w:val="left" w:pos="884"/>
                <w:tab w:val="left" w:pos="1196"/>
              </w:tabs>
              <w:spacing w:before="120" w:after="120"/>
              <w:jc w:val="both"/>
              <w:rPr>
                <w:rFonts w:ascii="Times New Roman" w:hAnsi="Times New Roman"/>
              </w:rPr>
            </w:pPr>
            <w:r w:rsidRPr="009444C7">
              <w:rPr>
                <w:rFonts w:ascii="Times New Roman" w:hAnsi="Times New Roman"/>
              </w:rPr>
              <w:t xml:space="preserve">Este de menționat că IP CNED a organizat procedura de licitație pentru contractarea agenților economici care vor executa lucrările pentru primele 41 de case individuale cu grad de vulnerabilitate energetică extremă. </w:t>
            </w:r>
          </w:p>
          <w:p w14:paraId="7E19C962" w14:textId="05DF759D" w:rsidR="00A256C2" w:rsidRPr="009444C7" w:rsidRDefault="00A256C2" w:rsidP="00A256C2">
            <w:pPr>
              <w:tabs>
                <w:tab w:val="left" w:pos="884"/>
                <w:tab w:val="left" w:pos="1196"/>
              </w:tabs>
              <w:spacing w:before="120" w:after="120"/>
              <w:jc w:val="both"/>
              <w:rPr>
                <w:rFonts w:ascii="Times New Roman" w:hAnsi="Times New Roman"/>
                <w:bCs/>
              </w:rPr>
            </w:pPr>
            <w:r w:rsidRPr="009444C7">
              <w:rPr>
                <w:rFonts w:ascii="Times New Roman" w:hAnsi="Times New Roman"/>
              </w:rPr>
              <w:t xml:space="preserve">Suplimentar este de menționat faptul că în contextul modificărilor legii nr. 139/2018 cu privire la eficiența energetică IP CNED a fost împuternicită să acorde </w:t>
            </w:r>
            <w:r w:rsidRPr="009444C7">
              <w:rPr>
                <w:rFonts w:ascii="Times New Roman" w:hAnsi="Times New Roman"/>
                <w:bCs/>
              </w:rPr>
              <w:t>garanții financiare și să compenseze parțial rata dobânzii la creditele obținute de către Asociațiile de proprietari în condominiu de la băncile comerciale și organizațiile de creditare nebancare din Republica Moldova, pentru finanțarea proiectelor de eficiență energetică și/sau valorificare a surselor regenerabile de energie în clădirile din proprietatea acestora. Astfel, mijloacele financiare acumulate în cadrul SOEE urmează să fie utilizate inclusiv pentru punerea în aplicare a acestor mecanisme de finanțare</w:t>
            </w:r>
            <w:r w:rsidR="006C1D3D" w:rsidRPr="009444C7">
              <w:rPr>
                <w:rFonts w:ascii="Times New Roman" w:hAnsi="Times New Roman"/>
                <w:bCs/>
              </w:rPr>
              <w:t>, în modul stabilit de Guvern.</w:t>
            </w:r>
          </w:p>
          <w:p w14:paraId="1C43784B" w14:textId="346813C9" w:rsidR="00454B24" w:rsidRPr="009444C7" w:rsidRDefault="00454B24" w:rsidP="00E24349">
            <w:pPr>
              <w:tabs>
                <w:tab w:val="left" w:pos="884"/>
                <w:tab w:val="left" w:pos="1196"/>
              </w:tabs>
              <w:spacing w:before="120" w:after="120"/>
              <w:jc w:val="both"/>
              <w:rPr>
                <w:rFonts w:ascii="Times New Roman" w:hAnsi="Times New Roman"/>
                <w:bCs/>
              </w:rPr>
            </w:pPr>
            <w:r w:rsidRPr="009444C7">
              <w:rPr>
                <w:rFonts w:ascii="Times New Roman" w:hAnsi="Times New Roman"/>
                <w:bCs/>
              </w:rPr>
              <w:t xml:space="preserve">Astfel, mijloacele financiare acumulate în cadrul schemei de obligații în domeniul eficienței energetice, inclusiv contribuțiile din partea partenerilor de dezvoltare alocate pentru reabilitarea energetică a sectorului rezidențial urmează a fi utilizate pentru finanțarea proiectelor în sectorul rezidențial. </w:t>
            </w:r>
          </w:p>
          <w:p w14:paraId="0E4919AE" w14:textId="68AFBCDC" w:rsidR="00E24349" w:rsidRPr="009444C7" w:rsidRDefault="00454B24" w:rsidP="00A256C2">
            <w:pPr>
              <w:tabs>
                <w:tab w:val="left" w:pos="884"/>
                <w:tab w:val="left" w:pos="1196"/>
              </w:tabs>
              <w:spacing w:before="120" w:after="120"/>
              <w:jc w:val="both"/>
              <w:rPr>
                <w:rFonts w:ascii="Times New Roman" w:hAnsi="Times New Roman"/>
                <w:bCs/>
                <w:color w:val="EE0000"/>
              </w:rPr>
            </w:pPr>
            <w:r w:rsidRPr="009444C7">
              <w:rPr>
                <w:rFonts w:ascii="Times New Roman" w:hAnsi="Times New Roman"/>
                <w:bCs/>
              </w:rPr>
              <w:lastRenderedPageBreak/>
              <w:t>Cu toate acestea</w:t>
            </w:r>
            <w:r w:rsidR="006C1D3D" w:rsidRPr="009444C7">
              <w:rPr>
                <w:rFonts w:ascii="Times New Roman" w:hAnsi="Times New Roman"/>
                <w:bCs/>
              </w:rPr>
              <w:t>,</w:t>
            </w:r>
            <w:r w:rsidRPr="009444C7">
              <w:rPr>
                <w:rFonts w:ascii="Times New Roman" w:hAnsi="Times New Roman"/>
                <w:bCs/>
              </w:rPr>
              <w:t xml:space="preserve"> merită de menționat faptul că în cadrul modificărilor propuse asupra Programului SOEE este prevăzută și o m</w:t>
            </w:r>
            <w:r w:rsidR="00E24349" w:rsidRPr="009444C7">
              <w:rPr>
                <w:rFonts w:ascii="Times New Roman" w:hAnsi="Times New Roman"/>
                <w:bCs/>
              </w:rPr>
              <w:t>ajorare</w:t>
            </w:r>
            <w:r w:rsidRPr="009444C7">
              <w:rPr>
                <w:rFonts w:ascii="Times New Roman" w:hAnsi="Times New Roman"/>
                <w:bCs/>
              </w:rPr>
              <w:t xml:space="preserve"> </w:t>
            </w:r>
            <w:r w:rsidR="00E24349" w:rsidRPr="009444C7">
              <w:rPr>
                <w:rFonts w:ascii="Times New Roman" w:hAnsi="Times New Roman"/>
                <w:bCs/>
              </w:rPr>
              <w:t xml:space="preserve">a plăților contribuțiilor ce urmează a fi achitată de părțile obligate începând cu </w:t>
            </w:r>
            <w:r w:rsidRPr="009444C7">
              <w:rPr>
                <w:rFonts w:ascii="Times New Roman" w:hAnsi="Times New Roman"/>
                <w:bCs/>
              </w:rPr>
              <w:t>luna octombrie</w:t>
            </w:r>
            <w:r w:rsidR="00E24349" w:rsidRPr="009444C7">
              <w:rPr>
                <w:rFonts w:ascii="Times New Roman" w:hAnsi="Times New Roman"/>
                <w:bCs/>
              </w:rPr>
              <w:t xml:space="preserve"> 2025 până la finele perioadei Programului SOEE, decembrie 2026</w:t>
            </w:r>
            <w:r w:rsidR="00C61697" w:rsidRPr="009444C7">
              <w:rPr>
                <w:rFonts w:ascii="Times New Roman" w:hAnsi="Times New Roman"/>
                <w:bCs/>
              </w:rPr>
              <w:t>, care</w:t>
            </w:r>
            <w:r w:rsidR="00E24349" w:rsidRPr="009444C7">
              <w:rPr>
                <w:rFonts w:ascii="Times New Roman" w:hAnsi="Times New Roman"/>
                <w:bCs/>
              </w:rPr>
              <w:t xml:space="preserve"> se datorează </w:t>
            </w:r>
            <w:r w:rsidRPr="009444C7">
              <w:rPr>
                <w:rFonts w:ascii="Times New Roman" w:hAnsi="Times New Roman"/>
                <w:bCs/>
              </w:rPr>
              <w:t xml:space="preserve">exclusiv factorilor </w:t>
            </w:r>
            <w:r w:rsidR="00E24349" w:rsidRPr="009444C7">
              <w:rPr>
                <w:rFonts w:ascii="Times New Roman" w:hAnsi="Times New Roman"/>
                <w:bCs/>
              </w:rPr>
              <w:t>prezenta</w:t>
            </w:r>
            <w:r w:rsidRPr="009444C7">
              <w:rPr>
                <w:rFonts w:ascii="Times New Roman" w:hAnsi="Times New Roman"/>
                <w:bCs/>
              </w:rPr>
              <w:t>ți</w:t>
            </w:r>
            <w:r w:rsidR="00E24349" w:rsidRPr="009444C7">
              <w:rPr>
                <w:rFonts w:ascii="Times New Roman" w:hAnsi="Times New Roman"/>
                <w:bCs/>
              </w:rPr>
              <w:t xml:space="preserve"> la pct. 4.</w:t>
            </w:r>
            <w:r w:rsidR="0047440A" w:rsidRPr="009444C7">
              <w:rPr>
                <w:rFonts w:ascii="Times New Roman" w:hAnsi="Times New Roman"/>
                <w:bCs/>
              </w:rPr>
              <w:t>2</w:t>
            </w:r>
            <w:r w:rsidR="00E24349" w:rsidRPr="009444C7">
              <w:rPr>
                <w:rFonts w:ascii="Times New Roman" w:hAnsi="Times New Roman"/>
                <w:bCs/>
              </w:rPr>
              <w:t xml:space="preserve">. </w:t>
            </w:r>
          </w:p>
        </w:tc>
      </w:tr>
      <w:tr w:rsidR="006D3EB7" w:rsidRPr="009444C7"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9444C7" w:rsidRDefault="00D927DB" w:rsidP="000E1660">
            <w:pPr>
              <w:rPr>
                <w:rFonts w:ascii="Times New Roman" w:hAnsi="Times New Roman"/>
                <w:i/>
              </w:rPr>
            </w:pPr>
            <w:r w:rsidRPr="009444C7">
              <w:rPr>
                <w:rFonts w:ascii="Times New Roman" w:hAnsi="Times New Roman"/>
                <w:i/>
              </w:rPr>
              <w:lastRenderedPageBreak/>
              <w:t>3.2.</w:t>
            </w:r>
            <w:r w:rsidR="00032B46" w:rsidRPr="009444C7">
              <w:rPr>
                <w:rFonts w:ascii="Times New Roman" w:hAnsi="Times New Roman"/>
                <w:i/>
              </w:rPr>
              <w:t xml:space="preserve"> </w:t>
            </w:r>
            <w:r w:rsidRPr="009444C7">
              <w:rPr>
                <w:rFonts w:ascii="Times New Roman" w:hAnsi="Times New Roman"/>
                <w:i/>
              </w:rPr>
              <w:t>Op</w:t>
            </w:r>
            <w:r w:rsidR="00863417" w:rsidRPr="009444C7">
              <w:rPr>
                <w:rFonts w:ascii="Times New Roman" w:hAnsi="Times New Roman"/>
                <w:i/>
              </w:rPr>
              <w:t>ț</w:t>
            </w:r>
            <w:r w:rsidRPr="009444C7">
              <w:rPr>
                <w:rFonts w:ascii="Times New Roman" w:hAnsi="Times New Roman"/>
                <w:i/>
              </w:rPr>
              <w:t>iunile</w:t>
            </w:r>
            <w:r w:rsidR="00032B46" w:rsidRPr="009444C7">
              <w:rPr>
                <w:rFonts w:ascii="Times New Roman" w:hAnsi="Times New Roman"/>
                <w:i/>
              </w:rPr>
              <w:t xml:space="preserve"> </w:t>
            </w:r>
            <w:r w:rsidRPr="009444C7">
              <w:rPr>
                <w:rFonts w:ascii="Times New Roman" w:hAnsi="Times New Roman"/>
                <w:i/>
              </w:rPr>
              <w:t>alternative</w:t>
            </w:r>
            <w:r w:rsidR="00032B46" w:rsidRPr="009444C7">
              <w:rPr>
                <w:rFonts w:ascii="Times New Roman" w:hAnsi="Times New Roman"/>
                <w:i/>
              </w:rPr>
              <w:t xml:space="preserve"> </w:t>
            </w:r>
            <w:r w:rsidRPr="009444C7">
              <w:rPr>
                <w:rFonts w:ascii="Times New Roman" w:hAnsi="Times New Roman"/>
                <w:i/>
              </w:rPr>
              <w:t>analizate</w:t>
            </w:r>
            <w:r w:rsidR="00032B46" w:rsidRPr="009444C7">
              <w:rPr>
                <w:rFonts w:ascii="Times New Roman" w:hAnsi="Times New Roman"/>
                <w:i/>
              </w:rPr>
              <w:t xml:space="preserve"> </w:t>
            </w:r>
            <w:r w:rsidR="00863417" w:rsidRPr="009444C7">
              <w:rPr>
                <w:rFonts w:ascii="Times New Roman" w:hAnsi="Times New Roman"/>
                <w:i/>
              </w:rPr>
              <w:t>ș</w:t>
            </w:r>
            <w:r w:rsidRPr="009444C7">
              <w:rPr>
                <w:rFonts w:ascii="Times New Roman" w:hAnsi="Times New Roman"/>
                <w:i/>
              </w:rPr>
              <w:t>i</w:t>
            </w:r>
            <w:r w:rsidR="00032B46" w:rsidRPr="009444C7">
              <w:rPr>
                <w:rFonts w:ascii="Times New Roman" w:hAnsi="Times New Roman"/>
                <w:i/>
              </w:rPr>
              <w:t xml:space="preserve"> </w:t>
            </w:r>
            <w:r w:rsidRPr="009444C7">
              <w:rPr>
                <w:rFonts w:ascii="Times New Roman" w:hAnsi="Times New Roman"/>
                <w:i/>
              </w:rPr>
              <w:t>motivele</w:t>
            </w:r>
            <w:r w:rsidR="00032B46" w:rsidRPr="009444C7">
              <w:rPr>
                <w:rFonts w:ascii="Times New Roman" w:hAnsi="Times New Roman"/>
                <w:i/>
              </w:rPr>
              <w:t xml:space="preserve"> </w:t>
            </w:r>
            <w:r w:rsidR="00E44F7F" w:rsidRPr="009444C7">
              <w:rPr>
                <w:rFonts w:ascii="Times New Roman" w:hAnsi="Times New Roman"/>
                <w:i/>
              </w:rPr>
              <w:t>pentru</w:t>
            </w:r>
            <w:r w:rsidR="00032B46" w:rsidRPr="009444C7">
              <w:rPr>
                <w:rFonts w:ascii="Times New Roman" w:hAnsi="Times New Roman"/>
                <w:i/>
              </w:rPr>
              <w:t xml:space="preserve"> </w:t>
            </w:r>
            <w:r w:rsidR="00E44F7F" w:rsidRPr="009444C7">
              <w:rPr>
                <w:rFonts w:ascii="Times New Roman" w:hAnsi="Times New Roman"/>
                <w:i/>
              </w:rPr>
              <w:t>care</w:t>
            </w:r>
            <w:r w:rsidR="00032B46" w:rsidRPr="009444C7">
              <w:rPr>
                <w:rFonts w:ascii="Times New Roman" w:hAnsi="Times New Roman"/>
                <w:i/>
              </w:rPr>
              <w:t xml:space="preserve"> </w:t>
            </w:r>
            <w:r w:rsidRPr="009444C7">
              <w:rPr>
                <w:rFonts w:ascii="Times New Roman" w:hAnsi="Times New Roman"/>
                <w:i/>
              </w:rPr>
              <w:t>acestea</w:t>
            </w:r>
            <w:r w:rsidR="00032B46" w:rsidRPr="009444C7">
              <w:rPr>
                <w:rFonts w:ascii="Times New Roman" w:hAnsi="Times New Roman"/>
                <w:i/>
              </w:rPr>
              <w:t xml:space="preserve"> </w:t>
            </w:r>
            <w:r w:rsidRPr="009444C7">
              <w:rPr>
                <w:rFonts w:ascii="Times New Roman" w:hAnsi="Times New Roman"/>
                <w:i/>
              </w:rPr>
              <w:t>nu</w:t>
            </w:r>
            <w:r w:rsidR="00032B46" w:rsidRPr="009444C7">
              <w:rPr>
                <w:rFonts w:ascii="Times New Roman" w:hAnsi="Times New Roman"/>
                <w:i/>
              </w:rPr>
              <w:t xml:space="preserve"> </w:t>
            </w:r>
            <w:r w:rsidRPr="009444C7">
              <w:rPr>
                <w:rFonts w:ascii="Times New Roman" w:hAnsi="Times New Roman"/>
                <w:i/>
              </w:rPr>
              <w:t>au</w:t>
            </w:r>
            <w:r w:rsidR="00032B46" w:rsidRPr="009444C7">
              <w:rPr>
                <w:rFonts w:ascii="Times New Roman" w:hAnsi="Times New Roman"/>
                <w:i/>
              </w:rPr>
              <w:t xml:space="preserve"> </w:t>
            </w:r>
            <w:r w:rsidRPr="009444C7">
              <w:rPr>
                <w:rFonts w:ascii="Times New Roman" w:hAnsi="Times New Roman"/>
                <w:i/>
              </w:rPr>
              <w:t>fost</w:t>
            </w:r>
            <w:r w:rsidR="00032B46" w:rsidRPr="009444C7">
              <w:rPr>
                <w:rFonts w:ascii="Times New Roman" w:hAnsi="Times New Roman"/>
                <w:i/>
              </w:rPr>
              <w:t xml:space="preserve"> </w:t>
            </w:r>
            <w:r w:rsidRPr="009444C7">
              <w:rPr>
                <w:rFonts w:ascii="Times New Roman" w:hAnsi="Times New Roman"/>
                <w:i/>
              </w:rPr>
              <w:t>luate</w:t>
            </w:r>
            <w:r w:rsidR="00032B46" w:rsidRPr="009444C7">
              <w:rPr>
                <w:rFonts w:ascii="Times New Roman" w:hAnsi="Times New Roman"/>
                <w:i/>
              </w:rPr>
              <w:t xml:space="preserve"> </w:t>
            </w:r>
            <w:r w:rsidRPr="009444C7">
              <w:rPr>
                <w:rFonts w:ascii="Times New Roman" w:hAnsi="Times New Roman"/>
                <w:i/>
              </w:rPr>
              <w:t>în</w:t>
            </w:r>
            <w:r w:rsidR="00032B46" w:rsidRPr="009444C7">
              <w:rPr>
                <w:rFonts w:ascii="Times New Roman" w:hAnsi="Times New Roman"/>
                <w:i/>
              </w:rPr>
              <w:t xml:space="preserve"> </w:t>
            </w:r>
            <w:r w:rsidRPr="009444C7">
              <w:rPr>
                <w:rFonts w:ascii="Times New Roman" w:hAnsi="Times New Roman"/>
                <w:i/>
              </w:rPr>
              <w:t>considerare</w:t>
            </w:r>
          </w:p>
        </w:tc>
      </w:tr>
      <w:tr w:rsidR="006D3EB7" w:rsidRPr="009444C7"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1CFF23FE" w:rsidR="005864B2" w:rsidRPr="009444C7" w:rsidRDefault="00E9054F" w:rsidP="00A11AA5">
            <w:pPr>
              <w:jc w:val="both"/>
              <w:rPr>
                <w:rFonts w:ascii="Times New Roman" w:hAnsi="Times New Roman"/>
                <w:color w:val="FF0000"/>
              </w:rPr>
            </w:pPr>
            <w:r w:rsidRPr="009444C7">
              <w:rPr>
                <w:rFonts w:ascii="Times New Roman" w:hAnsi="Times New Roman"/>
              </w:rPr>
              <w:t>Având</w:t>
            </w:r>
            <w:r w:rsidR="00F4445B" w:rsidRPr="009444C7">
              <w:rPr>
                <w:rFonts w:ascii="Times New Roman" w:hAnsi="Times New Roman"/>
              </w:rPr>
              <w:t xml:space="preserve"> în vedere necesitatea operării modificărilor propuse,</w:t>
            </w:r>
            <w:r w:rsidR="00607B2A" w:rsidRPr="009444C7">
              <w:rPr>
                <w:rFonts w:ascii="Times New Roman" w:hAnsi="Times New Roman"/>
              </w:rPr>
              <w:t xml:space="preserve"> în baza argumentărilor menționate mai sus,</w:t>
            </w:r>
            <w:r w:rsidR="00F4445B" w:rsidRPr="009444C7">
              <w:rPr>
                <w:rFonts w:ascii="Times New Roman" w:hAnsi="Times New Roman"/>
              </w:rPr>
              <w:t xml:space="preserve"> </w:t>
            </w:r>
            <w:r w:rsidR="008A482B" w:rsidRPr="009444C7">
              <w:rPr>
                <w:rFonts w:ascii="Times New Roman" w:hAnsi="Times New Roman"/>
              </w:rPr>
              <w:t xml:space="preserve">opțiunea alternativă nu a fost analizată, </w:t>
            </w:r>
            <w:r w:rsidR="00F4445B" w:rsidRPr="009444C7">
              <w:rPr>
                <w:rFonts w:ascii="Times New Roman" w:hAnsi="Times New Roman"/>
              </w:rPr>
              <w:t>dat fiind importanța</w:t>
            </w:r>
            <w:r w:rsidR="008A482B" w:rsidRPr="009444C7">
              <w:rPr>
                <w:rFonts w:ascii="Times New Roman" w:hAnsi="Times New Roman"/>
              </w:rPr>
              <w:t xml:space="preserve"> </w:t>
            </w:r>
            <w:r w:rsidR="00F4445B" w:rsidRPr="009444C7">
              <w:rPr>
                <w:rFonts w:ascii="Times New Roman" w:hAnsi="Times New Roman"/>
              </w:rPr>
              <w:t>operării modificărilor</w:t>
            </w:r>
            <w:r w:rsidR="00A11AA5" w:rsidRPr="009444C7">
              <w:rPr>
                <w:rFonts w:ascii="Times New Roman" w:hAnsi="Times New Roman"/>
              </w:rPr>
              <w:t xml:space="preserve"> necesare</w:t>
            </w:r>
            <w:r w:rsidR="00F4445B" w:rsidRPr="009444C7">
              <w:rPr>
                <w:rFonts w:ascii="Times New Roman" w:hAnsi="Times New Roman"/>
              </w:rPr>
              <w:t xml:space="preserve"> </w:t>
            </w:r>
            <w:r w:rsidR="00A11AA5" w:rsidRPr="009444C7">
              <w:rPr>
                <w:rFonts w:ascii="Times New Roman" w:hAnsi="Times New Roman"/>
              </w:rPr>
              <w:t>în vederea aducerii în concordanță a prevederilor din actul normativ prima cu prevederile din actele normative secundare</w:t>
            </w:r>
            <w:r w:rsidR="00F4445B" w:rsidRPr="009444C7">
              <w:rPr>
                <w:rFonts w:ascii="Times New Roman" w:hAnsi="Times New Roman"/>
              </w:rPr>
              <w:t>.</w:t>
            </w:r>
          </w:p>
        </w:tc>
      </w:tr>
      <w:tr w:rsidR="006D3EB7" w:rsidRPr="009444C7"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9444C7" w:rsidRDefault="006933C3" w:rsidP="000E1660">
            <w:pPr>
              <w:rPr>
                <w:rFonts w:ascii="Times New Roman" w:hAnsi="Times New Roman"/>
                <w:b/>
                <w:bCs/>
              </w:rPr>
            </w:pPr>
            <w:r w:rsidRPr="009444C7">
              <w:rPr>
                <w:rFonts w:ascii="Times New Roman" w:hAnsi="Times New Roman"/>
                <w:b/>
                <w:bCs/>
              </w:rPr>
              <w:t>4.</w:t>
            </w:r>
            <w:r w:rsidR="00032B46" w:rsidRPr="009444C7">
              <w:rPr>
                <w:rFonts w:ascii="Times New Roman" w:hAnsi="Times New Roman"/>
                <w:b/>
                <w:bCs/>
              </w:rPr>
              <w:t xml:space="preserve"> </w:t>
            </w:r>
            <w:r w:rsidRPr="009444C7">
              <w:rPr>
                <w:rFonts w:ascii="Times New Roman" w:hAnsi="Times New Roman"/>
                <w:b/>
                <w:bCs/>
              </w:rPr>
              <w:t>Analiza</w:t>
            </w:r>
            <w:r w:rsidR="00032B46" w:rsidRPr="009444C7">
              <w:rPr>
                <w:rFonts w:ascii="Times New Roman" w:hAnsi="Times New Roman"/>
                <w:b/>
                <w:bCs/>
              </w:rPr>
              <w:t xml:space="preserve"> </w:t>
            </w:r>
            <w:r w:rsidRPr="009444C7">
              <w:rPr>
                <w:rFonts w:ascii="Times New Roman" w:hAnsi="Times New Roman"/>
                <w:b/>
                <w:bCs/>
              </w:rPr>
              <w:t>impactului</w:t>
            </w:r>
            <w:r w:rsidR="00032B46" w:rsidRPr="009444C7">
              <w:rPr>
                <w:rFonts w:ascii="Times New Roman" w:hAnsi="Times New Roman"/>
                <w:b/>
                <w:bCs/>
              </w:rPr>
              <w:t xml:space="preserve"> </w:t>
            </w:r>
            <w:r w:rsidRPr="009444C7">
              <w:rPr>
                <w:rFonts w:ascii="Times New Roman" w:hAnsi="Times New Roman"/>
                <w:b/>
                <w:bCs/>
              </w:rPr>
              <w:t>de</w:t>
            </w:r>
            <w:r w:rsidR="00032B46" w:rsidRPr="009444C7">
              <w:rPr>
                <w:rFonts w:ascii="Times New Roman" w:hAnsi="Times New Roman"/>
                <w:b/>
                <w:bCs/>
              </w:rPr>
              <w:t xml:space="preserve"> </w:t>
            </w:r>
            <w:r w:rsidRPr="009444C7">
              <w:rPr>
                <w:rFonts w:ascii="Times New Roman" w:hAnsi="Times New Roman"/>
                <w:b/>
                <w:bCs/>
              </w:rPr>
              <w:t>reglementare</w:t>
            </w:r>
            <w:r w:rsidR="00032B46" w:rsidRPr="009444C7">
              <w:rPr>
                <w:rFonts w:ascii="Times New Roman" w:hAnsi="Times New Roman"/>
                <w:b/>
                <w:bCs/>
              </w:rPr>
              <w:t xml:space="preserve"> </w:t>
            </w:r>
          </w:p>
        </w:tc>
      </w:tr>
      <w:tr w:rsidR="006D3EB7" w:rsidRPr="009444C7" w14:paraId="07121640" w14:textId="77777777" w:rsidTr="00236599">
        <w:trPr>
          <w:trHeight w:val="317"/>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99B514" w14:textId="0A878918" w:rsidR="009B1B11" w:rsidRPr="009444C7" w:rsidRDefault="006933C3" w:rsidP="000E1660">
            <w:pPr>
              <w:rPr>
                <w:rFonts w:ascii="Times New Roman" w:hAnsi="Times New Roman"/>
                <w:i/>
              </w:rPr>
            </w:pPr>
            <w:r w:rsidRPr="009444C7">
              <w:rPr>
                <w:rFonts w:ascii="Times New Roman" w:hAnsi="Times New Roman"/>
                <w:i/>
              </w:rPr>
              <w:t>4.1.</w:t>
            </w:r>
            <w:r w:rsidR="00032B46" w:rsidRPr="009444C7">
              <w:rPr>
                <w:rFonts w:ascii="Times New Roman" w:hAnsi="Times New Roman"/>
                <w:i/>
              </w:rPr>
              <w:t xml:space="preserve"> </w:t>
            </w:r>
            <w:r w:rsidR="00CA2822" w:rsidRPr="009444C7">
              <w:rPr>
                <w:rFonts w:ascii="Times New Roman" w:hAnsi="Times New Roman"/>
                <w:i/>
              </w:rPr>
              <w:t>Impactul</w:t>
            </w:r>
            <w:r w:rsidR="00032B46" w:rsidRPr="009444C7">
              <w:rPr>
                <w:rFonts w:ascii="Times New Roman" w:hAnsi="Times New Roman"/>
                <w:i/>
              </w:rPr>
              <w:t xml:space="preserve"> </w:t>
            </w:r>
            <w:r w:rsidR="00CA2822" w:rsidRPr="009444C7">
              <w:rPr>
                <w:rFonts w:ascii="Times New Roman" w:hAnsi="Times New Roman"/>
                <w:i/>
              </w:rPr>
              <w:t>asupra</w:t>
            </w:r>
            <w:r w:rsidR="00032B46" w:rsidRPr="009444C7">
              <w:rPr>
                <w:rFonts w:ascii="Times New Roman" w:hAnsi="Times New Roman"/>
                <w:i/>
              </w:rPr>
              <w:t xml:space="preserve"> </w:t>
            </w:r>
            <w:r w:rsidR="00CA2822" w:rsidRPr="009444C7">
              <w:rPr>
                <w:rFonts w:ascii="Times New Roman" w:hAnsi="Times New Roman"/>
                <w:i/>
              </w:rPr>
              <w:t>sectorului</w:t>
            </w:r>
            <w:r w:rsidR="00032B46" w:rsidRPr="009444C7">
              <w:rPr>
                <w:rFonts w:ascii="Times New Roman" w:hAnsi="Times New Roman"/>
                <w:i/>
              </w:rPr>
              <w:t xml:space="preserve"> </w:t>
            </w:r>
            <w:r w:rsidR="00CA2822" w:rsidRPr="009444C7">
              <w:rPr>
                <w:rFonts w:ascii="Times New Roman" w:hAnsi="Times New Roman"/>
                <w:i/>
              </w:rPr>
              <w:t>public</w:t>
            </w:r>
          </w:p>
          <w:p w14:paraId="3AFC95F8" w14:textId="0B7BD405" w:rsidR="0052219C" w:rsidRPr="009444C7" w:rsidRDefault="00E1085A" w:rsidP="001A76A5">
            <w:pPr>
              <w:tabs>
                <w:tab w:val="left" w:pos="884"/>
                <w:tab w:val="left" w:pos="1196"/>
              </w:tabs>
              <w:spacing w:before="120" w:after="120"/>
              <w:jc w:val="both"/>
              <w:rPr>
                <w:rFonts w:ascii="Times New Roman" w:hAnsi="Times New Roman"/>
              </w:rPr>
            </w:pPr>
            <w:r w:rsidRPr="009444C7">
              <w:rPr>
                <w:rFonts w:ascii="Times New Roman" w:hAnsi="Times New Roman"/>
              </w:rPr>
              <w:t xml:space="preserve">Modificările propuse </w:t>
            </w:r>
            <w:r w:rsidR="009440B4" w:rsidRPr="009444C7">
              <w:rPr>
                <w:rFonts w:ascii="Times New Roman" w:hAnsi="Times New Roman"/>
              </w:rPr>
              <w:t>prin</w:t>
            </w:r>
            <w:r w:rsidRPr="009444C7">
              <w:rPr>
                <w:rFonts w:ascii="Times New Roman" w:hAnsi="Times New Roman"/>
              </w:rPr>
              <w:t xml:space="preserve"> </w:t>
            </w:r>
            <w:r w:rsidR="009440B4" w:rsidRPr="009444C7">
              <w:rPr>
                <w:rFonts w:ascii="Times New Roman" w:hAnsi="Times New Roman"/>
              </w:rPr>
              <w:t xml:space="preserve">Proiectul de Hotărâre de Guvern cu privire la modificarea unor hotărâri ale Guvernului (facilitarea implementării proiectelor de eficiență energetică) </w:t>
            </w:r>
            <w:r w:rsidRPr="009444C7">
              <w:rPr>
                <w:rFonts w:ascii="Times New Roman" w:hAnsi="Times New Roman"/>
              </w:rPr>
              <w:t xml:space="preserve">nu presupun crearea unui cadru nou instituțional, monitorizarea și punerea </w:t>
            </w:r>
            <w:r w:rsidR="00525C39" w:rsidRPr="009444C7">
              <w:rPr>
                <w:rFonts w:ascii="Times New Roman" w:hAnsi="Times New Roman"/>
              </w:rPr>
              <w:t>î</w:t>
            </w:r>
            <w:r w:rsidRPr="009444C7">
              <w:rPr>
                <w:rFonts w:ascii="Times New Roman" w:hAnsi="Times New Roman"/>
              </w:rPr>
              <w:t>n aplicare a modificărilor propuse urmează a fi efectuată de către IP CNED și Agenția Națională pentru Reglementare în Energetică</w:t>
            </w:r>
            <w:r w:rsidR="00525C39" w:rsidRPr="009444C7">
              <w:rPr>
                <w:rFonts w:ascii="Times New Roman" w:hAnsi="Times New Roman"/>
              </w:rPr>
              <w:t>, conform atribuțiilor ce le revin.</w:t>
            </w:r>
            <w:r w:rsidRPr="009444C7">
              <w:rPr>
                <w:rFonts w:ascii="Times New Roman" w:hAnsi="Times New Roman"/>
              </w:rPr>
              <w:t xml:space="preserve"> </w:t>
            </w:r>
            <w:r w:rsidR="007D3FB1" w:rsidRPr="009444C7">
              <w:rPr>
                <w:rFonts w:ascii="Times New Roman" w:hAnsi="Times New Roman"/>
                <w:color w:val="EE0000"/>
              </w:rPr>
              <w:t xml:space="preserve"> </w:t>
            </w:r>
          </w:p>
        </w:tc>
      </w:tr>
      <w:tr w:rsidR="006D3EB7" w:rsidRPr="009444C7" w14:paraId="44F24487" w14:textId="77777777" w:rsidTr="0023659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692150" w14:textId="77777777" w:rsidR="008B4BE6" w:rsidRPr="009444C7" w:rsidRDefault="006933C3" w:rsidP="000E1660">
            <w:pPr>
              <w:rPr>
                <w:rFonts w:ascii="Times New Roman" w:hAnsi="Times New Roman"/>
                <w:i/>
              </w:rPr>
            </w:pPr>
            <w:r w:rsidRPr="009444C7">
              <w:rPr>
                <w:rFonts w:ascii="Times New Roman" w:hAnsi="Times New Roman"/>
                <w:i/>
              </w:rPr>
              <w:t>4.2.</w:t>
            </w:r>
            <w:r w:rsidR="00032B46" w:rsidRPr="009444C7">
              <w:rPr>
                <w:rFonts w:ascii="Times New Roman" w:hAnsi="Times New Roman"/>
                <w:i/>
              </w:rPr>
              <w:t xml:space="preserve"> </w:t>
            </w:r>
            <w:r w:rsidR="00CA2822" w:rsidRPr="009444C7">
              <w:rPr>
                <w:rFonts w:ascii="Times New Roman" w:hAnsi="Times New Roman"/>
                <w:i/>
              </w:rPr>
              <w:t>Impactul</w:t>
            </w:r>
            <w:r w:rsidR="00032B46" w:rsidRPr="009444C7">
              <w:rPr>
                <w:rFonts w:ascii="Times New Roman" w:hAnsi="Times New Roman"/>
                <w:i/>
              </w:rPr>
              <w:t xml:space="preserve"> </w:t>
            </w:r>
            <w:r w:rsidR="00CA2822" w:rsidRPr="009444C7">
              <w:rPr>
                <w:rFonts w:ascii="Times New Roman" w:hAnsi="Times New Roman"/>
                <w:i/>
              </w:rPr>
              <w:t>financiar</w:t>
            </w:r>
            <w:r w:rsidR="00032B46" w:rsidRPr="009444C7">
              <w:rPr>
                <w:rFonts w:ascii="Times New Roman" w:hAnsi="Times New Roman"/>
                <w:i/>
              </w:rPr>
              <w:t xml:space="preserve"> </w:t>
            </w:r>
            <w:r w:rsidR="00863417" w:rsidRPr="009444C7">
              <w:rPr>
                <w:rFonts w:ascii="Times New Roman" w:hAnsi="Times New Roman"/>
                <w:i/>
              </w:rPr>
              <w:t>ș</w:t>
            </w:r>
            <w:r w:rsidR="00CA2822" w:rsidRPr="009444C7">
              <w:rPr>
                <w:rFonts w:ascii="Times New Roman" w:hAnsi="Times New Roman"/>
                <w:i/>
              </w:rPr>
              <w:t>i</w:t>
            </w:r>
            <w:r w:rsidR="00032B46" w:rsidRPr="009444C7">
              <w:rPr>
                <w:rFonts w:ascii="Times New Roman" w:hAnsi="Times New Roman"/>
                <w:i/>
              </w:rPr>
              <w:t xml:space="preserve"> </w:t>
            </w:r>
            <w:r w:rsidR="00CA2822" w:rsidRPr="009444C7">
              <w:rPr>
                <w:rFonts w:ascii="Times New Roman" w:hAnsi="Times New Roman"/>
                <w:i/>
              </w:rPr>
              <w:t>argumentarea</w:t>
            </w:r>
            <w:r w:rsidR="00032B46" w:rsidRPr="009444C7">
              <w:rPr>
                <w:rFonts w:ascii="Times New Roman" w:hAnsi="Times New Roman"/>
                <w:i/>
              </w:rPr>
              <w:t xml:space="preserve"> </w:t>
            </w:r>
            <w:r w:rsidR="00CA2822" w:rsidRPr="009444C7">
              <w:rPr>
                <w:rFonts w:ascii="Times New Roman" w:hAnsi="Times New Roman"/>
                <w:i/>
              </w:rPr>
              <w:t>costurilor</w:t>
            </w:r>
            <w:r w:rsidR="00032B46" w:rsidRPr="009444C7">
              <w:rPr>
                <w:rFonts w:ascii="Times New Roman" w:hAnsi="Times New Roman"/>
                <w:i/>
              </w:rPr>
              <w:t xml:space="preserve"> </w:t>
            </w:r>
            <w:r w:rsidR="00CA2822" w:rsidRPr="009444C7">
              <w:rPr>
                <w:rFonts w:ascii="Times New Roman" w:hAnsi="Times New Roman"/>
                <w:i/>
              </w:rPr>
              <w:t>estimative</w:t>
            </w:r>
          </w:p>
          <w:p w14:paraId="488C2A7A" w14:textId="00C63E47" w:rsidR="007225FC" w:rsidRPr="009444C7" w:rsidRDefault="00F4210D" w:rsidP="001A76A5">
            <w:pPr>
              <w:tabs>
                <w:tab w:val="left" w:pos="884"/>
                <w:tab w:val="left" w:pos="1196"/>
              </w:tabs>
              <w:spacing w:before="120" w:after="120"/>
              <w:jc w:val="both"/>
              <w:rPr>
                <w:rFonts w:ascii="Times New Roman" w:hAnsi="Times New Roman"/>
              </w:rPr>
            </w:pPr>
            <w:r w:rsidRPr="009444C7">
              <w:rPr>
                <w:rFonts w:ascii="Times New Roman" w:hAnsi="Times New Roman"/>
              </w:rPr>
              <w:t xml:space="preserve">Aprobarea </w:t>
            </w:r>
            <w:r w:rsidR="0020204D" w:rsidRPr="009444C7">
              <w:rPr>
                <w:rFonts w:ascii="Times New Roman" w:hAnsi="Times New Roman"/>
              </w:rPr>
              <w:t>m</w:t>
            </w:r>
            <w:r w:rsidRPr="009444C7">
              <w:rPr>
                <w:rFonts w:ascii="Times New Roman" w:hAnsi="Times New Roman"/>
              </w:rPr>
              <w:t>odificăril</w:t>
            </w:r>
            <w:r w:rsidR="006A03F4" w:rsidRPr="009444C7">
              <w:rPr>
                <w:rFonts w:ascii="Times New Roman" w:hAnsi="Times New Roman"/>
              </w:rPr>
              <w:t xml:space="preserve">or </w:t>
            </w:r>
            <w:r w:rsidRPr="009444C7">
              <w:rPr>
                <w:rFonts w:ascii="Times New Roman" w:hAnsi="Times New Roman"/>
              </w:rPr>
              <w:t xml:space="preserve">propuse în </w:t>
            </w:r>
            <w:r w:rsidR="00525C39" w:rsidRPr="009444C7">
              <w:rPr>
                <w:rFonts w:ascii="Times New Roman" w:hAnsi="Times New Roman"/>
              </w:rPr>
              <w:t xml:space="preserve">prin Proiectul de Hotărâre de Guvern cu privire la modificarea unor hotărâri ale Guvernului (facilitarea implementării proiectelor de eficiență energetică) </w:t>
            </w:r>
            <w:r w:rsidRPr="009444C7">
              <w:rPr>
                <w:rFonts w:ascii="Times New Roman" w:hAnsi="Times New Roman"/>
              </w:rPr>
              <w:t>nu presupune alocarea mijloacelor financiare suplimentare de la bugetul de Stat.</w:t>
            </w:r>
          </w:p>
          <w:p w14:paraId="25BD85CB" w14:textId="77777777" w:rsidR="00A256C2" w:rsidRPr="009444C7" w:rsidRDefault="00A256C2" w:rsidP="00A256C2">
            <w:pPr>
              <w:tabs>
                <w:tab w:val="left" w:pos="884"/>
                <w:tab w:val="left" w:pos="1196"/>
              </w:tabs>
              <w:spacing w:before="120" w:after="120"/>
              <w:jc w:val="both"/>
              <w:rPr>
                <w:rFonts w:ascii="Times New Roman" w:hAnsi="Times New Roman"/>
                <w:bCs/>
                <w:shd w:val="clear" w:color="auto" w:fill="FFFFFF"/>
              </w:rPr>
            </w:pPr>
            <w:r w:rsidRPr="009444C7">
              <w:rPr>
                <w:rFonts w:ascii="Times New Roman" w:hAnsi="Times New Roman"/>
                <w:bCs/>
                <w:color w:val="000000"/>
              </w:rPr>
              <w:t xml:space="preserve">Este de menționat că excluderea </w:t>
            </w:r>
            <w:r w:rsidRPr="009444C7">
              <w:rPr>
                <w:rFonts w:ascii="Times New Roman" w:hAnsi="Times New Roman"/>
                <w:b/>
              </w:rPr>
              <w:t>f</w:t>
            </w:r>
            <w:r w:rsidRPr="009444C7">
              <w:rPr>
                <w:rFonts w:ascii="Times New Roman" w:hAnsi="Times New Roman"/>
                <w:b/>
                <w:shd w:val="clear" w:color="auto" w:fill="FFFFFF"/>
              </w:rPr>
              <w:t>urnizorilor de energie termică pentru încălzire și/sau preparare a apei calde menajere (ACM), și/sau răcire</w:t>
            </w:r>
            <w:r w:rsidRPr="009444C7">
              <w:rPr>
                <w:rFonts w:ascii="Times New Roman" w:hAnsi="Times New Roman"/>
                <w:bCs/>
                <w:shd w:val="clear" w:color="auto" w:fill="FFFFFF"/>
              </w:rPr>
              <w:t>, presupune o recalcularea a mărimii contribuțiilor ce urmează a fi achitate de către fiecare parte obligată, prin stabilirea unei plăți fixe, pe unitate de energie sau de volum distribuit sau importat.</w:t>
            </w:r>
          </w:p>
          <w:p w14:paraId="72C275EA" w14:textId="65B9AB3E" w:rsidR="00A256C2" w:rsidRPr="009444C7" w:rsidRDefault="00A256C2" w:rsidP="00A256C2">
            <w:pPr>
              <w:tabs>
                <w:tab w:val="left" w:pos="884"/>
                <w:tab w:val="left" w:pos="1196"/>
              </w:tabs>
              <w:spacing w:before="120" w:after="120"/>
              <w:jc w:val="both"/>
              <w:rPr>
                <w:rFonts w:ascii="Times New Roman" w:hAnsi="Times New Roman"/>
                <w:bCs/>
                <w:shd w:val="clear" w:color="auto" w:fill="FFFFFF"/>
              </w:rPr>
            </w:pPr>
            <w:r w:rsidRPr="009444C7">
              <w:rPr>
                <w:rFonts w:ascii="Times New Roman" w:hAnsi="Times New Roman"/>
                <w:bCs/>
                <w:shd w:val="clear" w:color="auto" w:fill="FFFFFF"/>
              </w:rPr>
              <w:t xml:space="preserve">Totodată, </w:t>
            </w:r>
            <w:bookmarkStart w:id="0" w:name="_Hlk204875127"/>
            <w:r w:rsidRPr="009444C7">
              <w:rPr>
                <w:rFonts w:ascii="Times New Roman" w:hAnsi="Times New Roman"/>
                <w:bCs/>
                <w:shd w:val="clear" w:color="auto" w:fill="FFFFFF"/>
              </w:rPr>
              <w:t>în cadrul exercițiului de recalculare a mărimii contribuțiilor părților obligate, au fost identifica</w:t>
            </w:r>
            <w:r w:rsidR="0047440A" w:rsidRPr="009444C7">
              <w:rPr>
                <w:rFonts w:ascii="Times New Roman" w:hAnsi="Times New Roman"/>
                <w:bCs/>
                <w:shd w:val="clear" w:color="auto" w:fill="FFFFFF"/>
              </w:rPr>
              <w:t xml:space="preserve">ți și </w:t>
            </w:r>
            <w:r w:rsidR="006918C9" w:rsidRPr="009444C7">
              <w:rPr>
                <w:rFonts w:ascii="Times New Roman" w:hAnsi="Times New Roman"/>
                <w:bCs/>
                <w:shd w:val="clear" w:color="auto" w:fill="FFFFFF"/>
              </w:rPr>
              <w:t>alte ipoteze și necesități de finanțare,</w:t>
            </w:r>
            <w:r w:rsidR="0047440A" w:rsidRPr="009444C7">
              <w:rPr>
                <w:rFonts w:ascii="Times New Roman" w:hAnsi="Times New Roman"/>
                <w:bCs/>
                <w:shd w:val="clear" w:color="auto" w:fill="FFFFFF"/>
              </w:rPr>
              <w:t xml:space="preserve"> </w:t>
            </w:r>
            <w:r w:rsidRPr="009444C7">
              <w:rPr>
                <w:rFonts w:ascii="Times New Roman" w:hAnsi="Times New Roman"/>
                <w:bCs/>
                <w:shd w:val="clear" w:color="auto" w:fill="FFFFFF"/>
              </w:rPr>
              <w:t xml:space="preserve">care </w:t>
            </w:r>
            <w:r w:rsidR="00454B24" w:rsidRPr="009444C7">
              <w:rPr>
                <w:rFonts w:ascii="Times New Roman" w:hAnsi="Times New Roman"/>
                <w:bCs/>
                <w:shd w:val="clear" w:color="auto" w:fill="FFFFFF"/>
              </w:rPr>
              <w:t>necesită</w:t>
            </w:r>
            <w:r w:rsidRPr="009444C7">
              <w:rPr>
                <w:rFonts w:ascii="Times New Roman" w:hAnsi="Times New Roman"/>
                <w:bCs/>
                <w:shd w:val="clear" w:color="auto" w:fill="FFFFFF"/>
              </w:rPr>
              <w:t xml:space="preserve"> a fi lua</w:t>
            </w:r>
            <w:r w:rsidR="00454B24" w:rsidRPr="009444C7">
              <w:rPr>
                <w:rFonts w:ascii="Times New Roman" w:hAnsi="Times New Roman"/>
                <w:bCs/>
                <w:shd w:val="clear" w:color="auto" w:fill="FFFFFF"/>
              </w:rPr>
              <w:t>ți</w:t>
            </w:r>
            <w:r w:rsidRPr="009444C7">
              <w:rPr>
                <w:rFonts w:ascii="Times New Roman" w:hAnsi="Times New Roman"/>
                <w:bCs/>
                <w:shd w:val="clear" w:color="auto" w:fill="FFFFFF"/>
              </w:rPr>
              <w:t xml:space="preserve"> în considerare, după cum urmează:</w:t>
            </w:r>
          </w:p>
          <w:p w14:paraId="3E47A1F9" w14:textId="14174401" w:rsidR="00C61697" w:rsidRPr="009444C7" w:rsidRDefault="00A256C2" w:rsidP="00A256C2">
            <w:pPr>
              <w:pStyle w:val="ListParagraph"/>
              <w:numPr>
                <w:ilvl w:val="0"/>
                <w:numId w:val="24"/>
              </w:numPr>
              <w:tabs>
                <w:tab w:val="left" w:pos="884"/>
                <w:tab w:val="left" w:pos="1196"/>
              </w:tabs>
              <w:spacing w:before="120" w:after="120"/>
              <w:jc w:val="both"/>
              <w:rPr>
                <w:rFonts w:ascii="Times New Roman" w:hAnsi="Times New Roman"/>
                <w:bCs/>
                <w:shd w:val="clear" w:color="auto" w:fill="FFFFFF"/>
              </w:rPr>
            </w:pPr>
            <w:r w:rsidRPr="009444C7">
              <w:rPr>
                <w:rFonts w:ascii="Times New Roman" w:hAnsi="Times New Roman"/>
                <w:bCs/>
                <w:shd w:val="clear" w:color="auto" w:fill="FFFFFF"/>
              </w:rPr>
              <w:t xml:space="preserve">Actualizarea </w:t>
            </w:r>
            <w:r w:rsidRPr="009444C7">
              <w:rPr>
                <w:rFonts w:ascii="Times New Roman" w:hAnsi="Times New Roman"/>
              </w:rPr>
              <w:t>cheltuielilor specifice medii estimate pentru realizarea 1 ktep economii de energie și costurile pe m</w:t>
            </w:r>
            <w:r w:rsidRPr="009444C7">
              <w:rPr>
                <w:rFonts w:ascii="Times New Roman" w:hAnsi="Times New Roman"/>
                <w:vertAlign w:val="superscript"/>
              </w:rPr>
              <w:t>2</w:t>
            </w:r>
            <w:r w:rsidRPr="009444C7">
              <w:rPr>
                <w:rFonts w:ascii="Times New Roman" w:hAnsi="Times New Roman"/>
              </w:rPr>
              <w:t xml:space="preserve"> pentru renovarea </w:t>
            </w:r>
            <w:r w:rsidR="00C61697" w:rsidRPr="009444C7">
              <w:rPr>
                <w:rFonts w:ascii="Times New Roman" w:hAnsi="Times New Roman"/>
              </w:rPr>
              <w:t>moderată</w:t>
            </w:r>
            <w:r w:rsidRPr="009444C7">
              <w:rPr>
                <w:rFonts w:ascii="Times New Roman" w:hAnsi="Times New Roman"/>
              </w:rPr>
              <w:t xml:space="preserve"> a blocurilor multietajate și </w:t>
            </w:r>
            <w:r w:rsidR="00C61697" w:rsidRPr="009444C7">
              <w:rPr>
                <w:rFonts w:ascii="Times New Roman" w:hAnsi="Times New Roman"/>
              </w:rPr>
              <w:t xml:space="preserve">renovarea simplă </w:t>
            </w:r>
            <w:r w:rsidRPr="009444C7">
              <w:rPr>
                <w:rFonts w:ascii="Times New Roman" w:hAnsi="Times New Roman"/>
              </w:rPr>
              <w:t>a caselor individuale utilizate inițial pentru calculul mărimii contribuțiilor ce urmează a fi achitate de părțile obligate</w:t>
            </w:r>
            <w:r w:rsidR="00C61697" w:rsidRPr="009444C7">
              <w:rPr>
                <w:rFonts w:ascii="Times New Roman" w:hAnsi="Times New Roman"/>
              </w:rPr>
              <w:t>;</w:t>
            </w:r>
          </w:p>
          <w:p w14:paraId="2932828D" w14:textId="7F897857" w:rsidR="00A256C2" w:rsidRPr="009444C7" w:rsidRDefault="00C61697" w:rsidP="00A256C2">
            <w:pPr>
              <w:pStyle w:val="ListParagraph"/>
              <w:numPr>
                <w:ilvl w:val="0"/>
                <w:numId w:val="24"/>
              </w:numPr>
              <w:tabs>
                <w:tab w:val="left" w:pos="884"/>
                <w:tab w:val="left" w:pos="1196"/>
              </w:tabs>
              <w:spacing w:before="120" w:after="120"/>
              <w:jc w:val="both"/>
              <w:rPr>
                <w:rFonts w:ascii="Times New Roman" w:hAnsi="Times New Roman"/>
                <w:bCs/>
                <w:shd w:val="clear" w:color="auto" w:fill="FFFFFF"/>
              </w:rPr>
            </w:pPr>
            <w:r w:rsidRPr="009444C7">
              <w:rPr>
                <w:rFonts w:ascii="Times New Roman" w:hAnsi="Times New Roman"/>
              </w:rPr>
              <w:t xml:space="preserve">recalcularea </w:t>
            </w:r>
            <w:r w:rsidR="00A256C2" w:rsidRPr="009444C7">
              <w:rPr>
                <w:rFonts w:ascii="Times New Roman" w:hAnsi="Times New Roman"/>
              </w:rPr>
              <w:t>suprafeței anuale ce urmează a fi renovată</w:t>
            </w:r>
            <w:r w:rsidRPr="009444C7">
              <w:rPr>
                <w:rFonts w:ascii="Times New Roman" w:hAnsi="Times New Roman"/>
              </w:rPr>
              <w:t>, cu mijloacele financiare colectate pe parcursul perioadei Programului SOEE,</w:t>
            </w:r>
            <w:r w:rsidR="00A256C2" w:rsidRPr="009444C7">
              <w:rPr>
                <w:rFonts w:ascii="Times New Roman" w:hAnsi="Times New Roman"/>
              </w:rPr>
              <w:t xml:space="preserve"> prin luarea în considerare a </w:t>
            </w:r>
            <w:r w:rsidRPr="009444C7">
              <w:rPr>
                <w:rFonts w:ascii="Times New Roman" w:hAnsi="Times New Roman"/>
              </w:rPr>
              <w:t>costurilor pe m</w:t>
            </w:r>
            <w:r w:rsidRPr="009444C7">
              <w:rPr>
                <w:rFonts w:ascii="Times New Roman" w:hAnsi="Times New Roman"/>
                <w:vertAlign w:val="superscript"/>
              </w:rPr>
              <w:t>2</w:t>
            </w:r>
            <w:r w:rsidRPr="009444C7">
              <w:rPr>
                <w:rFonts w:ascii="Times New Roman" w:hAnsi="Times New Roman"/>
              </w:rPr>
              <w:t xml:space="preserve"> pentru renovarea moderată a blocurilor multietajate și renovarea simplă a caselor individuale utilizate în cadrul </w:t>
            </w:r>
            <w:r w:rsidR="00A256C2" w:rsidRPr="009444C7">
              <w:rPr>
                <w:rFonts w:ascii="Times New Roman" w:hAnsi="Times New Roman"/>
              </w:rPr>
              <w:t xml:space="preserve">proiectului Strategiei sectoriale pentru renovarea fondului imobiliar național pe termen lung pentru perioada 2025-2050, aflată în consultări publice; </w:t>
            </w:r>
          </w:p>
          <w:p w14:paraId="39B824FC" w14:textId="77777777" w:rsidR="00613D09" w:rsidRPr="009444C7" w:rsidRDefault="00613D09" w:rsidP="00613D09">
            <w:pPr>
              <w:pStyle w:val="ListParagraph"/>
              <w:numPr>
                <w:ilvl w:val="0"/>
                <w:numId w:val="24"/>
              </w:numPr>
              <w:tabs>
                <w:tab w:val="left" w:pos="884"/>
                <w:tab w:val="left" w:pos="1196"/>
              </w:tabs>
              <w:spacing w:before="120" w:after="120"/>
              <w:jc w:val="both"/>
              <w:rPr>
                <w:rFonts w:ascii="Times New Roman" w:hAnsi="Times New Roman"/>
                <w:bCs/>
              </w:rPr>
            </w:pPr>
            <w:r w:rsidRPr="009444C7">
              <w:rPr>
                <w:rFonts w:ascii="Times New Roman" w:hAnsi="Times New Roman"/>
                <w:bCs/>
              </w:rPr>
              <w:t>utilizarea indicelui agregat al prețurilor în construcții pentru anul 2024 și admiterea ipotezei de menținere a aceleași trend pentru perioada 2025-2026;</w:t>
            </w:r>
          </w:p>
          <w:p w14:paraId="686FA758" w14:textId="5A7E7D41" w:rsidR="00613D09" w:rsidRPr="009444C7" w:rsidRDefault="00613D09" w:rsidP="00613D09">
            <w:pPr>
              <w:pStyle w:val="ListParagraph"/>
              <w:numPr>
                <w:ilvl w:val="0"/>
                <w:numId w:val="24"/>
              </w:numPr>
              <w:tabs>
                <w:tab w:val="left" w:pos="884"/>
                <w:tab w:val="left" w:pos="1196"/>
              </w:tabs>
              <w:spacing w:before="120" w:after="120"/>
              <w:jc w:val="both"/>
              <w:rPr>
                <w:rFonts w:ascii="Times New Roman" w:hAnsi="Times New Roman"/>
                <w:bCs/>
              </w:rPr>
            </w:pPr>
            <w:r w:rsidRPr="009444C7">
              <w:rPr>
                <w:rFonts w:ascii="Times New Roman" w:hAnsi="Times New Roman"/>
                <w:bCs/>
              </w:rPr>
              <w:t xml:space="preserve">cursul mediu de schimb MDL/EUR pentru anul 2023; </w:t>
            </w:r>
          </w:p>
          <w:p w14:paraId="11C72E79" w14:textId="6717D43A" w:rsidR="00A256C2" w:rsidRPr="009444C7" w:rsidRDefault="00A256C2" w:rsidP="00A256C2">
            <w:pPr>
              <w:pStyle w:val="ListParagraph"/>
              <w:numPr>
                <w:ilvl w:val="0"/>
                <w:numId w:val="24"/>
              </w:numPr>
              <w:tabs>
                <w:tab w:val="left" w:pos="884"/>
                <w:tab w:val="left" w:pos="1196"/>
              </w:tabs>
              <w:spacing w:before="120" w:after="120"/>
              <w:jc w:val="both"/>
              <w:rPr>
                <w:rFonts w:ascii="Times New Roman" w:hAnsi="Times New Roman"/>
              </w:rPr>
            </w:pPr>
            <w:r w:rsidRPr="009444C7">
              <w:rPr>
                <w:rFonts w:ascii="Times New Roman" w:hAnsi="Times New Roman"/>
              </w:rPr>
              <w:t xml:space="preserve">revizuirea scenariului de alocare a investițiilor în măsurile de reabilitare energetică în blocurile locative prin </w:t>
            </w:r>
            <w:r w:rsidRPr="009444C7">
              <w:rPr>
                <w:rFonts w:ascii="Times New Roman" w:hAnsi="Times New Roman"/>
                <w:b/>
                <w:bCs/>
              </w:rPr>
              <w:t xml:space="preserve">micșorarea ponderii de la cel puțin 75%, </w:t>
            </w:r>
            <w:r w:rsidR="000B76BC" w:rsidRPr="009444C7">
              <w:rPr>
                <w:rFonts w:ascii="Times New Roman" w:hAnsi="Times New Roman"/>
                <w:b/>
                <w:bCs/>
              </w:rPr>
              <w:t>cât</w:t>
            </w:r>
            <w:r w:rsidRPr="009444C7">
              <w:rPr>
                <w:rFonts w:ascii="Times New Roman" w:hAnsi="Times New Roman"/>
                <w:b/>
                <w:bCs/>
              </w:rPr>
              <w:t xml:space="preserve"> este la moment, la cel puțin 50% (care ar permite alocarea unui buget suficient pentru produsul de finanțare „Casa verde” și ar crește gradul de valorificare a mijloacelor financiare colectate în cadrul SOEE)</w:t>
            </w:r>
            <w:r w:rsidR="0036240C" w:rsidRPr="009444C7">
              <w:rPr>
                <w:rFonts w:ascii="Times New Roman" w:hAnsi="Times New Roman"/>
                <w:b/>
                <w:bCs/>
              </w:rPr>
              <w:t>.</w:t>
            </w:r>
          </w:p>
          <w:p w14:paraId="5C25A00E" w14:textId="77777777" w:rsidR="00A256C2" w:rsidRPr="009444C7" w:rsidRDefault="00A256C2" w:rsidP="00A256C2">
            <w:pPr>
              <w:tabs>
                <w:tab w:val="left" w:pos="884"/>
                <w:tab w:val="left" w:pos="1196"/>
              </w:tabs>
              <w:spacing w:before="120" w:after="120"/>
              <w:jc w:val="both"/>
              <w:rPr>
                <w:rFonts w:ascii="Times New Roman" w:hAnsi="Times New Roman"/>
                <w:bCs/>
                <w:shd w:val="clear" w:color="auto" w:fill="FFFFFF"/>
              </w:rPr>
            </w:pPr>
            <w:r w:rsidRPr="009444C7">
              <w:rPr>
                <w:rFonts w:ascii="Times New Roman" w:hAnsi="Times New Roman"/>
                <w:bCs/>
                <w:shd w:val="clear" w:color="auto" w:fill="FFFFFF"/>
              </w:rPr>
              <w:lastRenderedPageBreak/>
              <w:t>Astfel, având în vedere cele menționate mai sus, în rezultatul recalculării contribuțiilor ce urmează a fi achitate de către fiecare parte obligată, prin stabilirea unei plăți fixe, pe unitate de energie sau de volum distribuit sau importat, au fost obținute următoarele date:</w:t>
            </w:r>
          </w:p>
          <w:p w14:paraId="2A7A3312" w14:textId="0CF8D7B1" w:rsidR="00A256C2" w:rsidRPr="009444C7" w:rsidRDefault="00A256C2" w:rsidP="00A256C2">
            <w:pPr>
              <w:tabs>
                <w:tab w:val="left" w:pos="884"/>
                <w:tab w:val="left" w:pos="1196"/>
              </w:tabs>
              <w:spacing w:before="120" w:after="120"/>
              <w:jc w:val="both"/>
              <w:rPr>
                <w:rFonts w:ascii="Times New Roman" w:hAnsi="Times New Roman"/>
                <w:bCs/>
                <w:shd w:val="clear" w:color="auto" w:fill="FFFFFF"/>
              </w:rPr>
            </w:pPr>
            <w:r w:rsidRPr="009444C7">
              <w:rPr>
                <w:rFonts w:ascii="Times New Roman" w:hAnsi="Times New Roman"/>
                <w:b/>
                <w:shd w:val="clear" w:color="auto" w:fill="FFFFFF"/>
              </w:rPr>
              <w:t xml:space="preserve">Tabelul nr. </w:t>
            </w:r>
            <w:r w:rsidR="006C1D3D" w:rsidRPr="009444C7">
              <w:rPr>
                <w:rFonts w:ascii="Times New Roman" w:hAnsi="Times New Roman"/>
                <w:b/>
                <w:shd w:val="clear" w:color="auto" w:fill="FFFFFF"/>
              </w:rPr>
              <w:t>1</w:t>
            </w:r>
            <w:r w:rsidRPr="009444C7">
              <w:rPr>
                <w:rFonts w:ascii="Times New Roman" w:hAnsi="Times New Roman"/>
                <w:bCs/>
                <w:shd w:val="clear" w:color="auto" w:fill="FFFFFF"/>
              </w:rPr>
              <w:t xml:space="preserve">  Analiza comparativă a contribuțiilor ce urmează a fi achitate de către fiecare parte obligată, prin stabilirea unei plăți fixe, pe unitate de energie sau de volum distribuit sau importat până și după implementarea modificărilor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622"/>
              <w:gridCol w:w="1047"/>
              <w:gridCol w:w="958"/>
              <w:gridCol w:w="960"/>
              <w:gridCol w:w="1017"/>
              <w:gridCol w:w="1017"/>
              <w:gridCol w:w="1106"/>
            </w:tblGrid>
            <w:tr w:rsidR="00E22B2C" w:rsidRPr="009444C7" w14:paraId="33B9A547" w14:textId="77777777" w:rsidTr="005D2622">
              <w:trPr>
                <w:trHeight w:val="260"/>
              </w:trPr>
              <w:tc>
                <w:tcPr>
                  <w:tcW w:w="688" w:type="pct"/>
                  <w:vMerge w:val="restart"/>
                  <w:shd w:val="clear" w:color="000000" w:fill="FFFFFF"/>
                  <w:noWrap/>
                  <w:vAlign w:val="center"/>
                </w:tcPr>
                <w:p w14:paraId="2D06084A" w14:textId="77777777" w:rsidR="00F7310B" w:rsidRPr="009444C7" w:rsidRDefault="00F7310B" w:rsidP="00A256C2">
                  <w:pPr>
                    <w:jc w:val="center"/>
                    <w:rPr>
                      <w:b/>
                      <w:bCs/>
                      <w:color w:val="000000"/>
                      <w:sz w:val="20"/>
                      <w:szCs w:val="20"/>
                    </w:rPr>
                  </w:pPr>
                  <w:r w:rsidRPr="009444C7">
                    <w:rPr>
                      <w:b/>
                      <w:bCs/>
                      <w:color w:val="000000"/>
                      <w:sz w:val="20"/>
                      <w:szCs w:val="20"/>
                    </w:rPr>
                    <w:t>Indicator</w:t>
                  </w:r>
                </w:p>
              </w:tc>
              <w:tc>
                <w:tcPr>
                  <w:tcW w:w="901" w:type="pct"/>
                  <w:vMerge w:val="restart"/>
                  <w:shd w:val="clear" w:color="000000" w:fill="FFFFFF"/>
                  <w:vAlign w:val="center"/>
                </w:tcPr>
                <w:p w14:paraId="5B78D50D" w14:textId="77777777" w:rsidR="00F7310B" w:rsidRPr="009444C7" w:rsidRDefault="00F7310B" w:rsidP="00E22B2C">
                  <w:pPr>
                    <w:jc w:val="center"/>
                    <w:rPr>
                      <w:b/>
                      <w:bCs/>
                      <w:color w:val="000000"/>
                      <w:sz w:val="20"/>
                      <w:szCs w:val="20"/>
                    </w:rPr>
                  </w:pPr>
                  <w:r w:rsidRPr="009444C7">
                    <w:rPr>
                      <w:b/>
                      <w:bCs/>
                      <w:color w:val="000000"/>
                      <w:sz w:val="20"/>
                      <w:szCs w:val="20"/>
                    </w:rPr>
                    <w:t>Unitate de măsură</w:t>
                  </w:r>
                </w:p>
              </w:tc>
              <w:tc>
                <w:tcPr>
                  <w:tcW w:w="1658" w:type="pct"/>
                  <w:gridSpan w:val="3"/>
                  <w:tcBorders>
                    <w:right w:val="single" w:sz="18" w:space="0" w:color="auto"/>
                  </w:tcBorders>
                  <w:shd w:val="clear" w:color="000000" w:fill="FFFFFF"/>
                  <w:vAlign w:val="bottom"/>
                </w:tcPr>
                <w:p w14:paraId="45922937" w14:textId="77777777" w:rsidR="00F7310B" w:rsidRPr="009444C7" w:rsidRDefault="00F7310B" w:rsidP="00A256C2">
                  <w:pPr>
                    <w:jc w:val="center"/>
                    <w:rPr>
                      <w:b/>
                      <w:bCs/>
                      <w:color w:val="000000"/>
                      <w:sz w:val="20"/>
                      <w:szCs w:val="20"/>
                    </w:rPr>
                  </w:pPr>
                  <w:r w:rsidRPr="009444C7">
                    <w:rPr>
                      <w:b/>
                      <w:bCs/>
                      <w:color w:val="000000"/>
                      <w:sz w:val="20"/>
                      <w:szCs w:val="20"/>
                    </w:rPr>
                    <w:t xml:space="preserve">În vigoare </w:t>
                  </w:r>
                </w:p>
              </w:tc>
              <w:tc>
                <w:tcPr>
                  <w:tcW w:w="1753" w:type="pct"/>
                  <w:gridSpan w:val="3"/>
                  <w:tcBorders>
                    <w:left w:val="single" w:sz="18" w:space="0" w:color="auto"/>
                  </w:tcBorders>
                  <w:shd w:val="clear" w:color="000000" w:fill="FFFFFF"/>
                </w:tcPr>
                <w:p w14:paraId="1344067D" w14:textId="3E7A70B8" w:rsidR="00F7310B" w:rsidRPr="009444C7" w:rsidRDefault="00F7310B" w:rsidP="00A256C2">
                  <w:pPr>
                    <w:jc w:val="center"/>
                    <w:rPr>
                      <w:b/>
                      <w:bCs/>
                      <w:sz w:val="20"/>
                      <w:szCs w:val="20"/>
                    </w:rPr>
                  </w:pPr>
                  <w:r w:rsidRPr="009444C7">
                    <w:rPr>
                      <w:b/>
                      <w:bCs/>
                      <w:sz w:val="20"/>
                      <w:szCs w:val="20"/>
                    </w:rPr>
                    <w:t xml:space="preserve">După operarea modificărilor </w:t>
                  </w:r>
                </w:p>
              </w:tc>
            </w:tr>
            <w:tr w:rsidR="00E22B2C" w:rsidRPr="009444C7" w14:paraId="6FB69691" w14:textId="77777777" w:rsidTr="005D2622">
              <w:trPr>
                <w:trHeight w:val="260"/>
              </w:trPr>
              <w:tc>
                <w:tcPr>
                  <w:tcW w:w="688" w:type="pct"/>
                  <w:vMerge/>
                  <w:shd w:val="clear" w:color="000000" w:fill="FFFFFF"/>
                  <w:noWrap/>
                  <w:vAlign w:val="bottom"/>
                  <w:hideMark/>
                </w:tcPr>
                <w:p w14:paraId="740673A6" w14:textId="77777777" w:rsidR="00F7310B" w:rsidRPr="009444C7" w:rsidRDefault="00F7310B" w:rsidP="00A256C2">
                  <w:pPr>
                    <w:jc w:val="center"/>
                    <w:rPr>
                      <w:b/>
                      <w:bCs/>
                      <w:color w:val="000000"/>
                      <w:sz w:val="20"/>
                      <w:szCs w:val="20"/>
                      <w:lang w:eastAsia="en-US"/>
                    </w:rPr>
                  </w:pPr>
                </w:p>
              </w:tc>
              <w:tc>
                <w:tcPr>
                  <w:tcW w:w="901" w:type="pct"/>
                  <w:vMerge/>
                  <w:shd w:val="clear" w:color="000000" w:fill="FFFFFF"/>
                  <w:vAlign w:val="bottom"/>
                  <w:hideMark/>
                </w:tcPr>
                <w:p w14:paraId="368FA5DC" w14:textId="77777777" w:rsidR="00F7310B" w:rsidRPr="009444C7" w:rsidRDefault="00F7310B" w:rsidP="00A256C2">
                  <w:pPr>
                    <w:jc w:val="center"/>
                    <w:rPr>
                      <w:b/>
                      <w:bCs/>
                      <w:color w:val="000000"/>
                      <w:sz w:val="20"/>
                      <w:szCs w:val="20"/>
                    </w:rPr>
                  </w:pPr>
                </w:p>
              </w:tc>
              <w:tc>
                <w:tcPr>
                  <w:tcW w:w="1658" w:type="pct"/>
                  <w:gridSpan w:val="3"/>
                  <w:tcBorders>
                    <w:right w:val="single" w:sz="18" w:space="0" w:color="auto"/>
                  </w:tcBorders>
                  <w:shd w:val="clear" w:color="000000" w:fill="FFFFFF"/>
                  <w:vAlign w:val="bottom"/>
                  <w:hideMark/>
                </w:tcPr>
                <w:p w14:paraId="3FDABAD2" w14:textId="77777777" w:rsidR="00F7310B" w:rsidRPr="009444C7" w:rsidRDefault="00F7310B" w:rsidP="00A256C2">
                  <w:pPr>
                    <w:jc w:val="center"/>
                    <w:rPr>
                      <w:b/>
                      <w:bCs/>
                      <w:color w:val="000000"/>
                      <w:sz w:val="20"/>
                      <w:szCs w:val="20"/>
                    </w:rPr>
                  </w:pPr>
                  <w:r w:rsidRPr="009444C7">
                    <w:rPr>
                      <w:b/>
                      <w:bCs/>
                      <w:color w:val="000000"/>
                      <w:sz w:val="20"/>
                      <w:szCs w:val="20"/>
                    </w:rPr>
                    <w:t>Anul</w:t>
                  </w:r>
                </w:p>
              </w:tc>
              <w:tc>
                <w:tcPr>
                  <w:tcW w:w="1753" w:type="pct"/>
                  <w:gridSpan w:val="3"/>
                  <w:tcBorders>
                    <w:left w:val="single" w:sz="18" w:space="0" w:color="auto"/>
                  </w:tcBorders>
                  <w:shd w:val="clear" w:color="000000" w:fill="FFFFFF"/>
                </w:tcPr>
                <w:p w14:paraId="453DD238" w14:textId="7CE0E989" w:rsidR="00F7310B" w:rsidRPr="009444C7" w:rsidRDefault="00F7310B" w:rsidP="00A256C2">
                  <w:pPr>
                    <w:jc w:val="center"/>
                    <w:rPr>
                      <w:b/>
                      <w:bCs/>
                      <w:sz w:val="20"/>
                      <w:szCs w:val="20"/>
                    </w:rPr>
                  </w:pPr>
                  <w:r w:rsidRPr="009444C7">
                    <w:rPr>
                      <w:b/>
                      <w:bCs/>
                      <w:sz w:val="20"/>
                      <w:szCs w:val="20"/>
                    </w:rPr>
                    <w:t>Anul</w:t>
                  </w:r>
                </w:p>
              </w:tc>
            </w:tr>
            <w:tr w:rsidR="00E22B2C" w:rsidRPr="009444C7" w14:paraId="77EAEB9F" w14:textId="77777777" w:rsidTr="005D2622">
              <w:trPr>
                <w:trHeight w:val="426"/>
              </w:trPr>
              <w:tc>
                <w:tcPr>
                  <w:tcW w:w="688" w:type="pct"/>
                  <w:vMerge/>
                  <w:vAlign w:val="center"/>
                  <w:hideMark/>
                </w:tcPr>
                <w:p w14:paraId="4ABB2BEA" w14:textId="77777777" w:rsidR="000A4748" w:rsidRPr="009444C7" w:rsidRDefault="000A4748" w:rsidP="00A256C2">
                  <w:pPr>
                    <w:rPr>
                      <w:b/>
                      <w:bCs/>
                      <w:color w:val="000000"/>
                      <w:sz w:val="20"/>
                      <w:szCs w:val="20"/>
                    </w:rPr>
                  </w:pPr>
                </w:p>
              </w:tc>
              <w:tc>
                <w:tcPr>
                  <w:tcW w:w="901" w:type="pct"/>
                  <w:vMerge/>
                  <w:vAlign w:val="center"/>
                  <w:hideMark/>
                </w:tcPr>
                <w:p w14:paraId="099097F0" w14:textId="77777777" w:rsidR="000A4748" w:rsidRPr="009444C7" w:rsidRDefault="000A4748" w:rsidP="00A256C2">
                  <w:pPr>
                    <w:rPr>
                      <w:b/>
                      <w:bCs/>
                      <w:color w:val="000000"/>
                      <w:sz w:val="20"/>
                      <w:szCs w:val="20"/>
                    </w:rPr>
                  </w:pPr>
                </w:p>
              </w:tc>
              <w:tc>
                <w:tcPr>
                  <w:tcW w:w="585" w:type="pct"/>
                  <w:shd w:val="clear" w:color="000000" w:fill="FFFFFF"/>
                  <w:noWrap/>
                  <w:vAlign w:val="center"/>
                </w:tcPr>
                <w:p w14:paraId="0B218332" w14:textId="77777777" w:rsidR="000A4748" w:rsidRPr="009444C7" w:rsidRDefault="000A4748" w:rsidP="00E22B2C">
                  <w:pPr>
                    <w:jc w:val="center"/>
                    <w:rPr>
                      <w:b/>
                      <w:bCs/>
                      <w:color w:val="000000"/>
                      <w:sz w:val="20"/>
                      <w:szCs w:val="20"/>
                    </w:rPr>
                  </w:pPr>
                  <w:r w:rsidRPr="009444C7">
                    <w:rPr>
                      <w:b/>
                      <w:bCs/>
                      <w:color w:val="000000"/>
                      <w:sz w:val="20"/>
                      <w:szCs w:val="20"/>
                    </w:rPr>
                    <w:t>2024</w:t>
                  </w:r>
                </w:p>
              </w:tc>
              <w:tc>
                <w:tcPr>
                  <w:tcW w:w="536" w:type="pct"/>
                  <w:shd w:val="clear" w:color="000000" w:fill="FFFFFF"/>
                  <w:vAlign w:val="center"/>
                </w:tcPr>
                <w:p w14:paraId="1FB2C0B3" w14:textId="77777777" w:rsidR="000A4748" w:rsidRPr="009444C7" w:rsidRDefault="000A4748" w:rsidP="00E22B2C">
                  <w:pPr>
                    <w:jc w:val="center"/>
                    <w:rPr>
                      <w:b/>
                      <w:bCs/>
                      <w:color w:val="000000"/>
                      <w:sz w:val="20"/>
                      <w:szCs w:val="20"/>
                    </w:rPr>
                  </w:pPr>
                  <w:r w:rsidRPr="009444C7">
                    <w:rPr>
                      <w:b/>
                      <w:bCs/>
                      <w:color w:val="000000"/>
                      <w:sz w:val="20"/>
                      <w:szCs w:val="20"/>
                    </w:rPr>
                    <w:t>2025</w:t>
                  </w:r>
                </w:p>
              </w:tc>
              <w:tc>
                <w:tcPr>
                  <w:tcW w:w="536" w:type="pct"/>
                  <w:tcBorders>
                    <w:right w:val="single" w:sz="18" w:space="0" w:color="auto"/>
                  </w:tcBorders>
                  <w:shd w:val="clear" w:color="000000" w:fill="FFFFFF"/>
                  <w:vAlign w:val="center"/>
                </w:tcPr>
                <w:p w14:paraId="27975AF6" w14:textId="77777777" w:rsidR="000A4748" w:rsidRPr="009444C7" w:rsidRDefault="000A4748" w:rsidP="00E22B2C">
                  <w:pPr>
                    <w:jc w:val="center"/>
                    <w:rPr>
                      <w:b/>
                      <w:bCs/>
                      <w:color w:val="000000"/>
                      <w:sz w:val="20"/>
                      <w:szCs w:val="20"/>
                    </w:rPr>
                  </w:pPr>
                  <w:r w:rsidRPr="009444C7">
                    <w:rPr>
                      <w:b/>
                      <w:bCs/>
                      <w:color w:val="000000"/>
                      <w:sz w:val="20"/>
                      <w:szCs w:val="20"/>
                    </w:rPr>
                    <w:t>2026</w:t>
                  </w:r>
                </w:p>
              </w:tc>
              <w:tc>
                <w:tcPr>
                  <w:tcW w:w="568" w:type="pct"/>
                  <w:tcBorders>
                    <w:left w:val="single" w:sz="18" w:space="0" w:color="auto"/>
                  </w:tcBorders>
                  <w:shd w:val="clear" w:color="000000" w:fill="FFFFFF"/>
                  <w:vAlign w:val="center"/>
                </w:tcPr>
                <w:p w14:paraId="05A52F8F" w14:textId="6D5A1C2E" w:rsidR="000A4748" w:rsidRPr="009444C7" w:rsidRDefault="000A4748" w:rsidP="000A4748">
                  <w:pPr>
                    <w:jc w:val="center"/>
                    <w:rPr>
                      <w:b/>
                      <w:bCs/>
                      <w:sz w:val="20"/>
                      <w:szCs w:val="20"/>
                    </w:rPr>
                  </w:pPr>
                  <w:r w:rsidRPr="009444C7">
                    <w:rPr>
                      <w:b/>
                      <w:bCs/>
                      <w:sz w:val="20"/>
                      <w:szCs w:val="20"/>
                    </w:rPr>
                    <w:t>2024</w:t>
                  </w:r>
                </w:p>
              </w:tc>
              <w:tc>
                <w:tcPr>
                  <w:tcW w:w="568" w:type="pct"/>
                  <w:shd w:val="clear" w:color="000000" w:fill="FFFFFF"/>
                  <w:vAlign w:val="center"/>
                </w:tcPr>
                <w:p w14:paraId="7489513A" w14:textId="3B34D82C" w:rsidR="000A4748" w:rsidRPr="009444C7" w:rsidRDefault="000A4748" w:rsidP="00E22B2C">
                  <w:pPr>
                    <w:ind w:left="-144" w:right="-144"/>
                    <w:jc w:val="center"/>
                    <w:rPr>
                      <w:b/>
                      <w:bCs/>
                      <w:sz w:val="18"/>
                      <w:szCs w:val="18"/>
                    </w:rPr>
                  </w:pPr>
                  <w:r w:rsidRPr="009444C7">
                    <w:rPr>
                      <w:b/>
                      <w:bCs/>
                      <w:sz w:val="20"/>
                      <w:szCs w:val="20"/>
                    </w:rPr>
                    <w:t>2025</w:t>
                  </w:r>
                </w:p>
              </w:tc>
              <w:tc>
                <w:tcPr>
                  <w:tcW w:w="617" w:type="pct"/>
                  <w:shd w:val="clear" w:color="000000" w:fill="FFFFFF"/>
                  <w:noWrap/>
                  <w:vAlign w:val="center"/>
                  <w:hideMark/>
                </w:tcPr>
                <w:p w14:paraId="52FE114F" w14:textId="77777777" w:rsidR="000A4748" w:rsidRPr="009444C7" w:rsidRDefault="000A4748" w:rsidP="000A4748">
                  <w:pPr>
                    <w:jc w:val="center"/>
                    <w:rPr>
                      <w:b/>
                      <w:bCs/>
                      <w:sz w:val="20"/>
                      <w:szCs w:val="20"/>
                    </w:rPr>
                  </w:pPr>
                  <w:r w:rsidRPr="009444C7">
                    <w:rPr>
                      <w:b/>
                      <w:bCs/>
                      <w:sz w:val="20"/>
                      <w:szCs w:val="20"/>
                    </w:rPr>
                    <w:t>2026</w:t>
                  </w:r>
                </w:p>
              </w:tc>
            </w:tr>
            <w:tr w:rsidR="00E22B2C" w:rsidRPr="009444C7" w14:paraId="1908CA84" w14:textId="77777777" w:rsidTr="005D2622">
              <w:trPr>
                <w:trHeight w:val="780"/>
              </w:trPr>
              <w:tc>
                <w:tcPr>
                  <w:tcW w:w="688" w:type="pct"/>
                  <w:shd w:val="clear" w:color="000000" w:fill="FFFFFF"/>
                  <w:vAlign w:val="bottom"/>
                  <w:hideMark/>
                </w:tcPr>
                <w:p w14:paraId="0A5E307F" w14:textId="77777777" w:rsidR="000A4748" w:rsidRPr="009444C7" w:rsidRDefault="000A4748" w:rsidP="0060531E">
                  <w:pPr>
                    <w:rPr>
                      <w:color w:val="000000"/>
                      <w:sz w:val="20"/>
                      <w:szCs w:val="20"/>
                    </w:rPr>
                  </w:pPr>
                  <w:r w:rsidRPr="009444C7">
                    <w:rPr>
                      <w:color w:val="000000"/>
                      <w:sz w:val="20"/>
                      <w:szCs w:val="20"/>
                    </w:rPr>
                    <w:t>Plata fixă în anul calendaristic „t”, în lei/kWh de energie electrică distribuită de operatorii sistemelor de distribuție a energiei electrice</w:t>
                  </w:r>
                </w:p>
              </w:tc>
              <w:tc>
                <w:tcPr>
                  <w:tcW w:w="901" w:type="pct"/>
                  <w:shd w:val="clear" w:color="000000" w:fill="FFFFFF"/>
                  <w:noWrap/>
                  <w:vAlign w:val="center"/>
                  <w:hideMark/>
                </w:tcPr>
                <w:p w14:paraId="5A7723D2" w14:textId="77777777" w:rsidR="000A4748" w:rsidRPr="009444C7" w:rsidRDefault="000A4748" w:rsidP="0060531E">
                  <w:pPr>
                    <w:jc w:val="center"/>
                    <w:rPr>
                      <w:color w:val="000000"/>
                      <w:sz w:val="20"/>
                      <w:szCs w:val="20"/>
                    </w:rPr>
                  </w:pPr>
                  <w:r w:rsidRPr="009444C7">
                    <w:rPr>
                      <w:color w:val="000000"/>
                      <w:sz w:val="20"/>
                      <w:szCs w:val="20"/>
                    </w:rPr>
                    <w:t>lei/kWh</w:t>
                  </w:r>
                </w:p>
              </w:tc>
              <w:tc>
                <w:tcPr>
                  <w:tcW w:w="585" w:type="pct"/>
                  <w:shd w:val="clear" w:color="000000" w:fill="FFFFFF"/>
                  <w:noWrap/>
                  <w:vAlign w:val="center"/>
                </w:tcPr>
                <w:p w14:paraId="27A60529" w14:textId="77777777" w:rsidR="000A4748" w:rsidRPr="009444C7" w:rsidRDefault="000A4748" w:rsidP="0060531E">
                  <w:pPr>
                    <w:jc w:val="center"/>
                    <w:rPr>
                      <w:color w:val="000000"/>
                      <w:sz w:val="20"/>
                      <w:szCs w:val="20"/>
                    </w:rPr>
                  </w:pPr>
                  <w:r w:rsidRPr="009444C7">
                    <w:rPr>
                      <w:color w:val="000000"/>
                      <w:sz w:val="20"/>
                      <w:szCs w:val="20"/>
                    </w:rPr>
                    <w:t>0.010</w:t>
                  </w:r>
                </w:p>
              </w:tc>
              <w:tc>
                <w:tcPr>
                  <w:tcW w:w="536" w:type="pct"/>
                  <w:shd w:val="clear" w:color="000000" w:fill="FFFFFF"/>
                  <w:vAlign w:val="center"/>
                </w:tcPr>
                <w:p w14:paraId="2720AF84" w14:textId="77777777" w:rsidR="000A4748" w:rsidRPr="009444C7" w:rsidRDefault="000A4748" w:rsidP="0060531E">
                  <w:pPr>
                    <w:jc w:val="center"/>
                    <w:rPr>
                      <w:color w:val="000000"/>
                      <w:sz w:val="20"/>
                      <w:szCs w:val="20"/>
                    </w:rPr>
                  </w:pPr>
                  <w:r w:rsidRPr="009444C7">
                    <w:rPr>
                      <w:color w:val="000000"/>
                      <w:sz w:val="20"/>
                      <w:szCs w:val="20"/>
                    </w:rPr>
                    <w:t>0.011</w:t>
                  </w:r>
                </w:p>
              </w:tc>
              <w:tc>
                <w:tcPr>
                  <w:tcW w:w="536" w:type="pct"/>
                  <w:tcBorders>
                    <w:right w:val="single" w:sz="18" w:space="0" w:color="auto"/>
                  </w:tcBorders>
                  <w:shd w:val="clear" w:color="000000" w:fill="FFFFFF"/>
                  <w:vAlign w:val="center"/>
                </w:tcPr>
                <w:p w14:paraId="2BFA2895" w14:textId="77777777" w:rsidR="000A4748" w:rsidRPr="009444C7" w:rsidRDefault="000A4748" w:rsidP="0060531E">
                  <w:pPr>
                    <w:jc w:val="center"/>
                    <w:rPr>
                      <w:color w:val="000000"/>
                      <w:sz w:val="20"/>
                      <w:szCs w:val="20"/>
                    </w:rPr>
                  </w:pPr>
                  <w:r w:rsidRPr="009444C7">
                    <w:rPr>
                      <w:color w:val="000000"/>
                      <w:sz w:val="20"/>
                      <w:szCs w:val="20"/>
                    </w:rPr>
                    <w:t>0.011</w:t>
                  </w:r>
                </w:p>
              </w:tc>
              <w:tc>
                <w:tcPr>
                  <w:tcW w:w="568" w:type="pct"/>
                  <w:tcBorders>
                    <w:left w:val="single" w:sz="18" w:space="0" w:color="auto"/>
                  </w:tcBorders>
                  <w:shd w:val="clear" w:color="000000" w:fill="FFFFFF"/>
                  <w:vAlign w:val="center"/>
                </w:tcPr>
                <w:p w14:paraId="787DE5E8" w14:textId="3F38D3B6" w:rsidR="000A4748" w:rsidRPr="009444C7" w:rsidRDefault="000A4748" w:rsidP="0060531E">
                  <w:pPr>
                    <w:jc w:val="center"/>
                    <w:rPr>
                      <w:sz w:val="20"/>
                      <w:szCs w:val="20"/>
                    </w:rPr>
                  </w:pPr>
                  <w:r w:rsidRPr="009444C7">
                    <w:rPr>
                      <w:sz w:val="20"/>
                      <w:szCs w:val="20"/>
                    </w:rPr>
                    <w:t>0.01</w:t>
                  </w:r>
                </w:p>
              </w:tc>
              <w:tc>
                <w:tcPr>
                  <w:tcW w:w="568" w:type="pct"/>
                  <w:shd w:val="clear" w:color="000000" w:fill="FFFFFF"/>
                  <w:vAlign w:val="center"/>
                </w:tcPr>
                <w:p w14:paraId="2C140BED" w14:textId="7555DD62" w:rsidR="000A4748" w:rsidRPr="009444C7" w:rsidRDefault="000A4748" w:rsidP="0060531E">
                  <w:pPr>
                    <w:jc w:val="center"/>
                    <w:rPr>
                      <w:sz w:val="20"/>
                      <w:szCs w:val="20"/>
                    </w:rPr>
                  </w:pPr>
                  <w:r w:rsidRPr="009444C7">
                    <w:rPr>
                      <w:sz w:val="20"/>
                      <w:szCs w:val="20"/>
                    </w:rPr>
                    <w:t>0.0</w:t>
                  </w:r>
                  <w:r w:rsidR="001F4E69" w:rsidRPr="009444C7">
                    <w:rPr>
                      <w:sz w:val="20"/>
                      <w:szCs w:val="20"/>
                    </w:rPr>
                    <w:t>11</w:t>
                  </w:r>
                </w:p>
              </w:tc>
              <w:tc>
                <w:tcPr>
                  <w:tcW w:w="617" w:type="pct"/>
                  <w:shd w:val="clear" w:color="000000" w:fill="FFFFFF"/>
                  <w:noWrap/>
                  <w:vAlign w:val="center"/>
                  <w:hideMark/>
                </w:tcPr>
                <w:p w14:paraId="39E17315" w14:textId="1C46CB39" w:rsidR="000A4748" w:rsidRPr="009444C7" w:rsidRDefault="000A4748" w:rsidP="0060531E">
                  <w:pPr>
                    <w:jc w:val="center"/>
                    <w:rPr>
                      <w:sz w:val="20"/>
                      <w:szCs w:val="20"/>
                    </w:rPr>
                  </w:pPr>
                  <w:r w:rsidRPr="009444C7">
                    <w:rPr>
                      <w:sz w:val="20"/>
                      <w:szCs w:val="20"/>
                    </w:rPr>
                    <w:t>0.01</w:t>
                  </w:r>
                  <w:r w:rsidR="00157877" w:rsidRPr="009444C7">
                    <w:rPr>
                      <w:sz w:val="20"/>
                      <w:szCs w:val="20"/>
                    </w:rPr>
                    <w:t>7</w:t>
                  </w:r>
                </w:p>
              </w:tc>
            </w:tr>
            <w:tr w:rsidR="00E22B2C" w:rsidRPr="009444C7" w14:paraId="6E6E94FA" w14:textId="77777777" w:rsidTr="005D2622">
              <w:trPr>
                <w:trHeight w:val="780"/>
              </w:trPr>
              <w:tc>
                <w:tcPr>
                  <w:tcW w:w="688" w:type="pct"/>
                  <w:shd w:val="clear" w:color="000000" w:fill="FFFFFF"/>
                  <w:vAlign w:val="bottom"/>
                  <w:hideMark/>
                </w:tcPr>
                <w:p w14:paraId="014DF449" w14:textId="77777777" w:rsidR="000A4748" w:rsidRPr="009444C7" w:rsidRDefault="000A4748" w:rsidP="0060531E">
                  <w:pPr>
                    <w:rPr>
                      <w:color w:val="000000"/>
                      <w:sz w:val="20"/>
                      <w:szCs w:val="20"/>
                    </w:rPr>
                  </w:pPr>
                  <w:r w:rsidRPr="009444C7">
                    <w:rPr>
                      <w:color w:val="000000"/>
                      <w:sz w:val="20"/>
                      <w:szCs w:val="20"/>
                    </w:rPr>
                    <w:t>Plata fixă în anul calendaristic „t”, în lei/m3 de gaze naturale distribuite de operatorii sistemelor de distribuție a gazelor naturale</w:t>
                  </w:r>
                </w:p>
              </w:tc>
              <w:tc>
                <w:tcPr>
                  <w:tcW w:w="901" w:type="pct"/>
                  <w:shd w:val="clear" w:color="000000" w:fill="FFFFFF"/>
                  <w:noWrap/>
                  <w:vAlign w:val="center"/>
                  <w:hideMark/>
                </w:tcPr>
                <w:p w14:paraId="26A14F31" w14:textId="77777777" w:rsidR="000A4748" w:rsidRPr="009444C7" w:rsidRDefault="000A4748" w:rsidP="0060531E">
                  <w:pPr>
                    <w:jc w:val="center"/>
                    <w:rPr>
                      <w:color w:val="000000"/>
                      <w:sz w:val="20"/>
                      <w:szCs w:val="20"/>
                    </w:rPr>
                  </w:pPr>
                  <w:r w:rsidRPr="009444C7">
                    <w:rPr>
                      <w:color w:val="000000"/>
                      <w:sz w:val="20"/>
                      <w:szCs w:val="20"/>
                    </w:rPr>
                    <w:t>lei/m</w:t>
                  </w:r>
                  <w:r w:rsidRPr="009444C7">
                    <w:rPr>
                      <w:color w:val="000000"/>
                      <w:sz w:val="20"/>
                      <w:szCs w:val="20"/>
                      <w:vertAlign w:val="superscript"/>
                    </w:rPr>
                    <w:t>3</w:t>
                  </w:r>
                </w:p>
              </w:tc>
              <w:tc>
                <w:tcPr>
                  <w:tcW w:w="585" w:type="pct"/>
                  <w:shd w:val="clear" w:color="000000" w:fill="FFFFFF"/>
                  <w:noWrap/>
                  <w:vAlign w:val="center"/>
                </w:tcPr>
                <w:p w14:paraId="1567C6E6" w14:textId="77777777" w:rsidR="000A4748" w:rsidRPr="009444C7" w:rsidRDefault="000A4748" w:rsidP="0060531E">
                  <w:pPr>
                    <w:jc w:val="center"/>
                    <w:rPr>
                      <w:color w:val="000000" w:themeColor="text1"/>
                      <w:sz w:val="20"/>
                      <w:szCs w:val="20"/>
                    </w:rPr>
                  </w:pPr>
                  <w:r w:rsidRPr="009444C7">
                    <w:rPr>
                      <w:color w:val="000000" w:themeColor="text1"/>
                      <w:sz w:val="20"/>
                      <w:szCs w:val="20"/>
                    </w:rPr>
                    <w:t>0.057</w:t>
                  </w:r>
                </w:p>
              </w:tc>
              <w:tc>
                <w:tcPr>
                  <w:tcW w:w="536" w:type="pct"/>
                  <w:shd w:val="clear" w:color="000000" w:fill="FFFFFF"/>
                  <w:vAlign w:val="center"/>
                </w:tcPr>
                <w:p w14:paraId="49461818" w14:textId="77777777" w:rsidR="000A4748" w:rsidRPr="009444C7" w:rsidRDefault="000A4748" w:rsidP="0060531E">
                  <w:pPr>
                    <w:jc w:val="center"/>
                    <w:rPr>
                      <w:color w:val="000000" w:themeColor="text1"/>
                      <w:sz w:val="20"/>
                      <w:szCs w:val="20"/>
                    </w:rPr>
                  </w:pPr>
                  <w:r w:rsidRPr="009444C7">
                    <w:rPr>
                      <w:color w:val="000000" w:themeColor="text1"/>
                      <w:sz w:val="20"/>
                      <w:szCs w:val="20"/>
                    </w:rPr>
                    <w:t>0.060</w:t>
                  </w:r>
                </w:p>
              </w:tc>
              <w:tc>
                <w:tcPr>
                  <w:tcW w:w="536" w:type="pct"/>
                  <w:tcBorders>
                    <w:right w:val="single" w:sz="18" w:space="0" w:color="auto"/>
                  </w:tcBorders>
                  <w:shd w:val="clear" w:color="000000" w:fill="FFFFFF"/>
                  <w:vAlign w:val="center"/>
                </w:tcPr>
                <w:p w14:paraId="21172B32" w14:textId="77777777" w:rsidR="000A4748" w:rsidRPr="009444C7" w:rsidRDefault="000A4748" w:rsidP="0060531E">
                  <w:pPr>
                    <w:pStyle w:val="NormalWeb"/>
                    <w:jc w:val="center"/>
                    <w:rPr>
                      <w:color w:val="000000" w:themeColor="text1"/>
                      <w:sz w:val="20"/>
                      <w:szCs w:val="20"/>
                      <w:lang w:val="ro-RO" w:eastAsia="en-US"/>
                    </w:rPr>
                  </w:pPr>
                  <w:r w:rsidRPr="009444C7">
                    <w:rPr>
                      <w:color w:val="000000" w:themeColor="text1"/>
                      <w:sz w:val="20"/>
                      <w:szCs w:val="20"/>
                      <w:lang w:val="ro-RO"/>
                    </w:rPr>
                    <w:br/>
                    <w:t>0.063</w:t>
                  </w:r>
                </w:p>
                <w:p w14:paraId="10E0F07D" w14:textId="77777777" w:rsidR="000A4748" w:rsidRPr="009444C7" w:rsidRDefault="000A4748" w:rsidP="0060531E">
                  <w:pPr>
                    <w:jc w:val="center"/>
                    <w:rPr>
                      <w:color w:val="000000" w:themeColor="text1"/>
                      <w:sz w:val="20"/>
                      <w:szCs w:val="20"/>
                    </w:rPr>
                  </w:pPr>
                </w:p>
              </w:tc>
              <w:tc>
                <w:tcPr>
                  <w:tcW w:w="568" w:type="pct"/>
                  <w:tcBorders>
                    <w:left w:val="single" w:sz="18" w:space="0" w:color="auto"/>
                  </w:tcBorders>
                  <w:shd w:val="clear" w:color="000000" w:fill="FFFFFF"/>
                  <w:vAlign w:val="center"/>
                </w:tcPr>
                <w:p w14:paraId="7B27E008" w14:textId="79189517" w:rsidR="000A4748" w:rsidRPr="009444C7" w:rsidRDefault="000A4748" w:rsidP="0060531E">
                  <w:pPr>
                    <w:jc w:val="center"/>
                    <w:rPr>
                      <w:sz w:val="20"/>
                      <w:szCs w:val="20"/>
                    </w:rPr>
                  </w:pPr>
                  <w:r w:rsidRPr="009444C7">
                    <w:rPr>
                      <w:sz w:val="20"/>
                      <w:szCs w:val="20"/>
                    </w:rPr>
                    <w:t>0.057</w:t>
                  </w:r>
                </w:p>
              </w:tc>
              <w:tc>
                <w:tcPr>
                  <w:tcW w:w="568" w:type="pct"/>
                  <w:shd w:val="clear" w:color="000000" w:fill="FFFFFF"/>
                  <w:vAlign w:val="center"/>
                </w:tcPr>
                <w:p w14:paraId="0BCB3088" w14:textId="7A1AEACA" w:rsidR="000A4748" w:rsidRPr="009444C7" w:rsidRDefault="000A4748" w:rsidP="0060531E">
                  <w:pPr>
                    <w:jc w:val="center"/>
                    <w:rPr>
                      <w:sz w:val="20"/>
                      <w:szCs w:val="20"/>
                    </w:rPr>
                  </w:pPr>
                  <w:r w:rsidRPr="009444C7">
                    <w:rPr>
                      <w:sz w:val="20"/>
                      <w:szCs w:val="20"/>
                    </w:rPr>
                    <w:t>0.0</w:t>
                  </w:r>
                  <w:r w:rsidR="001F4E69" w:rsidRPr="009444C7">
                    <w:rPr>
                      <w:sz w:val="20"/>
                      <w:szCs w:val="20"/>
                    </w:rPr>
                    <w:t>6</w:t>
                  </w:r>
                </w:p>
              </w:tc>
              <w:tc>
                <w:tcPr>
                  <w:tcW w:w="617" w:type="pct"/>
                  <w:shd w:val="clear" w:color="000000" w:fill="FFFFFF"/>
                  <w:noWrap/>
                  <w:vAlign w:val="center"/>
                  <w:hideMark/>
                </w:tcPr>
                <w:p w14:paraId="01A33D2D" w14:textId="20ADD08B" w:rsidR="000A4748" w:rsidRPr="009444C7" w:rsidRDefault="000A4748" w:rsidP="0060531E">
                  <w:pPr>
                    <w:jc w:val="center"/>
                    <w:rPr>
                      <w:sz w:val="20"/>
                      <w:szCs w:val="20"/>
                    </w:rPr>
                  </w:pPr>
                  <w:r w:rsidRPr="009444C7">
                    <w:rPr>
                      <w:sz w:val="20"/>
                      <w:szCs w:val="20"/>
                    </w:rPr>
                    <w:t>0.0</w:t>
                  </w:r>
                  <w:r w:rsidR="00157877" w:rsidRPr="009444C7">
                    <w:rPr>
                      <w:sz w:val="20"/>
                      <w:szCs w:val="20"/>
                    </w:rPr>
                    <w:t>95</w:t>
                  </w:r>
                </w:p>
              </w:tc>
            </w:tr>
            <w:tr w:rsidR="00E22B2C" w:rsidRPr="009444C7" w14:paraId="6738977F" w14:textId="77777777" w:rsidTr="005D2622">
              <w:trPr>
                <w:trHeight w:val="780"/>
              </w:trPr>
              <w:tc>
                <w:tcPr>
                  <w:tcW w:w="688" w:type="pct"/>
                  <w:shd w:val="clear" w:color="000000" w:fill="FFFFFF"/>
                  <w:vAlign w:val="bottom"/>
                  <w:hideMark/>
                </w:tcPr>
                <w:p w14:paraId="23562C6A" w14:textId="77777777" w:rsidR="000A4748" w:rsidRPr="009444C7" w:rsidRDefault="000A4748" w:rsidP="0060531E">
                  <w:pPr>
                    <w:rPr>
                      <w:color w:val="000000"/>
                      <w:sz w:val="20"/>
                      <w:szCs w:val="20"/>
                    </w:rPr>
                  </w:pPr>
                  <w:r w:rsidRPr="009444C7">
                    <w:rPr>
                      <w:color w:val="000000"/>
                      <w:sz w:val="20"/>
                      <w:szCs w:val="20"/>
                    </w:rPr>
                    <w:t>Plata fixă în anul calendaristic „t”, în lei/litru de produse petroliere comercializate de importatorii de produse petroliere, stabilită diferențiat pentru:</w:t>
                  </w:r>
                </w:p>
              </w:tc>
              <w:tc>
                <w:tcPr>
                  <w:tcW w:w="901" w:type="pct"/>
                  <w:shd w:val="clear" w:color="000000" w:fill="FFFFFF"/>
                  <w:noWrap/>
                  <w:vAlign w:val="center"/>
                  <w:hideMark/>
                </w:tcPr>
                <w:p w14:paraId="3BF2AB9C" w14:textId="07D3D314" w:rsidR="000A4748" w:rsidRPr="009444C7" w:rsidRDefault="000A4748" w:rsidP="0060531E">
                  <w:pPr>
                    <w:jc w:val="center"/>
                    <w:rPr>
                      <w:color w:val="000000"/>
                      <w:sz w:val="20"/>
                      <w:szCs w:val="20"/>
                    </w:rPr>
                  </w:pPr>
                </w:p>
              </w:tc>
              <w:tc>
                <w:tcPr>
                  <w:tcW w:w="585" w:type="pct"/>
                  <w:shd w:val="clear" w:color="000000" w:fill="FFFFFF"/>
                  <w:noWrap/>
                  <w:vAlign w:val="center"/>
                </w:tcPr>
                <w:p w14:paraId="2625AE58" w14:textId="77777777" w:rsidR="000A4748" w:rsidRPr="009444C7" w:rsidRDefault="000A4748" w:rsidP="0060531E">
                  <w:pPr>
                    <w:jc w:val="center"/>
                    <w:rPr>
                      <w:color w:val="000000"/>
                      <w:sz w:val="20"/>
                      <w:szCs w:val="20"/>
                    </w:rPr>
                  </w:pPr>
                </w:p>
              </w:tc>
              <w:tc>
                <w:tcPr>
                  <w:tcW w:w="536" w:type="pct"/>
                  <w:shd w:val="clear" w:color="000000" w:fill="FFFFFF"/>
                  <w:vAlign w:val="center"/>
                </w:tcPr>
                <w:p w14:paraId="627999A0" w14:textId="77777777" w:rsidR="000A4748" w:rsidRPr="009444C7" w:rsidRDefault="000A4748" w:rsidP="0060531E">
                  <w:pPr>
                    <w:jc w:val="center"/>
                    <w:rPr>
                      <w:color w:val="000000"/>
                      <w:sz w:val="20"/>
                      <w:szCs w:val="20"/>
                    </w:rPr>
                  </w:pPr>
                </w:p>
              </w:tc>
              <w:tc>
                <w:tcPr>
                  <w:tcW w:w="536" w:type="pct"/>
                  <w:tcBorders>
                    <w:right w:val="single" w:sz="18" w:space="0" w:color="auto"/>
                  </w:tcBorders>
                  <w:shd w:val="clear" w:color="000000" w:fill="FFFFFF"/>
                  <w:vAlign w:val="center"/>
                </w:tcPr>
                <w:p w14:paraId="32C4BEAE" w14:textId="77777777" w:rsidR="000A4748" w:rsidRPr="009444C7" w:rsidRDefault="000A4748" w:rsidP="0060531E">
                  <w:pPr>
                    <w:jc w:val="center"/>
                    <w:rPr>
                      <w:color w:val="000000"/>
                      <w:sz w:val="20"/>
                      <w:szCs w:val="20"/>
                    </w:rPr>
                  </w:pPr>
                </w:p>
              </w:tc>
              <w:tc>
                <w:tcPr>
                  <w:tcW w:w="568" w:type="pct"/>
                  <w:tcBorders>
                    <w:left w:val="single" w:sz="18" w:space="0" w:color="auto"/>
                  </w:tcBorders>
                  <w:shd w:val="clear" w:color="000000" w:fill="FFFFFF"/>
                  <w:vAlign w:val="center"/>
                </w:tcPr>
                <w:p w14:paraId="4BE51D3A" w14:textId="77777777" w:rsidR="000A4748" w:rsidRPr="009444C7" w:rsidRDefault="000A4748" w:rsidP="0060531E">
                  <w:pPr>
                    <w:jc w:val="center"/>
                    <w:rPr>
                      <w:sz w:val="20"/>
                      <w:szCs w:val="20"/>
                    </w:rPr>
                  </w:pPr>
                </w:p>
              </w:tc>
              <w:tc>
                <w:tcPr>
                  <w:tcW w:w="568" w:type="pct"/>
                  <w:shd w:val="clear" w:color="000000" w:fill="FFFFFF"/>
                  <w:vAlign w:val="center"/>
                </w:tcPr>
                <w:p w14:paraId="41CDB3D0" w14:textId="77777777" w:rsidR="000A4748" w:rsidRPr="009444C7" w:rsidRDefault="000A4748" w:rsidP="0060531E">
                  <w:pPr>
                    <w:jc w:val="center"/>
                    <w:rPr>
                      <w:sz w:val="20"/>
                      <w:szCs w:val="20"/>
                    </w:rPr>
                  </w:pPr>
                </w:p>
              </w:tc>
              <w:tc>
                <w:tcPr>
                  <w:tcW w:w="617" w:type="pct"/>
                  <w:shd w:val="clear" w:color="000000" w:fill="FFFFFF"/>
                  <w:noWrap/>
                  <w:vAlign w:val="center"/>
                </w:tcPr>
                <w:p w14:paraId="2EFAD135" w14:textId="27E9722B" w:rsidR="000A4748" w:rsidRPr="009444C7" w:rsidRDefault="000A4748" w:rsidP="0060531E">
                  <w:pPr>
                    <w:jc w:val="center"/>
                    <w:rPr>
                      <w:sz w:val="20"/>
                      <w:szCs w:val="20"/>
                    </w:rPr>
                  </w:pPr>
                </w:p>
              </w:tc>
            </w:tr>
            <w:tr w:rsidR="00E22B2C" w:rsidRPr="009444C7" w14:paraId="719F9CB4" w14:textId="77777777" w:rsidTr="005D2622">
              <w:trPr>
                <w:trHeight w:val="260"/>
              </w:trPr>
              <w:tc>
                <w:tcPr>
                  <w:tcW w:w="688" w:type="pct"/>
                  <w:shd w:val="clear" w:color="000000" w:fill="FFFFFF"/>
                  <w:vAlign w:val="bottom"/>
                  <w:hideMark/>
                </w:tcPr>
                <w:p w14:paraId="0118DAA7" w14:textId="77777777" w:rsidR="000A4748" w:rsidRPr="009444C7" w:rsidRDefault="000A4748" w:rsidP="00F7310B">
                  <w:pPr>
                    <w:rPr>
                      <w:color w:val="000000"/>
                      <w:sz w:val="20"/>
                      <w:szCs w:val="20"/>
                    </w:rPr>
                  </w:pPr>
                  <w:r w:rsidRPr="009444C7">
                    <w:rPr>
                      <w:color w:val="000000"/>
                      <w:sz w:val="20"/>
                      <w:szCs w:val="20"/>
                    </w:rPr>
                    <w:t>benzină</w:t>
                  </w:r>
                </w:p>
              </w:tc>
              <w:tc>
                <w:tcPr>
                  <w:tcW w:w="901" w:type="pct"/>
                  <w:shd w:val="clear" w:color="000000" w:fill="FFFFFF"/>
                  <w:noWrap/>
                  <w:vAlign w:val="center"/>
                  <w:hideMark/>
                </w:tcPr>
                <w:p w14:paraId="3188E148" w14:textId="2F6AD0A5" w:rsidR="000A4748" w:rsidRPr="009444C7" w:rsidRDefault="000A4748" w:rsidP="0060531E">
                  <w:pPr>
                    <w:jc w:val="center"/>
                    <w:rPr>
                      <w:color w:val="000000"/>
                      <w:sz w:val="20"/>
                      <w:szCs w:val="20"/>
                    </w:rPr>
                  </w:pPr>
                  <w:r w:rsidRPr="009444C7">
                    <w:rPr>
                      <w:color w:val="000000"/>
                      <w:sz w:val="20"/>
                      <w:szCs w:val="20"/>
                    </w:rPr>
                    <w:t>lei/litru</w:t>
                  </w:r>
                </w:p>
              </w:tc>
              <w:tc>
                <w:tcPr>
                  <w:tcW w:w="585" w:type="pct"/>
                  <w:shd w:val="clear" w:color="000000" w:fill="FFFFFF"/>
                  <w:noWrap/>
                  <w:vAlign w:val="center"/>
                </w:tcPr>
                <w:p w14:paraId="6B374BDD" w14:textId="613DCA49" w:rsidR="000A4748" w:rsidRPr="009444C7" w:rsidRDefault="000A4748" w:rsidP="0060531E">
                  <w:pPr>
                    <w:jc w:val="center"/>
                    <w:rPr>
                      <w:color w:val="000000"/>
                      <w:sz w:val="20"/>
                      <w:szCs w:val="20"/>
                    </w:rPr>
                  </w:pPr>
                  <w:r w:rsidRPr="009444C7">
                    <w:rPr>
                      <w:color w:val="000000"/>
                      <w:sz w:val="20"/>
                      <w:szCs w:val="20"/>
                    </w:rPr>
                    <w:t>0.10</w:t>
                  </w:r>
                </w:p>
              </w:tc>
              <w:tc>
                <w:tcPr>
                  <w:tcW w:w="536" w:type="pct"/>
                  <w:shd w:val="clear" w:color="000000" w:fill="FFFFFF"/>
                  <w:vAlign w:val="center"/>
                </w:tcPr>
                <w:p w14:paraId="43665848" w14:textId="1386DE5A" w:rsidR="000A4748" w:rsidRPr="009444C7" w:rsidRDefault="000A4748" w:rsidP="0060531E">
                  <w:pPr>
                    <w:jc w:val="center"/>
                    <w:rPr>
                      <w:color w:val="000000"/>
                      <w:sz w:val="20"/>
                      <w:szCs w:val="20"/>
                    </w:rPr>
                  </w:pPr>
                  <w:r w:rsidRPr="009444C7">
                    <w:rPr>
                      <w:color w:val="000000"/>
                      <w:sz w:val="20"/>
                      <w:szCs w:val="20"/>
                    </w:rPr>
                    <w:t>0.10</w:t>
                  </w:r>
                </w:p>
              </w:tc>
              <w:tc>
                <w:tcPr>
                  <w:tcW w:w="536" w:type="pct"/>
                  <w:tcBorders>
                    <w:right w:val="single" w:sz="18" w:space="0" w:color="auto"/>
                  </w:tcBorders>
                  <w:shd w:val="clear" w:color="000000" w:fill="FFFFFF"/>
                  <w:vAlign w:val="center"/>
                </w:tcPr>
                <w:p w14:paraId="48558F1C" w14:textId="26317D8B" w:rsidR="000A4748" w:rsidRPr="009444C7" w:rsidRDefault="000A4748" w:rsidP="0060531E">
                  <w:pPr>
                    <w:jc w:val="center"/>
                    <w:rPr>
                      <w:color w:val="000000"/>
                      <w:sz w:val="20"/>
                      <w:szCs w:val="20"/>
                    </w:rPr>
                  </w:pPr>
                  <w:r w:rsidRPr="009444C7">
                    <w:rPr>
                      <w:color w:val="000000"/>
                      <w:sz w:val="20"/>
                      <w:szCs w:val="20"/>
                    </w:rPr>
                    <w:t>0.10</w:t>
                  </w:r>
                </w:p>
              </w:tc>
              <w:tc>
                <w:tcPr>
                  <w:tcW w:w="568" w:type="pct"/>
                  <w:tcBorders>
                    <w:left w:val="single" w:sz="18" w:space="0" w:color="auto"/>
                  </w:tcBorders>
                  <w:shd w:val="clear" w:color="000000" w:fill="FFFFFF"/>
                  <w:vAlign w:val="center"/>
                </w:tcPr>
                <w:p w14:paraId="07A8A258" w14:textId="701FC98E" w:rsidR="000A4748" w:rsidRPr="009444C7" w:rsidRDefault="000A4748" w:rsidP="0060531E">
                  <w:pPr>
                    <w:jc w:val="center"/>
                    <w:rPr>
                      <w:sz w:val="20"/>
                      <w:szCs w:val="20"/>
                    </w:rPr>
                  </w:pPr>
                  <w:r w:rsidRPr="009444C7">
                    <w:rPr>
                      <w:sz w:val="20"/>
                      <w:szCs w:val="20"/>
                    </w:rPr>
                    <w:t>0.1</w:t>
                  </w:r>
                </w:p>
              </w:tc>
              <w:tc>
                <w:tcPr>
                  <w:tcW w:w="568" w:type="pct"/>
                  <w:shd w:val="clear" w:color="000000" w:fill="FFFFFF"/>
                  <w:vAlign w:val="center"/>
                </w:tcPr>
                <w:p w14:paraId="487ACE31" w14:textId="75AE40B0" w:rsidR="000A4748" w:rsidRPr="009444C7" w:rsidRDefault="000A4748" w:rsidP="0060531E">
                  <w:pPr>
                    <w:jc w:val="center"/>
                    <w:rPr>
                      <w:sz w:val="20"/>
                      <w:szCs w:val="20"/>
                    </w:rPr>
                  </w:pPr>
                  <w:r w:rsidRPr="009444C7">
                    <w:rPr>
                      <w:sz w:val="20"/>
                      <w:szCs w:val="20"/>
                    </w:rPr>
                    <w:t>0.1</w:t>
                  </w:r>
                </w:p>
              </w:tc>
              <w:tc>
                <w:tcPr>
                  <w:tcW w:w="617" w:type="pct"/>
                  <w:shd w:val="clear" w:color="000000" w:fill="FFFFFF"/>
                  <w:noWrap/>
                  <w:vAlign w:val="center"/>
                  <w:hideMark/>
                </w:tcPr>
                <w:p w14:paraId="1C2925E6" w14:textId="1F4990E7" w:rsidR="000A4748" w:rsidRPr="009444C7" w:rsidRDefault="000A4748" w:rsidP="0060531E">
                  <w:pPr>
                    <w:jc w:val="center"/>
                    <w:rPr>
                      <w:sz w:val="20"/>
                      <w:szCs w:val="20"/>
                    </w:rPr>
                  </w:pPr>
                  <w:r w:rsidRPr="009444C7">
                    <w:rPr>
                      <w:sz w:val="20"/>
                      <w:szCs w:val="20"/>
                    </w:rPr>
                    <w:t>0.1</w:t>
                  </w:r>
                  <w:r w:rsidR="00157877" w:rsidRPr="009444C7">
                    <w:rPr>
                      <w:sz w:val="20"/>
                      <w:szCs w:val="20"/>
                    </w:rPr>
                    <w:t>6</w:t>
                  </w:r>
                </w:p>
              </w:tc>
            </w:tr>
            <w:tr w:rsidR="00E22B2C" w:rsidRPr="009444C7" w14:paraId="1C3379CB" w14:textId="77777777" w:rsidTr="005D2622">
              <w:trPr>
                <w:trHeight w:val="260"/>
              </w:trPr>
              <w:tc>
                <w:tcPr>
                  <w:tcW w:w="688" w:type="pct"/>
                  <w:shd w:val="clear" w:color="000000" w:fill="FFFFFF"/>
                  <w:vAlign w:val="bottom"/>
                  <w:hideMark/>
                </w:tcPr>
                <w:p w14:paraId="134B8F6B" w14:textId="77777777" w:rsidR="000A4748" w:rsidRPr="009444C7" w:rsidRDefault="000A4748" w:rsidP="00F7310B">
                  <w:pPr>
                    <w:rPr>
                      <w:color w:val="000000"/>
                      <w:sz w:val="20"/>
                      <w:szCs w:val="20"/>
                    </w:rPr>
                  </w:pPr>
                  <w:r w:rsidRPr="009444C7">
                    <w:rPr>
                      <w:color w:val="000000"/>
                      <w:sz w:val="20"/>
                      <w:szCs w:val="20"/>
                    </w:rPr>
                    <w:t>motorină</w:t>
                  </w:r>
                </w:p>
              </w:tc>
              <w:tc>
                <w:tcPr>
                  <w:tcW w:w="901" w:type="pct"/>
                  <w:shd w:val="clear" w:color="000000" w:fill="FFFFFF"/>
                  <w:noWrap/>
                  <w:vAlign w:val="center"/>
                  <w:hideMark/>
                </w:tcPr>
                <w:p w14:paraId="54C9B03F" w14:textId="77777777" w:rsidR="000A4748" w:rsidRPr="009444C7" w:rsidRDefault="000A4748" w:rsidP="0060531E">
                  <w:pPr>
                    <w:jc w:val="center"/>
                    <w:rPr>
                      <w:color w:val="000000"/>
                      <w:sz w:val="20"/>
                      <w:szCs w:val="20"/>
                    </w:rPr>
                  </w:pPr>
                  <w:r w:rsidRPr="009444C7">
                    <w:rPr>
                      <w:color w:val="000000"/>
                      <w:sz w:val="20"/>
                      <w:szCs w:val="20"/>
                    </w:rPr>
                    <w:t>lei/litru</w:t>
                  </w:r>
                </w:p>
              </w:tc>
              <w:tc>
                <w:tcPr>
                  <w:tcW w:w="585" w:type="pct"/>
                  <w:shd w:val="clear" w:color="000000" w:fill="FFFFFF"/>
                  <w:noWrap/>
                  <w:vAlign w:val="center"/>
                </w:tcPr>
                <w:p w14:paraId="587B3973" w14:textId="77777777" w:rsidR="000A4748" w:rsidRPr="009444C7" w:rsidRDefault="000A4748" w:rsidP="0060531E">
                  <w:pPr>
                    <w:jc w:val="center"/>
                    <w:rPr>
                      <w:color w:val="000000"/>
                      <w:sz w:val="20"/>
                      <w:szCs w:val="20"/>
                    </w:rPr>
                  </w:pPr>
                  <w:r w:rsidRPr="009444C7">
                    <w:rPr>
                      <w:color w:val="000000"/>
                      <w:sz w:val="20"/>
                      <w:szCs w:val="20"/>
                    </w:rPr>
                    <w:t>0.11</w:t>
                  </w:r>
                </w:p>
              </w:tc>
              <w:tc>
                <w:tcPr>
                  <w:tcW w:w="536" w:type="pct"/>
                  <w:shd w:val="clear" w:color="000000" w:fill="FFFFFF"/>
                  <w:vAlign w:val="center"/>
                </w:tcPr>
                <w:p w14:paraId="0A57E572" w14:textId="77777777" w:rsidR="000A4748" w:rsidRPr="009444C7" w:rsidRDefault="000A4748" w:rsidP="0060531E">
                  <w:pPr>
                    <w:jc w:val="center"/>
                    <w:rPr>
                      <w:color w:val="000000"/>
                      <w:sz w:val="20"/>
                      <w:szCs w:val="20"/>
                    </w:rPr>
                  </w:pPr>
                  <w:r w:rsidRPr="009444C7">
                    <w:rPr>
                      <w:color w:val="000000"/>
                      <w:sz w:val="20"/>
                      <w:szCs w:val="20"/>
                    </w:rPr>
                    <w:t>0.11</w:t>
                  </w:r>
                </w:p>
              </w:tc>
              <w:tc>
                <w:tcPr>
                  <w:tcW w:w="536" w:type="pct"/>
                  <w:tcBorders>
                    <w:right w:val="single" w:sz="18" w:space="0" w:color="auto"/>
                  </w:tcBorders>
                  <w:shd w:val="clear" w:color="000000" w:fill="FFFFFF"/>
                  <w:vAlign w:val="center"/>
                </w:tcPr>
                <w:p w14:paraId="6909F2C5" w14:textId="77777777" w:rsidR="000A4748" w:rsidRPr="009444C7" w:rsidRDefault="000A4748" w:rsidP="0060531E">
                  <w:pPr>
                    <w:jc w:val="center"/>
                    <w:rPr>
                      <w:color w:val="000000"/>
                      <w:sz w:val="20"/>
                      <w:szCs w:val="20"/>
                    </w:rPr>
                  </w:pPr>
                  <w:r w:rsidRPr="009444C7">
                    <w:rPr>
                      <w:color w:val="000000"/>
                      <w:sz w:val="20"/>
                      <w:szCs w:val="20"/>
                    </w:rPr>
                    <w:t>0.12</w:t>
                  </w:r>
                </w:p>
              </w:tc>
              <w:tc>
                <w:tcPr>
                  <w:tcW w:w="568" w:type="pct"/>
                  <w:tcBorders>
                    <w:left w:val="single" w:sz="18" w:space="0" w:color="auto"/>
                  </w:tcBorders>
                  <w:shd w:val="clear" w:color="000000" w:fill="FFFFFF"/>
                  <w:vAlign w:val="center"/>
                </w:tcPr>
                <w:p w14:paraId="29E58ADC" w14:textId="0E844035" w:rsidR="000A4748" w:rsidRPr="009444C7" w:rsidRDefault="000A4748" w:rsidP="0060531E">
                  <w:pPr>
                    <w:jc w:val="center"/>
                    <w:rPr>
                      <w:sz w:val="20"/>
                      <w:szCs w:val="20"/>
                    </w:rPr>
                  </w:pPr>
                  <w:r w:rsidRPr="009444C7">
                    <w:rPr>
                      <w:sz w:val="20"/>
                      <w:szCs w:val="20"/>
                    </w:rPr>
                    <w:t>0.11</w:t>
                  </w:r>
                </w:p>
              </w:tc>
              <w:tc>
                <w:tcPr>
                  <w:tcW w:w="568" w:type="pct"/>
                  <w:shd w:val="clear" w:color="000000" w:fill="FFFFFF"/>
                  <w:vAlign w:val="center"/>
                </w:tcPr>
                <w:p w14:paraId="569EECB4" w14:textId="38F4A323" w:rsidR="000A4748" w:rsidRPr="009444C7" w:rsidRDefault="000A4748" w:rsidP="00F7310B">
                  <w:pPr>
                    <w:jc w:val="center"/>
                    <w:rPr>
                      <w:sz w:val="20"/>
                      <w:szCs w:val="20"/>
                    </w:rPr>
                  </w:pPr>
                  <w:r w:rsidRPr="009444C7">
                    <w:rPr>
                      <w:sz w:val="20"/>
                      <w:szCs w:val="20"/>
                    </w:rPr>
                    <w:t>0.1</w:t>
                  </w:r>
                  <w:r w:rsidR="001F4E69" w:rsidRPr="009444C7">
                    <w:rPr>
                      <w:sz w:val="20"/>
                      <w:szCs w:val="20"/>
                    </w:rPr>
                    <w:t>1</w:t>
                  </w:r>
                </w:p>
              </w:tc>
              <w:tc>
                <w:tcPr>
                  <w:tcW w:w="617" w:type="pct"/>
                  <w:shd w:val="clear" w:color="000000" w:fill="FFFFFF"/>
                  <w:noWrap/>
                  <w:vAlign w:val="center"/>
                  <w:hideMark/>
                </w:tcPr>
                <w:p w14:paraId="2521C947" w14:textId="52D460CF" w:rsidR="000A4748" w:rsidRPr="009444C7" w:rsidRDefault="000A4748" w:rsidP="0060531E">
                  <w:pPr>
                    <w:jc w:val="center"/>
                    <w:rPr>
                      <w:sz w:val="20"/>
                      <w:szCs w:val="20"/>
                    </w:rPr>
                  </w:pPr>
                  <w:r w:rsidRPr="009444C7">
                    <w:rPr>
                      <w:sz w:val="20"/>
                      <w:szCs w:val="20"/>
                    </w:rPr>
                    <w:t>0.1</w:t>
                  </w:r>
                  <w:r w:rsidR="00157877" w:rsidRPr="009444C7">
                    <w:rPr>
                      <w:sz w:val="20"/>
                      <w:szCs w:val="20"/>
                    </w:rPr>
                    <w:t>8</w:t>
                  </w:r>
                </w:p>
              </w:tc>
            </w:tr>
            <w:tr w:rsidR="00E22B2C" w:rsidRPr="009444C7" w14:paraId="368EF312" w14:textId="77777777" w:rsidTr="005D2622">
              <w:trPr>
                <w:trHeight w:val="260"/>
              </w:trPr>
              <w:tc>
                <w:tcPr>
                  <w:tcW w:w="688" w:type="pct"/>
                  <w:shd w:val="clear" w:color="000000" w:fill="FFFFFF"/>
                  <w:vAlign w:val="bottom"/>
                  <w:hideMark/>
                </w:tcPr>
                <w:p w14:paraId="7DD421C8" w14:textId="77777777" w:rsidR="000A4748" w:rsidRPr="009444C7" w:rsidRDefault="000A4748" w:rsidP="00F7310B">
                  <w:pPr>
                    <w:rPr>
                      <w:color w:val="000000"/>
                      <w:sz w:val="20"/>
                      <w:szCs w:val="20"/>
                    </w:rPr>
                  </w:pPr>
                  <w:r w:rsidRPr="009444C7">
                    <w:rPr>
                      <w:color w:val="000000"/>
                      <w:sz w:val="20"/>
                      <w:szCs w:val="20"/>
                    </w:rPr>
                    <w:t>gaz lichefiat</w:t>
                  </w:r>
                </w:p>
              </w:tc>
              <w:tc>
                <w:tcPr>
                  <w:tcW w:w="901" w:type="pct"/>
                  <w:shd w:val="clear" w:color="000000" w:fill="FFFFFF"/>
                  <w:noWrap/>
                  <w:vAlign w:val="center"/>
                  <w:hideMark/>
                </w:tcPr>
                <w:p w14:paraId="4E20E8F8" w14:textId="77777777" w:rsidR="000A4748" w:rsidRPr="009444C7" w:rsidRDefault="000A4748" w:rsidP="0060531E">
                  <w:pPr>
                    <w:jc w:val="center"/>
                    <w:rPr>
                      <w:color w:val="000000"/>
                      <w:sz w:val="20"/>
                      <w:szCs w:val="20"/>
                    </w:rPr>
                  </w:pPr>
                  <w:r w:rsidRPr="009444C7">
                    <w:rPr>
                      <w:color w:val="000000"/>
                      <w:sz w:val="20"/>
                      <w:szCs w:val="20"/>
                    </w:rPr>
                    <w:t>lei/litru</w:t>
                  </w:r>
                </w:p>
              </w:tc>
              <w:tc>
                <w:tcPr>
                  <w:tcW w:w="585" w:type="pct"/>
                  <w:shd w:val="clear" w:color="000000" w:fill="FFFFFF"/>
                  <w:noWrap/>
                  <w:vAlign w:val="center"/>
                </w:tcPr>
                <w:p w14:paraId="5F9660E9" w14:textId="77777777" w:rsidR="000A4748" w:rsidRPr="009444C7" w:rsidRDefault="000A4748" w:rsidP="0060531E">
                  <w:pPr>
                    <w:jc w:val="center"/>
                    <w:rPr>
                      <w:color w:val="000000"/>
                      <w:sz w:val="20"/>
                      <w:szCs w:val="20"/>
                    </w:rPr>
                  </w:pPr>
                  <w:r w:rsidRPr="009444C7">
                    <w:rPr>
                      <w:color w:val="000000"/>
                      <w:sz w:val="20"/>
                      <w:szCs w:val="20"/>
                    </w:rPr>
                    <w:t>0.07</w:t>
                  </w:r>
                </w:p>
              </w:tc>
              <w:tc>
                <w:tcPr>
                  <w:tcW w:w="536" w:type="pct"/>
                  <w:shd w:val="clear" w:color="000000" w:fill="FFFFFF"/>
                  <w:vAlign w:val="center"/>
                </w:tcPr>
                <w:p w14:paraId="2710BD49" w14:textId="77777777" w:rsidR="000A4748" w:rsidRPr="009444C7" w:rsidRDefault="000A4748" w:rsidP="0060531E">
                  <w:pPr>
                    <w:jc w:val="center"/>
                    <w:rPr>
                      <w:color w:val="000000"/>
                      <w:sz w:val="20"/>
                      <w:szCs w:val="20"/>
                    </w:rPr>
                  </w:pPr>
                  <w:r w:rsidRPr="009444C7">
                    <w:rPr>
                      <w:color w:val="000000"/>
                      <w:sz w:val="20"/>
                      <w:szCs w:val="20"/>
                    </w:rPr>
                    <w:t>0.07</w:t>
                  </w:r>
                </w:p>
              </w:tc>
              <w:tc>
                <w:tcPr>
                  <w:tcW w:w="536" w:type="pct"/>
                  <w:tcBorders>
                    <w:right w:val="single" w:sz="18" w:space="0" w:color="auto"/>
                  </w:tcBorders>
                  <w:shd w:val="clear" w:color="000000" w:fill="FFFFFF"/>
                  <w:vAlign w:val="center"/>
                </w:tcPr>
                <w:p w14:paraId="483A6FE9" w14:textId="77777777" w:rsidR="000A4748" w:rsidRPr="009444C7" w:rsidRDefault="000A4748" w:rsidP="0060531E">
                  <w:pPr>
                    <w:jc w:val="center"/>
                    <w:rPr>
                      <w:color w:val="000000"/>
                      <w:sz w:val="20"/>
                      <w:szCs w:val="20"/>
                    </w:rPr>
                  </w:pPr>
                  <w:r w:rsidRPr="009444C7">
                    <w:rPr>
                      <w:color w:val="000000"/>
                      <w:sz w:val="20"/>
                      <w:szCs w:val="20"/>
                    </w:rPr>
                    <w:t>0.08</w:t>
                  </w:r>
                </w:p>
              </w:tc>
              <w:tc>
                <w:tcPr>
                  <w:tcW w:w="568" w:type="pct"/>
                  <w:tcBorders>
                    <w:left w:val="single" w:sz="18" w:space="0" w:color="auto"/>
                  </w:tcBorders>
                  <w:shd w:val="clear" w:color="000000" w:fill="FFFFFF"/>
                  <w:vAlign w:val="center"/>
                </w:tcPr>
                <w:p w14:paraId="157E04BA" w14:textId="029FDFCA" w:rsidR="000A4748" w:rsidRPr="009444C7" w:rsidRDefault="000A4748" w:rsidP="0060531E">
                  <w:pPr>
                    <w:jc w:val="center"/>
                    <w:rPr>
                      <w:sz w:val="20"/>
                      <w:szCs w:val="20"/>
                    </w:rPr>
                  </w:pPr>
                  <w:r w:rsidRPr="009444C7">
                    <w:rPr>
                      <w:sz w:val="20"/>
                      <w:szCs w:val="20"/>
                    </w:rPr>
                    <w:t>0.07</w:t>
                  </w:r>
                </w:p>
              </w:tc>
              <w:tc>
                <w:tcPr>
                  <w:tcW w:w="568" w:type="pct"/>
                  <w:shd w:val="clear" w:color="000000" w:fill="FFFFFF"/>
                  <w:vAlign w:val="center"/>
                </w:tcPr>
                <w:p w14:paraId="3FC97226" w14:textId="1C2351A8" w:rsidR="000A4748" w:rsidRPr="009444C7" w:rsidRDefault="000A4748" w:rsidP="0060531E">
                  <w:pPr>
                    <w:jc w:val="center"/>
                    <w:rPr>
                      <w:sz w:val="20"/>
                      <w:szCs w:val="20"/>
                    </w:rPr>
                  </w:pPr>
                  <w:r w:rsidRPr="009444C7">
                    <w:rPr>
                      <w:sz w:val="20"/>
                      <w:szCs w:val="20"/>
                    </w:rPr>
                    <w:t>0.</w:t>
                  </w:r>
                  <w:r w:rsidR="001F4E69" w:rsidRPr="009444C7">
                    <w:rPr>
                      <w:sz w:val="20"/>
                      <w:szCs w:val="20"/>
                    </w:rPr>
                    <w:t>07</w:t>
                  </w:r>
                </w:p>
              </w:tc>
              <w:tc>
                <w:tcPr>
                  <w:tcW w:w="617" w:type="pct"/>
                  <w:shd w:val="clear" w:color="000000" w:fill="FFFFFF"/>
                  <w:noWrap/>
                  <w:vAlign w:val="center"/>
                  <w:hideMark/>
                </w:tcPr>
                <w:p w14:paraId="3FE10523" w14:textId="72166486" w:rsidR="000A4748" w:rsidRPr="009444C7" w:rsidRDefault="000A4748" w:rsidP="0060531E">
                  <w:pPr>
                    <w:jc w:val="center"/>
                    <w:rPr>
                      <w:sz w:val="20"/>
                      <w:szCs w:val="20"/>
                    </w:rPr>
                  </w:pPr>
                  <w:r w:rsidRPr="009444C7">
                    <w:rPr>
                      <w:sz w:val="20"/>
                      <w:szCs w:val="20"/>
                    </w:rPr>
                    <w:t>0.1</w:t>
                  </w:r>
                  <w:r w:rsidR="00157877" w:rsidRPr="009444C7">
                    <w:rPr>
                      <w:sz w:val="20"/>
                      <w:szCs w:val="20"/>
                    </w:rPr>
                    <w:t>2</w:t>
                  </w:r>
                </w:p>
              </w:tc>
            </w:tr>
            <w:tr w:rsidR="00E22B2C" w:rsidRPr="009444C7" w14:paraId="4D6F770D" w14:textId="77777777" w:rsidTr="005D2622">
              <w:trPr>
                <w:trHeight w:val="260"/>
              </w:trPr>
              <w:tc>
                <w:tcPr>
                  <w:tcW w:w="688" w:type="pct"/>
                  <w:shd w:val="clear" w:color="000000" w:fill="FFFFFF"/>
                  <w:vAlign w:val="bottom"/>
                </w:tcPr>
                <w:p w14:paraId="250FCDD6" w14:textId="77777777" w:rsidR="000A4748" w:rsidRPr="009444C7" w:rsidRDefault="000A4748" w:rsidP="00A256C2">
                  <w:pPr>
                    <w:rPr>
                      <w:color w:val="000000"/>
                      <w:sz w:val="20"/>
                      <w:szCs w:val="20"/>
                    </w:rPr>
                  </w:pPr>
                  <w:r w:rsidRPr="009444C7">
                    <w:rPr>
                      <w:color w:val="000000"/>
                      <w:sz w:val="20"/>
                      <w:szCs w:val="20"/>
                    </w:rPr>
                    <w:t xml:space="preserve">Plata fixă  în anul calendaristic </w:t>
                  </w:r>
                  <w:r w:rsidRPr="009444C7">
                    <w:rPr>
                      <w:color w:val="000000"/>
                      <w:sz w:val="20"/>
                      <w:szCs w:val="20"/>
                    </w:rPr>
                    <w:lastRenderedPageBreak/>
                    <w:t>„t”, în lei/Gcal de energie termică furnizată de furnizorii de energie termică pentru încălzire și/sau prepararea apei calde menajere și/sau răcire</w:t>
                  </w:r>
                </w:p>
              </w:tc>
              <w:tc>
                <w:tcPr>
                  <w:tcW w:w="901" w:type="pct"/>
                  <w:shd w:val="clear" w:color="000000" w:fill="FFFFFF"/>
                  <w:noWrap/>
                  <w:vAlign w:val="center"/>
                </w:tcPr>
                <w:p w14:paraId="6A584B7A" w14:textId="77777777" w:rsidR="000A4748" w:rsidRPr="009444C7" w:rsidRDefault="000A4748" w:rsidP="00A256C2">
                  <w:pPr>
                    <w:jc w:val="center"/>
                    <w:rPr>
                      <w:color w:val="000000"/>
                      <w:sz w:val="20"/>
                      <w:szCs w:val="20"/>
                    </w:rPr>
                  </w:pPr>
                  <w:r w:rsidRPr="009444C7">
                    <w:rPr>
                      <w:color w:val="000000"/>
                      <w:sz w:val="20"/>
                      <w:szCs w:val="20"/>
                    </w:rPr>
                    <w:lastRenderedPageBreak/>
                    <w:t>lei/Gcal</w:t>
                  </w:r>
                </w:p>
              </w:tc>
              <w:tc>
                <w:tcPr>
                  <w:tcW w:w="585" w:type="pct"/>
                  <w:shd w:val="clear" w:color="000000" w:fill="FFFFFF"/>
                  <w:noWrap/>
                  <w:vAlign w:val="center"/>
                </w:tcPr>
                <w:p w14:paraId="58548520" w14:textId="77777777" w:rsidR="000A4748" w:rsidRPr="009444C7" w:rsidRDefault="000A4748" w:rsidP="00A256C2">
                  <w:pPr>
                    <w:jc w:val="center"/>
                    <w:rPr>
                      <w:color w:val="000000"/>
                      <w:sz w:val="20"/>
                      <w:szCs w:val="20"/>
                    </w:rPr>
                  </w:pPr>
                  <w:r w:rsidRPr="009444C7">
                    <w:rPr>
                      <w:color w:val="000000"/>
                      <w:sz w:val="20"/>
                      <w:szCs w:val="20"/>
                    </w:rPr>
                    <w:t>15.62</w:t>
                  </w:r>
                </w:p>
              </w:tc>
              <w:tc>
                <w:tcPr>
                  <w:tcW w:w="536" w:type="pct"/>
                  <w:shd w:val="clear" w:color="000000" w:fill="FFFFFF"/>
                  <w:vAlign w:val="center"/>
                </w:tcPr>
                <w:p w14:paraId="3D83F57E" w14:textId="77777777" w:rsidR="000A4748" w:rsidRPr="009444C7" w:rsidRDefault="000A4748" w:rsidP="00A256C2">
                  <w:pPr>
                    <w:jc w:val="center"/>
                    <w:rPr>
                      <w:color w:val="000000"/>
                      <w:sz w:val="20"/>
                      <w:szCs w:val="20"/>
                    </w:rPr>
                  </w:pPr>
                  <w:r w:rsidRPr="009444C7">
                    <w:rPr>
                      <w:color w:val="000000"/>
                      <w:sz w:val="20"/>
                      <w:szCs w:val="20"/>
                    </w:rPr>
                    <w:t>16.40</w:t>
                  </w:r>
                </w:p>
              </w:tc>
              <w:tc>
                <w:tcPr>
                  <w:tcW w:w="536" w:type="pct"/>
                  <w:tcBorders>
                    <w:right w:val="single" w:sz="18" w:space="0" w:color="auto"/>
                  </w:tcBorders>
                  <w:shd w:val="clear" w:color="000000" w:fill="FFFFFF"/>
                  <w:vAlign w:val="center"/>
                </w:tcPr>
                <w:p w14:paraId="0A6DA696" w14:textId="77777777" w:rsidR="000A4748" w:rsidRPr="009444C7" w:rsidRDefault="000A4748" w:rsidP="00A256C2">
                  <w:pPr>
                    <w:jc w:val="center"/>
                    <w:rPr>
                      <w:color w:val="000000"/>
                      <w:sz w:val="20"/>
                      <w:szCs w:val="20"/>
                    </w:rPr>
                  </w:pPr>
                  <w:r w:rsidRPr="009444C7">
                    <w:rPr>
                      <w:color w:val="000000"/>
                      <w:sz w:val="20"/>
                      <w:szCs w:val="20"/>
                    </w:rPr>
                    <w:t>17.22</w:t>
                  </w:r>
                </w:p>
              </w:tc>
              <w:tc>
                <w:tcPr>
                  <w:tcW w:w="568" w:type="pct"/>
                  <w:tcBorders>
                    <w:left w:val="single" w:sz="18" w:space="0" w:color="auto"/>
                  </w:tcBorders>
                  <w:shd w:val="clear" w:color="000000" w:fill="FFFFFF"/>
                  <w:vAlign w:val="center"/>
                </w:tcPr>
                <w:p w14:paraId="668B461C" w14:textId="3AAF795B" w:rsidR="000A4748" w:rsidRPr="009444C7" w:rsidRDefault="006C4CE0" w:rsidP="006C4CE0">
                  <w:pPr>
                    <w:jc w:val="center"/>
                    <w:rPr>
                      <w:sz w:val="20"/>
                      <w:szCs w:val="20"/>
                    </w:rPr>
                  </w:pPr>
                  <w:r w:rsidRPr="009444C7">
                    <w:rPr>
                      <w:sz w:val="20"/>
                      <w:szCs w:val="20"/>
                    </w:rPr>
                    <w:t>15.62</w:t>
                  </w:r>
                </w:p>
              </w:tc>
              <w:tc>
                <w:tcPr>
                  <w:tcW w:w="568" w:type="pct"/>
                  <w:shd w:val="clear" w:color="000000" w:fill="FFFFFF"/>
                  <w:vAlign w:val="center"/>
                </w:tcPr>
                <w:p w14:paraId="5F9F4540" w14:textId="0FD5B44E" w:rsidR="000A4748" w:rsidRPr="009444C7" w:rsidRDefault="00157877" w:rsidP="00F7310B">
                  <w:pPr>
                    <w:jc w:val="center"/>
                    <w:rPr>
                      <w:sz w:val="20"/>
                      <w:szCs w:val="20"/>
                    </w:rPr>
                  </w:pPr>
                  <w:r w:rsidRPr="009444C7">
                    <w:rPr>
                      <w:sz w:val="20"/>
                      <w:szCs w:val="20"/>
                    </w:rPr>
                    <w:t>16.4</w:t>
                  </w:r>
                  <w:r w:rsidRPr="009444C7">
                    <w:rPr>
                      <w:rStyle w:val="FootnoteReference"/>
                      <w:sz w:val="20"/>
                      <w:szCs w:val="20"/>
                    </w:rPr>
                    <w:footnoteReference w:id="1"/>
                  </w:r>
                </w:p>
              </w:tc>
              <w:tc>
                <w:tcPr>
                  <w:tcW w:w="617" w:type="pct"/>
                  <w:shd w:val="clear" w:color="000000" w:fill="FFFFFF"/>
                  <w:noWrap/>
                  <w:vAlign w:val="center"/>
                </w:tcPr>
                <w:p w14:paraId="2F82F14A" w14:textId="2F76120D" w:rsidR="000A4748" w:rsidRPr="009444C7" w:rsidRDefault="000A4748" w:rsidP="00A256C2">
                  <w:pPr>
                    <w:jc w:val="center"/>
                    <w:rPr>
                      <w:sz w:val="20"/>
                      <w:szCs w:val="20"/>
                    </w:rPr>
                  </w:pPr>
                  <w:r w:rsidRPr="009444C7">
                    <w:rPr>
                      <w:sz w:val="20"/>
                      <w:szCs w:val="20"/>
                    </w:rPr>
                    <w:t>n/a</w:t>
                  </w:r>
                </w:p>
              </w:tc>
            </w:tr>
          </w:tbl>
          <w:p w14:paraId="270421FD" w14:textId="77777777" w:rsidR="005D2622" w:rsidRPr="009444C7" w:rsidRDefault="005D2622">
            <w:pPr>
              <w:rPr>
                <w:rFonts w:ascii="Times New Roman" w:hAnsi="Times New Roman"/>
              </w:rPr>
            </w:pPr>
          </w:p>
          <w:p w14:paraId="01E5DB5E" w14:textId="17A8D7C8" w:rsidR="005D2622" w:rsidRPr="009444C7" w:rsidRDefault="005D2622" w:rsidP="005D2622">
            <w:pPr>
              <w:jc w:val="both"/>
              <w:rPr>
                <w:rFonts w:ascii="Times New Roman" w:hAnsi="Times New Roman"/>
              </w:rPr>
            </w:pPr>
            <w:r w:rsidRPr="009444C7">
              <w:rPr>
                <w:rFonts w:ascii="Times New Roman" w:hAnsi="Times New Roman"/>
              </w:rPr>
              <w:t>În tabelul de mai jos sunt prezentate informațiile cu privire la valorile estimative</w:t>
            </w:r>
            <w:r w:rsidR="00A52AE4" w:rsidRPr="009444C7">
              <w:rPr>
                <w:rFonts w:ascii="Times New Roman" w:hAnsi="Times New Roman"/>
              </w:rPr>
              <w:t>, efective</w:t>
            </w:r>
            <w:r w:rsidRPr="009444C7">
              <w:rPr>
                <w:rFonts w:ascii="Times New Roman" w:hAnsi="Times New Roman"/>
              </w:rPr>
              <w:t xml:space="preserve"> și respectiv cele actualizate ale contribuțiilor părților obligate care derivă ca rezultat al modelărilor cu luarea în considerare a </w:t>
            </w:r>
            <w:r w:rsidR="006918C9" w:rsidRPr="009444C7">
              <w:rPr>
                <w:rFonts w:ascii="Times New Roman" w:hAnsi="Times New Roman"/>
              </w:rPr>
              <w:t>ipotezelor de actualizare</w:t>
            </w:r>
            <w:r w:rsidRPr="009444C7">
              <w:rPr>
                <w:rFonts w:ascii="Times New Roman" w:hAnsi="Times New Roman"/>
              </w:rPr>
              <w:t xml:space="preserve"> </w:t>
            </w:r>
            <w:r w:rsidR="006918C9" w:rsidRPr="009444C7">
              <w:rPr>
                <w:rFonts w:ascii="Times New Roman" w:hAnsi="Times New Roman"/>
              </w:rPr>
              <w:t xml:space="preserve"> menționate </w:t>
            </w:r>
            <w:r w:rsidRPr="009444C7">
              <w:rPr>
                <w:rFonts w:ascii="Times New Roman" w:hAnsi="Times New Roman"/>
              </w:rPr>
              <w:t>mai sus și a prevederilor din capitolul VI propuse a fi incluse în cadrul Metodologiei pentru determinarea contribuțiilor ce urmează a fi achitate de părțile obligate aprobat prin Hotărârea Guvernului Nr. 1068/2023.</w:t>
            </w:r>
            <w:r w:rsidR="00A52AE4" w:rsidRPr="009444C7">
              <w:rPr>
                <w:rFonts w:ascii="Times New Roman" w:hAnsi="Times New Roman"/>
              </w:rPr>
              <w:t xml:space="preserve"> Totodată în cadrul tabelului de mai jos sunt prezentate și suprafețele anuale ce urmează a fi renovate în baza noilor contribuții actualizate ce urmează a fi acumulate în cadrul PSOEE.</w:t>
            </w:r>
          </w:p>
          <w:p w14:paraId="4D300FD3" w14:textId="43C446CD" w:rsidR="005D2622" w:rsidRPr="009444C7" w:rsidRDefault="005D2622" w:rsidP="005D2622">
            <w:pPr>
              <w:spacing w:before="120"/>
              <w:rPr>
                <w:rFonts w:ascii="Times New Roman" w:hAnsi="Times New Roman"/>
              </w:rPr>
            </w:pPr>
            <w:r w:rsidRPr="009444C7">
              <w:rPr>
                <w:rFonts w:ascii="Times New Roman" w:hAnsi="Times New Roman"/>
                <w:b/>
                <w:bCs/>
              </w:rPr>
              <w:t>Tabelul nr. 2.</w:t>
            </w:r>
            <w:r w:rsidRPr="009444C7">
              <w:rPr>
                <w:rFonts w:ascii="Times New Roman" w:hAnsi="Times New Roman"/>
              </w:rPr>
              <w:t xml:space="preserve"> Valorile estimative și respectiv actualizate ale contribuțiilor părților obligate inclusiv suprafețele anuale ce urmează a fi renovate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794"/>
              <w:gridCol w:w="1049"/>
              <w:gridCol w:w="961"/>
              <w:gridCol w:w="961"/>
              <w:gridCol w:w="961"/>
              <w:gridCol w:w="1020"/>
              <w:gridCol w:w="1108"/>
            </w:tblGrid>
            <w:tr w:rsidR="006918C9" w:rsidRPr="009444C7" w14:paraId="767A4A3F" w14:textId="77777777" w:rsidTr="006918C9">
              <w:trPr>
                <w:trHeight w:val="260"/>
              </w:trPr>
              <w:tc>
                <w:tcPr>
                  <w:tcW w:w="772" w:type="pct"/>
                  <w:shd w:val="clear" w:color="000000" w:fill="FFFFFF"/>
                  <w:vAlign w:val="bottom"/>
                </w:tcPr>
                <w:p w14:paraId="719B805E" w14:textId="63DC07A0" w:rsidR="005D2622" w:rsidRPr="009444C7" w:rsidRDefault="0060531E" w:rsidP="005D2622">
                  <w:pPr>
                    <w:rPr>
                      <w:sz w:val="20"/>
                      <w:szCs w:val="20"/>
                    </w:rPr>
                  </w:pPr>
                  <w:r w:rsidRPr="009444C7">
                    <w:rPr>
                      <w:color w:val="000000"/>
                      <w:sz w:val="20"/>
                      <w:szCs w:val="20"/>
                    </w:rPr>
                    <w:t xml:space="preserve">Valorile estimative </w:t>
                  </w:r>
                  <w:r w:rsidR="006918C9" w:rsidRPr="009444C7">
                    <w:rPr>
                      <w:color w:val="000000"/>
                      <w:sz w:val="20"/>
                      <w:szCs w:val="20"/>
                    </w:rPr>
                    <w:t xml:space="preserve">actualizate </w:t>
                  </w:r>
                  <w:r w:rsidRPr="009444C7">
                    <w:rPr>
                      <w:color w:val="000000"/>
                      <w:sz w:val="20"/>
                      <w:szCs w:val="20"/>
                    </w:rPr>
                    <w:t>ale contribuțiilor totale anuale echivalente cu cheltuielile necesare în anul calendaristic „t” pe durata Programului privind SOEE pentru realizarea măsurilor de eficiență energetică în scopul realizării a noi economii anuale de energie stabilite în cadrul schemei de obligații de eficiență energetică</w:t>
                  </w:r>
                  <w:r w:rsidR="005D2622" w:rsidRPr="009444C7">
                    <w:rPr>
                      <w:color w:val="000000"/>
                      <w:sz w:val="20"/>
                      <w:szCs w:val="20"/>
                    </w:rPr>
                    <w:t xml:space="preserve">, </w:t>
                  </w:r>
                  <w:r w:rsidR="006918C9" w:rsidRPr="009444C7">
                    <w:rPr>
                      <w:sz w:val="20"/>
                      <w:szCs w:val="20"/>
                    </w:rPr>
                    <w:lastRenderedPageBreak/>
                    <w:t>în baza ipotezelor și necesităților de actualizare</w:t>
                  </w:r>
                  <w:r w:rsidR="005D2622" w:rsidRPr="009444C7">
                    <w:rPr>
                      <w:sz w:val="20"/>
                      <w:szCs w:val="20"/>
                    </w:rPr>
                    <w:t xml:space="preserve"> menționa</w:t>
                  </w:r>
                  <w:r w:rsidR="006918C9" w:rsidRPr="009444C7">
                    <w:rPr>
                      <w:sz w:val="20"/>
                      <w:szCs w:val="20"/>
                    </w:rPr>
                    <w:t xml:space="preserve">te </w:t>
                  </w:r>
                  <w:r w:rsidR="005D2622" w:rsidRPr="009444C7">
                    <w:rPr>
                      <w:sz w:val="20"/>
                      <w:szCs w:val="20"/>
                    </w:rPr>
                    <w:t>mai sus</w:t>
                  </w:r>
                </w:p>
                <w:p w14:paraId="5B4EB7D4" w14:textId="75988CAF" w:rsidR="0060531E" w:rsidRPr="009444C7" w:rsidRDefault="0060531E" w:rsidP="00657865">
                  <w:pPr>
                    <w:rPr>
                      <w:color w:val="000000"/>
                      <w:sz w:val="20"/>
                      <w:szCs w:val="20"/>
                    </w:rPr>
                  </w:pPr>
                </w:p>
                <w:p w14:paraId="4F7345B3" w14:textId="24A69C9C" w:rsidR="0060531E" w:rsidRPr="009444C7" w:rsidRDefault="0060531E" w:rsidP="00657865">
                  <w:pPr>
                    <w:rPr>
                      <w:color w:val="000000"/>
                      <w:sz w:val="20"/>
                      <w:szCs w:val="20"/>
                    </w:rPr>
                  </w:pPr>
                </w:p>
              </w:tc>
              <w:tc>
                <w:tcPr>
                  <w:tcW w:w="901" w:type="pct"/>
                  <w:shd w:val="clear" w:color="000000" w:fill="FFFFFF"/>
                  <w:noWrap/>
                  <w:vAlign w:val="center"/>
                </w:tcPr>
                <w:p w14:paraId="1445C92F" w14:textId="42F7C2B3" w:rsidR="0060531E" w:rsidRPr="009444C7" w:rsidRDefault="0060531E" w:rsidP="00657865">
                  <w:pPr>
                    <w:jc w:val="center"/>
                    <w:rPr>
                      <w:color w:val="000000"/>
                      <w:sz w:val="20"/>
                      <w:szCs w:val="20"/>
                    </w:rPr>
                  </w:pPr>
                  <w:r w:rsidRPr="009444C7">
                    <w:rPr>
                      <w:color w:val="000000"/>
                      <w:sz w:val="20"/>
                      <w:szCs w:val="20"/>
                    </w:rPr>
                    <w:lastRenderedPageBreak/>
                    <w:t>lei</w:t>
                  </w:r>
                </w:p>
              </w:tc>
              <w:tc>
                <w:tcPr>
                  <w:tcW w:w="576" w:type="pct"/>
                  <w:shd w:val="clear" w:color="000000" w:fill="FFFFFF"/>
                  <w:noWrap/>
                  <w:vAlign w:val="center"/>
                </w:tcPr>
                <w:p w14:paraId="5443CBCB" w14:textId="190642A4" w:rsidR="0060531E" w:rsidRPr="009444C7" w:rsidRDefault="0060531E" w:rsidP="00FA6A28">
                  <w:pPr>
                    <w:ind w:left="-144" w:right="-144"/>
                    <w:jc w:val="center"/>
                    <w:rPr>
                      <w:color w:val="000000"/>
                      <w:sz w:val="18"/>
                      <w:szCs w:val="18"/>
                    </w:rPr>
                  </w:pPr>
                  <w:r w:rsidRPr="009444C7">
                    <w:rPr>
                      <w:color w:val="000000"/>
                      <w:sz w:val="18"/>
                      <w:szCs w:val="18"/>
                    </w:rPr>
                    <w:t>229,081,927</w:t>
                  </w:r>
                </w:p>
              </w:tc>
              <w:tc>
                <w:tcPr>
                  <w:tcW w:w="528" w:type="pct"/>
                  <w:shd w:val="clear" w:color="000000" w:fill="FFFFFF"/>
                  <w:vAlign w:val="center"/>
                </w:tcPr>
                <w:p w14:paraId="47EDFBAB" w14:textId="6762660E" w:rsidR="0060531E" w:rsidRPr="009444C7" w:rsidRDefault="0060531E" w:rsidP="00FA6A28">
                  <w:pPr>
                    <w:ind w:left="-144" w:right="-144"/>
                    <w:jc w:val="center"/>
                    <w:rPr>
                      <w:color w:val="000000"/>
                      <w:sz w:val="18"/>
                      <w:szCs w:val="18"/>
                    </w:rPr>
                  </w:pPr>
                  <w:r w:rsidRPr="009444C7">
                    <w:rPr>
                      <w:color w:val="000000"/>
                      <w:sz w:val="18"/>
                      <w:szCs w:val="18"/>
                    </w:rPr>
                    <w:t>240,536,024</w:t>
                  </w:r>
                </w:p>
              </w:tc>
              <w:tc>
                <w:tcPr>
                  <w:tcW w:w="528" w:type="pct"/>
                  <w:tcBorders>
                    <w:right w:val="single" w:sz="18" w:space="0" w:color="auto"/>
                  </w:tcBorders>
                  <w:shd w:val="clear" w:color="000000" w:fill="FFFFFF"/>
                  <w:vAlign w:val="center"/>
                </w:tcPr>
                <w:p w14:paraId="0FDCAF8F" w14:textId="44F21E72" w:rsidR="0060531E" w:rsidRPr="009444C7" w:rsidRDefault="0060531E" w:rsidP="00FA6A28">
                  <w:pPr>
                    <w:ind w:left="-144" w:right="-144"/>
                    <w:jc w:val="center"/>
                    <w:rPr>
                      <w:color w:val="000000"/>
                      <w:sz w:val="18"/>
                      <w:szCs w:val="18"/>
                    </w:rPr>
                  </w:pPr>
                  <w:r w:rsidRPr="009444C7">
                    <w:rPr>
                      <w:color w:val="000000"/>
                      <w:sz w:val="18"/>
                      <w:szCs w:val="18"/>
                    </w:rPr>
                    <w:t>252,562,825</w:t>
                  </w:r>
                </w:p>
              </w:tc>
              <w:tc>
                <w:tcPr>
                  <w:tcW w:w="528" w:type="pct"/>
                  <w:tcBorders>
                    <w:left w:val="single" w:sz="18" w:space="0" w:color="auto"/>
                  </w:tcBorders>
                  <w:shd w:val="clear" w:color="000000" w:fill="FFFFFF"/>
                  <w:vAlign w:val="center"/>
                </w:tcPr>
                <w:p w14:paraId="0DB75596" w14:textId="10F6DE60" w:rsidR="0060531E" w:rsidRPr="009444C7" w:rsidRDefault="00F7310B" w:rsidP="00F7310B">
                  <w:pPr>
                    <w:ind w:left="-144" w:right="-144"/>
                    <w:jc w:val="center"/>
                    <w:rPr>
                      <w:sz w:val="18"/>
                      <w:szCs w:val="18"/>
                    </w:rPr>
                  </w:pPr>
                  <w:r w:rsidRPr="009444C7">
                    <w:rPr>
                      <w:sz w:val="18"/>
                      <w:szCs w:val="18"/>
                    </w:rPr>
                    <w:t>268,061,367</w:t>
                  </w:r>
                </w:p>
              </w:tc>
              <w:tc>
                <w:tcPr>
                  <w:tcW w:w="560" w:type="pct"/>
                  <w:shd w:val="clear" w:color="000000" w:fill="FFFFFF"/>
                  <w:vAlign w:val="center"/>
                </w:tcPr>
                <w:p w14:paraId="2047ABA9" w14:textId="36F6090B" w:rsidR="0060531E" w:rsidRPr="009444C7" w:rsidRDefault="0060531E" w:rsidP="00FA6A28">
                  <w:pPr>
                    <w:ind w:left="-144" w:right="-144"/>
                    <w:jc w:val="center"/>
                    <w:rPr>
                      <w:sz w:val="18"/>
                      <w:szCs w:val="18"/>
                    </w:rPr>
                  </w:pPr>
                  <w:r w:rsidRPr="009444C7">
                    <w:rPr>
                      <w:sz w:val="18"/>
                      <w:szCs w:val="18"/>
                    </w:rPr>
                    <w:t>2</w:t>
                  </w:r>
                  <w:r w:rsidR="00A52AE4" w:rsidRPr="009444C7">
                    <w:rPr>
                      <w:sz w:val="18"/>
                      <w:szCs w:val="18"/>
                    </w:rPr>
                    <w:t>70</w:t>
                  </w:r>
                  <w:r w:rsidRPr="009444C7">
                    <w:rPr>
                      <w:sz w:val="18"/>
                      <w:szCs w:val="18"/>
                    </w:rPr>
                    <w:t>,</w:t>
                  </w:r>
                  <w:r w:rsidR="00A52AE4" w:rsidRPr="009444C7">
                    <w:rPr>
                      <w:sz w:val="18"/>
                      <w:szCs w:val="18"/>
                    </w:rPr>
                    <w:t>473</w:t>
                  </w:r>
                  <w:r w:rsidRPr="009444C7">
                    <w:rPr>
                      <w:sz w:val="18"/>
                      <w:szCs w:val="18"/>
                    </w:rPr>
                    <w:t>,</w:t>
                  </w:r>
                  <w:r w:rsidR="00A52AE4" w:rsidRPr="009444C7">
                    <w:rPr>
                      <w:sz w:val="18"/>
                      <w:szCs w:val="18"/>
                    </w:rPr>
                    <w:t>919</w:t>
                  </w:r>
                </w:p>
              </w:tc>
              <w:tc>
                <w:tcPr>
                  <w:tcW w:w="608" w:type="pct"/>
                  <w:shd w:val="clear" w:color="000000" w:fill="FFFFFF"/>
                  <w:noWrap/>
                  <w:vAlign w:val="center"/>
                </w:tcPr>
                <w:p w14:paraId="78913A66" w14:textId="1F1CD7E0" w:rsidR="0060531E" w:rsidRPr="009444C7" w:rsidRDefault="00A52AE4" w:rsidP="00FA6A28">
                  <w:pPr>
                    <w:ind w:left="-144" w:right="-144"/>
                    <w:jc w:val="center"/>
                    <w:rPr>
                      <w:sz w:val="18"/>
                      <w:szCs w:val="18"/>
                    </w:rPr>
                  </w:pPr>
                  <w:r w:rsidRPr="009444C7">
                    <w:rPr>
                      <w:sz w:val="18"/>
                      <w:szCs w:val="18"/>
                    </w:rPr>
                    <w:t>272</w:t>
                  </w:r>
                  <w:r w:rsidR="0060531E" w:rsidRPr="009444C7">
                    <w:rPr>
                      <w:sz w:val="18"/>
                      <w:szCs w:val="18"/>
                    </w:rPr>
                    <w:t>,</w:t>
                  </w:r>
                  <w:r w:rsidRPr="009444C7">
                    <w:rPr>
                      <w:sz w:val="18"/>
                      <w:szCs w:val="18"/>
                    </w:rPr>
                    <w:t>908</w:t>
                  </w:r>
                  <w:r w:rsidR="0060531E" w:rsidRPr="009444C7">
                    <w:rPr>
                      <w:sz w:val="18"/>
                      <w:szCs w:val="18"/>
                    </w:rPr>
                    <w:t>,</w:t>
                  </w:r>
                  <w:r w:rsidRPr="009444C7">
                    <w:rPr>
                      <w:sz w:val="18"/>
                      <w:szCs w:val="18"/>
                    </w:rPr>
                    <w:t>184</w:t>
                  </w:r>
                </w:p>
              </w:tc>
            </w:tr>
            <w:tr w:rsidR="006918C9" w:rsidRPr="009444C7" w14:paraId="5786DD94" w14:textId="77777777" w:rsidTr="006918C9">
              <w:trPr>
                <w:trHeight w:val="260"/>
              </w:trPr>
              <w:tc>
                <w:tcPr>
                  <w:tcW w:w="772" w:type="pct"/>
                  <w:shd w:val="clear" w:color="000000" w:fill="FFFFFF"/>
                  <w:vAlign w:val="bottom"/>
                </w:tcPr>
                <w:p w14:paraId="7C9876B7" w14:textId="5F9B21E7" w:rsidR="00A52AE4" w:rsidRPr="009444C7" w:rsidRDefault="00A52AE4" w:rsidP="00A52AE4">
                  <w:pPr>
                    <w:rPr>
                      <w:color w:val="000000"/>
                      <w:sz w:val="20"/>
                      <w:szCs w:val="20"/>
                    </w:rPr>
                  </w:pPr>
                  <w:r w:rsidRPr="009444C7">
                    <w:rPr>
                      <w:color w:val="000000"/>
                      <w:sz w:val="20"/>
                      <w:szCs w:val="20"/>
                    </w:rPr>
                    <w:t>Contribuțiile totale anuale efective achitate de către părțile obligate</w:t>
                  </w:r>
                </w:p>
              </w:tc>
              <w:tc>
                <w:tcPr>
                  <w:tcW w:w="901" w:type="pct"/>
                  <w:shd w:val="clear" w:color="000000" w:fill="FFFFFF"/>
                  <w:noWrap/>
                  <w:vAlign w:val="center"/>
                </w:tcPr>
                <w:p w14:paraId="000F3FBF" w14:textId="072B6860" w:rsidR="00A52AE4" w:rsidRPr="009444C7" w:rsidRDefault="00A52AE4" w:rsidP="00A52AE4">
                  <w:pPr>
                    <w:jc w:val="center"/>
                    <w:rPr>
                      <w:color w:val="000000"/>
                      <w:sz w:val="20"/>
                      <w:szCs w:val="20"/>
                    </w:rPr>
                  </w:pPr>
                  <w:r w:rsidRPr="009444C7">
                    <w:rPr>
                      <w:color w:val="000000"/>
                      <w:sz w:val="20"/>
                      <w:szCs w:val="20"/>
                    </w:rPr>
                    <w:t xml:space="preserve">Lei </w:t>
                  </w:r>
                </w:p>
              </w:tc>
              <w:tc>
                <w:tcPr>
                  <w:tcW w:w="576" w:type="pct"/>
                  <w:shd w:val="clear" w:color="000000" w:fill="FFFFFF"/>
                  <w:noWrap/>
                  <w:vAlign w:val="center"/>
                </w:tcPr>
                <w:p w14:paraId="640D4033" w14:textId="274FED57" w:rsidR="00A52AE4" w:rsidRPr="009444C7" w:rsidRDefault="00A52AE4" w:rsidP="00A52AE4">
                  <w:pPr>
                    <w:ind w:left="-144" w:right="-144"/>
                    <w:jc w:val="center"/>
                    <w:rPr>
                      <w:color w:val="000000"/>
                      <w:sz w:val="20"/>
                      <w:szCs w:val="20"/>
                    </w:rPr>
                  </w:pPr>
                  <w:r w:rsidRPr="009444C7">
                    <w:rPr>
                      <w:color w:val="000000"/>
                      <w:sz w:val="20"/>
                      <w:szCs w:val="20"/>
                    </w:rPr>
                    <w:t>-</w:t>
                  </w:r>
                </w:p>
              </w:tc>
              <w:tc>
                <w:tcPr>
                  <w:tcW w:w="528" w:type="pct"/>
                  <w:shd w:val="clear" w:color="000000" w:fill="FFFFFF"/>
                  <w:vAlign w:val="center"/>
                </w:tcPr>
                <w:p w14:paraId="6B64DF1C" w14:textId="4050DA81" w:rsidR="00A52AE4" w:rsidRPr="009444C7" w:rsidRDefault="00A52AE4" w:rsidP="00A52AE4">
                  <w:pPr>
                    <w:ind w:left="-144" w:right="-144"/>
                    <w:jc w:val="center"/>
                    <w:rPr>
                      <w:color w:val="000000"/>
                      <w:sz w:val="20"/>
                      <w:szCs w:val="20"/>
                    </w:rPr>
                  </w:pPr>
                  <w:r w:rsidRPr="009444C7">
                    <w:rPr>
                      <w:color w:val="000000"/>
                      <w:sz w:val="20"/>
                      <w:szCs w:val="20"/>
                    </w:rPr>
                    <w:t>-</w:t>
                  </w:r>
                </w:p>
              </w:tc>
              <w:tc>
                <w:tcPr>
                  <w:tcW w:w="528" w:type="pct"/>
                  <w:tcBorders>
                    <w:right w:val="single" w:sz="18" w:space="0" w:color="auto"/>
                  </w:tcBorders>
                  <w:shd w:val="clear" w:color="000000" w:fill="FFFFFF"/>
                  <w:vAlign w:val="center"/>
                </w:tcPr>
                <w:p w14:paraId="17D022F2" w14:textId="78DB4DAB" w:rsidR="00A52AE4" w:rsidRPr="009444C7" w:rsidRDefault="00A52AE4" w:rsidP="00A52AE4">
                  <w:pPr>
                    <w:ind w:left="-144" w:right="-144"/>
                    <w:jc w:val="center"/>
                    <w:rPr>
                      <w:color w:val="000000"/>
                      <w:sz w:val="20"/>
                      <w:szCs w:val="20"/>
                    </w:rPr>
                  </w:pPr>
                  <w:r w:rsidRPr="009444C7">
                    <w:rPr>
                      <w:color w:val="000000"/>
                      <w:sz w:val="20"/>
                      <w:szCs w:val="20"/>
                    </w:rPr>
                    <w:t>-</w:t>
                  </w:r>
                </w:p>
              </w:tc>
              <w:tc>
                <w:tcPr>
                  <w:tcW w:w="528" w:type="pct"/>
                  <w:tcBorders>
                    <w:left w:val="single" w:sz="18" w:space="0" w:color="auto"/>
                  </w:tcBorders>
                  <w:shd w:val="clear" w:color="000000" w:fill="FFFFFF"/>
                  <w:vAlign w:val="center"/>
                </w:tcPr>
                <w:p w14:paraId="26D95570" w14:textId="4E329D8F" w:rsidR="00A52AE4" w:rsidRPr="009444C7" w:rsidRDefault="00A52AE4" w:rsidP="00A52AE4">
                  <w:pPr>
                    <w:ind w:left="-144" w:right="-144"/>
                    <w:jc w:val="center"/>
                    <w:rPr>
                      <w:color w:val="EE0000"/>
                      <w:sz w:val="18"/>
                      <w:szCs w:val="18"/>
                    </w:rPr>
                  </w:pPr>
                  <w:r w:rsidRPr="009444C7">
                    <w:rPr>
                      <w:sz w:val="18"/>
                      <w:szCs w:val="18"/>
                    </w:rPr>
                    <w:t>237,082,442</w:t>
                  </w:r>
                </w:p>
              </w:tc>
              <w:tc>
                <w:tcPr>
                  <w:tcW w:w="560" w:type="pct"/>
                  <w:shd w:val="clear" w:color="000000" w:fill="FFFFFF"/>
                  <w:vAlign w:val="center"/>
                </w:tcPr>
                <w:p w14:paraId="7AAF7403" w14:textId="12EE9D0B" w:rsidR="00A52AE4" w:rsidRPr="009444C7" w:rsidRDefault="00A52AE4" w:rsidP="00A52AE4">
                  <w:pPr>
                    <w:ind w:left="-144" w:right="-144"/>
                    <w:jc w:val="center"/>
                    <w:rPr>
                      <w:color w:val="EE0000"/>
                      <w:sz w:val="18"/>
                      <w:szCs w:val="18"/>
                    </w:rPr>
                  </w:pPr>
                  <w:r w:rsidRPr="009444C7">
                    <w:rPr>
                      <w:sz w:val="18"/>
                      <w:szCs w:val="18"/>
                    </w:rPr>
                    <w:t>228,936,401</w:t>
                  </w:r>
                  <w:r w:rsidRPr="009444C7">
                    <w:rPr>
                      <w:rStyle w:val="FootnoteReference"/>
                      <w:sz w:val="18"/>
                      <w:szCs w:val="18"/>
                    </w:rPr>
                    <w:footnoteReference w:id="2"/>
                  </w:r>
                </w:p>
              </w:tc>
              <w:tc>
                <w:tcPr>
                  <w:tcW w:w="608" w:type="pct"/>
                  <w:shd w:val="clear" w:color="000000" w:fill="FFFFFF"/>
                  <w:noWrap/>
                  <w:vAlign w:val="center"/>
                </w:tcPr>
                <w:p w14:paraId="38029E7C" w14:textId="3D00F448" w:rsidR="00A52AE4" w:rsidRPr="009444C7" w:rsidRDefault="00A52AE4" w:rsidP="00A52AE4">
                  <w:pPr>
                    <w:ind w:left="-144" w:right="-144"/>
                    <w:jc w:val="center"/>
                    <w:rPr>
                      <w:color w:val="EE0000"/>
                      <w:sz w:val="18"/>
                      <w:szCs w:val="18"/>
                    </w:rPr>
                  </w:pPr>
                  <w:r w:rsidRPr="009444C7">
                    <w:rPr>
                      <w:sz w:val="18"/>
                      <w:szCs w:val="18"/>
                    </w:rPr>
                    <w:t>-</w:t>
                  </w:r>
                </w:p>
              </w:tc>
            </w:tr>
            <w:tr w:rsidR="006918C9" w:rsidRPr="009444C7" w14:paraId="0C47B6D7" w14:textId="77777777" w:rsidTr="006918C9">
              <w:trPr>
                <w:trHeight w:val="260"/>
              </w:trPr>
              <w:tc>
                <w:tcPr>
                  <w:tcW w:w="772" w:type="pct"/>
                  <w:shd w:val="clear" w:color="000000" w:fill="FFFFFF"/>
                  <w:vAlign w:val="bottom"/>
                </w:tcPr>
                <w:p w14:paraId="5EC04057" w14:textId="0FCC7F9A" w:rsidR="005D2622" w:rsidRPr="009444C7" w:rsidRDefault="006918C9" w:rsidP="005D2622">
                  <w:pPr>
                    <w:rPr>
                      <w:color w:val="000000"/>
                      <w:sz w:val="20"/>
                      <w:szCs w:val="20"/>
                    </w:rPr>
                  </w:pPr>
                  <w:r w:rsidRPr="009444C7">
                    <w:rPr>
                      <w:color w:val="000000"/>
                      <w:sz w:val="20"/>
                      <w:szCs w:val="20"/>
                    </w:rPr>
                    <w:t xml:space="preserve">Diferența dintre valorile estimative </w:t>
                  </w:r>
                  <w:r w:rsidRPr="009444C7">
                    <w:rPr>
                      <w:sz w:val="20"/>
                      <w:szCs w:val="20"/>
                    </w:rPr>
                    <w:t xml:space="preserve">actualizate </w:t>
                  </w:r>
                  <w:r w:rsidRPr="009444C7">
                    <w:rPr>
                      <w:color w:val="000000"/>
                      <w:sz w:val="20"/>
                      <w:szCs w:val="20"/>
                    </w:rPr>
                    <w:t>ale contribuțiilor totale anuale echivalente cu cheltuielile necesare în anul calendaristic „t” pe durata Programului și contribuțiile totale anuale efective ale părților obligate</w:t>
                  </w:r>
                </w:p>
              </w:tc>
              <w:tc>
                <w:tcPr>
                  <w:tcW w:w="901" w:type="pct"/>
                  <w:shd w:val="clear" w:color="000000" w:fill="FFFFFF"/>
                  <w:noWrap/>
                  <w:vAlign w:val="center"/>
                </w:tcPr>
                <w:p w14:paraId="10712745" w14:textId="600C50F0" w:rsidR="005D2622" w:rsidRPr="009444C7" w:rsidRDefault="005D2622" w:rsidP="005D2622">
                  <w:pPr>
                    <w:jc w:val="center"/>
                    <w:rPr>
                      <w:color w:val="000000"/>
                      <w:sz w:val="20"/>
                      <w:szCs w:val="20"/>
                    </w:rPr>
                  </w:pPr>
                  <w:r w:rsidRPr="009444C7">
                    <w:rPr>
                      <w:color w:val="000000"/>
                      <w:sz w:val="20"/>
                      <w:szCs w:val="20"/>
                    </w:rPr>
                    <w:t xml:space="preserve">Lei </w:t>
                  </w:r>
                </w:p>
              </w:tc>
              <w:tc>
                <w:tcPr>
                  <w:tcW w:w="576" w:type="pct"/>
                  <w:shd w:val="clear" w:color="000000" w:fill="FFFFFF"/>
                  <w:noWrap/>
                  <w:vAlign w:val="center"/>
                </w:tcPr>
                <w:p w14:paraId="5FFC377D" w14:textId="5389ED77" w:rsidR="005D2622" w:rsidRPr="009444C7" w:rsidRDefault="005D2622" w:rsidP="005D2622">
                  <w:pPr>
                    <w:ind w:left="-144" w:right="-144"/>
                    <w:jc w:val="center"/>
                    <w:rPr>
                      <w:color w:val="000000"/>
                      <w:sz w:val="18"/>
                      <w:szCs w:val="18"/>
                    </w:rPr>
                  </w:pPr>
                  <w:r w:rsidRPr="009444C7">
                    <w:rPr>
                      <w:color w:val="000000"/>
                      <w:sz w:val="18"/>
                      <w:szCs w:val="18"/>
                    </w:rPr>
                    <w:t>-</w:t>
                  </w:r>
                </w:p>
              </w:tc>
              <w:tc>
                <w:tcPr>
                  <w:tcW w:w="528" w:type="pct"/>
                  <w:shd w:val="clear" w:color="000000" w:fill="FFFFFF"/>
                  <w:vAlign w:val="center"/>
                </w:tcPr>
                <w:p w14:paraId="69E9A3CE" w14:textId="6D67C5BF" w:rsidR="005D2622" w:rsidRPr="009444C7" w:rsidRDefault="005D2622" w:rsidP="005D2622">
                  <w:pPr>
                    <w:ind w:left="-144" w:right="-144"/>
                    <w:jc w:val="center"/>
                    <w:rPr>
                      <w:color w:val="000000"/>
                      <w:sz w:val="18"/>
                      <w:szCs w:val="18"/>
                    </w:rPr>
                  </w:pPr>
                  <w:r w:rsidRPr="009444C7">
                    <w:rPr>
                      <w:color w:val="000000"/>
                      <w:sz w:val="18"/>
                      <w:szCs w:val="18"/>
                    </w:rPr>
                    <w:t>-</w:t>
                  </w:r>
                </w:p>
              </w:tc>
              <w:tc>
                <w:tcPr>
                  <w:tcW w:w="528" w:type="pct"/>
                  <w:tcBorders>
                    <w:right w:val="single" w:sz="18" w:space="0" w:color="auto"/>
                  </w:tcBorders>
                  <w:shd w:val="clear" w:color="000000" w:fill="FFFFFF"/>
                  <w:vAlign w:val="center"/>
                </w:tcPr>
                <w:p w14:paraId="433DF72B" w14:textId="411A1038" w:rsidR="005D2622" w:rsidRPr="009444C7" w:rsidRDefault="005D2622" w:rsidP="005D2622">
                  <w:pPr>
                    <w:ind w:left="-144" w:right="-144"/>
                    <w:jc w:val="center"/>
                    <w:rPr>
                      <w:color w:val="000000"/>
                      <w:sz w:val="18"/>
                      <w:szCs w:val="18"/>
                    </w:rPr>
                  </w:pPr>
                  <w:r w:rsidRPr="009444C7">
                    <w:rPr>
                      <w:color w:val="000000"/>
                      <w:sz w:val="18"/>
                      <w:szCs w:val="18"/>
                    </w:rPr>
                    <w:t>-</w:t>
                  </w:r>
                </w:p>
              </w:tc>
              <w:tc>
                <w:tcPr>
                  <w:tcW w:w="528" w:type="pct"/>
                  <w:tcBorders>
                    <w:left w:val="single" w:sz="18" w:space="0" w:color="auto"/>
                  </w:tcBorders>
                  <w:shd w:val="clear" w:color="000000" w:fill="FFFFFF"/>
                  <w:vAlign w:val="center"/>
                </w:tcPr>
                <w:p w14:paraId="3B400496" w14:textId="4B99223C" w:rsidR="005D2622" w:rsidRPr="009444C7" w:rsidRDefault="005D2622" w:rsidP="005D2622">
                  <w:pPr>
                    <w:ind w:left="-144" w:right="-144"/>
                    <w:jc w:val="center"/>
                    <w:rPr>
                      <w:color w:val="EE0000"/>
                      <w:sz w:val="18"/>
                      <w:szCs w:val="18"/>
                    </w:rPr>
                  </w:pPr>
                  <w:r w:rsidRPr="009444C7">
                    <w:rPr>
                      <w:color w:val="000000"/>
                      <w:sz w:val="18"/>
                      <w:szCs w:val="18"/>
                    </w:rPr>
                    <w:t xml:space="preserve">           30,978,925 </w:t>
                  </w:r>
                </w:p>
              </w:tc>
              <w:tc>
                <w:tcPr>
                  <w:tcW w:w="560" w:type="pct"/>
                  <w:shd w:val="clear" w:color="000000" w:fill="FFFFFF"/>
                  <w:vAlign w:val="center"/>
                </w:tcPr>
                <w:p w14:paraId="21FCD1C6" w14:textId="4CC32C17" w:rsidR="005D2622" w:rsidRPr="009444C7" w:rsidRDefault="005D2622" w:rsidP="005D2622">
                  <w:pPr>
                    <w:ind w:left="-144" w:right="-144"/>
                    <w:jc w:val="center"/>
                    <w:rPr>
                      <w:color w:val="EE0000"/>
                      <w:sz w:val="18"/>
                      <w:szCs w:val="18"/>
                    </w:rPr>
                  </w:pPr>
                  <w:r w:rsidRPr="009444C7">
                    <w:rPr>
                      <w:color w:val="000000"/>
                      <w:sz w:val="18"/>
                      <w:szCs w:val="18"/>
                    </w:rPr>
                    <w:t xml:space="preserve">          41,537,518 </w:t>
                  </w:r>
                </w:p>
              </w:tc>
              <w:tc>
                <w:tcPr>
                  <w:tcW w:w="608" w:type="pct"/>
                  <w:shd w:val="clear" w:color="000000" w:fill="FFFFFF"/>
                  <w:noWrap/>
                  <w:vAlign w:val="center"/>
                </w:tcPr>
                <w:p w14:paraId="7B086641" w14:textId="767F5574" w:rsidR="005D2622" w:rsidRPr="009444C7" w:rsidRDefault="005D2622" w:rsidP="005D2622">
                  <w:pPr>
                    <w:ind w:left="-144" w:right="-144"/>
                    <w:jc w:val="center"/>
                    <w:rPr>
                      <w:color w:val="EE0000"/>
                      <w:sz w:val="18"/>
                      <w:szCs w:val="18"/>
                    </w:rPr>
                  </w:pPr>
                  <w:r w:rsidRPr="009444C7">
                    <w:rPr>
                      <w:color w:val="000000"/>
                      <w:sz w:val="18"/>
                      <w:szCs w:val="18"/>
                    </w:rPr>
                    <w:t>- </w:t>
                  </w:r>
                </w:p>
              </w:tc>
            </w:tr>
            <w:tr w:rsidR="006918C9" w:rsidRPr="009444C7" w14:paraId="2F425BC8" w14:textId="77777777" w:rsidTr="006918C9">
              <w:trPr>
                <w:trHeight w:val="260"/>
              </w:trPr>
              <w:tc>
                <w:tcPr>
                  <w:tcW w:w="772" w:type="pct"/>
                  <w:shd w:val="clear" w:color="000000" w:fill="FFFFFF"/>
                  <w:vAlign w:val="bottom"/>
                </w:tcPr>
                <w:p w14:paraId="368C8A4E" w14:textId="472540C3" w:rsidR="005D2622" w:rsidRPr="009444C7" w:rsidRDefault="005D2622" w:rsidP="005D2622">
                  <w:pPr>
                    <w:rPr>
                      <w:color w:val="000000"/>
                      <w:sz w:val="20"/>
                      <w:szCs w:val="20"/>
                    </w:rPr>
                  </w:pPr>
                  <w:r w:rsidRPr="009444C7">
                    <w:rPr>
                      <w:color w:val="000000"/>
                      <w:sz w:val="20"/>
                      <w:szCs w:val="20"/>
                    </w:rPr>
                    <w:t xml:space="preserve">Valorile actualizate ale contribuțiilor totale anuale echivalente cu cheltuielile necesare în anul calendaristic „t” pe durata Programului privind </w:t>
                  </w:r>
                  <w:r w:rsidRPr="009444C7">
                    <w:rPr>
                      <w:color w:val="000000"/>
                      <w:sz w:val="20"/>
                      <w:szCs w:val="20"/>
                    </w:rPr>
                    <w:lastRenderedPageBreak/>
                    <w:t>SOEE pentru realizarea măsurilor de eficiență energetică în scopul realizării a noi economii anuale de energie stabilite în cadrul schemei de obligații de eficiență energetică</w:t>
                  </w:r>
                </w:p>
              </w:tc>
              <w:tc>
                <w:tcPr>
                  <w:tcW w:w="901" w:type="pct"/>
                  <w:shd w:val="clear" w:color="000000" w:fill="FFFFFF"/>
                  <w:noWrap/>
                  <w:vAlign w:val="center"/>
                </w:tcPr>
                <w:p w14:paraId="48A2941F" w14:textId="132CFA0E" w:rsidR="005D2622" w:rsidRPr="009444C7" w:rsidRDefault="005D2622" w:rsidP="005D2622">
                  <w:pPr>
                    <w:jc w:val="center"/>
                    <w:rPr>
                      <w:color w:val="000000"/>
                      <w:sz w:val="20"/>
                      <w:szCs w:val="20"/>
                    </w:rPr>
                  </w:pPr>
                  <w:r w:rsidRPr="009444C7">
                    <w:rPr>
                      <w:color w:val="000000"/>
                      <w:sz w:val="20"/>
                      <w:szCs w:val="20"/>
                    </w:rPr>
                    <w:lastRenderedPageBreak/>
                    <w:t>Lei</w:t>
                  </w:r>
                </w:p>
              </w:tc>
              <w:tc>
                <w:tcPr>
                  <w:tcW w:w="576" w:type="pct"/>
                  <w:shd w:val="clear" w:color="000000" w:fill="FFFFFF"/>
                  <w:noWrap/>
                  <w:vAlign w:val="center"/>
                </w:tcPr>
                <w:p w14:paraId="20195589" w14:textId="3F8197D2" w:rsidR="005D2622" w:rsidRPr="009444C7" w:rsidRDefault="005D2622" w:rsidP="005D2622">
                  <w:pPr>
                    <w:ind w:left="-144" w:right="-144"/>
                    <w:jc w:val="center"/>
                    <w:rPr>
                      <w:color w:val="000000"/>
                      <w:sz w:val="18"/>
                      <w:szCs w:val="18"/>
                    </w:rPr>
                  </w:pPr>
                  <w:r w:rsidRPr="009444C7">
                    <w:rPr>
                      <w:color w:val="000000"/>
                      <w:sz w:val="18"/>
                      <w:szCs w:val="18"/>
                    </w:rPr>
                    <w:t>-</w:t>
                  </w:r>
                </w:p>
              </w:tc>
              <w:tc>
                <w:tcPr>
                  <w:tcW w:w="528" w:type="pct"/>
                  <w:shd w:val="clear" w:color="000000" w:fill="FFFFFF"/>
                  <w:vAlign w:val="center"/>
                </w:tcPr>
                <w:p w14:paraId="06F32E4F" w14:textId="69AA179F" w:rsidR="005D2622" w:rsidRPr="009444C7" w:rsidRDefault="005D2622" w:rsidP="005D2622">
                  <w:pPr>
                    <w:ind w:left="-144" w:right="-144"/>
                    <w:jc w:val="center"/>
                    <w:rPr>
                      <w:color w:val="000000"/>
                      <w:sz w:val="18"/>
                      <w:szCs w:val="18"/>
                    </w:rPr>
                  </w:pPr>
                  <w:r w:rsidRPr="009444C7">
                    <w:rPr>
                      <w:color w:val="000000"/>
                      <w:sz w:val="18"/>
                      <w:szCs w:val="18"/>
                    </w:rPr>
                    <w:t>-</w:t>
                  </w:r>
                </w:p>
              </w:tc>
              <w:tc>
                <w:tcPr>
                  <w:tcW w:w="528" w:type="pct"/>
                  <w:tcBorders>
                    <w:right w:val="single" w:sz="18" w:space="0" w:color="auto"/>
                  </w:tcBorders>
                  <w:shd w:val="clear" w:color="000000" w:fill="FFFFFF"/>
                  <w:vAlign w:val="center"/>
                </w:tcPr>
                <w:p w14:paraId="3A442F64" w14:textId="3D5921C7" w:rsidR="005D2622" w:rsidRPr="009444C7" w:rsidRDefault="005D2622" w:rsidP="005D2622">
                  <w:pPr>
                    <w:ind w:left="-144" w:right="-144"/>
                    <w:jc w:val="center"/>
                    <w:rPr>
                      <w:color w:val="000000"/>
                      <w:sz w:val="18"/>
                      <w:szCs w:val="18"/>
                    </w:rPr>
                  </w:pPr>
                  <w:r w:rsidRPr="009444C7">
                    <w:rPr>
                      <w:color w:val="000000"/>
                      <w:sz w:val="18"/>
                      <w:szCs w:val="18"/>
                    </w:rPr>
                    <w:t>-</w:t>
                  </w:r>
                </w:p>
              </w:tc>
              <w:tc>
                <w:tcPr>
                  <w:tcW w:w="528" w:type="pct"/>
                  <w:tcBorders>
                    <w:left w:val="single" w:sz="18" w:space="0" w:color="auto"/>
                  </w:tcBorders>
                  <w:shd w:val="clear" w:color="000000" w:fill="FFFFFF"/>
                  <w:vAlign w:val="center"/>
                </w:tcPr>
                <w:p w14:paraId="64DAECFD" w14:textId="640A875A" w:rsidR="005D2622" w:rsidRPr="009444C7" w:rsidRDefault="005D2622" w:rsidP="005D2622">
                  <w:pPr>
                    <w:ind w:left="-144" w:right="-144"/>
                    <w:jc w:val="center"/>
                    <w:rPr>
                      <w:sz w:val="18"/>
                      <w:szCs w:val="18"/>
                    </w:rPr>
                  </w:pPr>
                  <w:r w:rsidRPr="009444C7">
                    <w:rPr>
                      <w:b/>
                      <w:bCs/>
                      <w:sz w:val="18"/>
                      <w:szCs w:val="18"/>
                    </w:rPr>
                    <w:t>237,082,442</w:t>
                  </w:r>
                </w:p>
              </w:tc>
              <w:tc>
                <w:tcPr>
                  <w:tcW w:w="560" w:type="pct"/>
                  <w:shd w:val="clear" w:color="000000" w:fill="FFFFFF"/>
                  <w:vAlign w:val="center"/>
                </w:tcPr>
                <w:p w14:paraId="3DC281B3" w14:textId="02F77937" w:rsidR="005D2622" w:rsidRPr="009444C7" w:rsidRDefault="005D2622" w:rsidP="005D2622">
                  <w:pPr>
                    <w:ind w:left="-144" w:right="-144"/>
                    <w:jc w:val="center"/>
                    <w:rPr>
                      <w:sz w:val="18"/>
                      <w:szCs w:val="18"/>
                    </w:rPr>
                  </w:pPr>
                  <w:r w:rsidRPr="009444C7">
                    <w:rPr>
                      <w:b/>
                      <w:bCs/>
                      <w:sz w:val="18"/>
                      <w:szCs w:val="18"/>
                    </w:rPr>
                    <w:t>228,936,401</w:t>
                  </w:r>
                </w:p>
              </w:tc>
              <w:tc>
                <w:tcPr>
                  <w:tcW w:w="608" w:type="pct"/>
                  <w:shd w:val="clear" w:color="000000" w:fill="FFFFFF"/>
                  <w:noWrap/>
                  <w:vAlign w:val="center"/>
                </w:tcPr>
                <w:p w14:paraId="69F6770F" w14:textId="67A5904B" w:rsidR="005D2622" w:rsidRPr="009444C7" w:rsidRDefault="005D2622" w:rsidP="005D2622">
                  <w:pPr>
                    <w:ind w:left="-144" w:right="-144"/>
                    <w:jc w:val="center"/>
                    <w:rPr>
                      <w:sz w:val="18"/>
                      <w:szCs w:val="18"/>
                    </w:rPr>
                  </w:pPr>
                  <w:r w:rsidRPr="009444C7">
                    <w:rPr>
                      <w:b/>
                      <w:bCs/>
                      <w:sz w:val="18"/>
                      <w:szCs w:val="18"/>
                    </w:rPr>
                    <w:t>345,424,628</w:t>
                  </w:r>
                  <w:r w:rsidRPr="009444C7">
                    <w:rPr>
                      <w:rStyle w:val="FootnoteReference"/>
                      <w:b/>
                      <w:bCs/>
                      <w:sz w:val="18"/>
                      <w:szCs w:val="18"/>
                    </w:rPr>
                    <w:footnoteReference w:id="3"/>
                  </w:r>
                </w:p>
              </w:tc>
            </w:tr>
            <w:tr w:rsidR="006918C9" w:rsidRPr="009444C7" w14:paraId="0B8587CF" w14:textId="77777777" w:rsidTr="006918C9">
              <w:trPr>
                <w:trHeight w:val="580"/>
              </w:trPr>
              <w:tc>
                <w:tcPr>
                  <w:tcW w:w="772" w:type="pct"/>
                  <w:vMerge w:val="restart"/>
                  <w:shd w:val="clear" w:color="000000" w:fill="FFFFFF"/>
                  <w:vAlign w:val="bottom"/>
                </w:tcPr>
                <w:p w14:paraId="5BF51EFE" w14:textId="3320B0CC" w:rsidR="00F7310B" w:rsidRPr="009444C7" w:rsidRDefault="00F7310B" w:rsidP="00F7310B">
                  <w:pPr>
                    <w:rPr>
                      <w:color w:val="000000"/>
                      <w:sz w:val="20"/>
                      <w:szCs w:val="20"/>
                    </w:rPr>
                  </w:pPr>
                  <w:r w:rsidRPr="009444C7">
                    <w:rPr>
                      <w:color w:val="000000"/>
                      <w:sz w:val="20"/>
                      <w:szCs w:val="20"/>
                    </w:rPr>
                    <w:t>Suprafața încălzită supusă anual renovării conform programului SOEE</w:t>
                  </w:r>
                  <w:r w:rsidR="006918C9" w:rsidRPr="009444C7">
                    <w:rPr>
                      <w:color w:val="000000"/>
                      <w:sz w:val="20"/>
                      <w:szCs w:val="20"/>
                    </w:rPr>
                    <w:t xml:space="preserve"> - Obiectiv specific </w:t>
                  </w:r>
                  <w:r w:rsidR="006918C9" w:rsidRPr="009444C7">
                    <w:rPr>
                      <w:sz w:val="20"/>
                      <w:szCs w:val="20"/>
                    </w:rPr>
                    <w:t>actualizat</w:t>
                  </w:r>
                  <w:r w:rsidR="006918C9" w:rsidRPr="009444C7">
                    <w:rPr>
                      <w:color w:val="000000"/>
                      <w:sz w:val="20"/>
                      <w:szCs w:val="20"/>
                    </w:rPr>
                    <w:t xml:space="preserve"> (conf. pct. 19 </w:t>
                  </w:r>
                  <w:r w:rsidR="00F635FC" w:rsidRPr="009444C7">
                    <w:rPr>
                      <w:color w:val="000000"/>
                      <w:sz w:val="20"/>
                      <w:szCs w:val="20"/>
                    </w:rPr>
                    <w:t>subpct</w:t>
                  </w:r>
                  <w:r w:rsidR="006918C9" w:rsidRPr="009444C7">
                    <w:rPr>
                      <w:color w:val="000000"/>
                      <w:sz w:val="20"/>
                      <w:szCs w:val="20"/>
                    </w:rPr>
                    <w:t xml:space="preserve">. 5) din PSOEE) </w:t>
                  </w:r>
                </w:p>
              </w:tc>
              <w:tc>
                <w:tcPr>
                  <w:tcW w:w="901" w:type="pct"/>
                  <w:shd w:val="clear" w:color="000000" w:fill="FFFFFF"/>
                  <w:noWrap/>
                  <w:vAlign w:val="center"/>
                </w:tcPr>
                <w:p w14:paraId="65B2DE0C" w14:textId="44E943E3" w:rsidR="00F7310B" w:rsidRPr="009444C7" w:rsidRDefault="00F7310B" w:rsidP="00F7310B">
                  <w:pPr>
                    <w:jc w:val="center"/>
                    <w:rPr>
                      <w:color w:val="000000"/>
                      <w:sz w:val="20"/>
                      <w:szCs w:val="20"/>
                    </w:rPr>
                  </w:pPr>
                  <w:r w:rsidRPr="009444C7">
                    <w:rPr>
                      <w:color w:val="000000"/>
                      <w:sz w:val="20"/>
                      <w:szCs w:val="20"/>
                    </w:rPr>
                    <w:t xml:space="preserve">Case </w:t>
                  </w:r>
                  <w:r w:rsidRPr="009444C7">
                    <w:rPr>
                      <w:color w:val="000000"/>
                      <w:sz w:val="20"/>
                      <w:szCs w:val="20"/>
                    </w:rPr>
                    <w:br/>
                    <w:t>individuale, m</w:t>
                  </w:r>
                  <w:r w:rsidRPr="009444C7">
                    <w:rPr>
                      <w:color w:val="000000"/>
                      <w:sz w:val="20"/>
                      <w:szCs w:val="20"/>
                      <w:vertAlign w:val="superscript"/>
                    </w:rPr>
                    <w:t>2</w:t>
                  </w:r>
                </w:p>
              </w:tc>
              <w:tc>
                <w:tcPr>
                  <w:tcW w:w="576" w:type="pct"/>
                  <w:shd w:val="clear" w:color="000000" w:fill="FFFFFF"/>
                  <w:noWrap/>
                  <w:vAlign w:val="center"/>
                </w:tcPr>
                <w:p w14:paraId="1A9B2CC5" w14:textId="2835BDEC" w:rsidR="00F7310B" w:rsidRPr="009444C7" w:rsidRDefault="00F7310B" w:rsidP="00F7310B">
                  <w:pPr>
                    <w:ind w:left="-144" w:right="-144"/>
                    <w:jc w:val="center"/>
                    <w:rPr>
                      <w:color w:val="000000"/>
                      <w:sz w:val="18"/>
                      <w:szCs w:val="18"/>
                    </w:rPr>
                  </w:pPr>
                  <w:r w:rsidRPr="009444C7">
                    <w:rPr>
                      <w:color w:val="000000"/>
                      <w:sz w:val="18"/>
                      <w:szCs w:val="18"/>
                    </w:rPr>
                    <w:t>56 025</w:t>
                  </w:r>
                </w:p>
                <w:p w14:paraId="19FD6228" w14:textId="089F98F7" w:rsidR="00F7310B" w:rsidRPr="009444C7" w:rsidRDefault="00F7310B" w:rsidP="00F7310B">
                  <w:pPr>
                    <w:jc w:val="center"/>
                    <w:rPr>
                      <w:color w:val="000000"/>
                      <w:sz w:val="18"/>
                      <w:szCs w:val="18"/>
                    </w:rPr>
                  </w:pPr>
                </w:p>
              </w:tc>
              <w:tc>
                <w:tcPr>
                  <w:tcW w:w="528" w:type="pct"/>
                  <w:shd w:val="clear" w:color="000000" w:fill="FFFFFF"/>
                  <w:vAlign w:val="center"/>
                </w:tcPr>
                <w:p w14:paraId="5FDFB782" w14:textId="6E1208F4" w:rsidR="00F7310B" w:rsidRPr="009444C7" w:rsidRDefault="00F7310B" w:rsidP="00F7310B">
                  <w:pPr>
                    <w:ind w:left="-144" w:right="-144"/>
                    <w:jc w:val="center"/>
                    <w:rPr>
                      <w:color w:val="000000"/>
                      <w:sz w:val="18"/>
                      <w:szCs w:val="18"/>
                    </w:rPr>
                  </w:pPr>
                  <w:r w:rsidRPr="009444C7">
                    <w:rPr>
                      <w:color w:val="000000"/>
                      <w:sz w:val="18"/>
                      <w:szCs w:val="18"/>
                    </w:rPr>
                    <w:t>56 025</w:t>
                  </w:r>
                </w:p>
                <w:p w14:paraId="28AB4C4F" w14:textId="441773E0" w:rsidR="00F7310B" w:rsidRPr="009444C7" w:rsidRDefault="00F7310B" w:rsidP="00F7310B">
                  <w:pPr>
                    <w:jc w:val="center"/>
                    <w:rPr>
                      <w:color w:val="000000"/>
                      <w:sz w:val="18"/>
                      <w:szCs w:val="18"/>
                    </w:rPr>
                  </w:pPr>
                </w:p>
              </w:tc>
              <w:tc>
                <w:tcPr>
                  <w:tcW w:w="528" w:type="pct"/>
                  <w:tcBorders>
                    <w:right w:val="single" w:sz="18" w:space="0" w:color="auto"/>
                  </w:tcBorders>
                  <w:shd w:val="clear" w:color="000000" w:fill="FFFFFF"/>
                  <w:vAlign w:val="center"/>
                </w:tcPr>
                <w:p w14:paraId="248FD430" w14:textId="4933FC08" w:rsidR="00F7310B" w:rsidRPr="009444C7" w:rsidRDefault="00F7310B" w:rsidP="00F7310B">
                  <w:pPr>
                    <w:ind w:left="-144" w:right="-144"/>
                    <w:jc w:val="center"/>
                    <w:rPr>
                      <w:color w:val="000000"/>
                      <w:sz w:val="18"/>
                      <w:szCs w:val="18"/>
                    </w:rPr>
                  </w:pPr>
                  <w:r w:rsidRPr="009444C7">
                    <w:rPr>
                      <w:color w:val="000000"/>
                      <w:sz w:val="18"/>
                      <w:szCs w:val="18"/>
                    </w:rPr>
                    <w:t>56 025</w:t>
                  </w:r>
                </w:p>
                <w:p w14:paraId="4E9B39E1" w14:textId="487E43CD" w:rsidR="00F7310B" w:rsidRPr="009444C7" w:rsidRDefault="00F7310B" w:rsidP="00F7310B">
                  <w:pPr>
                    <w:jc w:val="center"/>
                    <w:rPr>
                      <w:color w:val="000000"/>
                      <w:sz w:val="18"/>
                      <w:szCs w:val="18"/>
                    </w:rPr>
                  </w:pPr>
                </w:p>
              </w:tc>
              <w:tc>
                <w:tcPr>
                  <w:tcW w:w="528" w:type="pct"/>
                  <w:tcBorders>
                    <w:left w:val="single" w:sz="18" w:space="0" w:color="auto"/>
                  </w:tcBorders>
                  <w:shd w:val="clear" w:color="000000" w:fill="FFFFFF"/>
                  <w:vAlign w:val="center"/>
                </w:tcPr>
                <w:p w14:paraId="2E3AAA6A" w14:textId="77777777" w:rsidR="00F7310B" w:rsidRPr="009444C7" w:rsidRDefault="00F7310B" w:rsidP="00F7310B">
                  <w:pPr>
                    <w:jc w:val="center"/>
                    <w:rPr>
                      <w:sz w:val="18"/>
                      <w:szCs w:val="18"/>
                    </w:rPr>
                  </w:pPr>
                  <w:r w:rsidRPr="009444C7">
                    <w:rPr>
                      <w:sz w:val="18"/>
                      <w:szCs w:val="18"/>
                    </w:rPr>
                    <w:t>56 429</w:t>
                  </w:r>
                </w:p>
                <w:p w14:paraId="3879DBDB" w14:textId="77777777" w:rsidR="00F7310B" w:rsidRPr="009444C7" w:rsidRDefault="00F7310B" w:rsidP="00F7310B">
                  <w:pPr>
                    <w:jc w:val="center"/>
                    <w:rPr>
                      <w:sz w:val="18"/>
                      <w:szCs w:val="18"/>
                    </w:rPr>
                  </w:pPr>
                </w:p>
              </w:tc>
              <w:tc>
                <w:tcPr>
                  <w:tcW w:w="560" w:type="pct"/>
                  <w:shd w:val="clear" w:color="000000" w:fill="FFFFFF"/>
                  <w:vAlign w:val="center"/>
                </w:tcPr>
                <w:p w14:paraId="01A5F3BD" w14:textId="4D5B091F" w:rsidR="00F7310B" w:rsidRPr="009444C7" w:rsidRDefault="00F7310B" w:rsidP="00F7310B">
                  <w:pPr>
                    <w:jc w:val="center"/>
                    <w:rPr>
                      <w:sz w:val="18"/>
                      <w:szCs w:val="18"/>
                    </w:rPr>
                  </w:pPr>
                  <w:r w:rsidRPr="009444C7">
                    <w:rPr>
                      <w:sz w:val="18"/>
                      <w:szCs w:val="18"/>
                    </w:rPr>
                    <w:t>56 429</w:t>
                  </w:r>
                </w:p>
                <w:p w14:paraId="34085C02" w14:textId="1A6EA271" w:rsidR="00F7310B" w:rsidRPr="009444C7" w:rsidRDefault="00F7310B" w:rsidP="00F7310B">
                  <w:pPr>
                    <w:jc w:val="center"/>
                    <w:rPr>
                      <w:sz w:val="18"/>
                      <w:szCs w:val="18"/>
                    </w:rPr>
                  </w:pPr>
                </w:p>
              </w:tc>
              <w:tc>
                <w:tcPr>
                  <w:tcW w:w="608" w:type="pct"/>
                  <w:shd w:val="clear" w:color="000000" w:fill="FFFFFF"/>
                  <w:noWrap/>
                  <w:vAlign w:val="center"/>
                </w:tcPr>
                <w:p w14:paraId="1D9DD1DE" w14:textId="77777777" w:rsidR="00F7310B" w:rsidRPr="009444C7" w:rsidRDefault="00F7310B" w:rsidP="00F7310B">
                  <w:pPr>
                    <w:jc w:val="center"/>
                    <w:rPr>
                      <w:sz w:val="18"/>
                      <w:szCs w:val="18"/>
                    </w:rPr>
                  </w:pPr>
                  <w:r w:rsidRPr="009444C7">
                    <w:rPr>
                      <w:sz w:val="18"/>
                      <w:szCs w:val="18"/>
                    </w:rPr>
                    <w:t>56 429</w:t>
                  </w:r>
                </w:p>
                <w:p w14:paraId="3FBE8873" w14:textId="1EBC492C" w:rsidR="00F7310B" w:rsidRPr="009444C7" w:rsidRDefault="00F7310B" w:rsidP="00F7310B">
                  <w:pPr>
                    <w:jc w:val="center"/>
                    <w:rPr>
                      <w:sz w:val="18"/>
                      <w:szCs w:val="18"/>
                    </w:rPr>
                  </w:pPr>
                </w:p>
              </w:tc>
            </w:tr>
            <w:tr w:rsidR="006918C9" w:rsidRPr="009444C7" w14:paraId="61A5E12D" w14:textId="77777777" w:rsidTr="006918C9">
              <w:trPr>
                <w:trHeight w:val="333"/>
              </w:trPr>
              <w:tc>
                <w:tcPr>
                  <w:tcW w:w="772" w:type="pct"/>
                  <w:vMerge/>
                  <w:shd w:val="clear" w:color="000000" w:fill="FFFFFF"/>
                  <w:vAlign w:val="bottom"/>
                </w:tcPr>
                <w:p w14:paraId="36B3559F" w14:textId="77777777" w:rsidR="00F7310B" w:rsidRPr="009444C7" w:rsidRDefault="00F7310B" w:rsidP="00F7310B">
                  <w:pPr>
                    <w:rPr>
                      <w:color w:val="000000"/>
                      <w:sz w:val="20"/>
                      <w:szCs w:val="20"/>
                    </w:rPr>
                  </w:pPr>
                </w:p>
              </w:tc>
              <w:tc>
                <w:tcPr>
                  <w:tcW w:w="901" w:type="pct"/>
                  <w:shd w:val="clear" w:color="000000" w:fill="FFFFFF"/>
                  <w:noWrap/>
                  <w:vAlign w:val="center"/>
                </w:tcPr>
                <w:p w14:paraId="18E8945F" w14:textId="43DE365A" w:rsidR="00F7310B" w:rsidRPr="009444C7" w:rsidRDefault="00F7310B" w:rsidP="00F7310B">
                  <w:pPr>
                    <w:jc w:val="center"/>
                    <w:rPr>
                      <w:color w:val="000000"/>
                      <w:sz w:val="20"/>
                      <w:szCs w:val="20"/>
                    </w:rPr>
                  </w:pPr>
                  <w:r w:rsidRPr="009444C7">
                    <w:rPr>
                      <w:color w:val="000000"/>
                      <w:sz w:val="20"/>
                      <w:szCs w:val="20"/>
                    </w:rPr>
                    <w:t>Blocuri locative, m</w:t>
                  </w:r>
                  <w:r w:rsidRPr="009444C7">
                    <w:rPr>
                      <w:color w:val="000000"/>
                      <w:sz w:val="20"/>
                      <w:szCs w:val="20"/>
                      <w:vertAlign w:val="superscript"/>
                    </w:rPr>
                    <w:t>2</w:t>
                  </w:r>
                </w:p>
              </w:tc>
              <w:tc>
                <w:tcPr>
                  <w:tcW w:w="576" w:type="pct"/>
                  <w:shd w:val="clear" w:color="000000" w:fill="FFFFFF"/>
                  <w:noWrap/>
                  <w:vAlign w:val="center"/>
                </w:tcPr>
                <w:p w14:paraId="2D90D1A9" w14:textId="6DBBFCB1" w:rsidR="00F7310B" w:rsidRPr="009444C7" w:rsidRDefault="00F7310B" w:rsidP="00F7310B">
                  <w:pPr>
                    <w:jc w:val="center"/>
                    <w:rPr>
                      <w:color w:val="000000"/>
                      <w:sz w:val="18"/>
                      <w:szCs w:val="18"/>
                    </w:rPr>
                  </w:pPr>
                  <w:r w:rsidRPr="009444C7">
                    <w:rPr>
                      <w:color w:val="000000"/>
                      <w:sz w:val="18"/>
                      <w:szCs w:val="18"/>
                    </w:rPr>
                    <w:t>155 687</w:t>
                  </w:r>
                </w:p>
              </w:tc>
              <w:tc>
                <w:tcPr>
                  <w:tcW w:w="528" w:type="pct"/>
                  <w:shd w:val="clear" w:color="000000" w:fill="FFFFFF"/>
                  <w:vAlign w:val="center"/>
                </w:tcPr>
                <w:p w14:paraId="27C80F5F" w14:textId="52C52E2B" w:rsidR="00F7310B" w:rsidRPr="009444C7" w:rsidRDefault="00F7310B" w:rsidP="00F7310B">
                  <w:pPr>
                    <w:jc w:val="center"/>
                    <w:rPr>
                      <w:color w:val="000000"/>
                      <w:sz w:val="18"/>
                      <w:szCs w:val="18"/>
                    </w:rPr>
                  </w:pPr>
                  <w:r w:rsidRPr="009444C7">
                    <w:rPr>
                      <w:color w:val="000000"/>
                      <w:sz w:val="18"/>
                      <w:szCs w:val="18"/>
                    </w:rPr>
                    <w:t>155 687</w:t>
                  </w:r>
                </w:p>
              </w:tc>
              <w:tc>
                <w:tcPr>
                  <w:tcW w:w="528" w:type="pct"/>
                  <w:tcBorders>
                    <w:right w:val="single" w:sz="18" w:space="0" w:color="auto"/>
                  </w:tcBorders>
                  <w:shd w:val="clear" w:color="000000" w:fill="FFFFFF"/>
                  <w:vAlign w:val="center"/>
                </w:tcPr>
                <w:p w14:paraId="41027439" w14:textId="2EFBE08C" w:rsidR="00F7310B" w:rsidRPr="009444C7" w:rsidRDefault="00F7310B" w:rsidP="00F7310B">
                  <w:pPr>
                    <w:jc w:val="center"/>
                    <w:rPr>
                      <w:color w:val="000000"/>
                      <w:sz w:val="18"/>
                      <w:szCs w:val="18"/>
                    </w:rPr>
                  </w:pPr>
                  <w:r w:rsidRPr="009444C7">
                    <w:rPr>
                      <w:color w:val="000000"/>
                      <w:sz w:val="18"/>
                      <w:szCs w:val="18"/>
                    </w:rPr>
                    <w:t>155 687</w:t>
                  </w:r>
                </w:p>
              </w:tc>
              <w:tc>
                <w:tcPr>
                  <w:tcW w:w="528" w:type="pct"/>
                  <w:tcBorders>
                    <w:left w:val="single" w:sz="18" w:space="0" w:color="auto"/>
                  </w:tcBorders>
                  <w:shd w:val="clear" w:color="000000" w:fill="FFFFFF"/>
                  <w:vAlign w:val="center"/>
                </w:tcPr>
                <w:p w14:paraId="71CDD6A0" w14:textId="1BA8683F" w:rsidR="00F7310B" w:rsidRPr="009444C7" w:rsidRDefault="00F7310B" w:rsidP="00F7310B">
                  <w:pPr>
                    <w:jc w:val="center"/>
                    <w:rPr>
                      <w:sz w:val="18"/>
                      <w:szCs w:val="18"/>
                    </w:rPr>
                  </w:pPr>
                  <w:r w:rsidRPr="009444C7">
                    <w:rPr>
                      <w:sz w:val="18"/>
                      <w:szCs w:val="18"/>
                    </w:rPr>
                    <w:t>104 256</w:t>
                  </w:r>
                </w:p>
              </w:tc>
              <w:tc>
                <w:tcPr>
                  <w:tcW w:w="560" w:type="pct"/>
                  <w:shd w:val="clear" w:color="000000" w:fill="FFFFFF"/>
                  <w:vAlign w:val="center"/>
                </w:tcPr>
                <w:p w14:paraId="163177D7" w14:textId="35F4221F" w:rsidR="00F7310B" w:rsidRPr="009444C7" w:rsidRDefault="00F7310B" w:rsidP="00F7310B">
                  <w:pPr>
                    <w:jc w:val="center"/>
                    <w:rPr>
                      <w:sz w:val="18"/>
                      <w:szCs w:val="18"/>
                    </w:rPr>
                  </w:pPr>
                  <w:r w:rsidRPr="009444C7">
                    <w:rPr>
                      <w:sz w:val="18"/>
                      <w:szCs w:val="18"/>
                    </w:rPr>
                    <w:t>104 256</w:t>
                  </w:r>
                </w:p>
              </w:tc>
              <w:tc>
                <w:tcPr>
                  <w:tcW w:w="608" w:type="pct"/>
                  <w:shd w:val="clear" w:color="000000" w:fill="FFFFFF"/>
                  <w:noWrap/>
                  <w:vAlign w:val="center"/>
                </w:tcPr>
                <w:p w14:paraId="02CF3160" w14:textId="18F1EFBA" w:rsidR="00F7310B" w:rsidRPr="009444C7" w:rsidRDefault="00F7310B" w:rsidP="00F7310B">
                  <w:pPr>
                    <w:jc w:val="center"/>
                    <w:rPr>
                      <w:sz w:val="18"/>
                      <w:szCs w:val="18"/>
                    </w:rPr>
                  </w:pPr>
                  <w:r w:rsidRPr="009444C7">
                    <w:rPr>
                      <w:sz w:val="18"/>
                      <w:szCs w:val="18"/>
                    </w:rPr>
                    <w:t>104 256</w:t>
                  </w:r>
                </w:p>
              </w:tc>
            </w:tr>
            <w:tr w:rsidR="006918C9" w:rsidRPr="009444C7" w14:paraId="799F4F72" w14:textId="77777777" w:rsidTr="006918C9">
              <w:trPr>
                <w:trHeight w:val="645"/>
              </w:trPr>
              <w:tc>
                <w:tcPr>
                  <w:tcW w:w="772" w:type="pct"/>
                  <w:vMerge w:val="restart"/>
                  <w:shd w:val="clear" w:color="000000" w:fill="FFFFFF"/>
                  <w:vAlign w:val="bottom"/>
                </w:tcPr>
                <w:p w14:paraId="5C95A61D" w14:textId="12E2AFB5" w:rsidR="00F7310B" w:rsidRPr="009444C7" w:rsidRDefault="00F7310B" w:rsidP="00F7310B">
                  <w:pPr>
                    <w:rPr>
                      <w:color w:val="000000"/>
                      <w:sz w:val="20"/>
                      <w:szCs w:val="20"/>
                    </w:rPr>
                  </w:pPr>
                  <w:r w:rsidRPr="009444C7">
                    <w:rPr>
                      <w:color w:val="000000"/>
                      <w:sz w:val="20"/>
                      <w:szCs w:val="20"/>
                    </w:rPr>
                    <w:t>Suprafața încălzită supusă anual renovării conform programului FEERM</w:t>
                  </w:r>
                  <w:r w:rsidR="006918C9" w:rsidRPr="009444C7">
                    <w:rPr>
                      <w:color w:val="000000"/>
                      <w:sz w:val="20"/>
                      <w:szCs w:val="20"/>
                    </w:rPr>
                    <w:t xml:space="preserve"> - Indicator de produs actualizat (conf. pct. 45 </w:t>
                  </w:r>
                  <w:r w:rsidR="00F635FC" w:rsidRPr="009444C7">
                    <w:rPr>
                      <w:color w:val="000000"/>
                      <w:sz w:val="20"/>
                      <w:szCs w:val="20"/>
                    </w:rPr>
                    <w:t>subpct</w:t>
                  </w:r>
                  <w:r w:rsidR="006918C9" w:rsidRPr="009444C7">
                    <w:rPr>
                      <w:color w:val="000000"/>
                      <w:sz w:val="20"/>
                      <w:szCs w:val="20"/>
                    </w:rPr>
                    <w:t xml:space="preserve">. 2) din Programul FEERM) </w:t>
                  </w:r>
                </w:p>
              </w:tc>
              <w:tc>
                <w:tcPr>
                  <w:tcW w:w="901" w:type="pct"/>
                  <w:shd w:val="clear" w:color="000000" w:fill="FFFFFF"/>
                  <w:noWrap/>
                  <w:vAlign w:val="center"/>
                </w:tcPr>
                <w:p w14:paraId="74129307" w14:textId="22C8F490" w:rsidR="00F7310B" w:rsidRPr="009444C7" w:rsidRDefault="00F7310B" w:rsidP="00F7310B">
                  <w:pPr>
                    <w:jc w:val="center"/>
                    <w:rPr>
                      <w:color w:val="000000"/>
                      <w:sz w:val="20"/>
                      <w:szCs w:val="20"/>
                    </w:rPr>
                  </w:pPr>
                  <w:r w:rsidRPr="009444C7">
                    <w:rPr>
                      <w:color w:val="000000"/>
                      <w:sz w:val="20"/>
                      <w:szCs w:val="20"/>
                    </w:rPr>
                    <w:t xml:space="preserve">Case </w:t>
                  </w:r>
                  <w:r w:rsidRPr="009444C7">
                    <w:rPr>
                      <w:color w:val="000000"/>
                      <w:sz w:val="20"/>
                      <w:szCs w:val="20"/>
                    </w:rPr>
                    <w:br/>
                    <w:t>individuale, m</w:t>
                  </w:r>
                  <w:r w:rsidRPr="009444C7">
                    <w:rPr>
                      <w:color w:val="000000"/>
                      <w:sz w:val="20"/>
                      <w:szCs w:val="20"/>
                      <w:vertAlign w:val="superscript"/>
                    </w:rPr>
                    <w:t>2</w:t>
                  </w:r>
                </w:p>
              </w:tc>
              <w:tc>
                <w:tcPr>
                  <w:tcW w:w="576" w:type="pct"/>
                  <w:shd w:val="clear" w:color="000000" w:fill="FFFFFF"/>
                  <w:noWrap/>
                  <w:vAlign w:val="center"/>
                </w:tcPr>
                <w:p w14:paraId="13319FD6" w14:textId="4C5972DB" w:rsidR="00F7310B" w:rsidRPr="009444C7" w:rsidRDefault="00F7310B" w:rsidP="00F7310B">
                  <w:pPr>
                    <w:ind w:left="-144" w:right="-144"/>
                    <w:jc w:val="center"/>
                    <w:rPr>
                      <w:color w:val="000000"/>
                      <w:sz w:val="18"/>
                      <w:szCs w:val="18"/>
                    </w:rPr>
                  </w:pPr>
                  <w:r w:rsidRPr="009444C7">
                    <w:rPr>
                      <w:color w:val="000000"/>
                      <w:sz w:val="18"/>
                      <w:szCs w:val="18"/>
                    </w:rPr>
                    <w:t>44 666</w:t>
                  </w:r>
                </w:p>
              </w:tc>
              <w:tc>
                <w:tcPr>
                  <w:tcW w:w="528" w:type="pct"/>
                  <w:shd w:val="clear" w:color="000000" w:fill="FFFFFF"/>
                  <w:vAlign w:val="center"/>
                </w:tcPr>
                <w:p w14:paraId="15EA516E" w14:textId="776AC329" w:rsidR="00F7310B" w:rsidRPr="009444C7" w:rsidRDefault="00F7310B" w:rsidP="00F7310B">
                  <w:pPr>
                    <w:ind w:left="-144" w:right="-144"/>
                    <w:jc w:val="center"/>
                    <w:rPr>
                      <w:color w:val="000000"/>
                      <w:sz w:val="18"/>
                      <w:szCs w:val="18"/>
                    </w:rPr>
                  </w:pPr>
                  <w:r w:rsidRPr="009444C7">
                    <w:rPr>
                      <w:color w:val="000000"/>
                      <w:sz w:val="18"/>
                      <w:szCs w:val="18"/>
                    </w:rPr>
                    <w:t>44 666</w:t>
                  </w:r>
                </w:p>
              </w:tc>
              <w:tc>
                <w:tcPr>
                  <w:tcW w:w="528" w:type="pct"/>
                  <w:tcBorders>
                    <w:right w:val="single" w:sz="18" w:space="0" w:color="auto"/>
                  </w:tcBorders>
                  <w:shd w:val="clear" w:color="000000" w:fill="FFFFFF"/>
                  <w:vAlign w:val="center"/>
                </w:tcPr>
                <w:p w14:paraId="068B2698" w14:textId="7016B3E5" w:rsidR="00F7310B" w:rsidRPr="009444C7" w:rsidRDefault="00F7310B" w:rsidP="00F7310B">
                  <w:pPr>
                    <w:ind w:left="-144" w:right="-144"/>
                    <w:jc w:val="center"/>
                    <w:rPr>
                      <w:color w:val="000000"/>
                      <w:sz w:val="18"/>
                      <w:szCs w:val="18"/>
                    </w:rPr>
                  </w:pPr>
                  <w:r w:rsidRPr="009444C7">
                    <w:rPr>
                      <w:color w:val="000000"/>
                      <w:sz w:val="18"/>
                      <w:szCs w:val="18"/>
                    </w:rPr>
                    <w:t>44 666</w:t>
                  </w:r>
                </w:p>
              </w:tc>
              <w:tc>
                <w:tcPr>
                  <w:tcW w:w="528" w:type="pct"/>
                  <w:tcBorders>
                    <w:left w:val="single" w:sz="18" w:space="0" w:color="auto"/>
                  </w:tcBorders>
                  <w:shd w:val="clear" w:color="000000" w:fill="FFFFFF"/>
                  <w:vAlign w:val="center"/>
                </w:tcPr>
                <w:p w14:paraId="6F0E8DF8" w14:textId="45D68B2F" w:rsidR="00F7310B" w:rsidRPr="009444C7" w:rsidRDefault="00F7310B" w:rsidP="00F7310B">
                  <w:pPr>
                    <w:jc w:val="center"/>
                    <w:rPr>
                      <w:color w:val="000000"/>
                      <w:sz w:val="18"/>
                      <w:szCs w:val="18"/>
                    </w:rPr>
                  </w:pPr>
                  <w:r w:rsidRPr="009444C7">
                    <w:rPr>
                      <w:color w:val="000000"/>
                      <w:sz w:val="18"/>
                      <w:szCs w:val="18"/>
                    </w:rPr>
                    <w:t>44 666</w:t>
                  </w:r>
                </w:p>
              </w:tc>
              <w:tc>
                <w:tcPr>
                  <w:tcW w:w="560" w:type="pct"/>
                  <w:shd w:val="clear" w:color="000000" w:fill="FFFFFF"/>
                  <w:vAlign w:val="center"/>
                </w:tcPr>
                <w:p w14:paraId="71CDA1D7" w14:textId="00AFB064" w:rsidR="00F7310B" w:rsidRPr="009444C7" w:rsidRDefault="00F7310B" w:rsidP="00F7310B">
                  <w:pPr>
                    <w:jc w:val="center"/>
                    <w:rPr>
                      <w:color w:val="EE0000"/>
                      <w:sz w:val="18"/>
                      <w:szCs w:val="18"/>
                    </w:rPr>
                  </w:pPr>
                  <w:r w:rsidRPr="009444C7">
                    <w:rPr>
                      <w:color w:val="000000"/>
                      <w:sz w:val="18"/>
                      <w:szCs w:val="18"/>
                    </w:rPr>
                    <w:t>44 666</w:t>
                  </w:r>
                </w:p>
              </w:tc>
              <w:tc>
                <w:tcPr>
                  <w:tcW w:w="608" w:type="pct"/>
                  <w:shd w:val="clear" w:color="000000" w:fill="FFFFFF"/>
                  <w:noWrap/>
                  <w:vAlign w:val="center"/>
                </w:tcPr>
                <w:p w14:paraId="78C6B1C8" w14:textId="36E4141C" w:rsidR="00F7310B" w:rsidRPr="009444C7" w:rsidRDefault="00F7310B" w:rsidP="00F7310B">
                  <w:pPr>
                    <w:jc w:val="center"/>
                    <w:rPr>
                      <w:color w:val="EE0000"/>
                      <w:sz w:val="18"/>
                      <w:szCs w:val="18"/>
                    </w:rPr>
                  </w:pPr>
                  <w:r w:rsidRPr="009444C7">
                    <w:rPr>
                      <w:color w:val="000000"/>
                      <w:sz w:val="18"/>
                      <w:szCs w:val="18"/>
                    </w:rPr>
                    <w:t>44 666</w:t>
                  </w:r>
                </w:p>
              </w:tc>
            </w:tr>
            <w:tr w:rsidR="006918C9" w:rsidRPr="009444C7" w14:paraId="6ADFA231" w14:textId="77777777" w:rsidTr="006918C9">
              <w:trPr>
                <w:trHeight w:val="505"/>
              </w:trPr>
              <w:tc>
                <w:tcPr>
                  <w:tcW w:w="772" w:type="pct"/>
                  <w:vMerge/>
                  <w:shd w:val="clear" w:color="000000" w:fill="FFFFFF"/>
                  <w:vAlign w:val="bottom"/>
                </w:tcPr>
                <w:p w14:paraId="5FECBD6E" w14:textId="77777777" w:rsidR="00F7310B" w:rsidRPr="009444C7" w:rsidRDefault="00F7310B" w:rsidP="00F7310B">
                  <w:pPr>
                    <w:rPr>
                      <w:color w:val="000000"/>
                      <w:sz w:val="20"/>
                      <w:szCs w:val="20"/>
                    </w:rPr>
                  </w:pPr>
                </w:p>
              </w:tc>
              <w:tc>
                <w:tcPr>
                  <w:tcW w:w="901" w:type="pct"/>
                  <w:shd w:val="clear" w:color="000000" w:fill="FFFFFF"/>
                  <w:noWrap/>
                  <w:vAlign w:val="center"/>
                </w:tcPr>
                <w:p w14:paraId="182BFB95" w14:textId="125AEEA3" w:rsidR="00F7310B" w:rsidRPr="009444C7" w:rsidRDefault="00F7310B" w:rsidP="00F7310B">
                  <w:pPr>
                    <w:jc w:val="center"/>
                    <w:rPr>
                      <w:color w:val="000000"/>
                      <w:sz w:val="20"/>
                      <w:szCs w:val="20"/>
                    </w:rPr>
                  </w:pPr>
                  <w:r w:rsidRPr="009444C7">
                    <w:rPr>
                      <w:color w:val="000000"/>
                      <w:sz w:val="20"/>
                      <w:szCs w:val="20"/>
                    </w:rPr>
                    <w:t>Blocuri locative, m</w:t>
                  </w:r>
                  <w:r w:rsidRPr="009444C7">
                    <w:rPr>
                      <w:color w:val="000000"/>
                      <w:sz w:val="20"/>
                      <w:szCs w:val="20"/>
                      <w:vertAlign w:val="superscript"/>
                    </w:rPr>
                    <w:t>2</w:t>
                  </w:r>
                </w:p>
              </w:tc>
              <w:tc>
                <w:tcPr>
                  <w:tcW w:w="576" w:type="pct"/>
                  <w:shd w:val="clear" w:color="000000" w:fill="FFFFFF"/>
                  <w:noWrap/>
                  <w:vAlign w:val="center"/>
                </w:tcPr>
                <w:p w14:paraId="6A5F35B4" w14:textId="22F2C903" w:rsidR="00F7310B" w:rsidRPr="009444C7" w:rsidRDefault="00F7310B" w:rsidP="00F7310B">
                  <w:pPr>
                    <w:ind w:left="-144" w:right="-144"/>
                    <w:jc w:val="center"/>
                    <w:rPr>
                      <w:color w:val="000000"/>
                      <w:sz w:val="18"/>
                      <w:szCs w:val="18"/>
                    </w:rPr>
                  </w:pPr>
                  <w:r w:rsidRPr="009444C7">
                    <w:rPr>
                      <w:color w:val="000000"/>
                      <w:sz w:val="18"/>
                      <w:szCs w:val="18"/>
                    </w:rPr>
                    <w:t>124 333</w:t>
                  </w:r>
                </w:p>
              </w:tc>
              <w:tc>
                <w:tcPr>
                  <w:tcW w:w="528" w:type="pct"/>
                  <w:shd w:val="clear" w:color="000000" w:fill="FFFFFF"/>
                  <w:vAlign w:val="center"/>
                </w:tcPr>
                <w:p w14:paraId="357439C9" w14:textId="1AF74C88" w:rsidR="00F7310B" w:rsidRPr="009444C7" w:rsidRDefault="00F7310B" w:rsidP="00F7310B">
                  <w:pPr>
                    <w:ind w:left="-144" w:right="-144"/>
                    <w:jc w:val="center"/>
                    <w:rPr>
                      <w:color w:val="000000"/>
                      <w:sz w:val="18"/>
                      <w:szCs w:val="18"/>
                    </w:rPr>
                  </w:pPr>
                  <w:r w:rsidRPr="009444C7">
                    <w:rPr>
                      <w:color w:val="000000"/>
                      <w:sz w:val="18"/>
                      <w:szCs w:val="18"/>
                    </w:rPr>
                    <w:t>124 333</w:t>
                  </w:r>
                </w:p>
              </w:tc>
              <w:tc>
                <w:tcPr>
                  <w:tcW w:w="528" w:type="pct"/>
                  <w:tcBorders>
                    <w:right w:val="single" w:sz="18" w:space="0" w:color="auto"/>
                  </w:tcBorders>
                  <w:shd w:val="clear" w:color="000000" w:fill="FFFFFF"/>
                  <w:vAlign w:val="center"/>
                </w:tcPr>
                <w:p w14:paraId="0FC7C47E" w14:textId="5EB79C70" w:rsidR="00F7310B" w:rsidRPr="009444C7" w:rsidRDefault="00F7310B" w:rsidP="00F7310B">
                  <w:pPr>
                    <w:ind w:left="-144" w:right="-144"/>
                    <w:jc w:val="center"/>
                    <w:rPr>
                      <w:color w:val="000000"/>
                      <w:sz w:val="18"/>
                      <w:szCs w:val="18"/>
                    </w:rPr>
                  </w:pPr>
                  <w:r w:rsidRPr="009444C7">
                    <w:rPr>
                      <w:color w:val="000000"/>
                      <w:sz w:val="18"/>
                      <w:szCs w:val="18"/>
                    </w:rPr>
                    <w:t>124 333</w:t>
                  </w:r>
                </w:p>
              </w:tc>
              <w:tc>
                <w:tcPr>
                  <w:tcW w:w="528" w:type="pct"/>
                  <w:tcBorders>
                    <w:left w:val="single" w:sz="18" w:space="0" w:color="auto"/>
                  </w:tcBorders>
                  <w:shd w:val="clear" w:color="000000" w:fill="FFFFFF"/>
                  <w:vAlign w:val="center"/>
                </w:tcPr>
                <w:p w14:paraId="0F86B52E" w14:textId="52A669AF" w:rsidR="00F7310B" w:rsidRPr="009444C7" w:rsidRDefault="00F7310B" w:rsidP="00F7310B">
                  <w:pPr>
                    <w:jc w:val="center"/>
                    <w:rPr>
                      <w:color w:val="000000"/>
                      <w:sz w:val="18"/>
                      <w:szCs w:val="18"/>
                    </w:rPr>
                  </w:pPr>
                  <w:r w:rsidRPr="009444C7">
                    <w:rPr>
                      <w:color w:val="000000"/>
                      <w:sz w:val="18"/>
                      <w:szCs w:val="18"/>
                    </w:rPr>
                    <w:t>124 333</w:t>
                  </w:r>
                </w:p>
              </w:tc>
              <w:tc>
                <w:tcPr>
                  <w:tcW w:w="560" w:type="pct"/>
                  <w:shd w:val="clear" w:color="000000" w:fill="FFFFFF"/>
                  <w:vAlign w:val="center"/>
                </w:tcPr>
                <w:p w14:paraId="619C2B88" w14:textId="1C69524A" w:rsidR="00F7310B" w:rsidRPr="009444C7" w:rsidRDefault="00F7310B" w:rsidP="00F7310B">
                  <w:pPr>
                    <w:jc w:val="center"/>
                    <w:rPr>
                      <w:color w:val="EE0000"/>
                      <w:sz w:val="18"/>
                      <w:szCs w:val="18"/>
                    </w:rPr>
                  </w:pPr>
                  <w:r w:rsidRPr="009444C7">
                    <w:rPr>
                      <w:color w:val="000000"/>
                      <w:sz w:val="18"/>
                      <w:szCs w:val="18"/>
                    </w:rPr>
                    <w:t>124 333</w:t>
                  </w:r>
                </w:p>
              </w:tc>
              <w:tc>
                <w:tcPr>
                  <w:tcW w:w="608" w:type="pct"/>
                  <w:shd w:val="clear" w:color="000000" w:fill="FFFFFF"/>
                  <w:noWrap/>
                  <w:vAlign w:val="center"/>
                </w:tcPr>
                <w:p w14:paraId="3F3EE4E3" w14:textId="66E44B37" w:rsidR="00F7310B" w:rsidRPr="009444C7" w:rsidRDefault="00F7310B" w:rsidP="00F7310B">
                  <w:pPr>
                    <w:jc w:val="center"/>
                    <w:rPr>
                      <w:color w:val="EE0000"/>
                      <w:sz w:val="18"/>
                      <w:szCs w:val="18"/>
                    </w:rPr>
                  </w:pPr>
                  <w:r w:rsidRPr="009444C7">
                    <w:rPr>
                      <w:color w:val="000000"/>
                      <w:sz w:val="18"/>
                      <w:szCs w:val="18"/>
                    </w:rPr>
                    <w:t>124 333</w:t>
                  </w:r>
                </w:p>
              </w:tc>
            </w:tr>
          </w:tbl>
          <w:p w14:paraId="53AC150F" w14:textId="3C9E4889" w:rsidR="0044030E" w:rsidRPr="009444C7" w:rsidRDefault="00A256C2" w:rsidP="00DF284B">
            <w:pPr>
              <w:tabs>
                <w:tab w:val="left" w:pos="884"/>
                <w:tab w:val="left" w:pos="1196"/>
              </w:tabs>
              <w:spacing w:before="120" w:after="120"/>
              <w:jc w:val="both"/>
              <w:rPr>
                <w:rFonts w:ascii="Times New Roman" w:hAnsi="Times New Roman"/>
                <w:bCs/>
                <w:shd w:val="clear" w:color="auto" w:fill="FFFFFF"/>
              </w:rPr>
            </w:pPr>
            <w:bookmarkStart w:id="1" w:name="_Hlk204875705"/>
            <w:bookmarkEnd w:id="0"/>
            <w:r w:rsidRPr="009444C7">
              <w:rPr>
                <w:rFonts w:ascii="Times New Roman" w:hAnsi="Times New Roman"/>
                <w:bCs/>
                <w:shd w:val="clear" w:color="auto" w:fill="FFFFFF"/>
              </w:rPr>
              <w:t>Astfel, din tabelul de mai sus poate fi observat că în rezultatul recalculării plăților fixe cu luarea în considerare a informațiilor menționate mai sus, a fost obținută o creștere a plăților fixe ce urmează a fi achitate de către fiecare parte obligată</w:t>
            </w:r>
            <w:r w:rsidR="00DE51E1" w:rsidRPr="009444C7">
              <w:rPr>
                <w:rFonts w:ascii="Times New Roman" w:hAnsi="Times New Roman"/>
                <w:bCs/>
                <w:shd w:val="clear" w:color="auto" w:fill="FFFFFF"/>
              </w:rPr>
              <w:t xml:space="preserve">, </w:t>
            </w:r>
            <w:r w:rsidR="005B0942" w:rsidRPr="009444C7">
              <w:rPr>
                <w:rFonts w:ascii="Times New Roman" w:hAnsi="Times New Roman"/>
                <w:bCs/>
                <w:shd w:val="clear" w:color="auto" w:fill="FFFFFF"/>
              </w:rPr>
              <w:t xml:space="preserve">doar </w:t>
            </w:r>
            <w:r w:rsidR="00527B53" w:rsidRPr="009444C7">
              <w:rPr>
                <w:rFonts w:ascii="Times New Roman" w:hAnsi="Times New Roman"/>
                <w:bCs/>
                <w:shd w:val="clear" w:color="auto" w:fill="FFFFFF"/>
              </w:rPr>
              <w:t>pentru</w:t>
            </w:r>
            <w:r w:rsidR="00DE51E1" w:rsidRPr="009444C7">
              <w:rPr>
                <w:rFonts w:ascii="Times New Roman" w:hAnsi="Times New Roman"/>
                <w:bCs/>
                <w:shd w:val="clear" w:color="auto" w:fill="FFFFFF"/>
              </w:rPr>
              <w:t xml:space="preserve"> </w:t>
            </w:r>
            <w:r w:rsidR="00157877" w:rsidRPr="009444C7">
              <w:rPr>
                <w:rFonts w:ascii="Times New Roman" w:hAnsi="Times New Roman"/>
                <w:bCs/>
                <w:shd w:val="clear" w:color="auto" w:fill="FFFFFF"/>
              </w:rPr>
              <w:t>anul</w:t>
            </w:r>
            <w:r w:rsidR="00DE51E1" w:rsidRPr="009444C7">
              <w:rPr>
                <w:rFonts w:ascii="Times New Roman" w:hAnsi="Times New Roman"/>
                <w:bCs/>
                <w:shd w:val="clear" w:color="auto" w:fill="FFFFFF"/>
              </w:rPr>
              <w:t xml:space="preserve"> 202</w:t>
            </w:r>
            <w:r w:rsidR="00157877" w:rsidRPr="009444C7">
              <w:rPr>
                <w:rFonts w:ascii="Times New Roman" w:hAnsi="Times New Roman"/>
                <w:bCs/>
                <w:shd w:val="clear" w:color="auto" w:fill="FFFFFF"/>
              </w:rPr>
              <w:t>6</w:t>
            </w:r>
            <w:r w:rsidRPr="009444C7">
              <w:rPr>
                <w:rFonts w:ascii="Times New Roman" w:hAnsi="Times New Roman"/>
                <w:bCs/>
                <w:shd w:val="clear" w:color="auto" w:fill="FFFFFF"/>
              </w:rPr>
              <w:t>.</w:t>
            </w:r>
          </w:p>
          <w:p w14:paraId="2F3B8530" w14:textId="77777777" w:rsidR="00F635FC" w:rsidRPr="009444C7" w:rsidRDefault="0044030E" w:rsidP="00350408">
            <w:pPr>
              <w:tabs>
                <w:tab w:val="left" w:pos="884"/>
                <w:tab w:val="left" w:pos="1196"/>
              </w:tabs>
              <w:spacing w:before="120" w:after="120"/>
              <w:jc w:val="both"/>
              <w:rPr>
                <w:rFonts w:ascii="Times New Roman" w:hAnsi="Times New Roman"/>
                <w:bCs/>
                <w:shd w:val="clear" w:color="auto" w:fill="FFFFFF"/>
              </w:rPr>
            </w:pPr>
            <w:r w:rsidRPr="009444C7">
              <w:rPr>
                <w:rFonts w:ascii="Times New Roman" w:hAnsi="Times New Roman"/>
                <w:bCs/>
                <w:shd w:val="clear" w:color="auto" w:fill="FFFFFF"/>
              </w:rPr>
              <w:t>Totodată, în tabelul de mai sus poate fi observat că</w:t>
            </w:r>
            <w:r w:rsidR="005B0942" w:rsidRPr="009444C7">
              <w:rPr>
                <w:rFonts w:ascii="Times New Roman" w:hAnsi="Times New Roman"/>
                <w:bCs/>
                <w:shd w:val="clear" w:color="auto" w:fill="FFFFFF"/>
              </w:rPr>
              <w:t xml:space="preserve"> se propune actualizarea obiectivelor respective din PSOEE. Astfel, </w:t>
            </w:r>
            <w:r w:rsidRPr="009444C7">
              <w:rPr>
                <w:rFonts w:ascii="Times New Roman" w:hAnsi="Times New Roman"/>
                <w:bCs/>
                <w:shd w:val="clear" w:color="auto" w:fill="FFFFFF"/>
              </w:rPr>
              <w:t xml:space="preserve">suprafața încălzită </w:t>
            </w:r>
            <w:r w:rsidR="00350408" w:rsidRPr="009444C7">
              <w:rPr>
                <w:rFonts w:ascii="Times New Roman" w:hAnsi="Times New Roman"/>
                <w:bCs/>
                <w:shd w:val="clear" w:color="auto" w:fill="FFFFFF"/>
              </w:rPr>
              <w:t>estimată a fi</w:t>
            </w:r>
            <w:r w:rsidRPr="009444C7">
              <w:rPr>
                <w:rFonts w:ascii="Times New Roman" w:hAnsi="Times New Roman"/>
                <w:bCs/>
                <w:shd w:val="clear" w:color="auto" w:fill="FFFFFF"/>
              </w:rPr>
              <w:t xml:space="preserve"> </w:t>
            </w:r>
            <w:r w:rsidR="00350408" w:rsidRPr="009444C7">
              <w:rPr>
                <w:rFonts w:ascii="Times New Roman" w:hAnsi="Times New Roman"/>
                <w:bCs/>
                <w:shd w:val="clear" w:color="auto" w:fill="FFFFFF"/>
              </w:rPr>
              <w:t xml:space="preserve">renovată conform prevederilor Programului FEERM pe perioada acestuia va putea fi realizată </w:t>
            </w:r>
            <w:r w:rsidR="00F635FC" w:rsidRPr="009444C7">
              <w:rPr>
                <w:rFonts w:ascii="Times New Roman" w:hAnsi="Times New Roman"/>
                <w:bCs/>
                <w:shd w:val="clear" w:color="auto" w:fill="FFFFFF"/>
              </w:rPr>
              <w:t xml:space="preserve">din contul mijloacelor financiare colectate în cadrul PSOEE </w:t>
            </w:r>
            <w:r w:rsidR="00350408" w:rsidRPr="009444C7">
              <w:rPr>
                <w:rFonts w:ascii="Times New Roman" w:hAnsi="Times New Roman"/>
                <w:bCs/>
                <w:shd w:val="clear" w:color="auto" w:fill="FFFFFF"/>
              </w:rPr>
              <w:t xml:space="preserve">cu mici diferențe </w:t>
            </w:r>
            <w:r w:rsidR="006826BF" w:rsidRPr="009444C7">
              <w:rPr>
                <w:rFonts w:ascii="Times New Roman" w:hAnsi="Times New Roman"/>
                <w:bCs/>
                <w:shd w:val="clear" w:color="auto" w:fill="FFFFFF"/>
              </w:rPr>
              <w:t xml:space="preserve">în ponderea </w:t>
            </w:r>
            <w:r w:rsidR="00350408" w:rsidRPr="009444C7">
              <w:rPr>
                <w:rFonts w:ascii="Times New Roman" w:hAnsi="Times New Roman"/>
                <w:bCs/>
                <w:shd w:val="clear" w:color="auto" w:fill="FFFFFF"/>
              </w:rPr>
              <w:t>suprafețel</w:t>
            </w:r>
            <w:r w:rsidR="006826BF" w:rsidRPr="009444C7">
              <w:rPr>
                <w:rFonts w:ascii="Times New Roman" w:hAnsi="Times New Roman"/>
                <w:bCs/>
                <w:shd w:val="clear" w:color="auto" w:fill="FFFFFF"/>
              </w:rPr>
              <w:t>or</w:t>
            </w:r>
            <w:r w:rsidR="00350408" w:rsidRPr="009444C7">
              <w:rPr>
                <w:rFonts w:ascii="Times New Roman" w:hAnsi="Times New Roman"/>
                <w:bCs/>
                <w:shd w:val="clear" w:color="auto" w:fill="FFFFFF"/>
              </w:rPr>
              <w:t xml:space="preserve"> renovate </w:t>
            </w:r>
            <w:r w:rsidR="006826BF" w:rsidRPr="009444C7">
              <w:rPr>
                <w:rFonts w:ascii="Times New Roman" w:hAnsi="Times New Roman"/>
                <w:bCs/>
                <w:shd w:val="clear" w:color="auto" w:fill="FFFFFF"/>
              </w:rPr>
              <w:t xml:space="preserve">aferente </w:t>
            </w:r>
            <w:r w:rsidR="00350408" w:rsidRPr="009444C7">
              <w:rPr>
                <w:rFonts w:ascii="Times New Roman" w:hAnsi="Times New Roman"/>
                <w:bCs/>
                <w:shd w:val="clear" w:color="auto" w:fill="FFFFFF"/>
              </w:rPr>
              <w:t>casel</w:t>
            </w:r>
            <w:r w:rsidR="006826BF" w:rsidRPr="009444C7">
              <w:rPr>
                <w:rFonts w:ascii="Times New Roman" w:hAnsi="Times New Roman"/>
                <w:bCs/>
                <w:shd w:val="clear" w:color="auto" w:fill="FFFFFF"/>
              </w:rPr>
              <w:t>or</w:t>
            </w:r>
            <w:r w:rsidR="00350408" w:rsidRPr="009444C7">
              <w:rPr>
                <w:rFonts w:ascii="Times New Roman" w:hAnsi="Times New Roman"/>
                <w:bCs/>
                <w:shd w:val="clear" w:color="auto" w:fill="FFFFFF"/>
              </w:rPr>
              <w:t xml:space="preserve"> individuale și blocuril</w:t>
            </w:r>
            <w:r w:rsidR="006826BF" w:rsidRPr="009444C7">
              <w:rPr>
                <w:rFonts w:ascii="Times New Roman" w:hAnsi="Times New Roman"/>
                <w:bCs/>
                <w:shd w:val="clear" w:color="auto" w:fill="FFFFFF"/>
              </w:rPr>
              <w:t>or</w:t>
            </w:r>
            <w:r w:rsidR="00350408" w:rsidRPr="009444C7">
              <w:rPr>
                <w:rFonts w:ascii="Times New Roman" w:hAnsi="Times New Roman"/>
                <w:bCs/>
                <w:shd w:val="clear" w:color="auto" w:fill="FFFFFF"/>
              </w:rPr>
              <w:t xml:space="preserve"> multietajate</w:t>
            </w:r>
            <w:r w:rsidR="006826BF" w:rsidRPr="009444C7">
              <w:rPr>
                <w:rFonts w:ascii="Times New Roman" w:hAnsi="Times New Roman"/>
                <w:bCs/>
                <w:shd w:val="clear" w:color="auto" w:fill="FFFFFF"/>
              </w:rPr>
              <w:t xml:space="preserve">, care se datorează tipului de renovare pentru care se va opta la reabilitarea energetică a acestora – renovare minoră sau moderată </w:t>
            </w:r>
            <w:r w:rsidRPr="009444C7">
              <w:rPr>
                <w:rFonts w:ascii="Times New Roman" w:hAnsi="Times New Roman"/>
                <w:bCs/>
                <w:shd w:val="clear" w:color="auto" w:fill="FFFFFF"/>
              </w:rPr>
              <w:t>prevăzut</w:t>
            </w:r>
            <w:r w:rsidR="006826BF" w:rsidRPr="009444C7">
              <w:rPr>
                <w:rFonts w:ascii="Times New Roman" w:hAnsi="Times New Roman"/>
                <w:bCs/>
                <w:shd w:val="clear" w:color="auto" w:fill="FFFFFF"/>
              </w:rPr>
              <w:t>e</w:t>
            </w:r>
            <w:r w:rsidRPr="009444C7">
              <w:rPr>
                <w:rFonts w:ascii="Times New Roman" w:hAnsi="Times New Roman"/>
                <w:bCs/>
                <w:shd w:val="clear" w:color="auto" w:fill="FFFFFF"/>
              </w:rPr>
              <w:t xml:space="preserve"> conform </w:t>
            </w:r>
            <w:r w:rsidRPr="009444C7">
              <w:rPr>
                <w:rFonts w:ascii="Times New Roman" w:hAnsi="Times New Roman"/>
                <w:bCs/>
                <w:shd w:val="clear" w:color="auto" w:fill="FFFFFF"/>
              </w:rPr>
              <w:lastRenderedPageBreak/>
              <w:t>proiectului Strategiei sectoriale pentru renovarea fondului imobiliar național pe termen lung pentru perioada 2025-2050.</w:t>
            </w:r>
          </w:p>
          <w:p w14:paraId="13BFECF6" w14:textId="335B2728" w:rsidR="00CB6832" w:rsidRPr="009444C7" w:rsidRDefault="00F635FC" w:rsidP="00F635FC">
            <w:pPr>
              <w:tabs>
                <w:tab w:val="left" w:pos="884"/>
                <w:tab w:val="left" w:pos="1196"/>
              </w:tabs>
              <w:spacing w:before="120" w:after="120"/>
              <w:jc w:val="both"/>
              <w:rPr>
                <w:rFonts w:ascii="Times New Roman" w:hAnsi="Times New Roman"/>
                <w:bCs/>
                <w:shd w:val="clear" w:color="auto" w:fill="FFFFFF"/>
              </w:rPr>
            </w:pPr>
            <w:r w:rsidRPr="009444C7">
              <w:rPr>
                <w:rFonts w:ascii="Times New Roman" w:hAnsi="Times New Roman"/>
                <w:bCs/>
                <w:shd w:val="clear" w:color="auto" w:fill="FFFFFF"/>
              </w:rPr>
              <w:t>Totodată, este de menționat că chiar dacă suprafața blocurilor locative prevăzută a fi renovată conform prevederilor pct. 45 subpct. 2) din Programul FEERM este mai mare comparativ cu cea care ar putea fi acoperită cu mijloacele financiare colectate în cadrul PSOEE, aceasta este posibil de realizat datorită proiectului „Optimizarea sistemului de alimentare cu energie</w:t>
            </w:r>
            <w:r w:rsidR="00AA4B53" w:rsidRPr="009444C7">
              <w:rPr>
                <w:rFonts w:ascii="Times New Roman" w:hAnsi="Times New Roman"/>
                <w:bCs/>
                <w:shd w:val="clear" w:color="auto" w:fill="FFFFFF"/>
              </w:rPr>
              <w:t xml:space="preserve"> </w:t>
            </w:r>
            <w:r w:rsidRPr="009444C7">
              <w:rPr>
                <w:rFonts w:ascii="Times New Roman" w:hAnsi="Times New Roman"/>
                <w:bCs/>
                <w:shd w:val="clear" w:color="auto" w:fill="FFFFFF"/>
              </w:rPr>
              <w:t>termică din mun. Chișinău”</w:t>
            </w:r>
            <w:r w:rsidR="00AA4B53" w:rsidRPr="009444C7">
              <w:rPr>
                <w:rFonts w:ascii="Times New Roman" w:hAnsi="Times New Roman"/>
                <w:bCs/>
                <w:shd w:val="clear" w:color="auto" w:fill="FFFFFF"/>
              </w:rPr>
              <w:t xml:space="preserve">, </w:t>
            </w:r>
            <w:r w:rsidRPr="009444C7">
              <w:rPr>
                <w:rFonts w:ascii="Times New Roman" w:hAnsi="Times New Roman"/>
                <w:bCs/>
                <w:shd w:val="clear" w:color="auto" w:fill="FFFFFF"/>
              </w:rPr>
              <w:t xml:space="preserve">cu un buget de </w:t>
            </w:r>
            <w:r w:rsidR="00AA4B53" w:rsidRPr="009444C7">
              <w:rPr>
                <w:rFonts w:ascii="Times New Roman" w:hAnsi="Times New Roman"/>
                <w:bCs/>
                <w:shd w:val="clear" w:color="auto" w:fill="FFFFFF"/>
              </w:rPr>
              <w:t xml:space="preserve">326 milioane Euro </w:t>
            </w:r>
            <w:r w:rsidRPr="009444C7">
              <w:rPr>
                <w:rFonts w:ascii="Times New Roman" w:hAnsi="Times New Roman"/>
                <w:bCs/>
                <w:shd w:val="clear" w:color="auto" w:fill="FFFFFF"/>
              </w:rPr>
              <w:t>în cadrul căreia sunt prevăzute modernizare radicală a sistemului de termoficare din capitală, prin instalarea a 2510 puncte termice individuale, trecerea a 1665 de blocuri de locuințe la un sistem de distribuție orizontală a agentului termic, realizarea a 57 de proiecte-pilot de termoizolare a blocurilor selectate, reabilitarea rețelelor termice primare și construcția a două stații de pompare</w:t>
            </w:r>
            <w:bookmarkEnd w:id="1"/>
            <w:r w:rsidR="00AA4B53" w:rsidRPr="009444C7">
              <w:rPr>
                <w:rFonts w:ascii="Times New Roman" w:hAnsi="Times New Roman"/>
                <w:bCs/>
                <w:shd w:val="clear" w:color="auto" w:fill="FFFFFF"/>
              </w:rPr>
              <w:t>. Proiectul urmează a fi implementat de Termoelectrica în perioada 2025-2030, cu participarea inclusiv a IP CNED.</w:t>
            </w:r>
          </w:p>
        </w:tc>
      </w:tr>
      <w:tr w:rsidR="006D3EB7" w:rsidRPr="009444C7" w14:paraId="02E2B551" w14:textId="77777777" w:rsidTr="0023659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CBB070" w14:textId="59684A66" w:rsidR="00BD7C00" w:rsidRPr="009444C7" w:rsidRDefault="006933C3" w:rsidP="00236599">
            <w:pPr>
              <w:rPr>
                <w:rFonts w:ascii="Times New Roman" w:hAnsi="Times New Roman"/>
                <w:i/>
              </w:rPr>
            </w:pPr>
            <w:r w:rsidRPr="009444C7">
              <w:rPr>
                <w:rFonts w:ascii="Times New Roman" w:hAnsi="Times New Roman"/>
                <w:i/>
              </w:rPr>
              <w:lastRenderedPageBreak/>
              <w:t>4.3.</w:t>
            </w:r>
            <w:r w:rsidR="00032B46" w:rsidRPr="009444C7">
              <w:rPr>
                <w:rFonts w:ascii="Times New Roman" w:hAnsi="Times New Roman"/>
                <w:i/>
              </w:rPr>
              <w:t xml:space="preserve"> </w:t>
            </w:r>
            <w:r w:rsidRPr="009444C7">
              <w:rPr>
                <w:rFonts w:ascii="Times New Roman" w:hAnsi="Times New Roman"/>
                <w:i/>
              </w:rPr>
              <w:t>Impactul</w:t>
            </w:r>
            <w:r w:rsidR="00032B46" w:rsidRPr="009444C7">
              <w:rPr>
                <w:rFonts w:ascii="Times New Roman" w:hAnsi="Times New Roman"/>
                <w:i/>
              </w:rPr>
              <w:t xml:space="preserve"> </w:t>
            </w:r>
            <w:r w:rsidR="00CA2822" w:rsidRPr="009444C7">
              <w:rPr>
                <w:rFonts w:ascii="Times New Roman" w:hAnsi="Times New Roman"/>
                <w:i/>
              </w:rPr>
              <w:t>asupra</w:t>
            </w:r>
            <w:r w:rsidR="00032B46" w:rsidRPr="009444C7">
              <w:rPr>
                <w:rFonts w:ascii="Times New Roman" w:hAnsi="Times New Roman"/>
                <w:i/>
              </w:rPr>
              <w:t xml:space="preserve"> </w:t>
            </w:r>
            <w:r w:rsidR="00CA2822" w:rsidRPr="009444C7">
              <w:rPr>
                <w:rFonts w:ascii="Times New Roman" w:hAnsi="Times New Roman"/>
                <w:i/>
              </w:rPr>
              <w:t>sectorului</w:t>
            </w:r>
            <w:r w:rsidR="00032B46" w:rsidRPr="009444C7">
              <w:rPr>
                <w:rFonts w:ascii="Times New Roman" w:hAnsi="Times New Roman"/>
                <w:i/>
              </w:rPr>
              <w:t xml:space="preserve"> </w:t>
            </w:r>
            <w:r w:rsidR="00CA2822" w:rsidRPr="009444C7">
              <w:rPr>
                <w:rFonts w:ascii="Times New Roman" w:hAnsi="Times New Roman"/>
                <w:i/>
              </w:rPr>
              <w:t>privat</w:t>
            </w:r>
          </w:p>
          <w:p w14:paraId="7A7F0322" w14:textId="716A1CEB" w:rsidR="009852E6" w:rsidRPr="009444C7" w:rsidRDefault="00E11610" w:rsidP="005D1692">
            <w:pPr>
              <w:jc w:val="both"/>
              <w:rPr>
                <w:rFonts w:ascii="Times New Roman" w:hAnsi="Times New Roman"/>
                <w:shd w:val="clear" w:color="auto" w:fill="FFFFFF"/>
              </w:rPr>
            </w:pPr>
            <w:r w:rsidRPr="009444C7">
              <w:rPr>
                <w:rFonts w:ascii="Times New Roman" w:hAnsi="Times New Roman"/>
              </w:rPr>
              <w:t>După cum a fost menționat și în Nota de fundamentare aferentă proiectului de lege pentru modificarea Legii nr. 139/2018 cu privire la eficiența energetică (facilitarea implementării proiectelor de eficiență energetică)</w:t>
            </w:r>
            <w:r w:rsidR="00C77E9C" w:rsidRPr="009444C7">
              <w:rPr>
                <w:rFonts w:ascii="Times New Roman" w:hAnsi="Times New Roman"/>
              </w:rPr>
              <w:t xml:space="preserve">, excluderea </w:t>
            </w:r>
            <w:r w:rsidR="00C77E9C" w:rsidRPr="009444C7">
              <w:rPr>
                <w:rFonts w:ascii="Times New Roman" w:hAnsi="Times New Roman"/>
                <w:b/>
              </w:rPr>
              <w:t>f</w:t>
            </w:r>
            <w:r w:rsidR="00C77E9C" w:rsidRPr="009444C7">
              <w:rPr>
                <w:rFonts w:ascii="Times New Roman" w:hAnsi="Times New Roman"/>
                <w:b/>
                <w:shd w:val="clear" w:color="auto" w:fill="FFFFFF"/>
              </w:rPr>
              <w:t xml:space="preserve">urnizorilor de energie termică pentru încălzire și/sau preparare a apei calde menajere (ACM), și/sau răcire </w:t>
            </w:r>
            <w:r w:rsidR="00C77E9C" w:rsidRPr="009444C7">
              <w:rPr>
                <w:rFonts w:ascii="Times New Roman" w:hAnsi="Times New Roman"/>
              </w:rPr>
              <w:t xml:space="preserve">din lista părților obligate </w:t>
            </w:r>
            <w:r w:rsidR="0020204D" w:rsidRPr="009444C7">
              <w:rPr>
                <w:rFonts w:ascii="Times New Roman" w:hAnsi="Times New Roman"/>
              </w:rPr>
              <w:t xml:space="preserve">va avea impact pozitiv </w:t>
            </w:r>
            <w:r w:rsidR="009852E6" w:rsidRPr="009444C7">
              <w:rPr>
                <w:rFonts w:ascii="Times New Roman" w:hAnsi="Times New Roman"/>
                <w:shd w:val="clear" w:color="auto" w:fill="FFFFFF"/>
              </w:rPr>
              <w:t xml:space="preserve">prin scutirea acestora de contribuțiile ce urmează </w:t>
            </w:r>
            <w:r w:rsidR="00C77E9C" w:rsidRPr="009444C7">
              <w:rPr>
                <w:rFonts w:ascii="Times New Roman" w:hAnsi="Times New Roman"/>
                <w:shd w:val="clear" w:color="auto" w:fill="FFFFFF"/>
              </w:rPr>
              <w:t>a fi achitate</w:t>
            </w:r>
            <w:r w:rsidR="009852E6" w:rsidRPr="009444C7">
              <w:rPr>
                <w:rFonts w:ascii="Times New Roman" w:hAnsi="Times New Roman"/>
                <w:shd w:val="clear" w:color="auto" w:fill="FFFFFF"/>
              </w:rPr>
              <w:t xml:space="preserve"> în cadrul schemei de obligații în domeniul eficienței energetice pentru energia termică </w:t>
            </w:r>
            <w:r w:rsidR="00F8742F" w:rsidRPr="009444C7">
              <w:rPr>
                <w:rFonts w:ascii="Times New Roman" w:hAnsi="Times New Roman"/>
                <w:shd w:val="clear" w:color="auto" w:fill="FFFFFF"/>
              </w:rPr>
              <w:t xml:space="preserve">utilizată pentru încălzire </w:t>
            </w:r>
            <w:r w:rsidR="009852E6" w:rsidRPr="009444C7">
              <w:rPr>
                <w:rFonts w:ascii="Times New Roman" w:hAnsi="Times New Roman"/>
                <w:shd w:val="clear" w:color="auto" w:fill="FFFFFF"/>
              </w:rPr>
              <w:t xml:space="preserve">și </w:t>
            </w:r>
            <w:r w:rsidR="00F8742F" w:rsidRPr="009444C7">
              <w:rPr>
                <w:rFonts w:ascii="Times New Roman" w:hAnsi="Times New Roman"/>
                <w:shd w:val="clear" w:color="auto" w:fill="FFFFFF"/>
              </w:rPr>
              <w:t xml:space="preserve">preparare a </w:t>
            </w:r>
            <w:r w:rsidR="009852E6" w:rsidRPr="009444C7">
              <w:rPr>
                <w:rFonts w:ascii="Times New Roman" w:hAnsi="Times New Roman"/>
                <w:shd w:val="clear" w:color="auto" w:fill="FFFFFF"/>
              </w:rPr>
              <w:t>ap</w:t>
            </w:r>
            <w:r w:rsidR="00F8742F" w:rsidRPr="009444C7">
              <w:rPr>
                <w:rFonts w:ascii="Times New Roman" w:hAnsi="Times New Roman"/>
                <w:shd w:val="clear" w:color="auto" w:fill="FFFFFF"/>
              </w:rPr>
              <w:t>ei</w:t>
            </w:r>
            <w:r w:rsidR="009852E6" w:rsidRPr="009444C7">
              <w:rPr>
                <w:rFonts w:ascii="Times New Roman" w:hAnsi="Times New Roman"/>
                <w:shd w:val="clear" w:color="auto" w:fill="FFFFFF"/>
              </w:rPr>
              <w:t xml:space="preserve"> cald</w:t>
            </w:r>
            <w:r w:rsidR="00F8742F" w:rsidRPr="009444C7">
              <w:rPr>
                <w:rFonts w:ascii="Times New Roman" w:hAnsi="Times New Roman"/>
                <w:shd w:val="clear" w:color="auto" w:fill="FFFFFF"/>
              </w:rPr>
              <w:t>e</w:t>
            </w:r>
            <w:r w:rsidR="009852E6" w:rsidRPr="009444C7">
              <w:rPr>
                <w:rFonts w:ascii="Times New Roman" w:hAnsi="Times New Roman"/>
                <w:shd w:val="clear" w:color="auto" w:fill="FFFFFF"/>
              </w:rPr>
              <w:t xml:space="preserve"> menajeră furnizată consumatorilor finali. Contribuțiile acestora </w:t>
            </w:r>
            <w:r w:rsidR="00967781" w:rsidRPr="009444C7">
              <w:rPr>
                <w:rFonts w:ascii="Times New Roman" w:hAnsi="Times New Roman"/>
                <w:shd w:val="clear" w:color="auto" w:fill="FFFFFF"/>
              </w:rPr>
              <w:t xml:space="preserve">precum și ponderea lor în totalul contribuțiilor transferate de către toate părțile obligate </w:t>
            </w:r>
            <w:r w:rsidR="009852E6" w:rsidRPr="009444C7">
              <w:rPr>
                <w:rFonts w:ascii="Times New Roman" w:hAnsi="Times New Roman"/>
                <w:shd w:val="clear" w:color="auto" w:fill="FFFFFF"/>
              </w:rPr>
              <w:t>pe parcursul anului 2024, sunt prezentate în tabelul de mai jos:</w:t>
            </w:r>
          </w:p>
          <w:p w14:paraId="460F371F" w14:textId="4D76F47F" w:rsidR="0020204D" w:rsidRPr="009444C7" w:rsidRDefault="009852E6" w:rsidP="005D1692">
            <w:pPr>
              <w:spacing w:before="120"/>
              <w:jc w:val="both"/>
              <w:rPr>
                <w:rFonts w:ascii="Times New Roman" w:hAnsi="Times New Roman"/>
                <w:shd w:val="clear" w:color="auto" w:fill="FFFFFF"/>
              </w:rPr>
            </w:pPr>
            <w:r w:rsidRPr="009444C7">
              <w:rPr>
                <w:rFonts w:ascii="Times New Roman" w:hAnsi="Times New Roman"/>
                <w:b/>
                <w:shd w:val="clear" w:color="auto" w:fill="FFFFFF"/>
              </w:rPr>
              <w:t xml:space="preserve">Tabelul </w:t>
            </w:r>
            <w:r w:rsidR="006170CA" w:rsidRPr="009444C7">
              <w:rPr>
                <w:rFonts w:ascii="Times New Roman" w:hAnsi="Times New Roman"/>
                <w:b/>
                <w:shd w:val="clear" w:color="auto" w:fill="FFFFFF"/>
              </w:rPr>
              <w:t xml:space="preserve">nr. </w:t>
            </w:r>
            <w:r w:rsidR="00193813" w:rsidRPr="009444C7">
              <w:rPr>
                <w:rFonts w:ascii="Times New Roman" w:hAnsi="Times New Roman"/>
                <w:b/>
                <w:shd w:val="clear" w:color="auto" w:fill="FFFFFF"/>
              </w:rPr>
              <w:t>2</w:t>
            </w:r>
            <w:r w:rsidRPr="009444C7">
              <w:rPr>
                <w:rFonts w:ascii="Times New Roman" w:hAnsi="Times New Roman"/>
                <w:b/>
                <w:shd w:val="clear" w:color="auto" w:fill="FFFFFF"/>
              </w:rPr>
              <w:t>.</w:t>
            </w:r>
            <w:r w:rsidRPr="009444C7">
              <w:rPr>
                <w:rFonts w:ascii="Times New Roman" w:hAnsi="Times New Roman"/>
                <w:shd w:val="clear" w:color="auto" w:fill="FFFFFF"/>
              </w:rPr>
              <w:t xml:space="preserve"> Contribuțiile financiare ale furnizorilor de energie termică pentru încălzire și/sau preparare a apei calde menajere, și/sau răcire realizate</w:t>
            </w:r>
            <w:r w:rsidR="006A03F4" w:rsidRPr="009444C7">
              <w:rPr>
                <w:rFonts w:ascii="Times New Roman" w:hAnsi="Times New Roman"/>
                <w:shd w:val="clear" w:color="auto" w:fill="FFFFFF"/>
              </w:rPr>
              <w:t xml:space="preserve">, precum și </w:t>
            </w:r>
            <w:r w:rsidR="00967781" w:rsidRPr="009444C7">
              <w:rPr>
                <w:rFonts w:ascii="Times New Roman" w:hAnsi="Times New Roman"/>
                <w:shd w:val="clear" w:color="auto" w:fill="FFFFFF"/>
              </w:rPr>
              <w:t>ponderea acestora în totalul contribuțiilor</w:t>
            </w:r>
            <w:r w:rsidR="006A03F4" w:rsidRPr="009444C7">
              <w:rPr>
                <w:rFonts w:ascii="Times New Roman" w:hAnsi="Times New Roman"/>
                <w:shd w:val="clear" w:color="auto" w:fill="FFFFFF"/>
              </w:rPr>
              <w:t xml:space="preserve"> </w:t>
            </w:r>
            <w:r w:rsidR="00967781" w:rsidRPr="009444C7">
              <w:rPr>
                <w:rFonts w:ascii="Times New Roman" w:hAnsi="Times New Roman"/>
                <w:shd w:val="clear" w:color="auto" w:fill="FFFFFF"/>
              </w:rPr>
              <w:t xml:space="preserve">transferate de către toate părțile </w:t>
            </w:r>
            <w:r w:rsidR="006A03F4" w:rsidRPr="009444C7">
              <w:rPr>
                <w:rFonts w:ascii="Times New Roman" w:hAnsi="Times New Roman"/>
                <w:shd w:val="clear" w:color="auto" w:fill="FFFFFF"/>
              </w:rPr>
              <w:t>obligate</w:t>
            </w:r>
            <w:r w:rsidRPr="009444C7">
              <w:rPr>
                <w:rFonts w:ascii="Times New Roman" w:hAnsi="Times New Roman"/>
                <w:shd w:val="clear" w:color="auto" w:fill="FFFFFF"/>
              </w:rPr>
              <w:t xml:space="preserve"> pe parcursul</w:t>
            </w:r>
            <w:r w:rsidR="00376916" w:rsidRPr="009444C7">
              <w:rPr>
                <w:rFonts w:ascii="Times New Roman" w:hAnsi="Times New Roman"/>
                <w:shd w:val="clear" w:color="auto" w:fill="FFFFFF"/>
              </w:rPr>
              <w:t xml:space="preserve"> anului</w:t>
            </w:r>
            <w:r w:rsidRPr="009444C7">
              <w:rPr>
                <w:rFonts w:ascii="Times New Roman" w:hAnsi="Times New Roman"/>
                <w:shd w:val="clear" w:color="auto" w:fill="FFFFFF"/>
              </w:rPr>
              <w:t xml:space="preserve">, 2024   </w:t>
            </w:r>
          </w:p>
          <w:tbl>
            <w:tblPr>
              <w:tblStyle w:val="TableGrid"/>
              <w:tblW w:w="5000" w:type="pct"/>
              <w:tblLook w:val="04A0" w:firstRow="1" w:lastRow="0" w:firstColumn="1" w:lastColumn="0" w:noHBand="0" w:noVBand="1"/>
            </w:tblPr>
            <w:tblGrid>
              <w:gridCol w:w="556"/>
              <w:gridCol w:w="3223"/>
              <w:gridCol w:w="2665"/>
              <w:gridCol w:w="2665"/>
            </w:tblGrid>
            <w:tr w:rsidR="00967781" w:rsidRPr="009444C7" w14:paraId="1477B124" w14:textId="1CE49737" w:rsidTr="001C1404">
              <w:tc>
                <w:tcPr>
                  <w:tcW w:w="305" w:type="pct"/>
                  <w:shd w:val="clear" w:color="auto" w:fill="C6D9F1" w:themeFill="text2" w:themeFillTint="33"/>
                  <w:vAlign w:val="center"/>
                </w:tcPr>
                <w:p w14:paraId="16DFC6B7" w14:textId="03DC2BA0" w:rsidR="00967781" w:rsidRPr="009444C7" w:rsidRDefault="00967781" w:rsidP="001C1404">
                  <w:pPr>
                    <w:tabs>
                      <w:tab w:val="left" w:pos="884"/>
                      <w:tab w:val="left" w:pos="1196"/>
                    </w:tabs>
                    <w:jc w:val="center"/>
                    <w:rPr>
                      <w:rFonts w:ascii="Times New Roman" w:hAnsi="Times New Roman"/>
                      <w:b/>
                    </w:rPr>
                  </w:pPr>
                  <w:r w:rsidRPr="009444C7">
                    <w:rPr>
                      <w:rFonts w:ascii="Times New Roman" w:hAnsi="Times New Roman"/>
                      <w:b/>
                    </w:rPr>
                    <w:t>Nr.</w:t>
                  </w:r>
                </w:p>
              </w:tc>
              <w:tc>
                <w:tcPr>
                  <w:tcW w:w="1769" w:type="pct"/>
                  <w:shd w:val="clear" w:color="auto" w:fill="C6D9F1" w:themeFill="text2" w:themeFillTint="33"/>
                  <w:vAlign w:val="center"/>
                </w:tcPr>
                <w:p w14:paraId="21D72137" w14:textId="30825BBD" w:rsidR="00967781" w:rsidRPr="009444C7" w:rsidRDefault="00967781" w:rsidP="001C1404">
                  <w:pPr>
                    <w:tabs>
                      <w:tab w:val="left" w:pos="884"/>
                      <w:tab w:val="left" w:pos="1196"/>
                    </w:tabs>
                    <w:jc w:val="center"/>
                    <w:rPr>
                      <w:rFonts w:ascii="Times New Roman" w:hAnsi="Times New Roman"/>
                      <w:b/>
                    </w:rPr>
                  </w:pPr>
                  <w:r w:rsidRPr="009444C7">
                    <w:rPr>
                      <w:rFonts w:ascii="Times New Roman" w:hAnsi="Times New Roman"/>
                      <w:b/>
                    </w:rPr>
                    <w:t>Denumirea  părților obligate</w:t>
                  </w:r>
                </w:p>
              </w:tc>
              <w:tc>
                <w:tcPr>
                  <w:tcW w:w="1463" w:type="pct"/>
                  <w:shd w:val="clear" w:color="auto" w:fill="C6D9F1" w:themeFill="text2" w:themeFillTint="33"/>
                  <w:vAlign w:val="center"/>
                </w:tcPr>
                <w:p w14:paraId="55220070" w14:textId="2ED8766C" w:rsidR="00967781" w:rsidRPr="009444C7" w:rsidRDefault="00967781" w:rsidP="001C1404">
                  <w:pPr>
                    <w:tabs>
                      <w:tab w:val="left" w:pos="884"/>
                      <w:tab w:val="left" w:pos="1196"/>
                    </w:tabs>
                    <w:jc w:val="center"/>
                    <w:rPr>
                      <w:rFonts w:ascii="Times New Roman" w:hAnsi="Times New Roman"/>
                      <w:b/>
                    </w:rPr>
                  </w:pPr>
                  <w:r w:rsidRPr="009444C7">
                    <w:rPr>
                      <w:rFonts w:ascii="Times New Roman" w:hAnsi="Times New Roman"/>
                      <w:b/>
                    </w:rPr>
                    <w:t>Mijloace financiare transferate pe parcursul anului, 2024, MDL</w:t>
                  </w:r>
                </w:p>
              </w:tc>
              <w:tc>
                <w:tcPr>
                  <w:tcW w:w="1463" w:type="pct"/>
                  <w:shd w:val="clear" w:color="auto" w:fill="C6D9F1" w:themeFill="text2" w:themeFillTint="33"/>
                  <w:vAlign w:val="center"/>
                </w:tcPr>
                <w:p w14:paraId="0889D0CE" w14:textId="3C9B8A04" w:rsidR="00967781" w:rsidRPr="009444C7" w:rsidRDefault="00967781" w:rsidP="001C1404">
                  <w:pPr>
                    <w:tabs>
                      <w:tab w:val="left" w:pos="884"/>
                      <w:tab w:val="left" w:pos="1196"/>
                    </w:tabs>
                    <w:jc w:val="center"/>
                    <w:rPr>
                      <w:rFonts w:ascii="Times New Roman" w:hAnsi="Times New Roman"/>
                      <w:b/>
                    </w:rPr>
                  </w:pPr>
                  <w:r w:rsidRPr="009444C7">
                    <w:rPr>
                      <w:rFonts w:ascii="Times New Roman" w:hAnsi="Times New Roman"/>
                      <w:b/>
                    </w:rPr>
                    <w:t>Ponderea mijloacelor financiare transferate în total, %</w:t>
                  </w:r>
                </w:p>
              </w:tc>
            </w:tr>
            <w:tr w:rsidR="00967781" w:rsidRPr="009444C7" w14:paraId="09025458" w14:textId="2A1C2EAD" w:rsidTr="005D1692">
              <w:tc>
                <w:tcPr>
                  <w:tcW w:w="305" w:type="pct"/>
                </w:tcPr>
                <w:p w14:paraId="3F5E1F9E" w14:textId="77777777" w:rsidR="00967781" w:rsidRPr="009444C7" w:rsidRDefault="00967781" w:rsidP="005D1692">
                  <w:pPr>
                    <w:pStyle w:val="ListParagraph"/>
                    <w:numPr>
                      <w:ilvl w:val="0"/>
                      <w:numId w:val="25"/>
                    </w:numPr>
                    <w:ind w:left="360"/>
                    <w:contextualSpacing w:val="0"/>
                    <w:rPr>
                      <w:rFonts w:ascii="Times New Roman" w:hAnsi="Times New Roman"/>
                      <w:shd w:val="clear" w:color="auto" w:fill="FFFFFF"/>
                    </w:rPr>
                  </w:pPr>
                </w:p>
              </w:tc>
              <w:tc>
                <w:tcPr>
                  <w:tcW w:w="1769" w:type="pct"/>
                  <w:vAlign w:val="center"/>
                </w:tcPr>
                <w:p w14:paraId="18EFC36C" w14:textId="027B8233" w:rsidR="00967781" w:rsidRPr="009444C7" w:rsidRDefault="00967781" w:rsidP="00F8742F">
                  <w:pPr>
                    <w:rPr>
                      <w:rFonts w:ascii="Times New Roman" w:hAnsi="Times New Roman"/>
                      <w:bCs/>
                      <w:shd w:val="clear" w:color="auto" w:fill="FFFFFF"/>
                    </w:rPr>
                  </w:pPr>
                  <w:r w:rsidRPr="009444C7">
                    <w:rPr>
                      <w:rFonts w:ascii="Times New Roman" w:hAnsi="Times New Roman"/>
                      <w:bCs/>
                    </w:rPr>
                    <w:t>Furnizorii de energie termică pentru încălzire și/sau preparare a ACM</w:t>
                  </w:r>
                </w:p>
              </w:tc>
              <w:tc>
                <w:tcPr>
                  <w:tcW w:w="1463" w:type="pct"/>
                  <w:vAlign w:val="center"/>
                </w:tcPr>
                <w:p w14:paraId="53E4BBB8" w14:textId="5547E349" w:rsidR="00967781" w:rsidRPr="009444C7" w:rsidRDefault="005D1692" w:rsidP="005D1692">
                  <w:pPr>
                    <w:jc w:val="center"/>
                    <w:rPr>
                      <w:rFonts w:ascii="Times New Roman" w:hAnsi="Times New Roman"/>
                      <w:shd w:val="clear" w:color="auto" w:fill="FFFFFF"/>
                    </w:rPr>
                  </w:pPr>
                  <w:r w:rsidRPr="009444C7">
                    <w:rPr>
                      <w:rFonts w:ascii="Times New Roman" w:hAnsi="Times New Roman"/>
                      <w:shd w:val="clear" w:color="auto" w:fill="FFFFFF"/>
                    </w:rPr>
                    <w:t>21 4</w:t>
                  </w:r>
                  <w:r w:rsidR="00A349E0" w:rsidRPr="009444C7">
                    <w:rPr>
                      <w:rFonts w:ascii="Times New Roman" w:hAnsi="Times New Roman"/>
                      <w:shd w:val="clear" w:color="auto" w:fill="FFFFFF"/>
                    </w:rPr>
                    <w:t>30</w:t>
                  </w:r>
                  <w:r w:rsidRPr="009444C7">
                    <w:rPr>
                      <w:rFonts w:ascii="Times New Roman" w:hAnsi="Times New Roman"/>
                      <w:shd w:val="clear" w:color="auto" w:fill="FFFFFF"/>
                    </w:rPr>
                    <w:t xml:space="preserve"> </w:t>
                  </w:r>
                  <w:r w:rsidR="00A349E0" w:rsidRPr="009444C7">
                    <w:rPr>
                      <w:rFonts w:ascii="Times New Roman" w:hAnsi="Times New Roman"/>
                      <w:shd w:val="clear" w:color="auto" w:fill="FFFFFF"/>
                    </w:rPr>
                    <w:t>968</w:t>
                  </w:r>
                  <w:r w:rsidRPr="009444C7">
                    <w:rPr>
                      <w:rFonts w:ascii="Times New Roman" w:hAnsi="Times New Roman"/>
                      <w:shd w:val="clear" w:color="auto" w:fill="FFFFFF"/>
                    </w:rPr>
                    <w:t>.36</w:t>
                  </w:r>
                </w:p>
              </w:tc>
              <w:tc>
                <w:tcPr>
                  <w:tcW w:w="1463" w:type="pct"/>
                  <w:vAlign w:val="center"/>
                </w:tcPr>
                <w:p w14:paraId="16377366" w14:textId="4AB4F612" w:rsidR="00967781" w:rsidRPr="009444C7" w:rsidRDefault="005D1692" w:rsidP="005D1692">
                  <w:pPr>
                    <w:jc w:val="center"/>
                    <w:rPr>
                      <w:rFonts w:ascii="Times New Roman" w:hAnsi="Times New Roman"/>
                      <w:shd w:val="clear" w:color="auto" w:fill="FFFFFF"/>
                    </w:rPr>
                  </w:pPr>
                  <w:r w:rsidRPr="009444C7">
                    <w:rPr>
                      <w:rFonts w:ascii="Times New Roman" w:hAnsi="Times New Roman"/>
                      <w:shd w:val="clear" w:color="auto" w:fill="FFFFFF"/>
                    </w:rPr>
                    <w:t>9,0</w:t>
                  </w:r>
                  <w:r w:rsidR="00A349E0" w:rsidRPr="009444C7">
                    <w:rPr>
                      <w:rFonts w:ascii="Times New Roman" w:hAnsi="Times New Roman"/>
                      <w:shd w:val="clear" w:color="auto" w:fill="FFFFFF"/>
                    </w:rPr>
                    <w:t>4</w:t>
                  </w:r>
                </w:p>
              </w:tc>
            </w:tr>
            <w:tr w:rsidR="00967781" w:rsidRPr="009444C7" w14:paraId="55B557AE" w14:textId="6852CDA5" w:rsidTr="005D1692">
              <w:tc>
                <w:tcPr>
                  <w:tcW w:w="305" w:type="pct"/>
                </w:tcPr>
                <w:p w14:paraId="07F36A8E" w14:textId="77777777" w:rsidR="00967781" w:rsidRPr="009444C7" w:rsidRDefault="00967781" w:rsidP="005D1692">
                  <w:pPr>
                    <w:pStyle w:val="ListParagraph"/>
                    <w:numPr>
                      <w:ilvl w:val="0"/>
                      <w:numId w:val="25"/>
                    </w:numPr>
                    <w:tabs>
                      <w:tab w:val="left" w:pos="884"/>
                      <w:tab w:val="left" w:pos="1196"/>
                    </w:tabs>
                    <w:ind w:left="360"/>
                    <w:contextualSpacing w:val="0"/>
                    <w:jc w:val="center"/>
                    <w:rPr>
                      <w:rFonts w:ascii="Times New Roman" w:hAnsi="Times New Roman"/>
                    </w:rPr>
                  </w:pPr>
                </w:p>
              </w:tc>
              <w:tc>
                <w:tcPr>
                  <w:tcW w:w="1769" w:type="pct"/>
                  <w:vAlign w:val="bottom"/>
                </w:tcPr>
                <w:p w14:paraId="10541711" w14:textId="0505A2F9" w:rsidR="00967781" w:rsidRPr="009444C7" w:rsidRDefault="00967781" w:rsidP="00967781">
                  <w:pPr>
                    <w:rPr>
                      <w:rFonts w:ascii="Times New Roman" w:hAnsi="Times New Roman"/>
                      <w:bCs/>
                    </w:rPr>
                  </w:pPr>
                  <w:r w:rsidRPr="009444C7">
                    <w:rPr>
                      <w:rFonts w:ascii="Times New Roman" w:hAnsi="Times New Roman"/>
                      <w:bCs/>
                    </w:rPr>
                    <w:t xml:space="preserve">Contribuțiile părților obligate </w:t>
                  </w:r>
                  <w:r w:rsidRPr="009444C7">
                    <w:rPr>
                      <w:rFonts w:ascii="Times New Roman" w:hAnsi="Times New Roman"/>
                      <w:bCs/>
                      <w:i/>
                      <w:iCs/>
                    </w:rPr>
                    <w:t>care se regăsesc</w:t>
                  </w:r>
                  <w:r w:rsidRPr="009444C7">
                    <w:rPr>
                      <w:rFonts w:ascii="Times New Roman" w:hAnsi="Times New Roman"/>
                      <w:bCs/>
                    </w:rPr>
                    <w:t xml:space="preserve"> în lista părților obligate din Anexa 1 la Programul privind implementarea schemei de obligații în domeniul</w:t>
                  </w:r>
                </w:p>
                <w:p w14:paraId="204B90C5" w14:textId="3F2BD9EC" w:rsidR="00967781" w:rsidRPr="009444C7" w:rsidRDefault="00967781" w:rsidP="001A76A5">
                  <w:pPr>
                    <w:tabs>
                      <w:tab w:val="left" w:pos="884"/>
                      <w:tab w:val="left" w:pos="1196"/>
                    </w:tabs>
                    <w:rPr>
                      <w:rFonts w:ascii="Times New Roman" w:hAnsi="Times New Roman"/>
                      <w:bCs/>
                    </w:rPr>
                  </w:pPr>
                </w:p>
              </w:tc>
              <w:tc>
                <w:tcPr>
                  <w:tcW w:w="1463" w:type="pct"/>
                  <w:vAlign w:val="center"/>
                </w:tcPr>
                <w:p w14:paraId="0DFD9E7A" w14:textId="71092C52" w:rsidR="00967781" w:rsidRPr="009444C7" w:rsidRDefault="005D1692" w:rsidP="005D1692">
                  <w:pPr>
                    <w:tabs>
                      <w:tab w:val="left" w:pos="884"/>
                      <w:tab w:val="left" w:pos="1196"/>
                    </w:tabs>
                    <w:jc w:val="center"/>
                    <w:rPr>
                      <w:rFonts w:ascii="Times New Roman" w:hAnsi="Times New Roman"/>
                    </w:rPr>
                  </w:pPr>
                  <w:r w:rsidRPr="009444C7">
                    <w:rPr>
                      <w:rFonts w:ascii="Times New Roman" w:hAnsi="Times New Roman"/>
                    </w:rPr>
                    <w:t xml:space="preserve">211 </w:t>
                  </w:r>
                  <w:r w:rsidR="00A349E0" w:rsidRPr="009444C7">
                    <w:rPr>
                      <w:rFonts w:ascii="Times New Roman" w:hAnsi="Times New Roman"/>
                    </w:rPr>
                    <w:t>129</w:t>
                  </w:r>
                  <w:r w:rsidRPr="009444C7">
                    <w:rPr>
                      <w:rFonts w:ascii="Times New Roman" w:hAnsi="Times New Roman"/>
                    </w:rPr>
                    <w:t xml:space="preserve"> </w:t>
                  </w:r>
                  <w:r w:rsidR="00A349E0" w:rsidRPr="009444C7">
                    <w:rPr>
                      <w:rFonts w:ascii="Times New Roman" w:hAnsi="Times New Roman"/>
                    </w:rPr>
                    <w:t>450</w:t>
                  </w:r>
                  <w:r w:rsidRPr="009444C7">
                    <w:rPr>
                      <w:rFonts w:ascii="Times New Roman" w:hAnsi="Times New Roman"/>
                    </w:rPr>
                    <w:t>.5</w:t>
                  </w:r>
                  <w:r w:rsidR="00A349E0" w:rsidRPr="009444C7">
                    <w:rPr>
                      <w:rFonts w:ascii="Times New Roman" w:hAnsi="Times New Roman"/>
                    </w:rPr>
                    <w:t>4</w:t>
                  </w:r>
                </w:p>
              </w:tc>
              <w:tc>
                <w:tcPr>
                  <w:tcW w:w="1463" w:type="pct"/>
                  <w:vAlign w:val="center"/>
                </w:tcPr>
                <w:p w14:paraId="4BA8189E" w14:textId="149148AB" w:rsidR="00967781" w:rsidRPr="009444C7" w:rsidRDefault="005D1692" w:rsidP="005D1692">
                  <w:pPr>
                    <w:tabs>
                      <w:tab w:val="left" w:pos="884"/>
                      <w:tab w:val="left" w:pos="1196"/>
                    </w:tabs>
                    <w:jc w:val="center"/>
                    <w:rPr>
                      <w:rFonts w:ascii="Times New Roman" w:hAnsi="Times New Roman"/>
                      <w:color w:val="000000"/>
                    </w:rPr>
                  </w:pPr>
                  <w:r w:rsidRPr="009444C7">
                    <w:rPr>
                      <w:rFonts w:ascii="Times New Roman" w:hAnsi="Times New Roman"/>
                      <w:color w:val="000000"/>
                    </w:rPr>
                    <w:t>89,4</w:t>
                  </w:r>
                  <w:r w:rsidR="00A349E0" w:rsidRPr="009444C7">
                    <w:rPr>
                      <w:rFonts w:ascii="Times New Roman" w:hAnsi="Times New Roman"/>
                      <w:color w:val="000000"/>
                    </w:rPr>
                    <w:t>7</w:t>
                  </w:r>
                </w:p>
              </w:tc>
            </w:tr>
            <w:tr w:rsidR="00967781" w:rsidRPr="009444C7" w14:paraId="6314777E" w14:textId="0AC551E6" w:rsidTr="005D1692">
              <w:tc>
                <w:tcPr>
                  <w:tcW w:w="305" w:type="pct"/>
                </w:tcPr>
                <w:p w14:paraId="04AB4006" w14:textId="77777777" w:rsidR="00967781" w:rsidRPr="009444C7" w:rsidRDefault="00967781" w:rsidP="005D1692">
                  <w:pPr>
                    <w:pStyle w:val="ListParagraph"/>
                    <w:numPr>
                      <w:ilvl w:val="0"/>
                      <w:numId w:val="25"/>
                    </w:numPr>
                    <w:tabs>
                      <w:tab w:val="left" w:pos="884"/>
                      <w:tab w:val="left" w:pos="1196"/>
                    </w:tabs>
                    <w:ind w:left="360"/>
                    <w:contextualSpacing w:val="0"/>
                    <w:rPr>
                      <w:rFonts w:ascii="Times New Roman" w:hAnsi="Times New Roman"/>
                    </w:rPr>
                  </w:pPr>
                </w:p>
              </w:tc>
              <w:tc>
                <w:tcPr>
                  <w:tcW w:w="1769" w:type="pct"/>
                  <w:vAlign w:val="center"/>
                </w:tcPr>
                <w:p w14:paraId="38C3CD85" w14:textId="1EC8EFC1" w:rsidR="00967781" w:rsidRPr="009444C7" w:rsidRDefault="00967781" w:rsidP="005D1692">
                  <w:pPr>
                    <w:tabs>
                      <w:tab w:val="left" w:pos="884"/>
                      <w:tab w:val="left" w:pos="1196"/>
                    </w:tabs>
                    <w:rPr>
                      <w:rFonts w:ascii="Times New Roman" w:hAnsi="Times New Roman"/>
                      <w:bCs/>
                      <w:color w:val="000000"/>
                    </w:rPr>
                  </w:pPr>
                  <w:r w:rsidRPr="009444C7">
                    <w:rPr>
                      <w:rFonts w:ascii="Times New Roman" w:hAnsi="Times New Roman"/>
                      <w:bCs/>
                      <w:color w:val="000000"/>
                    </w:rPr>
                    <w:t xml:space="preserve">Contribuțiile părților obligate </w:t>
                  </w:r>
                  <w:r w:rsidRPr="009444C7">
                    <w:rPr>
                      <w:rFonts w:ascii="Times New Roman" w:hAnsi="Times New Roman"/>
                      <w:bCs/>
                      <w:i/>
                      <w:iCs/>
                      <w:color w:val="000000"/>
                    </w:rPr>
                    <w:t>care nu se regăsesc</w:t>
                  </w:r>
                  <w:r w:rsidRPr="009444C7">
                    <w:rPr>
                      <w:rFonts w:ascii="Times New Roman" w:hAnsi="Times New Roman"/>
                      <w:bCs/>
                      <w:color w:val="000000"/>
                    </w:rPr>
                    <w:t xml:space="preserve"> în lista părților obligate din Anexa 1 la Programul privind implementarea schemei de obligații în domeniul</w:t>
                  </w:r>
                  <w:r w:rsidR="005D1692" w:rsidRPr="009444C7">
                    <w:rPr>
                      <w:rFonts w:ascii="Times New Roman" w:hAnsi="Times New Roman"/>
                      <w:bCs/>
                      <w:color w:val="000000"/>
                    </w:rPr>
                    <w:t xml:space="preserve"> </w:t>
                  </w:r>
                  <w:r w:rsidRPr="009444C7">
                    <w:rPr>
                      <w:rFonts w:ascii="Times New Roman" w:hAnsi="Times New Roman"/>
                      <w:bCs/>
                      <w:color w:val="000000"/>
                    </w:rPr>
                    <w:t>eficienței energetice pentru perioada 2024-2026</w:t>
                  </w:r>
                </w:p>
              </w:tc>
              <w:tc>
                <w:tcPr>
                  <w:tcW w:w="1463" w:type="pct"/>
                  <w:vAlign w:val="center"/>
                </w:tcPr>
                <w:p w14:paraId="4AB028A7" w14:textId="2FA007C6" w:rsidR="00967781" w:rsidRPr="009444C7" w:rsidRDefault="005D1692" w:rsidP="005D1692">
                  <w:pPr>
                    <w:tabs>
                      <w:tab w:val="left" w:pos="884"/>
                      <w:tab w:val="left" w:pos="1196"/>
                    </w:tabs>
                    <w:jc w:val="center"/>
                    <w:rPr>
                      <w:rFonts w:ascii="Times New Roman" w:hAnsi="Times New Roman"/>
                      <w:color w:val="000000"/>
                    </w:rPr>
                  </w:pPr>
                  <w:r w:rsidRPr="009444C7">
                    <w:rPr>
                      <w:rFonts w:ascii="Times New Roman" w:hAnsi="Times New Roman"/>
                      <w:color w:val="000000"/>
                    </w:rPr>
                    <w:t>3 522 023.05</w:t>
                  </w:r>
                </w:p>
              </w:tc>
              <w:tc>
                <w:tcPr>
                  <w:tcW w:w="1463" w:type="pct"/>
                  <w:vAlign w:val="center"/>
                </w:tcPr>
                <w:p w14:paraId="4EE398A1" w14:textId="6A60B945" w:rsidR="00967781" w:rsidRPr="009444C7" w:rsidRDefault="005D1692" w:rsidP="005D1692">
                  <w:pPr>
                    <w:tabs>
                      <w:tab w:val="left" w:pos="884"/>
                      <w:tab w:val="left" w:pos="1196"/>
                    </w:tabs>
                    <w:jc w:val="center"/>
                    <w:rPr>
                      <w:rFonts w:ascii="Times New Roman" w:hAnsi="Times New Roman"/>
                      <w:color w:val="000000"/>
                    </w:rPr>
                  </w:pPr>
                  <w:r w:rsidRPr="009444C7">
                    <w:rPr>
                      <w:rFonts w:ascii="Times New Roman" w:hAnsi="Times New Roman"/>
                      <w:color w:val="000000"/>
                    </w:rPr>
                    <w:t>1.49</w:t>
                  </w:r>
                </w:p>
              </w:tc>
            </w:tr>
            <w:tr w:rsidR="00967781" w:rsidRPr="009444C7" w14:paraId="496442A6" w14:textId="77777777" w:rsidTr="005D1692">
              <w:tc>
                <w:tcPr>
                  <w:tcW w:w="305" w:type="pct"/>
                </w:tcPr>
                <w:p w14:paraId="485DA055" w14:textId="77777777" w:rsidR="00967781" w:rsidRPr="009444C7" w:rsidRDefault="00967781" w:rsidP="005D1692">
                  <w:pPr>
                    <w:pStyle w:val="ListParagraph"/>
                    <w:numPr>
                      <w:ilvl w:val="0"/>
                      <w:numId w:val="25"/>
                    </w:numPr>
                    <w:tabs>
                      <w:tab w:val="left" w:pos="884"/>
                      <w:tab w:val="left" w:pos="1196"/>
                    </w:tabs>
                    <w:ind w:left="360"/>
                    <w:contextualSpacing w:val="0"/>
                    <w:rPr>
                      <w:rFonts w:ascii="Times New Roman" w:hAnsi="Times New Roman"/>
                    </w:rPr>
                  </w:pPr>
                </w:p>
              </w:tc>
              <w:tc>
                <w:tcPr>
                  <w:tcW w:w="1769" w:type="pct"/>
                  <w:vAlign w:val="center"/>
                </w:tcPr>
                <w:p w14:paraId="4ADCB2D2" w14:textId="6D14B6D0" w:rsidR="00967781" w:rsidRPr="009444C7" w:rsidRDefault="00967781" w:rsidP="00967781">
                  <w:pPr>
                    <w:tabs>
                      <w:tab w:val="left" w:pos="884"/>
                      <w:tab w:val="left" w:pos="1196"/>
                    </w:tabs>
                    <w:rPr>
                      <w:rFonts w:ascii="Times New Roman" w:hAnsi="Times New Roman"/>
                      <w:b/>
                      <w:bCs/>
                      <w:color w:val="000000"/>
                    </w:rPr>
                  </w:pPr>
                  <w:r w:rsidRPr="009444C7">
                    <w:rPr>
                      <w:rFonts w:ascii="Times New Roman" w:hAnsi="Times New Roman"/>
                      <w:b/>
                      <w:bCs/>
                      <w:color w:val="000000"/>
                    </w:rPr>
                    <w:t xml:space="preserve">Total </w:t>
                  </w:r>
                </w:p>
              </w:tc>
              <w:tc>
                <w:tcPr>
                  <w:tcW w:w="1463" w:type="pct"/>
                  <w:vAlign w:val="center"/>
                </w:tcPr>
                <w:p w14:paraId="0FC5093E" w14:textId="0AE3E49D" w:rsidR="00967781" w:rsidRPr="009444C7" w:rsidRDefault="005D1692" w:rsidP="005D1692">
                  <w:pPr>
                    <w:tabs>
                      <w:tab w:val="left" w:pos="884"/>
                      <w:tab w:val="left" w:pos="1196"/>
                    </w:tabs>
                    <w:jc w:val="center"/>
                    <w:rPr>
                      <w:rFonts w:ascii="Times New Roman" w:hAnsi="Times New Roman"/>
                      <w:b/>
                      <w:bCs/>
                      <w:color w:val="000000"/>
                    </w:rPr>
                  </w:pPr>
                  <w:r w:rsidRPr="009444C7">
                    <w:rPr>
                      <w:rFonts w:ascii="Times New Roman" w:hAnsi="Times New Roman"/>
                      <w:b/>
                      <w:bCs/>
                      <w:color w:val="000000"/>
                    </w:rPr>
                    <w:t>23</w:t>
                  </w:r>
                  <w:r w:rsidR="00A349E0" w:rsidRPr="009444C7">
                    <w:rPr>
                      <w:rFonts w:ascii="Times New Roman" w:hAnsi="Times New Roman"/>
                      <w:b/>
                      <w:bCs/>
                      <w:color w:val="000000"/>
                    </w:rPr>
                    <w:t>7 082</w:t>
                  </w:r>
                  <w:r w:rsidRPr="009444C7">
                    <w:rPr>
                      <w:rFonts w:ascii="Times New Roman" w:hAnsi="Times New Roman"/>
                      <w:b/>
                      <w:bCs/>
                      <w:color w:val="000000"/>
                    </w:rPr>
                    <w:t xml:space="preserve"> </w:t>
                  </w:r>
                  <w:r w:rsidR="00A349E0" w:rsidRPr="009444C7">
                    <w:rPr>
                      <w:rFonts w:ascii="Times New Roman" w:hAnsi="Times New Roman"/>
                      <w:b/>
                      <w:bCs/>
                      <w:color w:val="000000"/>
                    </w:rPr>
                    <w:t>441</w:t>
                  </w:r>
                  <w:r w:rsidRPr="009444C7">
                    <w:rPr>
                      <w:rFonts w:ascii="Times New Roman" w:hAnsi="Times New Roman"/>
                      <w:b/>
                      <w:bCs/>
                      <w:color w:val="000000"/>
                    </w:rPr>
                    <w:t>.9</w:t>
                  </w:r>
                  <w:r w:rsidR="00A349E0" w:rsidRPr="009444C7">
                    <w:rPr>
                      <w:rFonts w:ascii="Times New Roman" w:hAnsi="Times New Roman"/>
                      <w:b/>
                      <w:bCs/>
                      <w:color w:val="000000"/>
                    </w:rPr>
                    <w:t>5</w:t>
                  </w:r>
                </w:p>
              </w:tc>
              <w:tc>
                <w:tcPr>
                  <w:tcW w:w="1463" w:type="pct"/>
                  <w:vAlign w:val="center"/>
                </w:tcPr>
                <w:p w14:paraId="15005908" w14:textId="293DDB7D" w:rsidR="00967781" w:rsidRPr="009444C7" w:rsidRDefault="005D1692" w:rsidP="005D1692">
                  <w:pPr>
                    <w:tabs>
                      <w:tab w:val="left" w:pos="884"/>
                      <w:tab w:val="left" w:pos="1196"/>
                    </w:tabs>
                    <w:jc w:val="center"/>
                    <w:rPr>
                      <w:rFonts w:ascii="Times New Roman" w:hAnsi="Times New Roman"/>
                      <w:b/>
                      <w:bCs/>
                      <w:color w:val="000000"/>
                    </w:rPr>
                  </w:pPr>
                  <w:r w:rsidRPr="009444C7">
                    <w:rPr>
                      <w:rFonts w:ascii="Times New Roman" w:hAnsi="Times New Roman"/>
                      <w:b/>
                      <w:bCs/>
                      <w:color w:val="000000"/>
                    </w:rPr>
                    <w:t>100</w:t>
                  </w:r>
                </w:p>
              </w:tc>
            </w:tr>
          </w:tbl>
          <w:p w14:paraId="7A3FA628" w14:textId="26304225" w:rsidR="004A594F" w:rsidRPr="009444C7" w:rsidRDefault="004A594F" w:rsidP="001A76A5">
            <w:pPr>
              <w:tabs>
                <w:tab w:val="left" w:pos="884"/>
                <w:tab w:val="left" w:pos="1196"/>
              </w:tabs>
              <w:spacing w:before="120" w:after="120"/>
              <w:jc w:val="both"/>
              <w:rPr>
                <w:rFonts w:ascii="Times New Roman" w:hAnsi="Times New Roman"/>
                <w:bCs/>
                <w:color w:val="000000"/>
              </w:rPr>
            </w:pPr>
            <w:r w:rsidRPr="009444C7">
              <w:rPr>
                <w:rFonts w:ascii="Times New Roman" w:hAnsi="Times New Roman"/>
                <w:shd w:val="clear" w:color="auto" w:fill="FFFFFF"/>
              </w:rPr>
              <w:lastRenderedPageBreak/>
              <w:t xml:space="preserve">Mai mult ca </w:t>
            </w:r>
            <w:r w:rsidR="009444C7" w:rsidRPr="009444C7">
              <w:rPr>
                <w:rFonts w:ascii="Times New Roman" w:hAnsi="Times New Roman"/>
                <w:shd w:val="clear" w:color="auto" w:fill="FFFFFF"/>
              </w:rPr>
              <w:t>atât</w:t>
            </w:r>
            <w:r w:rsidRPr="009444C7">
              <w:rPr>
                <w:rFonts w:ascii="Times New Roman" w:hAnsi="Times New Roman"/>
                <w:shd w:val="clear" w:color="auto" w:fill="FFFFFF"/>
              </w:rPr>
              <w:t xml:space="preserve">, excluderea prevederii conform căreia este necesară includerea obligatorie în cadrul Programului privind implementarea schemei de obligații în domeniul eficienței energetice, aprobat prin Hotărârea de Guvern nr. 1064/2023,  a listei părților obligate, urmând ca aceasta să fie elaborată de Agenția Națională pentru Reglementare în Energetică, va avea de asemenea un impact pozitiv asupra părților obligate datorită </w:t>
            </w:r>
            <w:r w:rsidR="00E02055" w:rsidRPr="009444C7">
              <w:rPr>
                <w:rFonts w:ascii="Times New Roman" w:hAnsi="Times New Roman"/>
                <w:shd w:val="clear" w:color="auto" w:fill="FFFFFF"/>
              </w:rPr>
              <w:t>flexibilității ce urmează a fi oferită</w:t>
            </w:r>
            <w:r w:rsidRPr="009444C7">
              <w:rPr>
                <w:rFonts w:ascii="Times New Roman" w:hAnsi="Times New Roman"/>
                <w:shd w:val="clear" w:color="auto" w:fill="FFFFFF"/>
              </w:rPr>
              <w:t xml:space="preserve"> agenți</w:t>
            </w:r>
            <w:r w:rsidR="005D1692" w:rsidRPr="009444C7">
              <w:rPr>
                <w:rFonts w:ascii="Times New Roman" w:hAnsi="Times New Roman"/>
                <w:shd w:val="clear" w:color="auto" w:fill="FFFFFF"/>
              </w:rPr>
              <w:t>lor</w:t>
            </w:r>
            <w:r w:rsidRPr="009444C7">
              <w:rPr>
                <w:rFonts w:ascii="Times New Roman" w:hAnsi="Times New Roman"/>
                <w:shd w:val="clear" w:color="auto" w:fill="FFFFFF"/>
              </w:rPr>
              <w:t xml:space="preserve"> economici </w:t>
            </w:r>
            <w:r w:rsidR="00E02055" w:rsidRPr="009444C7">
              <w:rPr>
                <w:rFonts w:ascii="Times New Roman" w:hAnsi="Times New Roman"/>
                <w:shd w:val="clear" w:color="auto" w:fill="FFFFFF"/>
              </w:rPr>
              <w:t xml:space="preserve">care și-au stopat activitatea sau au apărut pe piață, </w:t>
            </w:r>
            <w:r w:rsidRPr="009444C7">
              <w:rPr>
                <w:rFonts w:ascii="Times New Roman" w:hAnsi="Times New Roman"/>
                <w:shd w:val="clear" w:color="auto" w:fill="FFFFFF"/>
              </w:rPr>
              <w:t>în baza unor circumstanțe</w:t>
            </w:r>
            <w:r w:rsidR="006C1D3D" w:rsidRPr="009444C7">
              <w:rPr>
                <w:rFonts w:ascii="Times New Roman" w:hAnsi="Times New Roman"/>
                <w:shd w:val="clear" w:color="auto" w:fill="FFFFFF"/>
              </w:rPr>
              <w:t xml:space="preserve"> obiective</w:t>
            </w:r>
            <w:r w:rsidR="005D1692" w:rsidRPr="009444C7">
              <w:rPr>
                <w:rFonts w:ascii="Times New Roman" w:hAnsi="Times New Roman"/>
                <w:shd w:val="clear" w:color="auto" w:fill="FFFFFF"/>
              </w:rPr>
              <w:t xml:space="preserve">. Acest fapt </w:t>
            </w:r>
            <w:r w:rsidR="002F75A6" w:rsidRPr="009444C7">
              <w:rPr>
                <w:rFonts w:ascii="Times New Roman" w:hAnsi="Times New Roman"/>
                <w:shd w:val="clear" w:color="auto" w:fill="FFFFFF"/>
              </w:rPr>
              <w:t>a fost constatat de către IP CNED</w:t>
            </w:r>
            <w:r w:rsidR="005D1692" w:rsidRPr="009444C7">
              <w:rPr>
                <w:rFonts w:ascii="Times New Roman" w:hAnsi="Times New Roman"/>
                <w:shd w:val="clear" w:color="auto" w:fill="FFFFFF"/>
              </w:rPr>
              <w:t xml:space="preserve"> în baza contribuțiilor achitate</w:t>
            </w:r>
            <w:r w:rsidR="002F75A6" w:rsidRPr="009444C7">
              <w:rPr>
                <w:rFonts w:ascii="Times New Roman" w:hAnsi="Times New Roman"/>
                <w:shd w:val="clear" w:color="auto" w:fill="FFFFFF"/>
              </w:rPr>
              <w:t>, până la moment, de către</w:t>
            </w:r>
            <w:r w:rsidR="005D1692" w:rsidRPr="009444C7">
              <w:rPr>
                <w:rFonts w:ascii="Times New Roman" w:hAnsi="Times New Roman"/>
                <w:shd w:val="clear" w:color="auto" w:fill="FFFFFF"/>
              </w:rPr>
              <w:t xml:space="preserve"> de unii agenți economici</w:t>
            </w:r>
            <w:r w:rsidR="001C1404" w:rsidRPr="009444C7">
              <w:rPr>
                <w:rFonts w:ascii="Times New Roman" w:hAnsi="Times New Roman"/>
                <w:shd w:val="clear" w:color="auto" w:fill="FFFFFF"/>
              </w:rPr>
              <w:t>,</w:t>
            </w:r>
            <w:r w:rsidR="005D1692" w:rsidRPr="009444C7">
              <w:rPr>
                <w:rFonts w:ascii="Times New Roman" w:hAnsi="Times New Roman"/>
                <w:shd w:val="clear" w:color="auto" w:fill="FFFFFF"/>
              </w:rPr>
              <w:t xml:space="preserve"> care </w:t>
            </w:r>
            <w:r w:rsidR="005D1692" w:rsidRPr="009444C7">
              <w:rPr>
                <w:rFonts w:ascii="Times New Roman" w:hAnsi="Times New Roman"/>
                <w:bCs/>
                <w:i/>
                <w:iCs/>
                <w:color w:val="000000"/>
              </w:rPr>
              <w:t>nu se regăsesc</w:t>
            </w:r>
            <w:r w:rsidR="005D1692" w:rsidRPr="009444C7">
              <w:rPr>
                <w:rFonts w:ascii="Times New Roman" w:hAnsi="Times New Roman"/>
                <w:bCs/>
                <w:color w:val="000000"/>
              </w:rPr>
              <w:t xml:space="preserve"> în lista părților obligate din Anexa 1 la Programul privind implementarea schemei de obligații în domeniul eficienței energetice pentru perioada 2024-2026 aprobat prin Hotărârea de Guvern sus menționată. </w:t>
            </w:r>
          </w:p>
          <w:p w14:paraId="75EFF1FE" w14:textId="07CCF63D" w:rsidR="00C36860" w:rsidRPr="009444C7" w:rsidRDefault="00E24349" w:rsidP="001A76A5">
            <w:pPr>
              <w:tabs>
                <w:tab w:val="left" w:pos="884"/>
                <w:tab w:val="left" w:pos="1196"/>
              </w:tabs>
              <w:spacing w:before="120" w:after="120"/>
              <w:jc w:val="both"/>
              <w:rPr>
                <w:rFonts w:ascii="Times New Roman" w:hAnsi="Times New Roman"/>
              </w:rPr>
            </w:pPr>
            <w:r w:rsidRPr="009444C7">
              <w:rPr>
                <w:rFonts w:ascii="Times New Roman" w:hAnsi="Times New Roman"/>
              </w:rPr>
              <w:t>Totodată,</w:t>
            </w:r>
            <w:r w:rsidR="00B4055C" w:rsidRPr="009444C7">
              <w:rPr>
                <w:rFonts w:ascii="Times New Roman" w:hAnsi="Times New Roman"/>
              </w:rPr>
              <w:t xml:space="preserve"> </w:t>
            </w:r>
            <w:r w:rsidRPr="009444C7">
              <w:rPr>
                <w:rFonts w:ascii="Times New Roman" w:hAnsi="Times New Roman"/>
              </w:rPr>
              <w:t>majorarea plăților fixe</w:t>
            </w:r>
            <w:r w:rsidR="001A4F34" w:rsidRPr="009444C7">
              <w:rPr>
                <w:rFonts w:ascii="Times New Roman" w:hAnsi="Times New Roman"/>
              </w:rPr>
              <w:t xml:space="preserve"> conform calculelor din tabelul nr. 2 de mai sus,</w:t>
            </w:r>
            <w:r w:rsidR="00B4055C" w:rsidRPr="009444C7">
              <w:rPr>
                <w:rFonts w:ascii="Times New Roman" w:hAnsi="Times New Roman"/>
              </w:rPr>
              <w:t xml:space="preserve"> nu v</w:t>
            </w:r>
            <w:r w:rsidRPr="009444C7">
              <w:rPr>
                <w:rFonts w:ascii="Times New Roman" w:hAnsi="Times New Roman"/>
              </w:rPr>
              <w:t>a</w:t>
            </w:r>
            <w:r w:rsidR="00B4055C" w:rsidRPr="009444C7">
              <w:rPr>
                <w:rFonts w:ascii="Times New Roman" w:hAnsi="Times New Roman"/>
              </w:rPr>
              <w:t xml:space="preserve"> </w:t>
            </w:r>
            <w:r w:rsidRPr="009444C7">
              <w:rPr>
                <w:rFonts w:ascii="Times New Roman" w:hAnsi="Times New Roman"/>
              </w:rPr>
              <w:t>constitui</w:t>
            </w:r>
            <w:r w:rsidR="00B4055C" w:rsidRPr="009444C7">
              <w:rPr>
                <w:rFonts w:ascii="Times New Roman" w:hAnsi="Times New Roman"/>
              </w:rPr>
              <w:t xml:space="preserve"> o povară pentru părțile obligate deoarece </w:t>
            </w:r>
            <w:r w:rsidRPr="009444C7">
              <w:rPr>
                <w:rFonts w:ascii="Times New Roman" w:hAnsi="Times New Roman"/>
              </w:rPr>
              <w:t>plățile</w:t>
            </w:r>
            <w:r w:rsidR="00B4055C" w:rsidRPr="009444C7">
              <w:rPr>
                <w:rFonts w:ascii="Times New Roman" w:hAnsi="Times New Roman"/>
              </w:rPr>
              <w:t xml:space="preserve"> respective urmează a fi incluse în calculul tarifelor pentru serviciul de distribuție a energiei electrice și a gazelor naturale, al tarifului pentru furnizarea energiei termice și în prețul de comercializare a produselor petroliere, astfel după cum este prevăzut în art. 8 alin. (9) din Legea nr. 139/2018 cu privire la eficiența energetică.</w:t>
            </w:r>
          </w:p>
          <w:p w14:paraId="62A0A320" w14:textId="02B53CCA" w:rsidR="00BF69CE" w:rsidRPr="009444C7" w:rsidRDefault="00883187" w:rsidP="001A76A5">
            <w:pPr>
              <w:spacing w:before="120" w:after="120"/>
              <w:jc w:val="both"/>
              <w:rPr>
                <w:rFonts w:ascii="Times New Roman" w:hAnsi="Times New Roman"/>
                <w:shd w:val="clear" w:color="auto" w:fill="FFFFFF"/>
              </w:rPr>
            </w:pPr>
            <w:r w:rsidRPr="009444C7">
              <w:rPr>
                <w:rFonts w:ascii="Times New Roman" w:hAnsi="Times New Roman"/>
                <w:shd w:val="clear" w:color="auto" w:fill="FFFFFF"/>
              </w:rPr>
              <w:t>Cu referire la întreprinderile care efectuează auditurile energetice v</w:t>
            </w:r>
            <w:r w:rsidR="001B301A" w:rsidRPr="009444C7">
              <w:rPr>
                <w:rFonts w:ascii="Times New Roman" w:hAnsi="Times New Roman"/>
                <w:shd w:val="clear" w:color="auto" w:fill="FFFFFF"/>
              </w:rPr>
              <w:t>a</w:t>
            </w:r>
            <w:r w:rsidRPr="009444C7">
              <w:rPr>
                <w:rFonts w:ascii="Times New Roman" w:hAnsi="Times New Roman"/>
                <w:shd w:val="clear" w:color="auto" w:fill="FFFFFF"/>
              </w:rPr>
              <w:t xml:space="preserve"> fi oferit dreptul ca aceste servicii să fie prestate de către toate</w:t>
            </w:r>
            <w:r w:rsidR="001B301A" w:rsidRPr="009444C7">
              <w:rPr>
                <w:rFonts w:ascii="Times New Roman" w:hAnsi="Times New Roman"/>
                <w:shd w:val="clear" w:color="auto" w:fill="FFFFFF"/>
              </w:rPr>
              <w:t xml:space="preserve"> </w:t>
            </w:r>
            <w:r w:rsidRPr="009444C7">
              <w:rPr>
                <w:rFonts w:ascii="Times New Roman" w:hAnsi="Times New Roman"/>
                <w:shd w:val="clear" w:color="auto" w:fill="FFFFFF"/>
              </w:rPr>
              <w:t>întreprinderile indiferent de forma organizatorico-juridică, inclusiv organizațiile nonguvernamentale (ONG) și instituțiile științifice cum ar fi Institutul de Energetică</w:t>
            </w:r>
            <w:r w:rsidR="004B7A41" w:rsidRPr="009444C7">
              <w:rPr>
                <w:rFonts w:ascii="Times New Roman" w:hAnsi="Times New Roman"/>
                <w:shd w:val="clear" w:color="auto" w:fill="FFFFFF"/>
              </w:rPr>
              <w:t xml:space="preserve"> al Universității Tehnice a Moldovei</w:t>
            </w:r>
            <w:r w:rsidRPr="009444C7">
              <w:rPr>
                <w:rFonts w:ascii="Times New Roman" w:hAnsi="Times New Roman"/>
                <w:shd w:val="clear" w:color="auto" w:fill="FFFFFF"/>
              </w:rPr>
              <w:t>.</w:t>
            </w:r>
          </w:p>
          <w:p w14:paraId="3BB2FA2F" w14:textId="083B11CE" w:rsidR="00883187" w:rsidRPr="009444C7" w:rsidRDefault="00BF69CE" w:rsidP="001A76A5">
            <w:pPr>
              <w:spacing w:before="120" w:after="120"/>
              <w:jc w:val="both"/>
              <w:rPr>
                <w:rFonts w:ascii="Times New Roman" w:hAnsi="Times New Roman"/>
                <w:shd w:val="clear" w:color="auto" w:fill="FFFFFF"/>
              </w:rPr>
            </w:pPr>
            <w:r w:rsidRPr="009444C7">
              <w:rPr>
                <w:rFonts w:ascii="Times New Roman" w:hAnsi="Times New Roman"/>
                <w:shd w:val="clear" w:color="auto" w:fill="FFFFFF"/>
              </w:rPr>
              <w:t xml:space="preserve">Acest fapt va permite crearea unei concurențe pe piață între întreprinderile care prestează astfel de servicii, iar întreprinderile mari care conform prevederilor legii nr. 139/2018 cu privire la eficiența energetică au obligația de efectuare a auditurilor energetice odată la 4 ani, vor avea posibilitatea de a selecta întreprinderea care va presta astfel de servicii prin analiza </w:t>
            </w:r>
            <w:r w:rsidR="002F75A6" w:rsidRPr="009444C7">
              <w:rPr>
                <w:rFonts w:ascii="Times New Roman" w:hAnsi="Times New Roman"/>
                <w:shd w:val="clear" w:color="auto" w:fill="FFFFFF"/>
              </w:rPr>
              <w:t>unui spectru mai larg de oferte parvenite din</w:t>
            </w:r>
            <w:r w:rsidRPr="009444C7">
              <w:rPr>
                <w:rFonts w:ascii="Times New Roman" w:hAnsi="Times New Roman"/>
                <w:shd w:val="clear" w:color="auto" w:fill="FFFFFF"/>
              </w:rPr>
              <w:t xml:space="preserve"> partea mai multor întreprinderi</w:t>
            </w:r>
            <w:r w:rsidR="004F3A11" w:rsidRPr="009444C7">
              <w:rPr>
                <w:rFonts w:ascii="Times New Roman" w:hAnsi="Times New Roman"/>
                <w:shd w:val="clear" w:color="auto" w:fill="FFFFFF"/>
              </w:rPr>
              <w:t xml:space="preserve"> existente pe piață</w:t>
            </w:r>
            <w:r w:rsidRPr="009444C7">
              <w:rPr>
                <w:rFonts w:ascii="Times New Roman" w:hAnsi="Times New Roman"/>
                <w:shd w:val="clear" w:color="auto" w:fill="FFFFFF"/>
              </w:rPr>
              <w:t xml:space="preserve">. </w:t>
            </w:r>
            <w:r w:rsidR="00883187" w:rsidRPr="009444C7">
              <w:rPr>
                <w:rFonts w:ascii="Times New Roman" w:hAnsi="Times New Roman"/>
                <w:shd w:val="clear" w:color="auto" w:fill="FFFFFF"/>
              </w:rPr>
              <w:t xml:space="preserve"> </w:t>
            </w:r>
          </w:p>
          <w:p w14:paraId="77DDC684" w14:textId="0A0540C3" w:rsidR="0020204D" w:rsidRPr="009444C7" w:rsidRDefault="00883187" w:rsidP="001A76A5">
            <w:pPr>
              <w:tabs>
                <w:tab w:val="left" w:pos="884"/>
                <w:tab w:val="left" w:pos="1196"/>
              </w:tabs>
              <w:spacing w:before="120" w:after="120"/>
              <w:jc w:val="both"/>
              <w:rPr>
                <w:rFonts w:ascii="Times New Roman" w:hAnsi="Times New Roman"/>
              </w:rPr>
            </w:pPr>
            <w:r w:rsidRPr="009444C7">
              <w:rPr>
                <w:rFonts w:ascii="Times New Roman" w:hAnsi="Times New Roman"/>
              </w:rPr>
              <w:t>Conform informațiilor prezentate de IP CNED, pe parcursul ultimilor ani, prestarea serviciilor de auditare energetică este efectuată de următoarele companii:</w:t>
            </w:r>
          </w:p>
          <w:p w14:paraId="069222BB" w14:textId="5B36979D" w:rsidR="00883187" w:rsidRPr="009444C7" w:rsidRDefault="00883187" w:rsidP="00236599">
            <w:pPr>
              <w:tabs>
                <w:tab w:val="left" w:pos="884"/>
                <w:tab w:val="left" w:pos="1196"/>
              </w:tabs>
              <w:spacing w:before="120" w:after="120"/>
              <w:rPr>
                <w:rFonts w:ascii="Times New Roman" w:hAnsi="Times New Roman"/>
              </w:rPr>
            </w:pPr>
            <w:r w:rsidRPr="009444C7">
              <w:rPr>
                <w:rFonts w:ascii="Times New Roman" w:hAnsi="Times New Roman"/>
                <w:b/>
              </w:rPr>
              <w:t xml:space="preserve">Tabelul </w:t>
            </w:r>
            <w:r w:rsidR="00ED29FB" w:rsidRPr="009444C7">
              <w:rPr>
                <w:rFonts w:ascii="Times New Roman" w:hAnsi="Times New Roman"/>
                <w:b/>
              </w:rPr>
              <w:t>4</w:t>
            </w:r>
            <w:r w:rsidRPr="009444C7">
              <w:rPr>
                <w:rFonts w:ascii="Times New Roman" w:hAnsi="Times New Roman"/>
                <w:b/>
              </w:rPr>
              <w:t>.</w:t>
            </w:r>
            <w:r w:rsidRPr="009444C7">
              <w:rPr>
                <w:rFonts w:ascii="Times New Roman" w:hAnsi="Times New Roman"/>
              </w:rPr>
              <w:t xml:space="preserve"> Companiile care </w:t>
            </w:r>
            <w:r w:rsidR="00144FD2" w:rsidRPr="009444C7">
              <w:rPr>
                <w:rFonts w:ascii="Times New Roman" w:hAnsi="Times New Roman"/>
              </w:rPr>
              <w:t xml:space="preserve">au prestat </w:t>
            </w:r>
            <w:r w:rsidRPr="009444C7">
              <w:rPr>
                <w:rFonts w:ascii="Times New Roman" w:hAnsi="Times New Roman"/>
              </w:rPr>
              <w:t xml:space="preserve">servicii de audit energetic pe parcursul </w:t>
            </w:r>
            <w:r w:rsidR="00C31DFD" w:rsidRPr="009444C7">
              <w:rPr>
                <w:rFonts w:ascii="Times New Roman" w:hAnsi="Times New Roman"/>
              </w:rPr>
              <w:t xml:space="preserve">anului </w:t>
            </w:r>
            <w:r w:rsidRPr="009444C7">
              <w:rPr>
                <w:rFonts w:ascii="Times New Roman" w:hAnsi="Times New Roman"/>
              </w:rPr>
              <w:t>202</w:t>
            </w:r>
            <w:r w:rsidR="00361E45" w:rsidRPr="009444C7">
              <w:rPr>
                <w:rFonts w:ascii="Times New Roman" w:hAnsi="Times New Roman"/>
              </w:rPr>
              <w:t>4</w:t>
            </w:r>
          </w:p>
          <w:tbl>
            <w:tblPr>
              <w:tblStyle w:val="TableGrid"/>
              <w:tblW w:w="5000" w:type="pct"/>
              <w:tblLook w:val="04A0" w:firstRow="1" w:lastRow="0" w:firstColumn="1" w:lastColumn="0" w:noHBand="0" w:noVBand="1"/>
            </w:tblPr>
            <w:tblGrid>
              <w:gridCol w:w="556"/>
              <w:gridCol w:w="2807"/>
              <w:gridCol w:w="3745"/>
              <w:gridCol w:w="2001"/>
            </w:tblGrid>
            <w:tr w:rsidR="00361E45" w:rsidRPr="009444C7" w14:paraId="1D042519" w14:textId="77777777" w:rsidTr="00361E45">
              <w:tc>
                <w:tcPr>
                  <w:tcW w:w="292" w:type="pct"/>
                  <w:tcBorders>
                    <w:top w:val="single" w:sz="4" w:space="0" w:color="auto"/>
                    <w:left w:val="single" w:sz="4" w:space="0" w:color="auto"/>
                    <w:bottom w:val="single" w:sz="4" w:space="0" w:color="auto"/>
                    <w:right w:val="single" w:sz="4" w:space="0" w:color="auto"/>
                  </w:tcBorders>
                  <w:shd w:val="clear" w:color="auto" w:fill="B7CFED" w:themeFill="text2" w:themeFillTint="40"/>
                  <w:vAlign w:val="center"/>
                  <w:hideMark/>
                </w:tcPr>
                <w:p w14:paraId="13EB0FEC" w14:textId="77777777" w:rsidR="00361E45" w:rsidRPr="009444C7" w:rsidRDefault="00361E45" w:rsidP="00361E45">
                  <w:pPr>
                    <w:jc w:val="center"/>
                    <w:rPr>
                      <w:rFonts w:ascii="Times New Roman" w:hAnsi="Times New Roman"/>
                      <w:b/>
                      <w:bCs/>
                      <w:lang w:eastAsia="en-US"/>
                    </w:rPr>
                  </w:pPr>
                  <w:r w:rsidRPr="009444C7">
                    <w:rPr>
                      <w:rFonts w:ascii="Times New Roman" w:hAnsi="Times New Roman"/>
                      <w:b/>
                      <w:bCs/>
                    </w:rPr>
                    <w:t>Nr.</w:t>
                  </w:r>
                </w:p>
              </w:tc>
              <w:tc>
                <w:tcPr>
                  <w:tcW w:w="1545" w:type="pct"/>
                  <w:tcBorders>
                    <w:top w:val="single" w:sz="4" w:space="0" w:color="auto"/>
                    <w:left w:val="single" w:sz="4" w:space="0" w:color="auto"/>
                    <w:bottom w:val="single" w:sz="4" w:space="0" w:color="auto"/>
                    <w:right w:val="single" w:sz="4" w:space="0" w:color="auto"/>
                  </w:tcBorders>
                  <w:shd w:val="clear" w:color="auto" w:fill="B7CFED" w:themeFill="text2" w:themeFillTint="40"/>
                  <w:vAlign w:val="center"/>
                  <w:hideMark/>
                </w:tcPr>
                <w:p w14:paraId="3BCE7FF1" w14:textId="77777777" w:rsidR="00361E45" w:rsidRPr="009444C7" w:rsidRDefault="00361E45" w:rsidP="00361E45">
                  <w:pPr>
                    <w:jc w:val="center"/>
                    <w:rPr>
                      <w:rFonts w:ascii="Times New Roman" w:hAnsi="Times New Roman"/>
                      <w:b/>
                      <w:bCs/>
                    </w:rPr>
                  </w:pPr>
                  <w:r w:rsidRPr="009444C7">
                    <w:rPr>
                      <w:rFonts w:ascii="Times New Roman" w:hAnsi="Times New Roman"/>
                      <w:b/>
                      <w:bCs/>
                    </w:rPr>
                    <w:t>Denumirea companiei</w:t>
                  </w:r>
                </w:p>
              </w:tc>
              <w:tc>
                <w:tcPr>
                  <w:tcW w:w="2060" w:type="pct"/>
                  <w:tcBorders>
                    <w:top w:val="single" w:sz="4" w:space="0" w:color="auto"/>
                    <w:left w:val="single" w:sz="4" w:space="0" w:color="auto"/>
                    <w:bottom w:val="single" w:sz="4" w:space="0" w:color="auto"/>
                    <w:right w:val="single" w:sz="4" w:space="0" w:color="auto"/>
                  </w:tcBorders>
                  <w:shd w:val="clear" w:color="auto" w:fill="B7CFED" w:themeFill="text2" w:themeFillTint="40"/>
                  <w:vAlign w:val="center"/>
                  <w:hideMark/>
                </w:tcPr>
                <w:p w14:paraId="7C0F04A8" w14:textId="77777777" w:rsidR="00361E45" w:rsidRPr="009444C7" w:rsidRDefault="00361E45" w:rsidP="00361E45">
                  <w:pPr>
                    <w:jc w:val="center"/>
                    <w:rPr>
                      <w:rFonts w:ascii="Times New Roman" w:hAnsi="Times New Roman"/>
                      <w:b/>
                      <w:bCs/>
                    </w:rPr>
                  </w:pPr>
                  <w:r w:rsidRPr="009444C7">
                    <w:rPr>
                      <w:rFonts w:ascii="Times New Roman" w:hAnsi="Times New Roman"/>
                      <w:b/>
                      <w:bCs/>
                    </w:rPr>
                    <w:t>Adresa</w:t>
                  </w:r>
                </w:p>
              </w:tc>
              <w:tc>
                <w:tcPr>
                  <w:tcW w:w="1103" w:type="pct"/>
                  <w:tcBorders>
                    <w:top w:val="single" w:sz="4" w:space="0" w:color="auto"/>
                    <w:left w:val="single" w:sz="4" w:space="0" w:color="auto"/>
                    <w:bottom w:val="single" w:sz="4" w:space="0" w:color="auto"/>
                    <w:right w:val="single" w:sz="4" w:space="0" w:color="auto"/>
                  </w:tcBorders>
                  <w:shd w:val="clear" w:color="auto" w:fill="B7CFED" w:themeFill="text2" w:themeFillTint="40"/>
                  <w:vAlign w:val="center"/>
                  <w:hideMark/>
                </w:tcPr>
                <w:p w14:paraId="6732A581" w14:textId="77777777" w:rsidR="00361E45" w:rsidRPr="009444C7" w:rsidRDefault="00361E45" w:rsidP="00361E45">
                  <w:pPr>
                    <w:jc w:val="center"/>
                    <w:rPr>
                      <w:rFonts w:ascii="Times New Roman" w:hAnsi="Times New Roman"/>
                      <w:b/>
                      <w:bCs/>
                    </w:rPr>
                  </w:pPr>
                  <w:r w:rsidRPr="009444C7">
                    <w:rPr>
                      <w:rFonts w:ascii="Times New Roman" w:hAnsi="Times New Roman"/>
                      <w:b/>
                      <w:bCs/>
                    </w:rPr>
                    <w:t>Nr. de rapoarte de audit energetic efectuate</w:t>
                  </w:r>
                </w:p>
              </w:tc>
            </w:tr>
            <w:tr w:rsidR="00361E45" w:rsidRPr="009444C7" w14:paraId="5E904FE8"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431004C0"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8931D54" w14:textId="77777777" w:rsidR="00361E45" w:rsidRPr="009444C7" w:rsidRDefault="00361E45" w:rsidP="00361E45">
                  <w:pPr>
                    <w:spacing w:before="20" w:after="20"/>
                    <w:rPr>
                      <w:rFonts w:ascii="Times New Roman" w:hAnsi="Times New Roman"/>
                    </w:rPr>
                  </w:pPr>
                  <w:r w:rsidRPr="009444C7">
                    <w:rPr>
                      <w:rFonts w:ascii="Times New Roman" w:hAnsi="Times New Roman"/>
                    </w:rPr>
                    <w:t>Green City Lab</w:t>
                  </w:r>
                </w:p>
              </w:tc>
              <w:tc>
                <w:tcPr>
                  <w:tcW w:w="2060" w:type="pct"/>
                  <w:tcBorders>
                    <w:top w:val="single" w:sz="4" w:space="0" w:color="auto"/>
                    <w:left w:val="single" w:sz="4" w:space="0" w:color="auto"/>
                    <w:bottom w:val="single" w:sz="4" w:space="0" w:color="auto"/>
                    <w:right w:val="single" w:sz="4" w:space="0" w:color="auto"/>
                  </w:tcBorders>
                  <w:vAlign w:val="center"/>
                  <w:hideMark/>
                </w:tcPr>
                <w:p w14:paraId="1ED908B8"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str. Mitropolit Gavriil Bănulescu-Bodoni, nr 14/1</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7302F39"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7</w:t>
                  </w:r>
                </w:p>
              </w:tc>
            </w:tr>
            <w:tr w:rsidR="00361E45" w:rsidRPr="009444C7" w14:paraId="32BD301C"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61566BF1"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2</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B77F5A2" w14:textId="77777777" w:rsidR="00361E45" w:rsidRPr="009444C7" w:rsidRDefault="00361E45" w:rsidP="00361E45">
                  <w:pPr>
                    <w:spacing w:before="20" w:after="20"/>
                    <w:rPr>
                      <w:rFonts w:ascii="Times New Roman" w:hAnsi="Times New Roman"/>
                    </w:rPr>
                  </w:pPr>
                  <w:r w:rsidRPr="009444C7">
                    <w:rPr>
                      <w:rFonts w:ascii="Times New Roman" w:hAnsi="Times New Roman"/>
                    </w:rPr>
                    <w:t>SRL BIOINOVATIVE</w:t>
                  </w:r>
                </w:p>
              </w:tc>
              <w:tc>
                <w:tcPr>
                  <w:tcW w:w="2060" w:type="pct"/>
                  <w:tcBorders>
                    <w:top w:val="single" w:sz="4" w:space="0" w:color="auto"/>
                    <w:left w:val="single" w:sz="4" w:space="0" w:color="auto"/>
                    <w:bottom w:val="single" w:sz="4" w:space="0" w:color="auto"/>
                    <w:right w:val="single" w:sz="4" w:space="0" w:color="auto"/>
                  </w:tcBorders>
                  <w:vAlign w:val="center"/>
                  <w:hideMark/>
                </w:tcPr>
                <w:p w14:paraId="54173612"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str. Grenoble, 128/8</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98231CC"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3</w:t>
                  </w:r>
                </w:p>
              </w:tc>
            </w:tr>
            <w:tr w:rsidR="00361E45" w:rsidRPr="009444C7" w14:paraId="55634B15"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1EEB6336"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3</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749DB92" w14:textId="77777777" w:rsidR="00361E45" w:rsidRPr="009444C7" w:rsidRDefault="00361E45" w:rsidP="00361E45">
                  <w:pPr>
                    <w:spacing w:before="20" w:after="20"/>
                    <w:rPr>
                      <w:rFonts w:ascii="Times New Roman" w:hAnsi="Times New Roman"/>
                    </w:rPr>
                  </w:pPr>
                  <w:r w:rsidRPr="009444C7">
                    <w:rPr>
                      <w:rFonts w:ascii="Times New Roman" w:hAnsi="Times New Roman"/>
                    </w:rPr>
                    <w:t>SRL LUXGAZ</w:t>
                  </w:r>
                </w:p>
              </w:tc>
              <w:tc>
                <w:tcPr>
                  <w:tcW w:w="2060" w:type="pct"/>
                  <w:tcBorders>
                    <w:top w:val="single" w:sz="4" w:space="0" w:color="auto"/>
                    <w:left w:val="single" w:sz="4" w:space="0" w:color="auto"/>
                    <w:bottom w:val="single" w:sz="4" w:space="0" w:color="auto"/>
                    <w:right w:val="single" w:sz="4" w:space="0" w:color="auto"/>
                  </w:tcBorders>
                  <w:vAlign w:val="center"/>
                  <w:hideMark/>
                </w:tcPr>
                <w:p w14:paraId="7779386B"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str. Grenoble, 128/8</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0764C8C"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3</w:t>
                  </w:r>
                </w:p>
              </w:tc>
            </w:tr>
            <w:tr w:rsidR="00361E45" w:rsidRPr="009444C7" w14:paraId="7DED7AB5"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5D44559F"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4</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19596C5" w14:textId="77777777" w:rsidR="00361E45" w:rsidRPr="009444C7" w:rsidRDefault="00361E45" w:rsidP="00361E45">
                  <w:pPr>
                    <w:spacing w:before="20" w:after="20"/>
                    <w:rPr>
                      <w:rFonts w:ascii="Times New Roman" w:hAnsi="Times New Roman"/>
                    </w:rPr>
                  </w:pPr>
                  <w:r w:rsidRPr="009444C7">
                    <w:rPr>
                      <w:rFonts w:ascii="Times New Roman" w:hAnsi="Times New Roman"/>
                    </w:rPr>
                    <w:t>WPC Energy</w:t>
                  </w:r>
                </w:p>
              </w:tc>
              <w:tc>
                <w:tcPr>
                  <w:tcW w:w="2060" w:type="pct"/>
                  <w:tcBorders>
                    <w:top w:val="single" w:sz="4" w:space="0" w:color="auto"/>
                    <w:left w:val="single" w:sz="4" w:space="0" w:color="auto"/>
                    <w:bottom w:val="single" w:sz="4" w:space="0" w:color="auto"/>
                    <w:right w:val="single" w:sz="4" w:space="0" w:color="auto"/>
                  </w:tcBorders>
                  <w:vAlign w:val="center"/>
                  <w:hideMark/>
                </w:tcPr>
                <w:p w14:paraId="02C5CD86"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str. Vasile Lupu 83, ap. 11</w:t>
                  </w:r>
                </w:p>
              </w:tc>
              <w:tc>
                <w:tcPr>
                  <w:tcW w:w="1103" w:type="pct"/>
                  <w:tcBorders>
                    <w:top w:val="single" w:sz="4" w:space="0" w:color="auto"/>
                    <w:left w:val="single" w:sz="4" w:space="0" w:color="auto"/>
                    <w:bottom w:val="single" w:sz="4" w:space="0" w:color="auto"/>
                    <w:right w:val="single" w:sz="4" w:space="0" w:color="auto"/>
                  </w:tcBorders>
                  <w:vAlign w:val="center"/>
                  <w:hideMark/>
                </w:tcPr>
                <w:p w14:paraId="796A4BDE"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5</w:t>
                  </w:r>
                </w:p>
              </w:tc>
            </w:tr>
            <w:tr w:rsidR="00361E45" w:rsidRPr="009444C7" w14:paraId="4CB1D1CC"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1A897AA7"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5</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73306C0" w14:textId="77777777" w:rsidR="00361E45" w:rsidRPr="009444C7" w:rsidRDefault="00361E45" w:rsidP="00361E45">
                  <w:pPr>
                    <w:spacing w:before="20" w:after="20"/>
                    <w:rPr>
                      <w:rFonts w:ascii="Times New Roman" w:hAnsi="Times New Roman"/>
                    </w:rPr>
                  </w:pPr>
                  <w:r w:rsidRPr="009444C7">
                    <w:rPr>
                      <w:rFonts w:ascii="Times New Roman" w:hAnsi="Times New Roman"/>
                    </w:rPr>
                    <w:t>AO Asociația pentru Autonomie Energetică</w:t>
                  </w:r>
                </w:p>
              </w:tc>
              <w:tc>
                <w:tcPr>
                  <w:tcW w:w="2060" w:type="pct"/>
                  <w:tcBorders>
                    <w:top w:val="single" w:sz="4" w:space="0" w:color="auto"/>
                    <w:left w:val="single" w:sz="4" w:space="0" w:color="auto"/>
                    <w:bottom w:val="single" w:sz="4" w:space="0" w:color="auto"/>
                    <w:right w:val="single" w:sz="4" w:space="0" w:color="auto"/>
                  </w:tcBorders>
                  <w:vAlign w:val="center"/>
                  <w:hideMark/>
                </w:tcPr>
                <w:p w14:paraId="6B96C26C"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Chişinău, str. Moara Roşie 5E, ap. 12</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1AD9ECD"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7</w:t>
                  </w:r>
                </w:p>
              </w:tc>
            </w:tr>
            <w:tr w:rsidR="00361E45" w:rsidRPr="009444C7" w14:paraId="49874128"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5CCA6935"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6</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C32F7E2" w14:textId="77777777" w:rsidR="00361E45" w:rsidRPr="009444C7" w:rsidRDefault="00361E45" w:rsidP="00361E45">
                  <w:pPr>
                    <w:spacing w:before="20" w:after="20"/>
                    <w:rPr>
                      <w:rFonts w:ascii="Times New Roman" w:hAnsi="Times New Roman"/>
                    </w:rPr>
                  </w:pPr>
                  <w:r w:rsidRPr="009444C7">
                    <w:rPr>
                      <w:rFonts w:ascii="Times New Roman" w:hAnsi="Times New Roman"/>
                    </w:rPr>
                    <w:t>SRL ENERGY R&amp;D</w:t>
                  </w:r>
                </w:p>
              </w:tc>
              <w:tc>
                <w:tcPr>
                  <w:tcW w:w="2060" w:type="pct"/>
                  <w:tcBorders>
                    <w:top w:val="single" w:sz="4" w:space="0" w:color="auto"/>
                    <w:left w:val="single" w:sz="4" w:space="0" w:color="auto"/>
                    <w:bottom w:val="single" w:sz="4" w:space="0" w:color="auto"/>
                    <w:right w:val="single" w:sz="4" w:space="0" w:color="auto"/>
                  </w:tcBorders>
                  <w:vAlign w:val="center"/>
                  <w:hideMark/>
                </w:tcPr>
                <w:p w14:paraId="2A5C8CF1"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Chişinău, str. Moara Roşie 5E, ap. 12</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B97CC59"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37</w:t>
                  </w:r>
                </w:p>
              </w:tc>
            </w:tr>
            <w:tr w:rsidR="00361E45" w:rsidRPr="009444C7" w14:paraId="2ABD5E7E"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64DB78AA"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7</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2B1097E" w14:textId="77777777" w:rsidR="00361E45" w:rsidRPr="009444C7" w:rsidRDefault="00361E45" w:rsidP="00361E45">
                  <w:pPr>
                    <w:spacing w:before="20" w:after="20"/>
                    <w:rPr>
                      <w:rFonts w:ascii="Times New Roman" w:hAnsi="Times New Roman"/>
                    </w:rPr>
                  </w:pPr>
                  <w:r w:rsidRPr="009444C7">
                    <w:rPr>
                      <w:rFonts w:ascii="Times New Roman" w:hAnsi="Times New Roman"/>
                    </w:rPr>
                    <w:t>II CHIPAR VICTOR</w:t>
                  </w:r>
                </w:p>
              </w:tc>
              <w:tc>
                <w:tcPr>
                  <w:tcW w:w="2060" w:type="pct"/>
                  <w:tcBorders>
                    <w:top w:val="single" w:sz="4" w:space="0" w:color="auto"/>
                    <w:left w:val="single" w:sz="4" w:space="0" w:color="auto"/>
                    <w:bottom w:val="single" w:sz="4" w:space="0" w:color="auto"/>
                    <w:right w:val="single" w:sz="4" w:space="0" w:color="auto"/>
                  </w:tcBorders>
                  <w:vAlign w:val="center"/>
                  <w:hideMark/>
                </w:tcPr>
                <w:p w14:paraId="6CC60AA7"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 xml:space="preserve">mun. Chișinău, bd. Grigore Vieru 9, of. 503 </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4938762"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8</w:t>
                  </w:r>
                </w:p>
              </w:tc>
            </w:tr>
            <w:tr w:rsidR="00361E45" w:rsidRPr="009444C7" w14:paraId="1E1330FC"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3DDEE1D6"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8</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A8AB552" w14:textId="77777777" w:rsidR="00361E45" w:rsidRPr="009444C7" w:rsidRDefault="00361E45" w:rsidP="00361E45">
                  <w:pPr>
                    <w:spacing w:before="20" w:after="20"/>
                    <w:rPr>
                      <w:rFonts w:ascii="Times New Roman" w:hAnsi="Times New Roman"/>
                    </w:rPr>
                  </w:pPr>
                  <w:r w:rsidRPr="009444C7">
                    <w:rPr>
                      <w:rFonts w:ascii="Times New Roman" w:hAnsi="Times New Roman"/>
                    </w:rPr>
                    <w:t>ACGV ENERGOEXPERT SERVICE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265AD7D1"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bd. Grigore Vieru 9, of. 503</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6163C47"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16</w:t>
                  </w:r>
                </w:p>
              </w:tc>
            </w:tr>
            <w:tr w:rsidR="00361E45" w:rsidRPr="009444C7" w14:paraId="01FA1BC4"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614AE812"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lastRenderedPageBreak/>
                    <w:t>9</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1B5E10B" w14:textId="77777777" w:rsidR="00361E45" w:rsidRPr="009444C7" w:rsidRDefault="00361E45" w:rsidP="00361E45">
                  <w:pPr>
                    <w:spacing w:before="20" w:after="20"/>
                    <w:rPr>
                      <w:rFonts w:ascii="Times New Roman" w:hAnsi="Times New Roman"/>
                    </w:rPr>
                  </w:pPr>
                  <w:r w:rsidRPr="009444C7">
                    <w:rPr>
                      <w:rFonts w:ascii="Times New Roman" w:hAnsi="Times New Roman"/>
                    </w:rPr>
                    <w:t>Resurs Point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0987290F"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or. Chișinău, str. Independenței 4/2, of. 61</w:t>
                  </w:r>
                </w:p>
              </w:tc>
              <w:tc>
                <w:tcPr>
                  <w:tcW w:w="1103" w:type="pct"/>
                  <w:tcBorders>
                    <w:top w:val="single" w:sz="4" w:space="0" w:color="auto"/>
                    <w:left w:val="single" w:sz="4" w:space="0" w:color="auto"/>
                    <w:bottom w:val="single" w:sz="4" w:space="0" w:color="auto"/>
                    <w:right w:val="single" w:sz="4" w:space="0" w:color="auto"/>
                  </w:tcBorders>
                  <w:vAlign w:val="center"/>
                  <w:hideMark/>
                </w:tcPr>
                <w:p w14:paraId="213ED18F"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1</w:t>
                  </w:r>
                </w:p>
              </w:tc>
            </w:tr>
            <w:tr w:rsidR="00361E45" w:rsidRPr="009444C7" w14:paraId="6514DDB1"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7307E63F"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10</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118FA00" w14:textId="77777777" w:rsidR="00361E45" w:rsidRPr="009444C7" w:rsidRDefault="00361E45" w:rsidP="00361E45">
                  <w:pPr>
                    <w:spacing w:before="20" w:after="20"/>
                    <w:rPr>
                      <w:rFonts w:ascii="Times New Roman" w:hAnsi="Times New Roman"/>
                    </w:rPr>
                  </w:pPr>
                  <w:r w:rsidRPr="009444C7">
                    <w:rPr>
                      <w:rFonts w:ascii="Times New Roman" w:hAnsi="Times New Roman"/>
                    </w:rPr>
                    <w:t>Efin Project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063B86D4"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str. Socoleni 11</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4B028AA"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2</w:t>
                  </w:r>
                </w:p>
              </w:tc>
            </w:tr>
            <w:tr w:rsidR="00361E45" w:rsidRPr="009444C7" w14:paraId="376638CB"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6C89CAA1"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11</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D2F81F0" w14:textId="77777777" w:rsidR="00361E45" w:rsidRPr="009444C7" w:rsidRDefault="00361E45" w:rsidP="00361E45">
                  <w:pPr>
                    <w:spacing w:before="20" w:after="20"/>
                    <w:rPr>
                      <w:rFonts w:ascii="Times New Roman" w:hAnsi="Times New Roman"/>
                    </w:rPr>
                  </w:pPr>
                  <w:r w:rsidRPr="009444C7">
                    <w:rPr>
                      <w:rFonts w:ascii="Times New Roman" w:hAnsi="Times New Roman"/>
                    </w:rPr>
                    <w:t>Novaservice MOL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2298D358"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stradela Studenților 2/4</w:t>
                  </w:r>
                </w:p>
              </w:tc>
              <w:tc>
                <w:tcPr>
                  <w:tcW w:w="1103" w:type="pct"/>
                  <w:tcBorders>
                    <w:top w:val="single" w:sz="4" w:space="0" w:color="auto"/>
                    <w:left w:val="single" w:sz="4" w:space="0" w:color="auto"/>
                    <w:bottom w:val="single" w:sz="4" w:space="0" w:color="auto"/>
                    <w:right w:val="single" w:sz="4" w:space="0" w:color="auto"/>
                  </w:tcBorders>
                  <w:vAlign w:val="center"/>
                  <w:hideMark/>
                </w:tcPr>
                <w:p w14:paraId="5BF093E2"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60</w:t>
                  </w:r>
                </w:p>
              </w:tc>
            </w:tr>
            <w:tr w:rsidR="00361E45" w:rsidRPr="009444C7" w14:paraId="703DC0D6"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679D889A"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12</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18E7961" w14:textId="77777777" w:rsidR="00361E45" w:rsidRPr="009444C7" w:rsidRDefault="00361E45" w:rsidP="00361E45">
                  <w:pPr>
                    <w:spacing w:before="20" w:after="20"/>
                    <w:rPr>
                      <w:rFonts w:ascii="Times New Roman" w:hAnsi="Times New Roman"/>
                    </w:rPr>
                  </w:pPr>
                  <w:r w:rsidRPr="009444C7">
                    <w:rPr>
                      <w:rFonts w:ascii="Times New Roman" w:hAnsi="Times New Roman"/>
                    </w:rPr>
                    <w:t>Triglifart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71D33442"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str. Decebal 76, of. 623</w:t>
                  </w:r>
                </w:p>
              </w:tc>
              <w:tc>
                <w:tcPr>
                  <w:tcW w:w="1103" w:type="pct"/>
                  <w:tcBorders>
                    <w:top w:val="single" w:sz="4" w:space="0" w:color="auto"/>
                    <w:left w:val="single" w:sz="4" w:space="0" w:color="auto"/>
                    <w:bottom w:val="single" w:sz="4" w:space="0" w:color="auto"/>
                    <w:right w:val="single" w:sz="4" w:space="0" w:color="auto"/>
                  </w:tcBorders>
                  <w:vAlign w:val="center"/>
                  <w:hideMark/>
                </w:tcPr>
                <w:p w14:paraId="4E88C6C1"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6</w:t>
                  </w:r>
                </w:p>
              </w:tc>
            </w:tr>
            <w:tr w:rsidR="00361E45" w:rsidRPr="009444C7" w14:paraId="05C85236"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0C1BD312"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13</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27D20CC" w14:textId="77777777" w:rsidR="00361E45" w:rsidRPr="009444C7" w:rsidRDefault="00361E45" w:rsidP="00361E45">
                  <w:pPr>
                    <w:spacing w:before="20" w:after="20"/>
                    <w:rPr>
                      <w:rFonts w:ascii="Times New Roman" w:hAnsi="Times New Roman"/>
                    </w:rPr>
                  </w:pPr>
                  <w:r w:rsidRPr="009444C7">
                    <w:rPr>
                      <w:rFonts w:ascii="Times New Roman" w:hAnsi="Times New Roman"/>
                    </w:rPr>
                    <w:t>Alianța pentru Eficiență Energetică și Regenerabile (AEER)</w:t>
                  </w:r>
                </w:p>
              </w:tc>
              <w:tc>
                <w:tcPr>
                  <w:tcW w:w="2060" w:type="pct"/>
                  <w:tcBorders>
                    <w:top w:val="single" w:sz="4" w:space="0" w:color="auto"/>
                    <w:left w:val="single" w:sz="4" w:space="0" w:color="auto"/>
                    <w:bottom w:val="single" w:sz="4" w:space="0" w:color="auto"/>
                    <w:right w:val="single" w:sz="4" w:space="0" w:color="auto"/>
                  </w:tcBorders>
                  <w:vAlign w:val="center"/>
                  <w:hideMark/>
                </w:tcPr>
                <w:p w14:paraId="356001FC"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str. Serghei Lazo 40, of.701, et. 7, MD-2004</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F38EC26"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22</w:t>
                  </w:r>
                </w:p>
              </w:tc>
            </w:tr>
            <w:tr w:rsidR="00361E45" w:rsidRPr="009444C7" w14:paraId="2069225A"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7106A460"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14</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6DCF103" w14:textId="77777777" w:rsidR="00361E45" w:rsidRPr="009444C7" w:rsidRDefault="00361E45" w:rsidP="00361E45">
                  <w:pPr>
                    <w:spacing w:before="20" w:after="20"/>
                    <w:rPr>
                      <w:rFonts w:ascii="Times New Roman" w:hAnsi="Times New Roman"/>
                    </w:rPr>
                  </w:pPr>
                  <w:r w:rsidRPr="009444C7">
                    <w:rPr>
                      <w:rFonts w:ascii="Times New Roman" w:hAnsi="Times New Roman"/>
                    </w:rPr>
                    <w:t>UPCON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0516B691"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str. Mesager 7</w:t>
                  </w:r>
                </w:p>
              </w:tc>
              <w:tc>
                <w:tcPr>
                  <w:tcW w:w="1103" w:type="pct"/>
                  <w:tcBorders>
                    <w:top w:val="single" w:sz="4" w:space="0" w:color="auto"/>
                    <w:left w:val="single" w:sz="4" w:space="0" w:color="auto"/>
                    <w:bottom w:val="single" w:sz="4" w:space="0" w:color="auto"/>
                    <w:right w:val="single" w:sz="4" w:space="0" w:color="auto"/>
                  </w:tcBorders>
                  <w:vAlign w:val="center"/>
                  <w:hideMark/>
                </w:tcPr>
                <w:p w14:paraId="53668E2C"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1</w:t>
                  </w:r>
                </w:p>
              </w:tc>
            </w:tr>
            <w:tr w:rsidR="00361E45" w:rsidRPr="009444C7" w14:paraId="70701643"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7C578D8A"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15</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5DDE5D6" w14:textId="77777777" w:rsidR="00361E45" w:rsidRPr="009444C7" w:rsidRDefault="00361E45" w:rsidP="00361E45">
                  <w:pPr>
                    <w:spacing w:before="20" w:after="20"/>
                    <w:rPr>
                      <w:rFonts w:ascii="Times New Roman" w:hAnsi="Times New Roman"/>
                    </w:rPr>
                  </w:pPr>
                  <w:r w:rsidRPr="009444C7">
                    <w:rPr>
                      <w:rFonts w:ascii="Times New Roman" w:hAnsi="Times New Roman"/>
                    </w:rPr>
                    <w:t>LISMAR-VENT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6CC72293"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Chişinău, Str. Mihail Lermontov, 31, MD-2070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2E864775"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24</w:t>
                  </w:r>
                </w:p>
              </w:tc>
            </w:tr>
            <w:tr w:rsidR="00361E45" w:rsidRPr="009444C7" w14:paraId="6BE2B0B1"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1713027A"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16</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F52B8CB" w14:textId="77777777" w:rsidR="00361E45" w:rsidRPr="009444C7" w:rsidRDefault="00361E45" w:rsidP="00361E45">
                  <w:pPr>
                    <w:spacing w:before="20" w:after="20"/>
                    <w:rPr>
                      <w:rFonts w:ascii="Times New Roman" w:hAnsi="Times New Roman"/>
                    </w:rPr>
                  </w:pPr>
                  <w:r w:rsidRPr="009444C7">
                    <w:rPr>
                      <w:rFonts w:ascii="Times New Roman" w:hAnsi="Times New Roman"/>
                    </w:rPr>
                    <w:t xml:space="preserve">Top Logic SRL </w:t>
                  </w:r>
                </w:p>
              </w:tc>
              <w:tc>
                <w:tcPr>
                  <w:tcW w:w="2060" w:type="pct"/>
                  <w:tcBorders>
                    <w:top w:val="single" w:sz="4" w:space="0" w:color="auto"/>
                    <w:left w:val="single" w:sz="4" w:space="0" w:color="auto"/>
                    <w:bottom w:val="single" w:sz="4" w:space="0" w:color="auto"/>
                    <w:right w:val="single" w:sz="4" w:space="0" w:color="auto"/>
                  </w:tcBorders>
                  <w:vAlign w:val="center"/>
                  <w:hideMark/>
                </w:tcPr>
                <w:p w14:paraId="33881F9C"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bd. Moscova, ap. 49</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83171AD"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1</w:t>
                  </w:r>
                </w:p>
              </w:tc>
            </w:tr>
            <w:tr w:rsidR="00361E45" w:rsidRPr="009444C7" w14:paraId="4275DBBA"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72A17500"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17</w:t>
                  </w:r>
                </w:p>
              </w:tc>
              <w:tc>
                <w:tcPr>
                  <w:tcW w:w="1545" w:type="pct"/>
                  <w:tcBorders>
                    <w:top w:val="single" w:sz="4" w:space="0" w:color="auto"/>
                    <w:left w:val="single" w:sz="4" w:space="0" w:color="auto"/>
                    <w:bottom w:val="single" w:sz="4" w:space="0" w:color="auto"/>
                    <w:right w:val="single" w:sz="4" w:space="0" w:color="auto"/>
                  </w:tcBorders>
                  <w:vAlign w:val="center"/>
                  <w:hideMark/>
                </w:tcPr>
                <w:p w14:paraId="37128733" w14:textId="77777777" w:rsidR="00361E45" w:rsidRPr="009444C7" w:rsidRDefault="00361E45" w:rsidP="00361E45">
                  <w:pPr>
                    <w:spacing w:before="20" w:after="20"/>
                    <w:rPr>
                      <w:rFonts w:ascii="Times New Roman" w:hAnsi="Times New Roman"/>
                    </w:rPr>
                  </w:pPr>
                  <w:r w:rsidRPr="009444C7">
                    <w:rPr>
                      <w:rFonts w:ascii="Times New Roman" w:hAnsi="Times New Roman"/>
                    </w:rPr>
                    <w:t>Delibenergy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5CD96F4A"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str. Voluntarilor 10, ap. 138</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C8F59D4"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8</w:t>
                  </w:r>
                </w:p>
              </w:tc>
            </w:tr>
            <w:tr w:rsidR="00361E45" w:rsidRPr="009444C7" w14:paraId="4CDD62E0"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3E7B53E0"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18</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C4D8208" w14:textId="77777777" w:rsidR="00361E45" w:rsidRPr="009444C7" w:rsidRDefault="00361E45" w:rsidP="00361E45">
                  <w:pPr>
                    <w:spacing w:before="20" w:after="20"/>
                    <w:rPr>
                      <w:rFonts w:ascii="Times New Roman" w:hAnsi="Times New Roman"/>
                    </w:rPr>
                  </w:pPr>
                  <w:r w:rsidRPr="009444C7">
                    <w:rPr>
                      <w:rFonts w:ascii="Times New Roman" w:hAnsi="Times New Roman"/>
                    </w:rPr>
                    <w:t>Nictron Energy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64823596"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Chişinău, str. Calea Ieşilor, 51/3, ap. (of.) 47</w:t>
                  </w:r>
                </w:p>
              </w:tc>
              <w:tc>
                <w:tcPr>
                  <w:tcW w:w="1103" w:type="pct"/>
                  <w:tcBorders>
                    <w:top w:val="single" w:sz="4" w:space="0" w:color="auto"/>
                    <w:left w:val="single" w:sz="4" w:space="0" w:color="auto"/>
                    <w:bottom w:val="single" w:sz="4" w:space="0" w:color="auto"/>
                    <w:right w:val="single" w:sz="4" w:space="0" w:color="auto"/>
                  </w:tcBorders>
                  <w:vAlign w:val="center"/>
                  <w:hideMark/>
                </w:tcPr>
                <w:p w14:paraId="724E9CAC"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4</w:t>
                  </w:r>
                </w:p>
              </w:tc>
            </w:tr>
            <w:tr w:rsidR="00361E45" w:rsidRPr="009444C7" w14:paraId="1DEF3CAF"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642716E5"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19</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AA64222" w14:textId="77777777" w:rsidR="00361E45" w:rsidRPr="009444C7" w:rsidRDefault="00361E45" w:rsidP="00361E45">
                  <w:pPr>
                    <w:spacing w:before="20" w:after="20"/>
                    <w:rPr>
                      <w:rFonts w:ascii="Times New Roman" w:hAnsi="Times New Roman"/>
                    </w:rPr>
                  </w:pPr>
                  <w:r w:rsidRPr="009444C7">
                    <w:rPr>
                      <w:rFonts w:ascii="Times New Roman" w:hAnsi="Times New Roman"/>
                    </w:rPr>
                    <w:t>Envidatetec</w:t>
                  </w:r>
                </w:p>
              </w:tc>
              <w:tc>
                <w:tcPr>
                  <w:tcW w:w="2060" w:type="pct"/>
                  <w:tcBorders>
                    <w:top w:val="single" w:sz="4" w:space="0" w:color="auto"/>
                    <w:left w:val="single" w:sz="4" w:space="0" w:color="auto"/>
                    <w:bottom w:val="single" w:sz="4" w:space="0" w:color="auto"/>
                    <w:right w:val="single" w:sz="4" w:space="0" w:color="auto"/>
                  </w:tcBorders>
                  <w:vAlign w:val="center"/>
                  <w:hideMark/>
                </w:tcPr>
                <w:p w14:paraId="6743DE40"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Germany, Hamburg, Veritaskai 2, 21079</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1B23D87"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34</w:t>
                  </w:r>
                </w:p>
              </w:tc>
            </w:tr>
            <w:tr w:rsidR="00361E45" w:rsidRPr="009444C7" w14:paraId="1EC8729F"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7DF7DAD7"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20</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8935F12" w14:textId="77777777" w:rsidR="00361E45" w:rsidRPr="009444C7" w:rsidRDefault="00361E45" w:rsidP="00361E45">
                  <w:pPr>
                    <w:spacing w:before="20" w:after="20"/>
                    <w:rPr>
                      <w:rFonts w:ascii="Times New Roman" w:hAnsi="Times New Roman"/>
                    </w:rPr>
                  </w:pPr>
                  <w:r w:rsidRPr="009444C7">
                    <w:rPr>
                      <w:rFonts w:ascii="Times New Roman" w:hAnsi="Times New Roman"/>
                    </w:rPr>
                    <w:t>Giz Moldova</w:t>
                  </w:r>
                </w:p>
              </w:tc>
              <w:tc>
                <w:tcPr>
                  <w:tcW w:w="2060" w:type="pct"/>
                  <w:tcBorders>
                    <w:top w:val="single" w:sz="4" w:space="0" w:color="auto"/>
                    <w:left w:val="single" w:sz="4" w:space="0" w:color="auto"/>
                    <w:bottom w:val="single" w:sz="4" w:space="0" w:color="auto"/>
                    <w:right w:val="single" w:sz="4" w:space="0" w:color="auto"/>
                  </w:tcBorders>
                  <w:vAlign w:val="center"/>
                  <w:hideMark/>
                </w:tcPr>
                <w:p w14:paraId="38B2FDD8"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Chișinău, Bd. Stefan cel Mare si Sfant 73/1</w:t>
                  </w:r>
                </w:p>
              </w:tc>
              <w:tc>
                <w:tcPr>
                  <w:tcW w:w="1103" w:type="pct"/>
                  <w:tcBorders>
                    <w:top w:val="single" w:sz="4" w:space="0" w:color="auto"/>
                    <w:left w:val="single" w:sz="4" w:space="0" w:color="auto"/>
                    <w:bottom w:val="single" w:sz="4" w:space="0" w:color="auto"/>
                    <w:right w:val="single" w:sz="4" w:space="0" w:color="auto"/>
                  </w:tcBorders>
                  <w:vAlign w:val="center"/>
                  <w:hideMark/>
                </w:tcPr>
                <w:p w14:paraId="45C12C2C"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1</w:t>
                  </w:r>
                </w:p>
              </w:tc>
            </w:tr>
            <w:tr w:rsidR="00361E45" w:rsidRPr="009444C7" w14:paraId="5F8B4F5B"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0AE2010D"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21</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B4F078C" w14:textId="77777777" w:rsidR="00361E45" w:rsidRPr="009444C7" w:rsidRDefault="00361E45" w:rsidP="00361E45">
                  <w:pPr>
                    <w:spacing w:before="20" w:after="20"/>
                    <w:rPr>
                      <w:rFonts w:ascii="Times New Roman" w:hAnsi="Times New Roman"/>
                    </w:rPr>
                  </w:pPr>
                  <w:r w:rsidRPr="009444C7">
                    <w:rPr>
                      <w:rFonts w:ascii="Times New Roman" w:hAnsi="Times New Roman"/>
                    </w:rPr>
                    <w:t>GENESCOTEC</w:t>
                  </w:r>
                </w:p>
              </w:tc>
              <w:tc>
                <w:tcPr>
                  <w:tcW w:w="2060" w:type="pct"/>
                  <w:tcBorders>
                    <w:top w:val="single" w:sz="4" w:space="0" w:color="auto"/>
                    <w:left w:val="single" w:sz="4" w:space="0" w:color="auto"/>
                    <w:bottom w:val="single" w:sz="4" w:space="0" w:color="auto"/>
                    <w:right w:val="single" w:sz="4" w:space="0" w:color="auto"/>
                  </w:tcBorders>
                  <w:vAlign w:val="center"/>
                  <w:hideMark/>
                </w:tcPr>
                <w:p w14:paraId="41E145B3"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or. Taraclia, str. Gogol 86</w:t>
                  </w:r>
                </w:p>
              </w:tc>
              <w:tc>
                <w:tcPr>
                  <w:tcW w:w="1103" w:type="pct"/>
                  <w:tcBorders>
                    <w:top w:val="single" w:sz="4" w:space="0" w:color="auto"/>
                    <w:left w:val="single" w:sz="4" w:space="0" w:color="auto"/>
                    <w:bottom w:val="single" w:sz="4" w:space="0" w:color="auto"/>
                    <w:right w:val="single" w:sz="4" w:space="0" w:color="auto"/>
                  </w:tcBorders>
                  <w:vAlign w:val="center"/>
                  <w:hideMark/>
                </w:tcPr>
                <w:p w14:paraId="7A3BB492"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6</w:t>
                  </w:r>
                </w:p>
              </w:tc>
            </w:tr>
            <w:tr w:rsidR="00361E45" w:rsidRPr="009444C7" w14:paraId="7E04624A"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7E703BE2"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22</w:t>
                  </w:r>
                </w:p>
              </w:tc>
              <w:tc>
                <w:tcPr>
                  <w:tcW w:w="1545" w:type="pct"/>
                  <w:tcBorders>
                    <w:top w:val="single" w:sz="4" w:space="0" w:color="auto"/>
                    <w:left w:val="single" w:sz="4" w:space="0" w:color="auto"/>
                    <w:bottom w:val="single" w:sz="4" w:space="0" w:color="auto"/>
                    <w:right w:val="single" w:sz="4" w:space="0" w:color="auto"/>
                  </w:tcBorders>
                  <w:vAlign w:val="center"/>
                  <w:hideMark/>
                </w:tcPr>
                <w:p w14:paraId="32B64789" w14:textId="77777777" w:rsidR="00361E45" w:rsidRPr="009444C7" w:rsidRDefault="00361E45" w:rsidP="00361E45">
                  <w:pPr>
                    <w:spacing w:before="20" w:after="20"/>
                    <w:rPr>
                      <w:rFonts w:ascii="Times New Roman" w:hAnsi="Times New Roman"/>
                    </w:rPr>
                  </w:pPr>
                  <w:r w:rsidRPr="009444C7">
                    <w:rPr>
                      <w:rFonts w:ascii="Times New Roman" w:hAnsi="Times New Roman"/>
                    </w:rPr>
                    <w:t>ECO TEST</w:t>
                  </w:r>
                </w:p>
              </w:tc>
              <w:tc>
                <w:tcPr>
                  <w:tcW w:w="2060" w:type="pct"/>
                  <w:tcBorders>
                    <w:top w:val="single" w:sz="4" w:space="0" w:color="auto"/>
                    <w:left w:val="single" w:sz="4" w:space="0" w:color="auto"/>
                    <w:bottom w:val="single" w:sz="4" w:space="0" w:color="auto"/>
                    <w:right w:val="single" w:sz="4" w:space="0" w:color="auto"/>
                  </w:tcBorders>
                  <w:vAlign w:val="center"/>
                  <w:hideMark/>
                </w:tcPr>
                <w:p w14:paraId="15E3251E"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Chişinău, str. Mircea cel Batrin 4/4, of.  201</w:t>
                  </w:r>
                </w:p>
              </w:tc>
              <w:tc>
                <w:tcPr>
                  <w:tcW w:w="1103" w:type="pct"/>
                  <w:tcBorders>
                    <w:top w:val="single" w:sz="4" w:space="0" w:color="auto"/>
                    <w:left w:val="single" w:sz="4" w:space="0" w:color="auto"/>
                    <w:bottom w:val="single" w:sz="4" w:space="0" w:color="auto"/>
                    <w:right w:val="single" w:sz="4" w:space="0" w:color="auto"/>
                  </w:tcBorders>
                  <w:vAlign w:val="center"/>
                  <w:hideMark/>
                </w:tcPr>
                <w:p w14:paraId="4613BB47"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13</w:t>
                  </w:r>
                </w:p>
              </w:tc>
            </w:tr>
            <w:tr w:rsidR="00361E45" w:rsidRPr="009444C7" w14:paraId="38376DE5"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093BA660"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23</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06A5D28" w14:textId="77777777" w:rsidR="00361E45" w:rsidRPr="009444C7" w:rsidRDefault="00361E45" w:rsidP="00361E45">
                  <w:pPr>
                    <w:spacing w:before="20" w:after="20"/>
                    <w:rPr>
                      <w:rFonts w:ascii="Times New Roman" w:hAnsi="Times New Roman"/>
                    </w:rPr>
                  </w:pPr>
                  <w:r w:rsidRPr="009444C7">
                    <w:rPr>
                      <w:rFonts w:ascii="Times New Roman" w:hAnsi="Times New Roman"/>
                    </w:rPr>
                    <w:t>SRL CND</w:t>
                  </w:r>
                </w:p>
              </w:tc>
              <w:tc>
                <w:tcPr>
                  <w:tcW w:w="2060" w:type="pct"/>
                  <w:tcBorders>
                    <w:top w:val="single" w:sz="4" w:space="0" w:color="auto"/>
                    <w:left w:val="single" w:sz="4" w:space="0" w:color="auto"/>
                    <w:bottom w:val="single" w:sz="4" w:space="0" w:color="auto"/>
                    <w:right w:val="single" w:sz="4" w:space="0" w:color="auto"/>
                  </w:tcBorders>
                  <w:vAlign w:val="center"/>
                  <w:hideMark/>
                </w:tcPr>
                <w:p w14:paraId="1B84AEC9"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Chişinău, bul. Moscova 18/4</w:t>
                  </w:r>
                </w:p>
              </w:tc>
              <w:tc>
                <w:tcPr>
                  <w:tcW w:w="1103" w:type="pct"/>
                  <w:tcBorders>
                    <w:top w:val="single" w:sz="4" w:space="0" w:color="auto"/>
                    <w:left w:val="single" w:sz="4" w:space="0" w:color="auto"/>
                    <w:bottom w:val="single" w:sz="4" w:space="0" w:color="auto"/>
                    <w:right w:val="single" w:sz="4" w:space="0" w:color="auto"/>
                  </w:tcBorders>
                  <w:vAlign w:val="center"/>
                  <w:hideMark/>
                </w:tcPr>
                <w:p w14:paraId="4C321409"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3</w:t>
                  </w:r>
                </w:p>
              </w:tc>
            </w:tr>
            <w:tr w:rsidR="00361E45" w:rsidRPr="009444C7" w14:paraId="6C13A46F"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417FAEC0"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24</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A5FDD4E" w14:textId="77777777" w:rsidR="00361E45" w:rsidRPr="009444C7" w:rsidRDefault="00361E45" w:rsidP="00361E45">
                  <w:pPr>
                    <w:spacing w:before="20" w:after="20"/>
                    <w:rPr>
                      <w:rFonts w:ascii="Times New Roman" w:hAnsi="Times New Roman"/>
                    </w:rPr>
                  </w:pPr>
                  <w:r w:rsidRPr="009444C7">
                    <w:rPr>
                      <w:rFonts w:ascii="Times New Roman" w:hAnsi="Times New Roman"/>
                    </w:rPr>
                    <w:t>VTG SYNERGY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2AB9E635"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Chisinau, str. Zelinski 30, of. 11</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8C1562C"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1</w:t>
                  </w:r>
                </w:p>
              </w:tc>
            </w:tr>
            <w:tr w:rsidR="00361E45" w:rsidRPr="009444C7" w14:paraId="7EFF95F8" w14:textId="77777777" w:rsidTr="00361E45">
              <w:tc>
                <w:tcPr>
                  <w:tcW w:w="292" w:type="pct"/>
                  <w:tcBorders>
                    <w:top w:val="single" w:sz="4" w:space="0" w:color="auto"/>
                    <w:left w:val="single" w:sz="4" w:space="0" w:color="auto"/>
                    <w:bottom w:val="single" w:sz="4" w:space="0" w:color="auto"/>
                    <w:right w:val="single" w:sz="4" w:space="0" w:color="auto"/>
                  </w:tcBorders>
                  <w:vAlign w:val="center"/>
                  <w:hideMark/>
                </w:tcPr>
                <w:p w14:paraId="489816FB" w14:textId="77777777" w:rsidR="00361E45" w:rsidRPr="009444C7" w:rsidRDefault="00361E45" w:rsidP="00361E45">
                  <w:pPr>
                    <w:spacing w:before="20" w:after="20"/>
                    <w:jc w:val="center"/>
                    <w:rPr>
                      <w:rFonts w:ascii="Times New Roman" w:hAnsi="Times New Roman"/>
                      <w:b/>
                      <w:bCs/>
                    </w:rPr>
                  </w:pPr>
                  <w:r w:rsidRPr="009444C7">
                    <w:rPr>
                      <w:rFonts w:ascii="Times New Roman" w:hAnsi="Times New Roman"/>
                      <w:b/>
                      <w:bCs/>
                    </w:rPr>
                    <w:t>25</w:t>
                  </w:r>
                </w:p>
              </w:tc>
              <w:tc>
                <w:tcPr>
                  <w:tcW w:w="1545" w:type="pct"/>
                  <w:tcBorders>
                    <w:top w:val="single" w:sz="4" w:space="0" w:color="auto"/>
                    <w:left w:val="single" w:sz="4" w:space="0" w:color="auto"/>
                    <w:bottom w:val="single" w:sz="4" w:space="0" w:color="auto"/>
                    <w:right w:val="single" w:sz="4" w:space="0" w:color="auto"/>
                  </w:tcBorders>
                  <w:vAlign w:val="center"/>
                  <w:hideMark/>
                </w:tcPr>
                <w:p w14:paraId="0DB68150" w14:textId="77777777" w:rsidR="00361E45" w:rsidRPr="009444C7" w:rsidRDefault="00361E45" w:rsidP="00361E45">
                  <w:pPr>
                    <w:spacing w:before="20" w:after="20"/>
                    <w:rPr>
                      <w:rFonts w:ascii="Times New Roman" w:hAnsi="Times New Roman"/>
                    </w:rPr>
                  </w:pPr>
                  <w:r w:rsidRPr="009444C7">
                    <w:rPr>
                      <w:rFonts w:ascii="Times New Roman" w:hAnsi="Times New Roman"/>
                    </w:rPr>
                    <w:t>Invest Suport S.R.L.</w:t>
                  </w:r>
                </w:p>
              </w:tc>
              <w:tc>
                <w:tcPr>
                  <w:tcW w:w="2060" w:type="pct"/>
                  <w:tcBorders>
                    <w:top w:val="single" w:sz="4" w:space="0" w:color="auto"/>
                    <w:left w:val="single" w:sz="4" w:space="0" w:color="auto"/>
                    <w:bottom w:val="single" w:sz="4" w:space="0" w:color="auto"/>
                    <w:right w:val="single" w:sz="4" w:space="0" w:color="auto"/>
                  </w:tcBorders>
                  <w:vAlign w:val="center"/>
                  <w:hideMark/>
                </w:tcPr>
                <w:p w14:paraId="2D8BA3A5" w14:textId="77777777" w:rsidR="00361E45" w:rsidRPr="009444C7" w:rsidRDefault="00361E45" w:rsidP="00361E45">
                  <w:pPr>
                    <w:spacing w:before="20" w:after="20"/>
                    <w:jc w:val="both"/>
                    <w:rPr>
                      <w:rFonts w:ascii="Times New Roman" w:hAnsi="Times New Roman"/>
                    </w:rPr>
                  </w:pPr>
                  <w:r w:rsidRPr="009444C7">
                    <w:rPr>
                      <w:rFonts w:ascii="Times New Roman" w:hAnsi="Times New Roman"/>
                    </w:rPr>
                    <w:t>mun. Chişinău, str. Burebista 17</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111B2A7" w14:textId="77777777" w:rsidR="00361E45" w:rsidRPr="009444C7" w:rsidRDefault="00361E45" w:rsidP="00361E45">
                  <w:pPr>
                    <w:spacing w:before="20" w:after="20"/>
                    <w:jc w:val="center"/>
                    <w:rPr>
                      <w:rFonts w:ascii="Times New Roman" w:hAnsi="Times New Roman"/>
                    </w:rPr>
                  </w:pPr>
                  <w:r w:rsidRPr="009444C7">
                    <w:rPr>
                      <w:rFonts w:ascii="Times New Roman" w:hAnsi="Times New Roman"/>
                    </w:rPr>
                    <w:t>1</w:t>
                  </w:r>
                </w:p>
              </w:tc>
            </w:tr>
          </w:tbl>
          <w:p w14:paraId="35A4D844" w14:textId="37D3BBAE" w:rsidR="0020204D" w:rsidRPr="009444C7" w:rsidRDefault="00702931" w:rsidP="005F1688">
            <w:pPr>
              <w:tabs>
                <w:tab w:val="left" w:pos="884"/>
                <w:tab w:val="left" w:pos="1196"/>
              </w:tabs>
              <w:spacing w:before="120" w:after="120"/>
              <w:jc w:val="both"/>
              <w:rPr>
                <w:rFonts w:ascii="Times New Roman" w:hAnsi="Times New Roman"/>
              </w:rPr>
            </w:pPr>
            <w:r w:rsidRPr="009444C7">
              <w:rPr>
                <w:rFonts w:ascii="Times New Roman" w:hAnsi="Times New Roman"/>
              </w:rPr>
              <w:t xml:space="preserve">Chiar dacă majoritatea întreprinderilor care au efectuat audituri energetice sunt societăți comerciale, totuși există și Asociații Obștești precum și întreprinderi individuale care au prestat astfel de servicii. </w:t>
            </w:r>
          </w:p>
          <w:p w14:paraId="256502B8" w14:textId="6253380E" w:rsidR="00224DAE" w:rsidRPr="009444C7" w:rsidRDefault="00224DAE" w:rsidP="005F1688">
            <w:pPr>
              <w:tabs>
                <w:tab w:val="left" w:pos="884"/>
                <w:tab w:val="left" w:pos="1196"/>
              </w:tabs>
              <w:spacing w:before="120" w:after="120"/>
              <w:jc w:val="both"/>
              <w:rPr>
                <w:rFonts w:ascii="Times New Roman" w:hAnsi="Times New Roman"/>
              </w:rPr>
            </w:pPr>
            <w:r w:rsidRPr="009444C7">
              <w:rPr>
                <w:rFonts w:ascii="Times New Roman" w:hAnsi="Times New Roman"/>
              </w:rPr>
              <w:t>Cu referire la obligația întreprinderilor mari de a efectua auditurile energetice este de menționat că termenul pentru onorarea acestei obligațiuni urmează să fie calculat din momentul recepționării notificării repetate din partea CNED și, ulterior, cel puțin o dată la fiecare patru ani de la data efectuării ultimului raport de audit energetic.</w:t>
            </w:r>
          </w:p>
          <w:p w14:paraId="176E709B" w14:textId="71CE211F" w:rsidR="00413CCA" w:rsidRPr="009444C7" w:rsidRDefault="00F27F25" w:rsidP="005F1688">
            <w:pPr>
              <w:tabs>
                <w:tab w:val="left" w:pos="884"/>
                <w:tab w:val="left" w:pos="1196"/>
              </w:tabs>
              <w:spacing w:before="120" w:after="120"/>
              <w:jc w:val="both"/>
              <w:rPr>
                <w:rFonts w:ascii="Times New Roman" w:hAnsi="Times New Roman"/>
              </w:rPr>
            </w:pPr>
            <w:r w:rsidRPr="009444C7">
              <w:rPr>
                <w:rFonts w:ascii="Times New Roman" w:hAnsi="Times New Roman"/>
              </w:rPr>
              <w:t xml:space="preserve">Astfel prin această modificare la Hotărârea Guvernului Nr. 829/2024 pentru aprobarea Regulamentului cu privire la efectuarea auditului energetic de către întreprinderile mari, </w:t>
            </w:r>
            <w:r w:rsidR="00926A93" w:rsidRPr="009444C7">
              <w:rPr>
                <w:rFonts w:ascii="Times New Roman" w:hAnsi="Times New Roman"/>
              </w:rPr>
              <w:t xml:space="preserve">cele 45 de </w:t>
            </w:r>
            <w:r w:rsidRPr="009444C7">
              <w:rPr>
                <w:rFonts w:ascii="Times New Roman" w:hAnsi="Times New Roman"/>
              </w:rPr>
              <w:t>întreprinderile mari</w:t>
            </w:r>
            <w:r w:rsidR="00926A93" w:rsidRPr="009444C7">
              <w:rPr>
                <w:rFonts w:ascii="Times New Roman" w:hAnsi="Times New Roman"/>
              </w:rPr>
              <w:t xml:space="preserve"> aprobate prin Ordinul CNED nr. 06/AB din 14 februarie 2025 (</w:t>
            </w:r>
            <w:hyperlink r:id="rId11" w:history="1">
              <w:r w:rsidR="00926A93" w:rsidRPr="009444C7">
                <w:rPr>
                  <w:rStyle w:val="Hyperlink"/>
                  <w:rFonts w:ascii="Times New Roman" w:hAnsi="Times New Roman"/>
                </w:rPr>
                <w:t>https://cned.gov.md/sites/default/files/document/attachments/lista_intreprinderilor_mari_ce_au_obligatia_de_a_efectua_audit_energetic_ordin_06_ab_din_14.02.2025_0.pdf</w:t>
              </w:r>
            </w:hyperlink>
            <w:r w:rsidR="00926A93" w:rsidRPr="009444C7">
              <w:rPr>
                <w:rFonts w:ascii="Times New Roman" w:hAnsi="Times New Roman"/>
              </w:rPr>
              <w:t xml:space="preserve"> ), </w:t>
            </w:r>
            <w:r w:rsidRPr="009444C7">
              <w:rPr>
                <w:rFonts w:ascii="Times New Roman" w:hAnsi="Times New Roman"/>
              </w:rPr>
              <w:t xml:space="preserve">vor mai avea la dispoziție o perioada adițională de timp pentru onorarea acestei obligațiuni.  </w:t>
            </w:r>
          </w:p>
        </w:tc>
      </w:tr>
      <w:tr w:rsidR="006D3EB7" w:rsidRPr="009444C7" w14:paraId="7424CF32" w14:textId="77777777" w:rsidTr="0023659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21CC02" w14:textId="7511F2B4" w:rsidR="00F4445B" w:rsidRPr="009444C7" w:rsidRDefault="006933C3" w:rsidP="000E1660">
            <w:pPr>
              <w:rPr>
                <w:rFonts w:ascii="Times New Roman" w:hAnsi="Times New Roman"/>
                <w:i/>
              </w:rPr>
            </w:pPr>
            <w:r w:rsidRPr="009444C7">
              <w:rPr>
                <w:rFonts w:ascii="Times New Roman" w:hAnsi="Times New Roman"/>
                <w:i/>
              </w:rPr>
              <w:lastRenderedPageBreak/>
              <w:t>4.4</w:t>
            </w:r>
            <w:r w:rsidR="0036135C" w:rsidRPr="009444C7">
              <w:rPr>
                <w:rFonts w:ascii="Times New Roman" w:hAnsi="Times New Roman"/>
                <w:i/>
              </w:rPr>
              <w:t>.</w:t>
            </w:r>
            <w:r w:rsidR="00032B46" w:rsidRPr="009444C7">
              <w:rPr>
                <w:rFonts w:ascii="Times New Roman" w:hAnsi="Times New Roman"/>
                <w:i/>
              </w:rPr>
              <w:t xml:space="preserve"> </w:t>
            </w:r>
            <w:r w:rsidR="00CA2822" w:rsidRPr="009444C7">
              <w:rPr>
                <w:rFonts w:ascii="Times New Roman" w:hAnsi="Times New Roman"/>
                <w:i/>
              </w:rPr>
              <w:t>Impactul</w:t>
            </w:r>
            <w:r w:rsidR="00032B46" w:rsidRPr="009444C7">
              <w:rPr>
                <w:rFonts w:ascii="Times New Roman" w:hAnsi="Times New Roman"/>
                <w:i/>
              </w:rPr>
              <w:t xml:space="preserve"> </w:t>
            </w:r>
            <w:r w:rsidR="00CA2822" w:rsidRPr="009444C7">
              <w:rPr>
                <w:rFonts w:ascii="Times New Roman" w:hAnsi="Times New Roman"/>
                <w:i/>
              </w:rPr>
              <w:t>social</w:t>
            </w:r>
          </w:p>
          <w:p w14:paraId="4BF9C203" w14:textId="6D89262D" w:rsidR="00DB0A51" w:rsidRPr="009444C7" w:rsidRDefault="00B4055C" w:rsidP="001A76A5">
            <w:pPr>
              <w:spacing w:before="120" w:after="120"/>
              <w:jc w:val="both"/>
              <w:rPr>
                <w:rFonts w:ascii="Times New Roman" w:hAnsi="Times New Roman"/>
                <w:bCs/>
              </w:rPr>
            </w:pPr>
            <w:r w:rsidRPr="009444C7">
              <w:rPr>
                <w:rFonts w:ascii="Times New Roman" w:hAnsi="Times New Roman"/>
              </w:rPr>
              <w:t xml:space="preserve">Modificările propuse prin Proiectul de Hotărâre de Guvern cu privire la modificarea unor hotărâri ale Guvernului (facilitarea implementării proiectelor de eficiență energetică) </w:t>
            </w:r>
            <w:r w:rsidR="00E75D1A" w:rsidRPr="009444C7">
              <w:rPr>
                <w:rFonts w:ascii="Times New Roman" w:hAnsi="Times New Roman"/>
                <w:bCs/>
              </w:rPr>
              <w:t xml:space="preserve">va avea </w:t>
            </w:r>
            <w:r w:rsidR="00E75D1A" w:rsidRPr="009444C7">
              <w:rPr>
                <w:rFonts w:ascii="Times New Roman" w:hAnsi="Times New Roman"/>
                <w:bCs/>
              </w:rPr>
              <w:lastRenderedPageBreak/>
              <w:t xml:space="preserve">un impact pozitiv asupra întregii populații a Republicii Moldova, </w:t>
            </w:r>
            <w:r w:rsidR="00DB0A51" w:rsidRPr="009444C7">
              <w:rPr>
                <w:rFonts w:ascii="Times New Roman" w:hAnsi="Times New Roman"/>
                <w:bCs/>
              </w:rPr>
              <w:t xml:space="preserve">prin continuarea efortului Guvernului </w:t>
            </w:r>
            <w:r w:rsidR="0028589C" w:rsidRPr="009444C7">
              <w:rPr>
                <w:rFonts w:ascii="Times New Roman" w:hAnsi="Times New Roman"/>
                <w:bCs/>
              </w:rPr>
              <w:t>în vederea facilitării proceselor de implementare a</w:t>
            </w:r>
            <w:r w:rsidR="00DB0A51" w:rsidRPr="009444C7">
              <w:rPr>
                <w:rFonts w:ascii="Times New Roman" w:hAnsi="Times New Roman"/>
                <w:bCs/>
              </w:rPr>
              <w:t xml:space="preserve"> proiecte</w:t>
            </w:r>
            <w:r w:rsidR="0028589C" w:rsidRPr="009444C7">
              <w:rPr>
                <w:rFonts w:ascii="Times New Roman" w:hAnsi="Times New Roman"/>
                <w:bCs/>
              </w:rPr>
              <w:t>lor</w:t>
            </w:r>
            <w:r w:rsidR="00DB0A51" w:rsidRPr="009444C7">
              <w:rPr>
                <w:rFonts w:ascii="Times New Roman" w:hAnsi="Times New Roman"/>
                <w:bCs/>
              </w:rPr>
              <w:t xml:space="preserve"> de eficiență energetică</w:t>
            </w:r>
            <w:r w:rsidR="00C11504">
              <w:rPr>
                <w:rFonts w:ascii="Times New Roman" w:hAnsi="Times New Roman"/>
                <w:bCs/>
              </w:rPr>
              <w:t>, care vor contribui la reducerea vulnerabilității energetice a cetățenilor.</w:t>
            </w:r>
            <w:r w:rsidR="00DB0A51" w:rsidRPr="009444C7">
              <w:rPr>
                <w:rFonts w:ascii="Times New Roman" w:hAnsi="Times New Roman"/>
                <w:bCs/>
              </w:rPr>
              <w:t xml:space="preserve"> </w:t>
            </w:r>
          </w:p>
          <w:p w14:paraId="1C6D4B5F" w14:textId="4D83BC2B" w:rsidR="00E75D1A" w:rsidRPr="009444C7" w:rsidRDefault="00E75D1A" w:rsidP="001A76A5">
            <w:pPr>
              <w:jc w:val="both"/>
              <w:rPr>
                <w:rFonts w:ascii="Times New Roman" w:hAnsi="Times New Roman"/>
              </w:rPr>
            </w:pPr>
            <w:r w:rsidRPr="009444C7">
              <w:rPr>
                <w:rFonts w:ascii="Times New Roman" w:hAnsi="Times New Roman"/>
                <w:bCs/>
              </w:rPr>
              <w:t xml:space="preserve">Implementarea proiectelor de eficiență energetică va contribui inclusiv la crearea locurilor de muncă. </w:t>
            </w:r>
            <w:r w:rsidRPr="009444C7">
              <w:rPr>
                <w:rFonts w:ascii="Times New Roman" w:hAnsi="Times New Roman"/>
              </w:rPr>
              <w:t xml:space="preserve">Conform unui Raport cu privire la ocuparea forței de muncă în domeniul energiei la nivel mondial elaborat de către Agenția Internațională a Energiei în 2023, investirea a </w:t>
            </w:r>
            <w:r w:rsidRPr="009444C7">
              <w:rPr>
                <w:rFonts w:ascii="Times New Roman" w:hAnsi="Times New Roman"/>
              </w:rPr>
              <w:br/>
              <w:t xml:space="preserve">cca. 1 mil. Euro în eficiența energetică ar presupune crearea a 8-27 locurilor de muncă adiționale, contribuind astfel la o dezvoltare economică a țării. </w:t>
            </w:r>
          </w:p>
          <w:p w14:paraId="4E529115" w14:textId="25C4579A" w:rsidR="008B4BE6" w:rsidRPr="009444C7" w:rsidRDefault="00E75D1A" w:rsidP="00E75D1A">
            <w:pPr>
              <w:spacing w:before="120" w:after="120"/>
              <w:rPr>
                <w:rFonts w:ascii="Times New Roman" w:hAnsi="Times New Roman"/>
                <w:i/>
              </w:rPr>
            </w:pPr>
            <w:r w:rsidRPr="009444C7">
              <w:rPr>
                <w:rFonts w:ascii="Times New Roman" w:hAnsi="Times New Roman"/>
                <w:bCs/>
              </w:rPr>
              <w:t xml:space="preserve"> </w:t>
            </w:r>
            <w:r w:rsidR="00CA2822" w:rsidRPr="009444C7">
              <w:rPr>
                <w:rFonts w:ascii="Times New Roman" w:hAnsi="Times New Roman"/>
                <w:i/>
              </w:rPr>
              <w:t>4.4.1.</w:t>
            </w:r>
            <w:r w:rsidR="00032B46" w:rsidRPr="009444C7">
              <w:rPr>
                <w:rFonts w:ascii="Times New Roman" w:hAnsi="Times New Roman"/>
                <w:i/>
              </w:rPr>
              <w:t xml:space="preserve"> </w:t>
            </w:r>
            <w:r w:rsidR="006933C3" w:rsidRPr="009444C7">
              <w:rPr>
                <w:rFonts w:ascii="Times New Roman" w:hAnsi="Times New Roman"/>
                <w:i/>
              </w:rPr>
              <w:t>Impactul</w:t>
            </w:r>
            <w:r w:rsidR="00032B46" w:rsidRPr="009444C7">
              <w:rPr>
                <w:rFonts w:ascii="Times New Roman" w:hAnsi="Times New Roman"/>
                <w:i/>
              </w:rPr>
              <w:t xml:space="preserve"> </w:t>
            </w:r>
            <w:r w:rsidR="006933C3" w:rsidRPr="009444C7">
              <w:rPr>
                <w:rFonts w:ascii="Times New Roman" w:hAnsi="Times New Roman"/>
                <w:i/>
              </w:rPr>
              <w:t>asupra</w:t>
            </w:r>
            <w:r w:rsidR="00032B46" w:rsidRPr="009444C7">
              <w:rPr>
                <w:rFonts w:ascii="Times New Roman" w:hAnsi="Times New Roman"/>
                <w:i/>
              </w:rPr>
              <w:t xml:space="preserve"> </w:t>
            </w:r>
            <w:r w:rsidR="006933C3" w:rsidRPr="009444C7">
              <w:rPr>
                <w:rFonts w:ascii="Times New Roman" w:hAnsi="Times New Roman"/>
                <w:i/>
              </w:rPr>
              <w:t>datelor</w:t>
            </w:r>
            <w:r w:rsidR="00032B46" w:rsidRPr="009444C7">
              <w:rPr>
                <w:rFonts w:ascii="Times New Roman" w:hAnsi="Times New Roman"/>
                <w:i/>
              </w:rPr>
              <w:t xml:space="preserve"> </w:t>
            </w:r>
            <w:r w:rsidR="006933C3" w:rsidRPr="009444C7">
              <w:rPr>
                <w:rFonts w:ascii="Times New Roman" w:hAnsi="Times New Roman"/>
                <w:i/>
              </w:rPr>
              <w:t>cu</w:t>
            </w:r>
            <w:r w:rsidR="00032B46" w:rsidRPr="009444C7">
              <w:rPr>
                <w:rFonts w:ascii="Times New Roman" w:hAnsi="Times New Roman"/>
                <w:i/>
              </w:rPr>
              <w:t xml:space="preserve"> </w:t>
            </w:r>
            <w:r w:rsidR="006933C3" w:rsidRPr="009444C7">
              <w:rPr>
                <w:rFonts w:ascii="Times New Roman" w:hAnsi="Times New Roman"/>
                <w:i/>
              </w:rPr>
              <w:t>caracter</w:t>
            </w:r>
            <w:r w:rsidR="00032B46" w:rsidRPr="009444C7">
              <w:rPr>
                <w:rFonts w:ascii="Times New Roman" w:hAnsi="Times New Roman"/>
                <w:i/>
              </w:rPr>
              <w:t xml:space="preserve"> </w:t>
            </w:r>
            <w:r w:rsidR="006933C3" w:rsidRPr="009444C7">
              <w:rPr>
                <w:rFonts w:ascii="Times New Roman" w:hAnsi="Times New Roman"/>
                <w:i/>
              </w:rPr>
              <w:t>personal</w:t>
            </w:r>
          </w:p>
          <w:p w14:paraId="7CD7D3DE" w14:textId="1D6804DE" w:rsidR="007225FC" w:rsidRPr="009444C7" w:rsidRDefault="0028589C" w:rsidP="001A76A5">
            <w:pPr>
              <w:jc w:val="both"/>
              <w:rPr>
                <w:rFonts w:ascii="Times New Roman" w:hAnsi="Times New Roman"/>
                <w:i/>
              </w:rPr>
            </w:pPr>
            <w:r w:rsidRPr="009444C7">
              <w:rPr>
                <w:rFonts w:ascii="Times New Roman" w:hAnsi="Times New Roman"/>
              </w:rPr>
              <w:t>Proiectul de Hotărâre de Guvern cu privire la modificarea unor hotărâri ale Guvernului (facilitarea implementării proiectelor de eficiență energetică)</w:t>
            </w:r>
            <w:r w:rsidR="00AF64D3" w:rsidRPr="009444C7">
              <w:rPr>
                <w:rFonts w:ascii="Times New Roman" w:hAnsi="Times New Roman"/>
              </w:rPr>
              <w:t xml:space="preserve"> </w:t>
            </w:r>
            <w:r w:rsidR="00541CE7" w:rsidRPr="009444C7">
              <w:rPr>
                <w:rFonts w:ascii="Times New Roman" w:hAnsi="Times New Roman"/>
              </w:rPr>
              <w:t xml:space="preserve">nu stabilește careva cerințe care ar putea avea vreun impact asupra datelor cu caracter personal. </w:t>
            </w:r>
          </w:p>
          <w:p w14:paraId="1EFFE205" w14:textId="77777777" w:rsidR="008B4BE6" w:rsidRPr="009444C7" w:rsidRDefault="00CA2822" w:rsidP="001A76A5">
            <w:pPr>
              <w:jc w:val="both"/>
              <w:rPr>
                <w:rFonts w:ascii="Times New Roman" w:hAnsi="Times New Roman"/>
                <w:i/>
              </w:rPr>
            </w:pPr>
            <w:r w:rsidRPr="009444C7">
              <w:rPr>
                <w:rFonts w:ascii="Times New Roman" w:hAnsi="Times New Roman"/>
                <w:i/>
              </w:rPr>
              <w:t>4.4.2.</w:t>
            </w:r>
            <w:r w:rsidR="00032B46" w:rsidRPr="009444C7">
              <w:rPr>
                <w:rFonts w:ascii="Times New Roman" w:hAnsi="Times New Roman"/>
                <w:i/>
              </w:rPr>
              <w:t xml:space="preserve"> </w:t>
            </w:r>
            <w:r w:rsidRPr="009444C7">
              <w:rPr>
                <w:rFonts w:ascii="Times New Roman" w:hAnsi="Times New Roman"/>
                <w:i/>
              </w:rPr>
              <w:t>Impactul</w:t>
            </w:r>
            <w:r w:rsidR="00032B46" w:rsidRPr="009444C7">
              <w:rPr>
                <w:rFonts w:ascii="Times New Roman" w:hAnsi="Times New Roman"/>
                <w:i/>
              </w:rPr>
              <w:t xml:space="preserve"> </w:t>
            </w:r>
            <w:r w:rsidRPr="009444C7">
              <w:rPr>
                <w:rFonts w:ascii="Times New Roman" w:hAnsi="Times New Roman"/>
                <w:i/>
              </w:rPr>
              <w:t>asupra</w:t>
            </w:r>
            <w:r w:rsidR="00032B46" w:rsidRPr="009444C7">
              <w:rPr>
                <w:rFonts w:ascii="Times New Roman" w:hAnsi="Times New Roman"/>
                <w:i/>
              </w:rPr>
              <w:t xml:space="preserve"> </w:t>
            </w:r>
            <w:r w:rsidRPr="009444C7">
              <w:rPr>
                <w:rFonts w:ascii="Times New Roman" w:hAnsi="Times New Roman"/>
                <w:i/>
              </w:rPr>
              <w:t>echită</w:t>
            </w:r>
            <w:r w:rsidR="00863417" w:rsidRPr="009444C7">
              <w:rPr>
                <w:rFonts w:ascii="Times New Roman" w:hAnsi="Times New Roman"/>
                <w:i/>
              </w:rPr>
              <w:t>ț</w:t>
            </w:r>
            <w:r w:rsidRPr="009444C7">
              <w:rPr>
                <w:rFonts w:ascii="Times New Roman" w:hAnsi="Times New Roman"/>
                <w:i/>
              </w:rPr>
              <w:t>ii</w:t>
            </w:r>
            <w:r w:rsidR="00032B46" w:rsidRPr="009444C7">
              <w:rPr>
                <w:rFonts w:ascii="Times New Roman" w:hAnsi="Times New Roman"/>
                <w:i/>
              </w:rPr>
              <w:t xml:space="preserve"> </w:t>
            </w:r>
            <w:r w:rsidR="00863417" w:rsidRPr="009444C7">
              <w:rPr>
                <w:rFonts w:ascii="Times New Roman" w:hAnsi="Times New Roman"/>
                <w:i/>
              </w:rPr>
              <w:t>ș</w:t>
            </w:r>
            <w:r w:rsidRPr="009444C7">
              <w:rPr>
                <w:rFonts w:ascii="Times New Roman" w:hAnsi="Times New Roman"/>
                <w:i/>
              </w:rPr>
              <w:t>i</w:t>
            </w:r>
            <w:r w:rsidR="00032B46" w:rsidRPr="009444C7">
              <w:rPr>
                <w:rFonts w:ascii="Times New Roman" w:hAnsi="Times New Roman"/>
                <w:i/>
              </w:rPr>
              <w:t xml:space="preserve"> </w:t>
            </w:r>
            <w:r w:rsidRPr="009444C7">
              <w:rPr>
                <w:rFonts w:ascii="Times New Roman" w:hAnsi="Times New Roman"/>
                <w:i/>
              </w:rPr>
              <w:t>egalită</w:t>
            </w:r>
            <w:r w:rsidR="00863417" w:rsidRPr="009444C7">
              <w:rPr>
                <w:rFonts w:ascii="Times New Roman" w:hAnsi="Times New Roman"/>
                <w:i/>
              </w:rPr>
              <w:t>ț</w:t>
            </w:r>
            <w:r w:rsidRPr="009444C7">
              <w:rPr>
                <w:rFonts w:ascii="Times New Roman" w:hAnsi="Times New Roman"/>
                <w:i/>
              </w:rPr>
              <w:t>ii</w:t>
            </w:r>
            <w:r w:rsidR="00032B46" w:rsidRPr="009444C7">
              <w:rPr>
                <w:rFonts w:ascii="Times New Roman" w:hAnsi="Times New Roman"/>
                <w:i/>
              </w:rPr>
              <w:t xml:space="preserve"> </w:t>
            </w:r>
            <w:r w:rsidRPr="009444C7">
              <w:rPr>
                <w:rFonts w:ascii="Times New Roman" w:hAnsi="Times New Roman"/>
                <w:i/>
              </w:rPr>
              <w:t>de</w:t>
            </w:r>
            <w:r w:rsidR="00032B46" w:rsidRPr="009444C7">
              <w:rPr>
                <w:rFonts w:ascii="Times New Roman" w:hAnsi="Times New Roman"/>
                <w:i/>
              </w:rPr>
              <w:t xml:space="preserve"> </w:t>
            </w:r>
            <w:r w:rsidRPr="009444C7">
              <w:rPr>
                <w:rFonts w:ascii="Times New Roman" w:hAnsi="Times New Roman"/>
                <w:i/>
              </w:rPr>
              <w:t>gen</w:t>
            </w:r>
          </w:p>
          <w:p w14:paraId="5094B65C" w14:textId="2F7DE7E5" w:rsidR="00541CE7" w:rsidRPr="009444C7" w:rsidRDefault="0028589C" w:rsidP="001A76A5">
            <w:pPr>
              <w:jc w:val="both"/>
              <w:rPr>
                <w:rFonts w:ascii="Times New Roman" w:hAnsi="Times New Roman"/>
              </w:rPr>
            </w:pPr>
            <w:r w:rsidRPr="009444C7">
              <w:rPr>
                <w:rFonts w:ascii="Times New Roman" w:hAnsi="Times New Roman"/>
              </w:rPr>
              <w:t xml:space="preserve">Proiectul de Hotărâre de Guvern cu privire la modificarea unor hotărâri ale Guvernului (facilitarea implementării proiectelor de eficiență energetică) </w:t>
            </w:r>
            <w:r w:rsidR="00541CE7" w:rsidRPr="009444C7">
              <w:rPr>
                <w:rFonts w:ascii="Times New Roman" w:hAnsi="Times New Roman"/>
              </w:rPr>
              <w:t>nu stabilește careva cerințe care ar putea influența în mod diferit femeile, bărbații și minoritățile de gen. Totodată, acesta nu prevede  promovar</w:t>
            </w:r>
            <w:r w:rsidR="005B3F9C" w:rsidRPr="009444C7">
              <w:rPr>
                <w:rFonts w:ascii="Times New Roman" w:hAnsi="Times New Roman"/>
              </w:rPr>
              <w:t>ea unor măsuri de discriminare.</w:t>
            </w:r>
          </w:p>
        </w:tc>
      </w:tr>
      <w:tr w:rsidR="006D3EB7" w:rsidRPr="009444C7" w14:paraId="5A26B0A1" w14:textId="77777777" w:rsidTr="0023659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BFDA08" w14:textId="77777777" w:rsidR="008B4BE6" w:rsidRPr="009444C7" w:rsidRDefault="006933C3" w:rsidP="000E1660">
            <w:pPr>
              <w:rPr>
                <w:rFonts w:ascii="Times New Roman" w:hAnsi="Times New Roman"/>
                <w:i/>
              </w:rPr>
            </w:pPr>
            <w:r w:rsidRPr="009444C7">
              <w:rPr>
                <w:rFonts w:ascii="Times New Roman" w:hAnsi="Times New Roman"/>
                <w:i/>
              </w:rPr>
              <w:lastRenderedPageBreak/>
              <w:t>4.</w:t>
            </w:r>
            <w:r w:rsidR="00CA2822" w:rsidRPr="009444C7">
              <w:rPr>
                <w:rFonts w:ascii="Times New Roman" w:hAnsi="Times New Roman"/>
                <w:i/>
              </w:rPr>
              <w:t>5</w:t>
            </w:r>
            <w:r w:rsidRPr="009444C7">
              <w:rPr>
                <w:rFonts w:ascii="Times New Roman" w:hAnsi="Times New Roman"/>
                <w:i/>
              </w:rPr>
              <w:t>.</w:t>
            </w:r>
            <w:r w:rsidR="00032B46" w:rsidRPr="009444C7">
              <w:rPr>
                <w:rFonts w:ascii="Times New Roman" w:hAnsi="Times New Roman"/>
                <w:i/>
              </w:rPr>
              <w:t xml:space="preserve"> </w:t>
            </w:r>
            <w:r w:rsidRPr="009444C7">
              <w:rPr>
                <w:rFonts w:ascii="Times New Roman" w:hAnsi="Times New Roman"/>
                <w:i/>
              </w:rPr>
              <w:t>Impactul</w:t>
            </w:r>
            <w:r w:rsidR="00032B46" w:rsidRPr="009444C7">
              <w:rPr>
                <w:rFonts w:ascii="Times New Roman" w:hAnsi="Times New Roman"/>
                <w:i/>
              </w:rPr>
              <w:t xml:space="preserve"> </w:t>
            </w:r>
            <w:r w:rsidRPr="009444C7">
              <w:rPr>
                <w:rFonts w:ascii="Times New Roman" w:hAnsi="Times New Roman"/>
                <w:i/>
              </w:rPr>
              <w:t>asupra</w:t>
            </w:r>
            <w:r w:rsidR="00032B46" w:rsidRPr="009444C7">
              <w:rPr>
                <w:rFonts w:ascii="Times New Roman" w:hAnsi="Times New Roman"/>
                <w:i/>
              </w:rPr>
              <w:t xml:space="preserve"> </w:t>
            </w:r>
            <w:r w:rsidRPr="009444C7">
              <w:rPr>
                <w:rFonts w:ascii="Times New Roman" w:hAnsi="Times New Roman"/>
                <w:i/>
              </w:rPr>
              <w:t>mediului</w:t>
            </w:r>
          </w:p>
          <w:p w14:paraId="1ED48608" w14:textId="0D5FB2D5" w:rsidR="00613D09" w:rsidRPr="009444C7" w:rsidRDefault="00D85681" w:rsidP="005C5FC6">
            <w:pPr>
              <w:spacing w:before="120" w:after="120"/>
              <w:jc w:val="both"/>
              <w:rPr>
                <w:rFonts w:ascii="Times New Roman" w:hAnsi="Times New Roman"/>
              </w:rPr>
            </w:pPr>
            <w:r w:rsidRPr="009444C7">
              <w:rPr>
                <w:rFonts w:ascii="Times New Roman" w:hAnsi="Times New Roman"/>
              </w:rPr>
              <w:t xml:space="preserve">Implementarea </w:t>
            </w:r>
            <w:r w:rsidR="0028589C" w:rsidRPr="009444C7">
              <w:rPr>
                <w:rFonts w:ascii="Times New Roman" w:hAnsi="Times New Roman"/>
              </w:rPr>
              <w:t xml:space="preserve">Proiectului de Hotărâre de Guvern cu privire la modificarea unor hotărâri ale Guvernului (facilitarea implementării proiectelor de eficiență energetică) </w:t>
            </w:r>
            <w:r w:rsidRPr="009444C7">
              <w:rPr>
                <w:rFonts w:ascii="Times New Roman" w:hAnsi="Times New Roman"/>
              </w:rPr>
              <w:t xml:space="preserve"> va avea impact pozitiv asupra mediului </w:t>
            </w:r>
            <w:r w:rsidR="0028589C" w:rsidRPr="009444C7">
              <w:rPr>
                <w:rFonts w:ascii="Times New Roman" w:hAnsi="Times New Roman"/>
              </w:rPr>
              <w:t xml:space="preserve">datorită </w:t>
            </w:r>
            <w:r w:rsidR="0028589C" w:rsidRPr="009444C7">
              <w:rPr>
                <w:rFonts w:ascii="Times New Roman" w:hAnsi="Times New Roman"/>
                <w:bCs/>
              </w:rPr>
              <w:t>continuării eforturilor Guvernului în vederea implementării proiectelor de eficiență energetică</w:t>
            </w:r>
            <w:r w:rsidR="005C5FC6" w:rsidRPr="009444C7">
              <w:rPr>
                <w:rFonts w:ascii="Times New Roman" w:hAnsi="Times New Roman"/>
              </w:rPr>
              <w:t xml:space="preserve"> și valorificare a surselor de energie regenerabilă</w:t>
            </w:r>
            <w:r w:rsidR="0028589C" w:rsidRPr="009444C7">
              <w:rPr>
                <w:rFonts w:ascii="Times New Roman" w:hAnsi="Times New Roman"/>
                <w:bCs/>
              </w:rPr>
              <w:t xml:space="preserve">, care </w:t>
            </w:r>
            <w:r w:rsidR="005C5FC6" w:rsidRPr="009444C7">
              <w:rPr>
                <w:rFonts w:ascii="Times New Roman" w:hAnsi="Times New Roman"/>
                <w:bCs/>
              </w:rPr>
              <w:t xml:space="preserve">au printre beneficii inclusiv </w:t>
            </w:r>
            <w:r w:rsidRPr="009444C7">
              <w:rPr>
                <w:rFonts w:ascii="Times New Roman" w:hAnsi="Times New Roman"/>
              </w:rPr>
              <w:t>reducerea emisiilor de</w:t>
            </w:r>
            <w:r w:rsidR="005C5FC6" w:rsidRPr="009444C7">
              <w:rPr>
                <w:rFonts w:ascii="Times New Roman" w:hAnsi="Times New Roman"/>
              </w:rPr>
              <w:t xml:space="preserve"> gaze cu efect de seră.</w:t>
            </w:r>
          </w:p>
        </w:tc>
      </w:tr>
      <w:tr w:rsidR="006D3EB7" w:rsidRPr="009444C7" w14:paraId="42A0201F" w14:textId="77777777" w:rsidTr="00236599">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3FD377" w14:textId="118207C9" w:rsidR="007225FC" w:rsidRPr="009444C7" w:rsidRDefault="006933C3" w:rsidP="000E1660">
            <w:pPr>
              <w:rPr>
                <w:rFonts w:ascii="Times New Roman" w:hAnsi="Times New Roman"/>
                <w:i/>
              </w:rPr>
            </w:pPr>
            <w:r w:rsidRPr="009444C7">
              <w:rPr>
                <w:rFonts w:ascii="Times New Roman" w:hAnsi="Times New Roman"/>
                <w:i/>
              </w:rPr>
              <w:t>4.</w:t>
            </w:r>
            <w:r w:rsidR="00CA2822" w:rsidRPr="009444C7">
              <w:rPr>
                <w:rFonts w:ascii="Times New Roman" w:hAnsi="Times New Roman"/>
                <w:i/>
              </w:rPr>
              <w:t>6</w:t>
            </w:r>
            <w:r w:rsidRPr="009444C7">
              <w:rPr>
                <w:rFonts w:ascii="Times New Roman" w:hAnsi="Times New Roman"/>
                <w:i/>
              </w:rPr>
              <w:t>.</w:t>
            </w:r>
            <w:r w:rsidR="00032B46" w:rsidRPr="009444C7">
              <w:rPr>
                <w:rFonts w:ascii="Times New Roman" w:hAnsi="Times New Roman"/>
                <w:i/>
              </w:rPr>
              <w:t xml:space="preserve"> </w:t>
            </w:r>
            <w:r w:rsidRPr="009444C7">
              <w:rPr>
                <w:rFonts w:ascii="Times New Roman" w:hAnsi="Times New Roman"/>
                <w:i/>
              </w:rPr>
              <w:t>Alte</w:t>
            </w:r>
            <w:r w:rsidR="00032B46" w:rsidRPr="009444C7">
              <w:rPr>
                <w:rFonts w:ascii="Times New Roman" w:hAnsi="Times New Roman"/>
                <w:i/>
              </w:rPr>
              <w:t xml:space="preserve"> </w:t>
            </w:r>
            <w:r w:rsidRPr="009444C7">
              <w:rPr>
                <w:rFonts w:ascii="Times New Roman" w:hAnsi="Times New Roman"/>
                <w:i/>
              </w:rPr>
              <w:t>impacturi</w:t>
            </w:r>
            <w:r w:rsidR="00032B46" w:rsidRPr="009444C7">
              <w:rPr>
                <w:rFonts w:ascii="Times New Roman" w:hAnsi="Times New Roman"/>
                <w:i/>
              </w:rPr>
              <w:t xml:space="preserve"> </w:t>
            </w:r>
            <w:r w:rsidR="00863417" w:rsidRPr="009444C7">
              <w:rPr>
                <w:rFonts w:ascii="Times New Roman" w:hAnsi="Times New Roman"/>
                <w:i/>
              </w:rPr>
              <w:t>ș</w:t>
            </w:r>
            <w:r w:rsidRPr="009444C7">
              <w:rPr>
                <w:rFonts w:ascii="Times New Roman" w:hAnsi="Times New Roman"/>
                <w:i/>
              </w:rPr>
              <w:t>i</w:t>
            </w:r>
            <w:r w:rsidR="00032B46" w:rsidRPr="009444C7">
              <w:rPr>
                <w:rFonts w:ascii="Times New Roman" w:hAnsi="Times New Roman"/>
                <w:i/>
              </w:rPr>
              <w:t xml:space="preserve"> </w:t>
            </w:r>
            <w:r w:rsidRPr="009444C7">
              <w:rPr>
                <w:rFonts w:ascii="Times New Roman" w:hAnsi="Times New Roman"/>
                <w:i/>
              </w:rPr>
              <w:t>informa</w:t>
            </w:r>
            <w:r w:rsidR="00863417" w:rsidRPr="009444C7">
              <w:rPr>
                <w:rFonts w:ascii="Times New Roman" w:hAnsi="Times New Roman"/>
                <w:i/>
              </w:rPr>
              <w:t>ț</w:t>
            </w:r>
            <w:r w:rsidRPr="009444C7">
              <w:rPr>
                <w:rFonts w:ascii="Times New Roman" w:hAnsi="Times New Roman"/>
                <w:i/>
              </w:rPr>
              <w:t>ii</w:t>
            </w:r>
            <w:r w:rsidR="00032B46" w:rsidRPr="009444C7">
              <w:rPr>
                <w:rFonts w:ascii="Times New Roman" w:hAnsi="Times New Roman"/>
                <w:i/>
              </w:rPr>
              <w:t xml:space="preserve"> </w:t>
            </w:r>
            <w:r w:rsidRPr="009444C7">
              <w:rPr>
                <w:rFonts w:ascii="Times New Roman" w:hAnsi="Times New Roman"/>
                <w:i/>
              </w:rPr>
              <w:t>relevante</w:t>
            </w:r>
          </w:p>
        </w:tc>
      </w:tr>
      <w:tr w:rsidR="006D3EB7" w:rsidRPr="009444C7"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37491C" w14:textId="6007E085" w:rsidR="00083AA2" w:rsidRPr="009444C7" w:rsidRDefault="000D4674" w:rsidP="00D041AE">
            <w:pPr>
              <w:tabs>
                <w:tab w:val="left" w:pos="884"/>
                <w:tab w:val="left" w:pos="1196"/>
              </w:tabs>
              <w:jc w:val="both"/>
              <w:rPr>
                <w:rFonts w:ascii="Times New Roman" w:hAnsi="Times New Roman"/>
              </w:rPr>
            </w:pPr>
            <w:r w:rsidRPr="009444C7">
              <w:rPr>
                <w:rFonts w:ascii="Times New Roman" w:hAnsi="Times New Roman"/>
              </w:rPr>
              <w:t xml:space="preserve">Implementarea </w:t>
            </w:r>
            <w:r w:rsidR="005C5FC6" w:rsidRPr="009444C7">
              <w:rPr>
                <w:rFonts w:ascii="Times New Roman" w:hAnsi="Times New Roman"/>
              </w:rPr>
              <w:t xml:space="preserve">Proiectului de Hotărâre de Guvern cu privire la modificarea unor hotărâri ale Guvernului (facilitarea implementării proiectelor de eficiență energetică)  </w:t>
            </w:r>
            <w:r w:rsidRPr="009444C7">
              <w:rPr>
                <w:rFonts w:ascii="Times New Roman" w:hAnsi="Times New Roman"/>
              </w:rPr>
              <w:t xml:space="preserve">va avea impact pozitiv și asupra sistemului de sănătate și educațional prin crearea premiselor care ar facilita implementarea proiectelor de eficiență energetică și valorificare a surselor de energie regenerabilă, contribuind astfel la modernizarea clădirilor, respectarea </w:t>
            </w:r>
            <w:r w:rsidR="00083AA2" w:rsidRPr="009444C7">
              <w:rPr>
                <w:rFonts w:ascii="Times New Roman" w:hAnsi="Times New Roman"/>
              </w:rPr>
              <w:t>normelor igienico-sanitare precum și șa a</w:t>
            </w:r>
            <w:r w:rsidRPr="009444C7">
              <w:rPr>
                <w:rFonts w:ascii="Times New Roman" w:hAnsi="Times New Roman"/>
              </w:rPr>
              <w:t>cordarea serviciilor educaționale și medicale mai calitative</w:t>
            </w:r>
            <w:r w:rsidR="00083AA2" w:rsidRPr="009444C7">
              <w:rPr>
                <w:rFonts w:ascii="Times New Roman" w:hAnsi="Times New Roman"/>
              </w:rPr>
              <w:t>.</w:t>
            </w:r>
          </w:p>
          <w:p w14:paraId="13FD1F55" w14:textId="690411CD" w:rsidR="008B4BE6" w:rsidRPr="009444C7" w:rsidRDefault="00083AA2" w:rsidP="00D041AE">
            <w:pPr>
              <w:tabs>
                <w:tab w:val="left" w:pos="884"/>
                <w:tab w:val="left" w:pos="1196"/>
              </w:tabs>
              <w:jc w:val="both"/>
              <w:rPr>
                <w:rFonts w:ascii="Times New Roman" w:hAnsi="Times New Roman"/>
              </w:rPr>
            </w:pPr>
            <w:r w:rsidRPr="009444C7">
              <w:rPr>
                <w:rFonts w:ascii="Times New Roman" w:hAnsi="Times New Roman"/>
              </w:rPr>
              <w:t xml:space="preserve">Crearea premiselor care ar atrage mijloace financiare pentru proiecte de eficiență energetică și valorificare a surselor de energie regenerabilă va avea impact și asupra dezvoltării tehnologice și inovației datorită soluțiilor propuse în cadrul diferitor proiecte ce urmează a fi implementate în acest sens, inclusiv prin colaborarea cu partenerii de dezvoltare și organizațiile internaționale în acest sens. </w:t>
            </w:r>
            <w:r w:rsidR="000D4674" w:rsidRPr="009444C7">
              <w:rPr>
                <w:rFonts w:ascii="Times New Roman" w:hAnsi="Times New Roman"/>
              </w:rPr>
              <w:t xml:space="preserve">  </w:t>
            </w:r>
          </w:p>
        </w:tc>
      </w:tr>
      <w:tr w:rsidR="006D3EB7" w:rsidRPr="009444C7"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9444C7" w:rsidRDefault="006933C3" w:rsidP="000E1660">
            <w:pPr>
              <w:rPr>
                <w:rFonts w:ascii="Times New Roman" w:hAnsi="Times New Roman"/>
                <w:b/>
                <w:bCs/>
              </w:rPr>
            </w:pPr>
            <w:r w:rsidRPr="009444C7">
              <w:rPr>
                <w:rFonts w:ascii="Times New Roman" w:hAnsi="Times New Roman"/>
                <w:b/>
                <w:bCs/>
              </w:rPr>
              <w:t>5.</w:t>
            </w:r>
            <w:r w:rsidR="00032B46" w:rsidRPr="009444C7">
              <w:rPr>
                <w:rFonts w:ascii="Times New Roman" w:hAnsi="Times New Roman"/>
                <w:b/>
                <w:bCs/>
              </w:rPr>
              <w:t xml:space="preserve"> </w:t>
            </w:r>
            <w:r w:rsidRPr="009444C7">
              <w:rPr>
                <w:rFonts w:ascii="Times New Roman" w:hAnsi="Times New Roman"/>
                <w:b/>
                <w:bCs/>
              </w:rPr>
              <w:t>Compatibilitatea</w:t>
            </w:r>
            <w:r w:rsidR="00032B46" w:rsidRPr="009444C7">
              <w:rPr>
                <w:rFonts w:ascii="Times New Roman" w:hAnsi="Times New Roman"/>
                <w:b/>
                <w:bCs/>
              </w:rPr>
              <w:t xml:space="preserve"> </w:t>
            </w:r>
            <w:r w:rsidRPr="009444C7">
              <w:rPr>
                <w:rFonts w:ascii="Times New Roman" w:hAnsi="Times New Roman"/>
                <w:b/>
                <w:bCs/>
              </w:rPr>
              <w:t>proiectului</w:t>
            </w:r>
            <w:r w:rsidR="00032B46" w:rsidRPr="009444C7">
              <w:rPr>
                <w:rFonts w:ascii="Times New Roman" w:hAnsi="Times New Roman"/>
                <w:b/>
                <w:bCs/>
              </w:rPr>
              <w:t xml:space="preserve"> </w:t>
            </w:r>
            <w:r w:rsidRPr="009444C7">
              <w:rPr>
                <w:rFonts w:ascii="Times New Roman" w:hAnsi="Times New Roman"/>
                <w:b/>
                <w:bCs/>
              </w:rPr>
              <w:t>actului</w:t>
            </w:r>
            <w:r w:rsidR="00032B46" w:rsidRPr="009444C7">
              <w:rPr>
                <w:rFonts w:ascii="Times New Roman" w:hAnsi="Times New Roman"/>
                <w:b/>
                <w:bCs/>
              </w:rPr>
              <w:t xml:space="preserve"> </w:t>
            </w:r>
            <w:r w:rsidRPr="009444C7">
              <w:rPr>
                <w:rFonts w:ascii="Times New Roman" w:hAnsi="Times New Roman"/>
                <w:b/>
                <w:bCs/>
              </w:rPr>
              <w:t>normativ</w:t>
            </w:r>
            <w:r w:rsidR="00032B46" w:rsidRPr="009444C7">
              <w:rPr>
                <w:rFonts w:ascii="Times New Roman" w:hAnsi="Times New Roman"/>
                <w:b/>
                <w:bCs/>
              </w:rPr>
              <w:t xml:space="preserve"> </w:t>
            </w:r>
            <w:r w:rsidRPr="009444C7">
              <w:rPr>
                <w:rFonts w:ascii="Times New Roman" w:hAnsi="Times New Roman"/>
                <w:b/>
                <w:bCs/>
              </w:rPr>
              <w:t>cu</w:t>
            </w:r>
            <w:r w:rsidR="00032B46" w:rsidRPr="009444C7">
              <w:rPr>
                <w:rFonts w:ascii="Times New Roman" w:hAnsi="Times New Roman"/>
                <w:b/>
                <w:bCs/>
              </w:rPr>
              <w:t xml:space="preserve"> </w:t>
            </w:r>
            <w:r w:rsidRPr="009444C7">
              <w:rPr>
                <w:rFonts w:ascii="Times New Roman" w:hAnsi="Times New Roman"/>
                <w:b/>
                <w:bCs/>
              </w:rPr>
              <w:t>legisla</w:t>
            </w:r>
            <w:r w:rsidR="00863417" w:rsidRPr="009444C7">
              <w:rPr>
                <w:rFonts w:ascii="Times New Roman" w:hAnsi="Times New Roman"/>
                <w:b/>
                <w:bCs/>
              </w:rPr>
              <w:t>ț</w:t>
            </w:r>
            <w:r w:rsidRPr="009444C7">
              <w:rPr>
                <w:rFonts w:ascii="Times New Roman" w:hAnsi="Times New Roman"/>
                <w:b/>
                <w:bCs/>
              </w:rPr>
              <w:t>ia</w:t>
            </w:r>
            <w:r w:rsidR="00032B46" w:rsidRPr="009444C7">
              <w:rPr>
                <w:rFonts w:ascii="Times New Roman" w:hAnsi="Times New Roman"/>
                <w:b/>
                <w:bCs/>
              </w:rPr>
              <w:t xml:space="preserve"> </w:t>
            </w:r>
            <w:r w:rsidRPr="009444C7">
              <w:rPr>
                <w:rFonts w:ascii="Times New Roman" w:hAnsi="Times New Roman"/>
                <w:b/>
                <w:bCs/>
              </w:rPr>
              <w:t>UE</w:t>
            </w:r>
            <w:r w:rsidR="00032B46" w:rsidRPr="009444C7">
              <w:rPr>
                <w:rFonts w:ascii="Times New Roman" w:hAnsi="Times New Roman"/>
                <w:b/>
                <w:bCs/>
              </w:rPr>
              <w:t xml:space="preserve"> </w:t>
            </w:r>
          </w:p>
        </w:tc>
      </w:tr>
      <w:tr w:rsidR="006D3EB7" w:rsidRPr="009444C7" w14:paraId="564B5E4C" w14:textId="77777777" w:rsidTr="004169F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14997E" w14:textId="77777777" w:rsidR="008B4BE6" w:rsidRPr="009444C7" w:rsidRDefault="006933C3" w:rsidP="006F19BD">
            <w:pPr>
              <w:jc w:val="both"/>
              <w:rPr>
                <w:rFonts w:ascii="Times New Roman" w:hAnsi="Times New Roman"/>
                <w:i/>
              </w:rPr>
            </w:pPr>
            <w:r w:rsidRPr="009444C7">
              <w:rPr>
                <w:rFonts w:ascii="Times New Roman" w:hAnsi="Times New Roman"/>
                <w:i/>
              </w:rPr>
              <w:t>5.1.</w:t>
            </w:r>
            <w:r w:rsidR="00032B46" w:rsidRPr="009444C7">
              <w:rPr>
                <w:rFonts w:ascii="Times New Roman" w:hAnsi="Times New Roman"/>
                <w:i/>
              </w:rPr>
              <w:t xml:space="preserve"> </w:t>
            </w:r>
            <w:r w:rsidRPr="009444C7">
              <w:rPr>
                <w:rFonts w:ascii="Times New Roman" w:hAnsi="Times New Roman"/>
                <w:i/>
              </w:rPr>
              <w:t>Măsuri</w:t>
            </w:r>
            <w:r w:rsidR="00032B46" w:rsidRPr="009444C7">
              <w:rPr>
                <w:rFonts w:ascii="Times New Roman" w:hAnsi="Times New Roman"/>
                <w:i/>
              </w:rPr>
              <w:t xml:space="preserve"> </w:t>
            </w:r>
            <w:r w:rsidRPr="009444C7">
              <w:rPr>
                <w:rFonts w:ascii="Times New Roman" w:hAnsi="Times New Roman"/>
                <w:i/>
              </w:rPr>
              <w:t>normative</w:t>
            </w:r>
            <w:r w:rsidR="00032B46" w:rsidRPr="009444C7">
              <w:rPr>
                <w:rFonts w:ascii="Times New Roman" w:hAnsi="Times New Roman"/>
                <w:i/>
              </w:rPr>
              <w:t xml:space="preserve"> </w:t>
            </w:r>
            <w:r w:rsidRPr="009444C7">
              <w:rPr>
                <w:rFonts w:ascii="Times New Roman" w:hAnsi="Times New Roman"/>
                <w:i/>
              </w:rPr>
              <w:t>necesare</w:t>
            </w:r>
            <w:r w:rsidR="00032B46" w:rsidRPr="009444C7">
              <w:rPr>
                <w:rFonts w:ascii="Times New Roman" w:hAnsi="Times New Roman"/>
                <w:i/>
              </w:rPr>
              <w:t xml:space="preserve"> </w:t>
            </w:r>
            <w:r w:rsidR="006E0A2E" w:rsidRPr="009444C7">
              <w:rPr>
                <w:rFonts w:ascii="Times New Roman" w:hAnsi="Times New Roman"/>
                <w:i/>
              </w:rPr>
              <w:t xml:space="preserve">pentru </w:t>
            </w:r>
            <w:r w:rsidRPr="009444C7">
              <w:rPr>
                <w:rFonts w:ascii="Times New Roman" w:hAnsi="Times New Roman"/>
                <w:i/>
              </w:rPr>
              <w:t>transpuner</w:t>
            </w:r>
            <w:r w:rsidR="006E0A2E" w:rsidRPr="009444C7">
              <w:rPr>
                <w:rFonts w:ascii="Times New Roman" w:hAnsi="Times New Roman"/>
                <w:i/>
              </w:rPr>
              <w:t>ea</w:t>
            </w:r>
            <w:r w:rsidR="00032B46" w:rsidRPr="009444C7">
              <w:rPr>
                <w:rFonts w:ascii="Times New Roman" w:hAnsi="Times New Roman"/>
                <w:i/>
              </w:rPr>
              <w:t xml:space="preserve"> </w:t>
            </w:r>
            <w:r w:rsidRPr="009444C7">
              <w:rPr>
                <w:rFonts w:ascii="Times New Roman" w:hAnsi="Times New Roman"/>
                <w:i/>
              </w:rPr>
              <w:t>actelor</w:t>
            </w:r>
            <w:r w:rsidR="00032B46" w:rsidRPr="009444C7">
              <w:rPr>
                <w:rFonts w:ascii="Times New Roman" w:hAnsi="Times New Roman"/>
                <w:i/>
              </w:rPr>
              <w:t xml:space="preserve"> </w:t>
            </w:r>
            <w:r w:rsidRPr="009444C7">
              <w:rPr>
                <w:rFonts w:ascii="Times New Roman" w:hAnsi="Times New Roman"/>
                <w:i/>
              </w:rPr>
              <w:t>juridice</w:t>
            </w:r>
            <w:r w:rsidR="00032B46" w:rsidRPr="009444C7">
              <w:rPr>
                <w:rFonts w:ascii="Times New Roman" w:hAnsi="Times New Roman"/>
                <w:i/>
              </w:rPr>
              <w:t xml:space="preserve"> </w:t>
            </w:r>
            <w:r w:rsidRPr="009444C7">
              <w:rPr>
                <w:rFonts w:ascii="Times New Roman" w:hAnsi="Times New Roman"/>
                <w:i/>
              </w:rPr>
              <w:t>ale</w:t>
            </w:r>
            <w:r w:rsidR="00032B46" w:rsidRPr="009444C7">
              <w:rPr>
                <w:rFonts w:ascii="Times New Roman" w:hAnsi="Times New Roman"/>
                <w:i/>
              </w:rPr>
              <w:t xml:space="preserve"> </w:t>
            </w:r>
            <w:r w:rsidR="007C53A1" w:rsidRPr="009444C7">
              <w:rPr>
                <w:rFonts w:ascii="Times New Roman" w:hAnsi="Times New Roman"/>
                <w:i/>
              </w:rPr>
              <w:t>UE</w:t>
            </w:r>
            <w:r w:rsidR="00825DC9" w:rsidRPr="009444C7">
              <w:rPr>
                <w:rFonts w:ascii="Times New Roman" w:hAnsi="Times New Roman"/>
                <w:i/>
              </w:rPr>
              <w:t xml:space="preserve"> în legislația națională</w:t>
            </w:r>
          </w:p>
          <w:p w14:paraId="5EC5689E" w14:textId="6082D6CA" w:rsidR="004169F8" w:rsidRPr="009444C7" w:rsidRDefault="000231A3" w:rsidP="00A10374">
            <w:pPr>
              <w:pStyle w:val="BodyText"/>
              <w:tabs>
                <w:tab w:val="left" w:pos="993"/>
              </w:tabs>
              <w:spacing w:before="120" w:after="120"/>
              <w:jc w:val="both"/>
              <w:rPr>
                <w:rFonts w:ascii="Times New Roman" w:hAnsi="Times New Roman"/>
                <w:color w:val="333333"/>
                <w:sz w:val="24"/>
                <w:szCs w:val="24"/>
                <w:shd w:val="clear" w:color="auto" w:fill="FFFFFF"/>
              </w:rPr>
            </w:pPr>
            <w:r w:rsidRPr="009444C7">
              <w:rPr>
                <w:rFonts w:ascii="Times New Roman" w:hAnsi="Times New Roman"/>
                <w:color w:val="333333"/>
                <w:sz w:val="24"/>
                <w:szCs w:val="24"/>
                <w:shd w:val="clear" w:color="auto" w:fill="FFFFFF"/>
              </w:rPr>
              <w:t>Având</w:t>
            </w:r>
            <w:r w:rsidR="00AF64D3" w:rsidRPr="009444C7">
              <w:rPr>
                <w:rFonts w:ascii="Times New Roman" w:hAnsi="Times New Roman"/>
                <w:color w:val="333333"/>
                <w:sz w:val="24"/>
                <w:szCs w:val="24"/>
                <w:shd w:val="clear" w:color="auto" w:fill="FFFFFF"/>
              </w:rPr>
              <w:t xml:space="preserve"> în vedere caracterul modificărilor propuse, </w:t>
            </w:r>
            <w:r w:rsidRPr="009444C7">
              <w:rPr>
                <w:rFonts w:ascii="Times New Roman" w:hAnsi="Times New Roman"/>
                <w:color w:val="333333"/>
                <w:sz w:val="24"/>
                <w:szCs w:val="24"/>
                <w:shd w:val="clear" w:color="auto" w:fill="FFFFFF"/>
              </w:rPr>
              <w:t xml:space="preserve">careva </w:t>
            </w:r>
            <w:r w:rsidR="00AF64D3" w:rsidRPr="009444C7">
              <w:rPr>
                <w:rFonts w:ascii="Times New Roman" w:hAnsi="Times New Roman"/>
                <w:color w:val="333333"/>
                <w:sz w:val="24"/>
                <w:szCs w:val="24"/>
                <w:shd w:val="clear" w:color="auto" w:fill="FFFFFF"/>
              </w:rPr>
              <w:t>m</w:t>
            </w:r>
            <w:r w:rsidR="005B3F9C" w:rsidRPr="009444C7">
              <w:rPr>
                <w:rFonts w:ascii="Times New Roman" w:hAnsi="Times New Roman"/>
                <w:color w:val="333333"/>
                <w:sz w:val="24"/>
                <w:szCs w:val="24"/>
                <w:shd w:val="clear" w:color="auto" w:fill="FFFFFF"/>
              </w:rPr>
              <w:t xml:space="preserve">ăsuri normative necesare pentru transpunerea actelor juridice ale UE în legislația națională nu </w:t>
            </w:r>
            <w:r w:rsidRPr="009444C7">
              <w:rPr>
                <w:rFonts w:ascii="Times New Roman" w:hAnsi="Times New Roman"/>
                <w:color w:val="333333"/>
                <w:sz w:val="24"/>
                <w:szCs w:val="24"/>
                <w:shd w:val="clear" w:color="auto" w:fill="FFFFFF"/>
              </w:rPr>
              <w:t>au fost identificate</w:t>
            </w:r>
            <w:r w:rsidR="005B3F9C" w:rsidRPr="009444C7">
              <w:rPr>
                <w:rFonts w:ascii="Times New Roman" w:hAnsi="Times New Roman"/>
                <w:color w:val="333333"/>
                <w:sz w:val="24"/>
                <w:szCs w:val="24"/>
                <w:shd w:val="clear" w:color="auto" w:fill="FFFFFF"/>
              </w:rPr>
              <w:t>.</w:t>
            </w:r>
          </w:p>
        </w:tc>
      </w:tr>
      <w:tr w:rsidR="006D3EB7" w:rsidRPr="009444C7" w14:paraId="1541F0CB" w14:textId="77777777" w:rsidTr="004169F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6D6ED7" w14:textId="1F3E435A" w:rsidR="002310C2" w:rsidRPr="009444C7" w:rsidRDefault="006933C3" w:rsidP="006F19BD">
            <w:pPr>
              <w:jc w:val="both"/>
              <w:rPr>
                <w:rFonts w:ascii="Times New Roman" w:hAnsi="Times New Roman"/>
                <w:i/>
              </w:rPr>
            </w:pPr>
            <w:r w:rsidRPr="009444C7">
              <w:rPr>
                <w:rFonts w:ascii="Times New Roman" w:hAnsi="Times New Roman"/>
                <w:i/>
              </w:rPr>
              <w:t>5.2.</w:t>
            </w:r>
            <w:r w:rsidR="00032B46" w:rsidRPr="009444C7">
              <w:rPr>
                <w:rFonts w:ascii="Times New Roman" w:hAnsi="Times New Roman"/>
                <w:i/>
              </w:rPr>
              <w:t xml:space="preserve"> </w:t>
            </w:r>
            <w:r w:rsidRPr="009444C7">
              <w:rPr>
                <w:rFonts w:ascii="Times New Roman" w:hAnsi="Times New Roman"/>
                <w:i/>
              </w:rPr>
              <w:t>Măsuri</w:t>
            </w:r>
            <w:r w:rsidR="00032B46" w:rsidRPr="009444C7">
              <w:rPr>
                <w:rFonts w:ascii="Times New Roman" w:hAnsi="Times New Roman"/>
                <w:i/>
              </w:rPr>
              <w:t xml:space="preserve"> </w:t>
            </w:r>
            <w:r w:rsidRPr="009444C7">
              <w:rPr>
                <w:rFonts w:ascii="Times New Roman" w:hAnsi="Times New Roman"/>
                <w:i/>
              </w:rPr>
              <w:t>normative</w:t>
            </w:r>
            <w:r w:rsidR="00032B46" w:rsidRPr="009444C7">
              <w:rPr>
                <w:rFonts w:ascii="Times New Roman" w:hAnsi="Times New Roman"/>
                <w:i/>
              </w:rPr>
              <w:t xml:space="preserve"> </w:t>
            </w:r>
            <w:r w:rsidRPr="009444C7">
              <w:rPr>
                <w:rFonts w:ascii="Times New Roman" w:hAnsi="Times New Roman"/>
                <w:i/>
              </w:rPr>
              <w:t>care</w:t>
            </w:r>
            <w:r w:rsidR="00032B46" w:rsidRPr="009444C7">
              <w:rPr>
                <w:rFonts w:ascii="Times New Roman" w:hAnsi="Times New Roman"/>
                <w:i/>
              </w:rPr>
              <w:t xml:space="preserve"> </w:t>
            </w:r>
            <w:r w:rsidRPr="009444C7">
              <w:rPr>
                <w:rFonts w:ascii="Times New Roman" w:hAnsi="Times New Roman"/>
                <w:i/>
              </w:rPr>
              <w:t>urmăresc</w:t>
            </w:r>
            <w:r w:rsidR="00032B46" w:rsidRPr="009444C7">
              <w:rPr>
                <w:rFonts w:ascii="Times New Roman" w:hAnsi="Times New Roman"/>
                <w:i/>
              </w:rPr>
              <w:t xml:space="preserve"> </w:t>
            </w:r>
            <w:r w:rsidRPr="009444C7">
              <w:rPr>
                <w:rFonts w:ascii="Times New Roman" w:hAnsi="Times New Roman"/>
                <w:i/>
              </w:rPr>
              <w:t>crearea</w:t>
            </w:r>
            <w:r w:rsidR="00032B46" w:rsidRPr="009444C7">
              <w:rPr>
                <w:rFonts w:ascii="Times New Roman" w:hAnsi="Times New Roman"/>
                <w:i/>
              </w:rPr>
              <w:t xml:space="preserve"> </w:t>
            </w:r>
            <w:r w:rsidRPr="009444C7">
              <w:rPr>
                <w:rFonts w:ascii="Times New Roman" w:hAnsi="Times New Roman"/>
                <w:i/>
              </w:rPr>
              <w:t>cadrului</w:t>
            </w:r>
            <w:r w:rsidR="00032B46" w:rsidRPr="009444C7">
              <w:rPr>
                <w:rFonts w:ascii="Times New Roman" w:hAnsi="Times New Roman"/>
                <w:i/>
              </w:rPr>
              <w:t xml:space="preserve"> </w:t>
            </w:r>
            <w:r w:rsidRPr="009444C7">
              <w:rPr>
                <w:rFonts w:ascii="Times New Roman" w:hAnsi="Times New Roman"/>
                <w:i/>
              </w:rPr>
              <w:t>juridic</w:t>
            </w:r>
            <w:r w:rsidR="00032B46" w:rsidRPr="009444C7">
              <w:rPr>
                <w:rFonts w:ascii="Times New Roman" w:hAnsi="Times New Roman"/>
                <w:i/>
              </w:rPr>
              <w:t xml:space="preserve"> </w:t>
            </w:r>
            <w:r w:rsidRPr="009444C7">
              <w:rPr>
                <w:rFonts w:ascii="Times New Roman" w:hAnsi="Times New Roman"/>
                <w:i/>
              </w:rPr>
              <w:t>intern</w:t>
            </w:r>
            <w:r w:rsidR="00032B46" w:rsidRPr="009444C7">
              <w:rPr>
                <w:rFonts w:ascii="Times New Roman" w:hAnsi="Times New Roman"/>
                <w:i/>
              </w:rPr>
              <w:t xml:space="preserve"> </w:t>
            </w:r>
            <w:r w:rsidRPr="009444C7">
              <w:rPr>
                <w:rFonts w:ascii="Times New Roman" w:hAnsi="Times New Roman"/>
                <w:i/>
              </w:rPr>
              <w:t>necesar</w:t>
            </w:r>
            <w:r w:rsidR="00032B46" w:rsidRPr="009444C7">
              <w:rPr>
                <w:rFonts w:ascii="Times New Roman" w:hAnsi="Times New Roman"/>
                <w:i/>
              </w:rPr>
              <w:t xml:space="preserve"> </w:t>
            </w:r>
            <w:r w:rsidR="006E0A2E" w:rsidRPr="009444C7">
              <w:rPr>
                <w:rFonts w:ascii="Times New Roman" w:hAnsi="Times New Roman"/>
                <w:i/>
              </w:rPr>
              <w:t xml:space="preserve">pentru </w:t>
            </w:r>
            <w:r w:rsidRPr="009444C7">
              <w:rPr>
                <w:rFonts w:ascii="Times New Roman" w:hAnsi="Times New Roman"/>
                <w:i/>
              </w:rPr>
              <w:t>implement</w:t>
            </w:r>
            <w:r w:rsidR="006E0A2E" w:rsidRPr="009444C7">
              <w:rPr>
                <w:rFonts w:ascii="Times New Roman" w:hAnsi="Times New Roman"/>
                <w:i/>
              </w:rPr>
              <w:t>area</w:t>
            </w:r>
            <w:r w:rsidR="00032B46" w:rsidRPr="009444C7">
              <w:rPr>
                <w:rFonts w:ascii="Times New Roman" w:hAnsi="Times New Roman"/>
                <w:i/>
              </w:rPr>
              <w:t xml:space="preserve"> </w:t>
            </w:r>
            <w:r w:rsidRPr="009444C7">
              <w:rPr>
                <w:rFonts w:ascii="Times New Roman" w:hAnsi="Times New Roman"/>
                <w:i/>
              </w:rPr>
              <w:t>legisla</w:t>
            </w:r>
            <w:r w:rsidR="00863417" w:rsidRPr="009444C7">
              <w:rPr>
                <w:rFonts w:ascii="Times New Roman" w:hAnsi="Times New Roman"/>
                <w:i/>
              </w:rPr>
              <w:t>ț</w:t>
            </w:r>
            <w:r w:rsidRPr="009444C7">
              <w:rPr>
                <w:rFonts w:ascii="Times New Roman" w:hAnsi="Times New Roman"/>
                <w:i/>
              </w:rPr>
              <w:t>iei</w:t>
            </w:r>
            <w:r w:rsidR="00032B46" w:rsidRPr="009444C7">
              <w:rPr>
                <w:rFonts w:ascii="Times New Roman" w:hAnsi="Times New Roman"/>
                <w:i/>
              </w:rPr>
              <w:t xml:space="preserve"> </w:t>
            </w:r>
            <w:r w:rsidR="007C53A1" w:rsidRPr="009444C7">
              <w:rPr>
                <w:rFonts w:ascii="Times New Roman" w:hAnsi="Times New Roman"/>
                <w:i/>
              </w:rPr>
              <w:t>UE</w:t>
            </w:r>
          </w:p>
        </w:tc>
      </w:tr>
      <w:tr w:rsidR="006D3EB7" w:rsidRPr="009444C7"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4CACBF37" w:rsidR="008B4BE6" w:rsidRPr="009444C7" w:rsidRDefault="005B3F9C" w:rsidP="006D1F09">
            <w:pPr>
              <w:pBdr>
                <w:top w:val="none" w:sz="4" w:space="0" w:color="000000"/>
                <w:left w:val="none" w:sz="4" w:space="0" w:color="000000"/>
                <w:bottom w:val="none" w:sz="4" w:space="0" w:color="000000"/>
                <w:right w:val="none" w:sz="4" w:space="0" w:color="000000"/>
              </w:pBdr>
              <w:rPr>
                <w:rFonts w:ascii="Times New Roman" w:hAnsi="Times New Roman"/>
              </w:rPr>
            </w:pPr>
            <w:r w:rsidRPr="009444C7">
              <w:rPr>
                <w:rFonts w:ascii="Times New Roman" w:hAnsi="Times New Roman"/>
              </w:rPr>
              <w:t>Măsuri normative care urmăresc crearea cadrului juridic intern necesar pentru implementarea legislației UE nu sunt.</w:t>
            </w:r>
          </w:p>
        </w:tc>
      </w:tr>
      <w:tr w:rsidR="006D3EB7" w:rsidRPr="009444C7"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9444C7" w:rsidRDefault="006933C3" w:rsidP="000E1660">
            <w:pPr>
              <w:rPr>
                <w:rFonts w:ascii="Times New Roman" w:hAnsi="Times New Roman"/>
                <w:b/>
                <w:bCs/>
              </w:rPr>
            </w:pPr>
            <w:r w:rsidRPr="009444C7">
              <w:rPr>
                <w:rFonts w:ascii="Times New Roman" w:hAnsi="Times New Roman"/>
                <w:b/>
                <w:bCs/>
              </w:rPr>
              <w:t>6.</w:t>
            </w:r>
            <w:r w:rsidR="00032B46" w:rsidRPr="009444C7">
              <w:rPr>
                <w:rFonts w:ascii="Times New Roman" w:hAnsi="Times New Roman"/>
                <w:b/>
                <w:bCs/>
              </w:rPr>
              <w:t xml:space="preserve"> </w:t>
            </w:r>
            <w:r w:rsidRPr="009444C7">
              <w:rPr>
                <w:rFonts w:ascii="Times New Roman" w:hAnsi="Times New Roman"/>
                <w:b/>
                <w:bCs/>
              </w:rPr>
              <w:t>Avizarea</w:t>
            </w:r>
            <w:r w:rsidR="00032B46" w:rsidRPr="009444C7">
              <w:rPr>
                <w:rFonts w:ascii="Times New Roman" w:hAnsi="Times New Roman"/>
                <w:b/>
                <w:bCs/>
              </w:rPr>
              <w:t xml:space="preserve"> </w:t>
            </w:r>
            <w:r w:rsidR="00863417" w:rsidRPr="009444C7">
              <w:rPr>
                <w:rFonts w:ascii="Times New Roman" w:hAnsi="Times New Roman"/>
                <w:b/>
                <w:bCs/>
              </w:rPr>
              <w:t>ș</w:t>
            </w:r>
            <w:r w:rsidRPr="009444C7">
              <w:rPr>
                <w:rFonts w:ascii="Times New Roman" w:hAnsi="Times New Roman"/>
                <w:b/>
                <w:bCs/>
              </w:rPr>
              <w:t>i</w:t>
            </w:r>
            <w:r w:rsidR="00032B46" w:rsidRPr="009444C7">
              <w:rPr>
                <w:rFonts w:ascii="Times New Roman" w:hAnsi="Times New Roman"/>
                <w:b/>
                <w:bCs/>
              </w:rPr>
              <w:t xml:space="preserve"> </w:t>
            </w:r>
            <w:r w:rsidRPr="009444C7">
              <w:rPr>
                <w:rFonts w:ascii="Times New Roman" w:hAnsi="Times New Roman"/>
                <w:b/>
                <w:bCs/>
              </w:rPr>
              <w:t>consultarea</w:t>
            </w:r>
            <w:r w:rsidR="00032B46" w:rsidRPr="009444C7">
              <w:rPr>
                <w:rFonts w:ascii="Times New Roman" w:hAnsi="Times New Roman"/>
                <w:b/>
                <w:bCs/>
              </w:rPr>
              <w:t xml:space="preserve"> </w:t>
            </w:r>
            <w:r w:rsidRPr="009444C7">
              <w:rPr>
                <w:rFonts w:ascii="Times New Roman" w:hAnsi="Times New Roman"/>
                <w:b/>
                <w:bCs/>
              </w:rPr>
              <w:t>publică</w:t>
            </w:r>
            <w:r w:rsidR="00032B46" w:rsidRPr="009444C7">
              <w:rPr>
                <w:rFonts w:ascii="Times New Roman" w:hAnsi="Times New Roman"/>
                <w:b/>
                <w:bCs/>
              </w:rPr>
              <w:t xml:space="preserve"> </w:t>
            </w:r>
            <w:r w:rsidRPr="009444C7">
              <w:rPr>
                <w:rFonts w:ascii="Times New Roman" w:hAnsi="Times New Roman"/>
                <w:b/>
                <w:bCs/>
              </w:rPr>
              <w:t>a</w:t>
            </w:r>
            <w:r w:rsidR="00032B46" w:rsidRPr="009444C7">
              <w:rPr>
                <w:rFonts w:ascii="Times New Roman" w:hAnsi="Times New Roman"/>
                <w:b/>
                <w:bCs/>
              </w:rPr>
              <w:t xml:space="preserve"> </w:t>
            </w:r>
            <w:r w:rsidRPr="009444C7">
              <w:rPr>
                <w:rFonts w:ascii="Times New Roman" w:hAnsi="Times New Roman"/>
                <w:b/>
                <w:bCs/>
              </w:rPr>
              <w:t>proiectului</w:t>
            </w:r>
            <w:r w:rsidR="00032B46" w:rsidRPr="009444C7">
              <w:rPr>
                <w:rFonts w:ascii="Times New Roman" w:hAnsi="Times New Roman"/>
                <w:b/>
                <w:bCs/>
              </w:rPr>
              <w:t xml:space="preserve"> </w:t>
            </w:r>
            <w:r w:rsidRPr="009444C7">
              <w:rPr>
                <w:rFonts w:ascii="Times New Roman" w:hAnsi="Times New Roman"/>
                <w:b/>
                <w:bCs/>
              </w:rPr>
              <w:t>actului</w:t>
            </w:r>
            <w:r w:rsidR="00032B46" w:rsidRPr="009444C7">
              <w:rPr>
                <w:rFonts w:ascii="Times New Roman" w:hAnsi="Times New Roman"/>
                <w:b/>
                <w:bCs/>
              </w:rPr>
              <w:t xml:space="preserve"> </w:t>
            </w:r>
            <w:r w:rsidRPr="009444C7">
              <w:rPr>
                <w:rFonts w:ascii="Times New Roman" w:hAnsi="Times New Roman"/>
                <w:b/>
                <w:bCs/>
              </w:rPr>
              <w:t>normativ</w:t>
            </w:r>
          </w:p>
        </w:tc>
      </w:tr>
      <w:tr w:rsidR="006D3EB7" w:rsidRPr="009444C7"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EDD4B1" w14:textId="33109E20" w:rsidR="009B1D70" w:rsidRPr="009444C7" w:rsidRDefault="009B1D70" w:rsidP="009B1D70">
            <w:pPr>
              <w:pStyle w:val="NoSpacing"/>
              <w:ind w:firstLine="0"/>
              <w:rPr>
                <w:rFonts w:ascii="Times New Roman" w:hAnsi="Times New Roman"/>
                <w:sz w:val="24"/>
                <w:szCs w:val="24"/>
                <w:lang w:val="ro-RO"/>
              </w:rPr>
            </w:pPr>
            <w:r w:rsidRPr="009444C7">
              <w:rPr>
                <w:rFonts w:ascii="Times New Roman" w:hAnsi="Times New Roman"/>
                <w:sz w:val="24"/>
                <w:szCs w:val="24"/>
                <w:lang w:val="ro-RO"/>
              </w:rPr>
              <w:lastRenderedPageBreak/>
              <w:t xml:space="preserve">În scopul respectării prevederilor Legii nr. 239/2008 privind transparența în procesul decizional, anunțul privind inițierea procesului de elaborare a Proiectului </w:t>
            </w:r>
            <w:r w:rsidR="005B3F9C" w:rsidRPr="009444C7">
              <w:rPr>
                <w:rFonts w:ascii="Times New Roman" w:hAnsi="Times New Roman"/>
                <w:sz w:val="24"/>
                <w:szCs w:val="24"/>
                <w:lang w:val="ro-RO"/>
              </w:rPr>
              <w:t xml:space="preserve">de </w:t>
            </w:r>
            <w:r w:rsidR="00263920" w:rsidRPr="009444C7">
              <w:rPr>
                <w:rFonts w:ascii="Times New Roman" w:hAnsi="Times New Roman"/>
                <w:sz w:val="24"/>
                <w:szCs w:val="24"/>
                <w:lang w:val="ro-RO"/>
              </w:rPr>
              <w:t>Hotărâre</w:t>
            </w:r>
            <w:r w:rsidRPr="009444C7">
              <w:rPr>
                <w:rFonts w:ascii="Times New Roman" w:hAnsi="Times New Roman"/>
                <w:sz w:val="24"/>
                <w:szCs w:val="24"/>
                <w:lang w:val="ro-RO"/>
              </w:rPr>
              <w:t xml:space="preserve"> a fost plasat pe pagina web oficială a Ministerului Energiei, compartimentul „Transparență decizională, consultări publice” și pe portalul guvernamental.</w:t>
            </w:r>
          </w:p>
          <w:p w14:paraId="1C225564" w14:textId="3B198FA8" w:rsidR="00C34B95" w:rsidRPr="009444C7" w:rsidRDefault="00C34B95" w:rsidP="00E679FA">
            <w:pPr>
              <w:pStyle w:val="NoSpacing"/>
              <w:ind w:firstLine="0"/>
              <w:rPr>
                <w:rStyle w:val="Hyperlink"/>
                <w:rFonts w:ascii="Times New Roman" w:hAnsi="Times New Roman"/>
                <w:sz w:val="24"/>
                <w:szCs w:val="24"/>
                <w:lang w:val="ro-RO"/>
              </w:rPr>
            </w:pPr>
            <w:hyperlink r:id="rId12" w:history="1">
              <w:r w:rsidRPr="009444C7">
                <w:rPr>
                  <w:rStyle w:val="Hyperlink"/>
                  <w:rFonts w:ascii="Times New Roman" w:hAnsi="Times New Roman"/>
                  <w:sz w:val="24"/>
                  <w:szCs w:val="24"/>
                  <w:lang w:val="ro-RO"/>
                </w:rPr>
                <w:t>https://particip.gov.md/ro/document/stages/anunt-cu-privire-la-initierea-elaborarii-proiectului-hotararii-de-guvern-privind-modificarea-unor-hotarari-ale-guvernului-facilitarea-implementarii-proiectelor-de-eficienta-energetica-ministerul-energiei-anunta-initierea-procesului-de-elaborare-a-proiectului-hotararii-guvernului-privind-modificarea-unor-hotarari-ale-guvernului-facilitarea-implementarii-proiectelor-de-eficienta-energetica/14612</w:t>
              </w:r>
            </w:hyperlink>
          </w:p>
          <w:p w14:paraId="2EEA7713" w14:textId="5242C1B1" w:rsidR="00407062" w:rsidRDefault="00FB6FC0" w:rsidP="00FB6FC0">
            <w:pPr>
              <w:pStyle w:val="NoSpacing"/>
              <w:ind w:firstLine="0"/>
            </w:pPr>
            <w:r w:rsidRPr="009444C7">
              <w:rPr>
                <w:rFonts w:ascii="Times New Roman" w:hAnsi="Times New Roman"/>
                <w:sz w:val="24"/>
                <w:szCs w:val="24"/>
                <w:lang w:val="ro-RO"/>
              </w:rPr>
              <w:t>P</w:t>
            </w:r>
            <w:r w:rsidR="00665B97" w:rsidRPr="009444C7">
              <w:rPr>
                <w:rFonts w:ascii="Times New Roman" w:hAnsi="Times New Roman"/>
                <w:sz w:val="24"/>
                <w:szCs w:val="24"/>
                <w:lang w:val="ro-RO"/>
              </w:rPr>
              <w:t xml:space="preserve">roiectul de </w:t>
            </w:r>
            <w:r w:rsidR="009444C7" w:rsidRPr="009444C7">
              <w:rPr>
                <w:rFonts w:ascii="Times New Roman" w:hAnsi="Times New Roman"/>
                <w:sz w:val="24"/>
                <w:szCs w:val="24"/>
                <w:lang w:val="ro-RO"/>
              </w:rPr>
              <w:t>Hotărâre</w:t>
            </w:r>
            <w:r w:rsidR="00665B97" w:rsidRPr="009444C7">
              <w:rPr>
                <w:rFonts w:ascii="Times New Roman" w:hAnsi="Times New Roman"/>
                <w:sz w:val="24"/>
                <w:szCs w:val="24"/>
                <w:lang w:val="ro-RO"/>
              </w:rPr>
              <w:t xml:space="preserve"> </w:t>
            </w:r>
            <w:r w:rsidR="006F19BD">
              <w:rPr>
                <w:rFonts w:ascii="Times New Roman" w:hAnsi="Times New Roman"/>
                <w:sz w:val="24"/>
                <w:szCs w:val="24"/>
                <w:lang w:val="ro-RO"/>
              </w:rPr>
              <w:t>a fost</w:t>
            </w:r>
            <w:r w:rsidR="00665B97" w:rsidRPr="009444C7">
              <w:rPr>
                <w:rFonts w:ascii="Times New Roman" w:hAnsi="Times New Roman"/>
                <w:sz w:val="24"/>
                <w:szCs w:val="24"/>
                <w:lang w:val="ro-RO"/>
              </w:rPr>
              <w:t xml:space="preserve"> expediat spre avizare către toate părțile interesate,</w:t>
            </w:r>
            <w:r w:rsidR="00E679FA" w:rsidRPr="009444C7">
              <w:rPr>
                <w:rFonts w:ascii="Times New Roman" w:hAnsi="Times New Roman"/>
                <w:sz w:val="24"/>
                <w:szCs w:val="24"/>
                <w:lang w:val="ro-RO"/>
              </w:rPr>
              <w:t xml:space="preserve"> </w:t>
            </w:r>
            <w:r w:rsidR="00C34B95" w:rsidRPr="009444C7">
              <w:rPr>
                <w:rFonts w:ascii="Times New Roman" w:hAnsi="Times New Roman"/>
                <w:sz w:val="24"/>
                <w:szCs w:val="24"/>
                <w:lang w:val="ro-RO"/>
              </w:rPr>
              <w:t>cu publicarea acestuia</w:t>
            </w:r>
            <w:r w:rsidR="00E679FA" w:rsidRPr="009444C7">
              <w:rPr>
                <w:rFonts w:ascii="Times New Roman" w:hAnsi="Times New Roman"/>
                <w:sz w:val="24"/>
                <w:szCs w:val="24"/>
                <w:lang w:val="ro-RO"/>
              </w:rPr>
              <w:t xml:space="preserve"> inclusiv pe portalul guvernamental </w:t>
            </w:r>
            <w:hyperlink r:id="rId13" w:history="1">
              <w:r w:rsidR="00E679FA" w:rsidRPr="009444C7">
                <w:rPr>
                  <w:rStyle w:val="Hyperlink"/>
                  <w:rFonts w:ascii="Times New Roman" w:hAnsi="Times New Roman"/>
                  <w:sz w:val="24"/>
                  <w:szCs w:val="24"/>
                  <w:lang w:val="ro-RO"/>
                </w:rPr>
                <w:t>www.particip.gov.md</w:t>
              </w:r>
            </w:hyperlink>
            <w:r w:rsidR="00407062">
              <w:t xml:space="preserve">: </w:t>
            </w:r>
            <w:hyperlink r:id="rId14" w:history="1">
              <w:r w:rsidR="00407062" w:rsidRPr="00407062">
                <w:rPr>
                  <w:rStyle w:val="Hyperlink"/>
                  <w:rFonts w:ascii="Times New Roman" w:hAnsi="Times New Roman"/>
                  <w:sz w:val="24"/>
                  <w:szCs w:val="24"/>
                </w:rPr>
                <w:t>https://particip.gov.md/ro/document/stages/*/15044</w:t>
              </w:r>
            </w:hyperlink>
            <w:r w:rsidR="00407062" w:rsidRPr="00407062">
              <w:rPr>
                <w:sz w:val="24"/>
                <w:szCs w:val="24"/>
              </w:rPr>
              <w:t xml:space="preserve"> </w:t>
            </w:r>
            <w:r w:rsidR="00CC365E" w:rsidRPr="00407062">
              <w:rPr>
                <w:sz w:val="24"/>
                <w:szCs w:val="24"/>
              </w:rPr>
              <w:t xml:space="preserve"> </w:t>
            </w:r>
          </w:p>
          <w:p w14:paraId="7227D36A" w14:textId="77777777" w:rsidR="00407062" w:rsidRPr="00D041AE" w:rsidRDefault="00407062" w:rsidP="00407062">
            <w:pPr>
              <w:pStyle w:val="NoSpacing"/>
              <w:ind w:firstLine="0"/>
              <w:rPr>
                <w:rFonts w:ascii="Times New Roman" w:hAnsi="Times New Roman"/>
                <w:sz w:val="23"/>
                <w:szCs w:val="23"/>
                <w:lang w:val="ro-MD"/>
              </w:rPr>
            </w:pPr>
            <w:r w:rsidRPr="00D041AE">
              <w:rPr>
                <w:rFonts w:ascii="Times New Roman" w:hAnsi="Times New Roman"/>
                <w:sz w:val="23"/>
                <w:szCs w:val="23"/>
                <w:lang w:val="ro-MD"/>
              </w:rPr>
              <w:t xml:space="preserve">Comentariile și obiecțiile părților care au participat la avizare au fost analizate și expuse în sinteza la proiect. </w:t>
            </w:r>
          </w:p>
          <w:p w14:paraId="7E6045F3" w14:textId="75990527" w:rsidR="00407062" w:rsidRPr="00CC365E" w:rsidRDefault="00407062" w:rsidP="00FB6FC0">
            <w:pPr>
              <w:pStyle w:val="NoSpacing"/>
              <w:ind w:firstLine="0"/>
              <w:rPr>
                <w:rFonts w:ascii="Times New Roman" w:hAnsi="Times New Roman"/>
                <w:sz w:val="24"/>
                <w:szCs w:val="24"/>
                <w:lang w:val="ro-RO"/>
              </w:rPr>
            </w:pPr>
            <w:r w:rsidRPr="00D041AE">
              <w:rPr>
                <w:rFonts w:ascii="Times New Roman" w:hAnsi="Times New Roman"/>
                <w:sz w:val="23"/>
                <w:szCs w:val="23"/>
                <w:lang w:val="ro-MD"/>
              </w:rPr>
              <w:t xml:space="preserve">În conformitate cu pct. 239 din Regulamentul Guvernului, aprobat prin Hotărârea Guvernului nr. 610/2018 proiectul definitivat împreună cu nota informativă și sinteza a fost plasat pe pagina web oficială a Ministerului Energiei, compartimentul „Transparență decizională, consultări publice” și pe portalul guvernamental </w:t>
            </w:r>
            <w:hyperlink r:id="rId15" w:history="1">
              <w:r w:rsidRPr="00D041AE">
                <w:rPr>
                  <w:rFonts w:ascii="Times New Roman" w:hAnsi="Times New Roman"/>
                  <w:sz w:val="23"/>
                  <w:szCs w:val="23"/>
                  <w:lang w:val="ro-MD"/>
                </w:rPr>
                <w:t>www.particip.gov.md</w:t>
              </w:r>
            </w:hyperlink>
            <w:r>
              <w:t xml:space="preserve"> - </w:t>
            </w:r>
            <w:r w:rsidRPr="00407062">
              <w:rPr>
                <w:highlight w:val="yellow"/>
              </w:rPr>
              <w:t>XXXX</w:t>
            </w:r>
          </w:p>
        </w:tc>
      </w:tr>
      <w:tr w:rsidR="006D3EB7" w:rsidRPr="009444C7"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9444C7" w:rsidRDefault="006933C3" w:rsidP="000E1660">
            <w:pPr>
              <w:rPr>
                <w:rFonts w:ascii="Times New Roman" w:hAnsi="Times New Roman"/>
                <w:b/>
                <w:bCs/>
              </w:rPr>
            </w:pPr>
            <w:r w:rsidRPr="009444C7">
              <w:rPr>
                <w:rFonts w:ascii="Times New Roman" w:hAnsi="Times New Roman"/>
                <w:b/>
                <w:bCs/>
              </w:rPr>
              <w:t>7.</w:t>
            </w:r>
            <w:r w:rsidR="00032B46" w:rsidRPr="009444C7">
              <w:rPr>
                <w:rFonts w:ascii="Times New Roman" w:hAnsi="Times New Roman"/>
                <w:b/>
                <w:bCs/>
              </w:rPr>
              <w:t xml:space="preserve"> </w:t>
            </w:r>
            <w:r w:rsidR="00A95A2D" w:rsidRPr="009444C7">
              <w:rPr>
                <w:rFonts w:ascii="Times New Roman" w:hAnsi="Times New Roman"/>
                <w:b/>
                <w:bCs/>
              </w:rPr>
              <w:t>C</w:t>
            </w:r>
            <w:r w:rsidRPr="009444C7">
              <w:rPr>
                <w:rFonts w:ascii="Times New Roman" w:hAnsi="Times New Roman"/>
                <w:b/>
                <w:bCs/>
              </w:rPr>
              <w:t>oncluziile</w:t>
            </w:r>
            <w:r w:rsidR="00032B46" w:rsidRPr="009444C7">
              <w:rPr>
                <w:rFonts w:ascii="Times New Roman" w:hAnsi="Times New Roman"/>
                <w:b/>
                <w:bCs/>
              </w:rPr>
              <w:t xml:space="preserve"> </w:t>
            </w:r>
            <w:r w:rsidRPr="009444C7">
              <w:rPr>
                <w:rFonts w:ascii="Times New Roman" w:hAnsi="Times New Roman"/>
                <w:b/>
                <w:bCs/>
              </w:rPr>
              <w:t>expertizelor</w:t>
            </w:r>
          </w:p>
        </w:tc>
      </w:tr>
      <w:tr w:rsidR="006D3EB7" w:rsidRPr="009444C7"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350DDD3" w14:textId="77777777" w:rsidR="006F19BD" w:rsidRDefault="009B1D70" w:rsidP="004309BF">
            <w:pPr>
              <w:jc w:val="both"/>
              <w:rPr>
                <w:rFonts w:ascii="Times New Roman" w:hAnsi="Times New Roman"/>
              </w:rPr>
            </w:pPr>
            <w:r w:rsidRPr="009444C7">
              <w:rPr>
                <w:rFonts w:ascii="Times New Roman" w:hAnsi="Times New Roman"/>
              </w:rPr>
              <w:t xml:space="preserve">În scopul respectării art. 34 și 37 din Legea nr. 100/2017 cu privire la actele normative, proiectul de </w:t>
            </w:r>
            <w:r w:rsidR="002F75A6" w:rsidRPr="009444C7">
              <w:rPr>
                <w:rFonts w:ascii="Times New Roman" w:hAnsi="Times New Roman"/>
              </w:rPr>
              <w:t>Hotărâre</w:t>
            </w:r>
            <w:r w:rsidRPr="009444C7">
              <w:rPr>
                <w:rFonts w:ascii="Times New Roman" w:hAnsi="Times New Roman"/>
              </w:rPr>
              <w:t xml:space="preserve"> </w:t>
            </w:r>
            <w:r w:rsidR="006F19BD">
              <w:rPr>
                <w:rFonts w:ascii="Times New Roman" w:hAnsi="Times New Roman"/>
              </w:rPr>
              <w:t>a fost supus</w:t>
            </w:r>
            <w:r w:rsidRPr="009444C7">
              <w:rPr>
                <w:rFonts w:ascii="Times New Roman" w:hAnsi="Times New Roman"/>
              </w:rPr>
              <w:t xml:space="preserve"> expertizei anticorupție de către Centrul Național Anticorupție</w:t>
            </w:r>
            <w:r w:rsidR="00FB6FC0" w:rsidRPr="009444C7">
              <w:rPr>
                <w:rFonts w:ascii="Times New Roman" w:hAnsi="Times New Roman"/>
              </w:rPr>
              <w:t xml:space="preserve"> </w:t>
            </w:r>
            <w:r w:rsidRPr="009444C7">
              <w:rPr>
                <w:rFonts w:ascii="Times New Roman" w:hAnsi="Times New Roman"/>
                <w:lang w:eastAsia="zh-CN"/>
              </w:rPr>
              <w:t>și respectiv expertizei</w:t>
            </w:r>
            <w:r w:rsidR="000E0137" w:rsidRPr="009444C7">
              <w:rPr>
                <w:rFonts w:ascii="Times New Roman" w:hAnsi="Times New Roman"/>
              </w:rPr>
              <w:t xml:space="preserve"> juridice de către Ministerul J</w:t>
            </w:r>
            <w:r w:rsidRPr="009444C7">
              <w:rPr>
                <w:rFonts w:ascii="Times New Roman" w:hAnsi="Times New Roman"/>
              </w:rPr>
              <w:t>ustiției.</w:t>
            </w:r>
          </w:p>
          <w:p w14:paraId="404E20F4" w14:textId="4854A1C3" w:rsidR="00407062" w:rsidRPr="00407062" w:rsidRDefault="00407062" w:rsidP="00407062">
            <w:pPr>
              <w:jc w:val="both"/>
              <w:rPr>
                <w:rFonts w:ascii="Times New Roman" w:hAnsi="Times New Roman"/>
              </w:rPr>
            </w:pPr>
            <w:r w:rsidRPr="00407062">
              <w:rPr>
                <w:rFonts w:ascii="Times New Roman" w:hAnsi="Times New Roman"/>
              </w:rPr>
              <w:t xml:space="preserve">Cu referire la expertiza juridică este de menționat că aceasta a evidențiat careva obiecții și propuneri </w:t>
            </w:r>
            <w:r w:rsidRPr="00407062">
              <w:rPr>
                <w:rFonts w:ascii="Times New Roman" w:hAnsi="Times New Roman"/>
              </w:rPr>
              <w:t>p</w:t>
            </w:r>
            <w:r w:rsidRPr="00407062">
              <w:rPr>
                <w:rFonts w:ascii="Times New Roman" w:hAnsi="Times New Roman"/>
              </w:rPr>
              <w:t xml:space="preserve">e plan </w:t>
            </w:r>
            <w:r w:rsidRPr="00407062">
              <w:rPr>
                <w:rFonts w:ascii="Times New Roman" w:hAnsi="Times New Roman"/>
              </w:rPr>
              <w:t>redacțional</w:t>
            </w:r>
            <w:r w:rsidRPr="00407062">
              <w:rPr>
                <w:rFonts w:ascii="Times New Roman" w:hAnsi="Times New Roman"/>
              </w:rPr>
              <w:t xml:space="preserve"> în raport cu normele de tehnică legislativă aferente proiectului de </w:t>
            </w:r>
            <w:r w:rsidRPr="00407062">
              <w:rPr>
                <w:rFonts w:ascii="Times New Roman" w:hAnsi="Times New Roman"/>
              </w:rPr>
              <w:t>Hotărâre</w:t>
            </w:r>
            <w:r w:rsidRPr="00407062">
              <w:rPr>
                <w:rFonts w:ascii="Times New Roman" w:hAnsi="Times New Roman"/>
              </w:rPr>
              <w:t>, care au fost</w:t>
            </w:r>
            <w:r w:rsidRPr="00407062">
              <w:rPr>
                <w:rFonts w:ascii="Times New Roman" w:hAnsi="Times New Roman"/>
              </w:rPr>
              <w:t xml:space="preserve"> analizate și</w:t>
            </w:r>
            <w:r w:rsidRPr="00407062">
              <w:rPr>
                <w:rFonts w:ascii="Times New Roman" w:hAnsi="Times New Roman"/>
              </w:rPr>
              <w:t xml:space="preserve"> </w:t>
            </w:r>
            <w:r w:rsidRPr="00407062">
              <w:rPr>
                <w:rFonts w:ascii="Times New Roman" w:hAnsi="Times New Roman"/>
              </w:rPr>
              <w:t xml:space="preserve">acceptate </w:t>
            </w:r>
            <w:r w:rsidRPr="00407062">
              <w:rPr>
                <w:rFonts w:ascii="Times New Roman" w:hAnsi="Times New Roman"/>
              </w:rPr>
              <w:t>conform sintezei la proiect.</w:t>
            </w:r>
          </w:p>
          <w:p w14:paraId="2AAC16F1" w14:textId="2B7A5B21" w:rsidR="004309BF" w:rsidRPr="00407062" w:rsidRDefault="00407062" w:rsidP="004309BF">
            <w:pPr>
              <w:jc w:val="both"/>
              <w:rPr>
                <w:rFonts w:ascii="Times New Roman" w:hAnsi="Times New Roman"/>
                <w:lang w:val="ro-MD"/>
              </w:rPr>
            </w:pPr>
            <w:r w:rsidRPr="00407062">
              <w:rPr>
                <w:rFonts w:ascii="Times New Roman" w:hAnsi="Times New Roman"/>
              </w:rPr>
              <w:t>Raportul de expertiză nr. Nr. EHG25/10884 din 23.09.2025</w:t>
            </w:r>
            <w:r w:rsidRPr="00407062">
              <w:rPr>
                <w:rFonts w:ascii="Times New Roman" w:hAnsi="Times New Roman"/>
              </w:rPr>
              <w:t xml:space="preserve"> </w:t>
            </w:r>
            <w:r w:rsidRPr="00407062">
              <w:rPr>
                <w:rFonts w:ascii="Times New Roman" w:hAnsi="Times New Roman"/>
              </w:rPr>
              <w:t>menționează că  în redacția propusă, proiectul nu conține factori și riscuri de corupție.</w:t>
            </w:r>
          </w:p>
        </w:tc>
      </w:tr>
      <w:tr w:rsidR="006D3EB7" w:rsidRPr="009444C7"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9444C7" w:rsidRDefault="006933C3" w:rsidP="000E1660">
            <w:pPr>
              <w:rPr>
                <w:rFonts w:ascii="Times New Roman" w:hAnsi="Times New Roman"/>
                <w:b/>
                <w:bCs/>
              </w:rPr>
            </w:pPr>
            <w:r w:rsidRPr="009444C7">
              <w:rPr>
                <w:rFonts w:ascii="Times New Roman" w:hAnsi="Times New Roman"/>
                <w:b/>
                <w:bCs/>
              </w:rPr>
              <w:t>8.</w:t>
            </w:r>
            <w:r w:rsidR="00032B46" w:rsidRPr="009444C7">
              <w:rPr>
                <w:rFonts w:ascii="Times New Roman" w:hAnsi="Times New Roman"/>
                <w:b/>
                <w:bCs/>
              </w:rPr>
              <w:t xml:space="preserve"> </w:t>
            </w:r>
            <w:r w:rsidRPr="009444C7">
              <w:rPr>
                <w:rFonts w:ascii="Times New Roman" w:hAnsi="Times New Roman"/>
                <w:b/>
                <w:bCs/>
              </w:rPr>
              <w:t>Modul</w:t>
            </w:r>
            <w:r w:rsidR="00032B46" w:rsidRPr="009444C7">
              <w:rPr>
                <w:rFonts w:ascii="Times New Roman" w:hAnsi="Times New Roman"/>
                <w:b/>
                <w:bCs/>
              </w:rPr>
              <w:t xml:space="preserve"> </w:t>
            </w:r>
            <w:r w:rsidRPr="009444C7">
              <w:rPr>
                <w:rFonts w:ascii="Times New Roman" w:hAnsi="Times New Roman"/>
                <w:b/>
                <w:bCs/>
              </w:rPr>
              <w:t>de</w:t>
            </w:r>
            <w:r w:rsidR="00032B46" w:rsidRPr="009444C7">
              <w:rPr>
                <w:rFonts w:ascii="Times New Roman" w:hAnsi="Times New Roman"/>
                <w:b/>
                <w:bCs/>
              </w:rPr>
              <w:t xml:space="preserve"> </w:t>
            </w:r>
            <w:r w:rsidRPr="009444C7">
              <w:rPr>
                <w:rFonts w:ascii="Times New Roman" w:hAnsi="Times New Roman"/>
                <w:b/>
                <w:bCs/>
              </w:rPr>
              <w:t>încorporare</w:t>
            </w:r>
            <w:r w:rsidR="00032B46" w:rsidRPr="009444C7">
              <w:rPr>
                <w:rFonts w:ascii="Times New Roman" w:hAnsi="Times New Roman"/>
                <w:b/>
                <w:bCs/>
              </w:rPr>
              <w:t xml:space="preserve"> </w:t>
            </w:r>
            <w:r w:rsidRPr="009444C7">
              <w:rPr>
                <w:rFonts w:ascii="Times New Roman" w:hAnsi="Times New Roman"/>
                <w:b/>
                <w:bCs/>
              </w:rPr>
              <w:t>a</w:t>
            </w:r>
            <w:r w:rsidR="00032B46" w:rsidRPr="009444C7">
              <w:rPr>
                <w:rFonts w:ascii="Times New Roman" w:hAnsi="Times New Roman"/>
                <w:b/>
                <w:bCs/>
              </w:rPr>
              <w:t xml:space="preserve"> </w:t>
            </w:r>
            <w:r w:rsidRPr="009444C7">
              <w:rPr>
                <w:rFonts w:ascii="Times New Roman" w:hAnsi="Times New Roman"/>
                <w:b/>
                <w:bCs/>
              </w:rPr>
              <w:t>actului</w:t>
            </w:r>
            <w:r w:rsidR="00032B46" w:rsidRPr="009444C7">
              <w:rPr>
                <w:rFonts w:ascii="Times New Roman" w:hAnsi="Times New Roman"/>
                <w:b/>
                <w:bCs/>
              </w:rPr>
              <w:t xml:space="preserve"> </w:t>
            </w:r>
            <w:r w:rsidRPr="009444C7">
              <w:rPr>
                <w:rFonts w:ascii="Times New Roman" w:hAnsi="Times New Roman"/>
                <w:b/>
                <w:bCs/>
              </w:rPr>
              <w:t>în</w:t>
            </w:r>
            <w:r w:rsidR="00032B46" w:rsidRPr="009444C7">
              <w:rPr>
                <w:rFonts w:ascii="Times New Roman" w:hAnsi="Times New Roman"/>
                <w:b/>
                <w:bCs/>
              </w:rPr>
              <w:t xml:space="preserve"> </w:t>
            </w:r>
            <w:r w:rsidRPr="009444C7">
              <w:rPr>
                <w:rFonts w:ascii="Times New Roman" w:hAnsi="Times New Roman"/>
                <w:b/>
                <w:bCs/>
              </w:rPr>
              <w:t>cadrul</w:t>
            </w:r>
            <w:r w:rsidR="00032B46" w:rsidRPr="009444C7">
              <w:rPr>
                <w:rFonts w:ascii="Times New Roman" w:hAnsi="Times New Roman"/>
                <w:b/>
                <w:bCs/>
              </w:rPr>
              <w:t xml:space="preserve"> </w:t>
            </w:r>
            <w:r w:rsidRPr="009444C7">
              <w:rPr>
                <w:rFonts w:ascii="Times New Roman" w:hAnsi="Times New Roman"/>
                <w:b/>
                <w:bCs/>
              </w:rPr>
              <w:t>normativ</w:t>
            </w:r>
            <w:r w:rsidR="00032B46" w:rsidRPr="009444C7">
              <w:rPr>
                <w:rFonts w:ascii="Times New Roman" w:hAnsi="Times New Roman"/>
                <w:b/>
                <w:bCs/>
              </w:rPr>
              <w:t xml:space="preserve"> </w:t>
            </w:r>
            <w:r w:rsidR="007C53A1" w:rsidRPr="009444C7">
              <w:rPr>
                <w:rFonts w:ascii="Times New Roman" w:hAnsi="Times New Roman"/>
                <w:b/>
                <w:bCs/>
              </w:rPr>
              <w:t>existent</w:t>
            </w:r>
          </w:p>
        </w:tc>
      </w:tr>
      <w:tr w:rsidR="006D3EB7" w:rsidRPr="009444C7"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FBC5D0D" w:rsidR="008B4BE6" w:rsidRPr="009444C7" w:rsidRDefault="00FB6FC0" w:rsidP="001A76A5">
            <w:pPr>
              <w:pBdr>
                <w:top w:val="none" w:sz="4" w:space="0" w:color="000000"/>
                <w:left w:val="none" w:sz="4" w:space="0" w:color="000000"/>
                <w:bottom w:val="none" w:sz="4" w:space="0" w:color="000000"/>
                <w:right w:val="none" w:sz="4" w:space="0" w:color="000000"/>
              </w:pBdr>
              <w:tabs>
                <w:tab w:val="left" w:pos="884"/>
                <w:tab w:val="left" w:pos="1196"/>
              </w:tabs>
              <w:jc w:val="both"/>
              <w:rPr>
                <w:rFonts w:ascii="Times New Roman" w:hAnsi="Times New Roman"/>
                <w:color w:val="333333"/>
                <w:shd w:val="clear" w:color="auto" w:fill="FFFFFF"/>
              </w:rPr>
            </w:pPr>
            <w:r w:rsidRPr="009444C7">
              <w:rPr>
                <w:rFonts w:ascii="Times New Roman" w:hAnsi="Times New Roman"/>
                <w:color w:val="333333"/>
                <w:shd w:val="clear" w:color="auto" w:fill="FFFFFF"/>
              </w:rPr>
              <w:t xml:space="preserve">Aprobarea </w:t>
            </w:r>
            <w:r w:rsidRPr="009444C7">
              <w:rPr>
                <w:rFonts w:ascii="Times New Roman" w:hAnsi="Times New Roman"/>
              </w:rPr>
              <w:t>Proiectului de Hotărâre de Guvern cu privire la modificarea unor hotărâri ale Guvernului (facilitarea implementării proiectelor de eficiență energetică)</w:t>
            </w:r>
            <w:r w:rsidR="000231A3" w:rsidRPr="009444C7">
              <w:rPr>
                <w:rFonts w:ascii="Times New Roman" w:hAnsi="Times New Roman"/>
              </w:rPr>
              <w:t xml:space="preserve">, </w:t>
            </w:r>
            <w:r w:rsidRPr="009444C7">
              <w:rPr>
                <w:rFonts w:ascii="Times New Roman" w:hAnsi="Times New Roman"/>
              </w:rPr>
              <w:t>nu</w:t>
            </w:r>
            <w:r w:rsidRPr="009444C7">
              <w:rPr>
                <w:rFonts w:ascii="Times New Roman" w:hAnsi="Times New Roman"/>
                <w:color w:val="333333"/>
                <w:shd w:val="clear" w:color="auto" w:fill="FFFFFF"/>
              </w:rPr>
              <w:t xml:space="preserve"> presupune alte modificări la alte acte normative</w:t>
            </w:r>
            <w:r w:rsidR="005B3F9C" w:rsidRPr="009444C7">
              <w:rPr>
                <w:rFonts w:ascii="Times New Roman" w:hAnsi="Times New Roman"/>
                <w:color w:val="333333"/>
                <w:shd w:val="clear" w:color="auto" w:fill="FFFFFF"/>
              </w:rPr>
              <w:t>.</w:t>
            </w:r>
          </w:p>
        </w:tc>
      </w:tr>
      <w:tr w:rsidR="006D3EB7" w:rsidRPr="009444C7"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9444C7" w:rsidRDefault="006933C3" w:rsidP="000E1660">
            <w:pPr>
              <w:rPr>
                <w:rFonts w:ascii="Times New Roman" w:hAnsi="Times New Roman"/>
                <w:b/>
                <w:bCs/>
              </w:rPr>
            </w:pPr>
            <w:r w:rsidRPr="009444C7">
              <w:rPr>
                <w:rFonts w:ascii="Times New Roman" w:hAnsi="Times New Roman"/>
                <w:b/>
                <w:bCs/>
              </w:rPr>
              <w:t>9.</w:t>
            </w:r>
            <w:r w:rsidR="00032B46" w:rsidRPr="009444C7">
              <w:rPr>
                <w:rFonts w:ascii="Times New Roman" w:hAnsi="Times New Roman"/>
                <w:b/>
                <w:bCs/>
              </w:rPr>
              <w:t xml:space="preserve"> </w:t>
            </w:r>
            <w:r w:rsidRPr="009444C7">
              <w:rPr>
                <w:rFonts w:ascii="Times New Roman" w:hAnsi="Times New Roman"/>
                <w:b/>
                <w:bCs/>
              </w:rPr>
              <w:t>Măsuri</w:t>
            </w:r>
            <w:r w:rsidR="0036135C" w:rsidRPr="009444C7">
              <w:rPr>
                <w:rFonts w:ascii="Times New Roman" w:hAnsi="Times New Roman"/>
                <w:b/>
                <w:bCs/>
              </w:rPr>
              <w:t>le</w:t>
            </w:r>
            <w:r w:rsidR="00032B46" w:rsidRPr="009444C7">
              <w:rPr>
                <w:rFonts w:ascii="Times New Roman" w:hAnsi="Times New Roman"/>
                <w:b/>
                <w:bCs/>
              </w:rPr>
              <w:t xml:space="preserve"> </w:t>
            </w:r>
            <w:r w:rsidRPr="009444C7">
              <w:rPr>
                <w:rFonts w:ascii="Times New Roman" w:hAnsi="Times New Roman"/>
                <w:b/>
                <w:bCs/>
              </w:rPr>
              <w:t>necesare</w:t>
            </w:r>
            <w:r w:rsidR="00032B46" w:rsidRPr="009444C7">
              <w:rPr>
                <w:rFonts w:ascii="Times New Roman" w:hAnsi="Times New Roman"/>
                <w:b/>
                <w:bCs/>
              </w:rPr>
              <w:t xml:space="preserve"> </w:t>
            </w:r>
            <w:r w:rsidRPr="009444C7">
              <w:rPr>
                <w:rFonts w:ascii="Times New Roman" w:hAnsi="Times New Roman"/>
                <w:b/>
                <w:bCs/>
              </w:rPr>
              <w:t>pentru</w:t>
            </w:r>
            <w:r w:rsidR="00032B46" w:rsidRPr="009444C7">
              <w:rPr>
                <w:rFonts w:ascii="Times New Roman" w:hAnsi="Times New Roman"/>
                <w:b/>
                <w:bCs/>
              </w:rPr>
              <w:t xml:space="preserve"> </w:t>
            </w:r>
            <w:r w:rsidRPr="009444C7">
              <w:rPr>
                <w:rFonts w:ascii="Times New Roman" w:hAnsi="Times New Roman"/>
                <w:b/>
                <w:bCs/>
              </w:rPr>
              <w:t>implementarea</w:t>
            </w:r>
            <w:r w:rsidR="00032B46" w:rsidRPr="009444C7">
              <w:rPr>
                <w:rFonts w:ascii="Times New Roman" w:hAnsi="Times New Roman"/>
                <w:b/>
                <w:bCs/>
              </w:rPr>
              <w:t xml:space="preserve"> </w:t>
            </w:r>
            <w:r w:rsidRPr="009444C7">
              <w:rPr>
                <w:rFonts w:ascii="Times New Roman" w:hAnsi="Times New Roman"/>
                <w:b/>
                <w:bCs/>
              </w:rPr>
              <w:t>prevederilor</w:t>
            </w:r>
            <w:r w:rsidR="00032B46" w:rsidRPr="009444C7">
              <w:rPr>
                <w:rFonts w:ascii="Times New Roman" w:hAnsi="Times New Roman"/>
                <w:b/>
                <w:bCs/>
              </w:rPr>
              <w:t xml:space="preserve"> </w:t>
            </w:r>
            <w:r w:rsidRPr="009444C7">
              <w:rPr>
                <w:rFonts w:ascii="Times New Roman" w:hAnsi="Times New Roman"/>
                <w:b/>
                <w:bCs/>
              </w:rPr>
              <w:t>proiectului</w:t>
            </w:r>
            <w:r w:rsidR="00032B46" w:rsidRPr="009444C7">
              <w:rPr>
                <w:rFonts w:ascii="Times New Roman" w:hAnsi="Times New Roman"/>
                <w:b/>
                <w:bCs/>
              </w:rPr>
              <w:t xml:space="preserve"> </w:t>
            </w:r>
            <w:r w:rsidRPr="009444C7">
              <w:rPr>
                <w:rFonts w:ascii="Times New Roman" w:hAnsi="Times New Roman"/>
                <w:b/>
                <w:bCs/>
              </w:rPr>
              <w:t>actului</w:t>
            </w:r>
            <w:r w:rsidR="00032B46" w:rsidRPr="009444C7">
              <w:rPr>
                <w:rFonts w:ascii="Times New Roman" w:hAnsi="Times New Roman"/>
                <w:b/>
                <w:bCs/>
              </w:rPr>
              <w:t xml:space="preserve"> </w:t>
            </w:r>
            <w:r w:rsidRPr="009444C7">
              <w:rPr>
                <w:rFonts w:ascii="Times New Roman" w:hAnsi="Times New Roman"/>
                <w:b/>
                <w:bCs/>
              </w:rPr>
              <w:t>normativ</w:t>
            </w:r>
          </w:p>
        </w:tc>
      </w:tr>
      <w:tr w:rsidR="006D3EB7" w:rsidRPr="009444C7"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6AC6DB" w14:textId="2A272F59" w:rsidR="00AF64D3" w:rsidRPr="009444C7" w:rsidRDefault="00AF64D3" w:rsidP="00D041AE">
            <w:pPr>
              <w:jc w:val="both"/>
              <w:rPr>
                <w:rFonts w:ascii="Times New Roman" w:hAnsi="Times New Roman"/>
              </w:rPr>
            </w:pPr>
            <w:r w:rsidRPr="009444C7">
              <w:rPr>
                <w:rFonts w:ascii="Times New Roman" w:hAnsi="Times New Roman"/>
              </w:rPr>
              <w:t xml:space="preserve">Vor fi necesare măsuri de organizare și implementare a </w:t>
            </w:r>
            <w:r w:rsidR="00FB6FC0" w:rsidRPr="009444C7">
              <w:rPr>
                <w:rFonts w:ascii="Times New Roman" w:hAnsi="Times New Roman"/>
              </w:rPr>
              <w:t>modificărilor</w:t>
            </w:r>
            <w:r w:rsidRPr="009444C7">
              <w:rPr>
                <w:rFonts w:ascii="Times New Roman" w:hAnsi="Times New Roman"/>
              </w:rPr>
              <w:t xml:space="preserve"> </w:t>
            </w:r>
            <w:r w:rsidR="00FB6FC0" w:rsidRPr="009444C7">
              <w:rPr>
                <w:rFonts w:ascii="Times New Roman" w:hAnsi="Times New Roman"/>
              </w:rPr>
              <w:t>efectuate</w:t>
            </w:r>
            <w:r w:rsidRPr="009444C7">
              <w:rPr>
                <w:rFonts w:ascii="Times New Roman" w:hAnsi="Times New Roman"/>
              </w:rPr>
              <w:t xml:space="preserve"> pentru</w:t>
            </w:r>
            <w:r w:rsidR="000E0137" w:rsidRPr="009444C7">
              <w:rPr>
                <w:rFonts w:ascii="Times New Roman" w:hAnsi="Times New Roman"/>
              </w:rPr>
              <w:t xml:space="preserve"> a atinge obiectivele stabilite în domeniul eficienței energetice. </w:t>
            </w:r>
            <w:r w:rsidRPr="009444C7">
              <w:rPr>
                <w:rFonts w:ascii="Times New Roman" w:hAnsi="Times New Roman"/>
              </w:rPr>
              <w:t xml:space="preserve"> </w:t>
            </w:r>
          </w:p>
          <w:p w14:paraId="35423DE1" w14:textId="7E9810D6" w:rsidR="008B4BE6" w:rsidRPr="009444C7" w:rsidRDefault="00AF64D3" w:rsidP="00D041AE">
            <w:pPr>
              <w:jc w:val="both"/>
              <w:rPr>
                <w:rFonts w:ascii="Times New Roman" w:hAnsi="Times New Roman"/>
              </w:rPr>
            </w:pPr>
            <w:r w:rsidRPr="009444C7">
              <w:rPr>
                <w:rFonts w:ascii="Times New Roman" w:hAnsi="Times New Roman"/>
              </w:rPr>
              <w:t>Principale autorități implicate</w:t>
            </w:r>
            <w:r w:rsidR="000E0137" w:rsidRPr="009444C7">
              <w:rPr>
                <w:rFonts w:ascii="Times New Roman" w:hAnsi="Times New Roman"/>
              </w:rPr>
              <w:t xml:space="preserve"> în procesul de implementare</w:t>
            </w:r>
            <w:r w:rsidRPr="009444C7">
              <w:rPr>
                <w:rFonts w:ascii="Times New Roman" w:hAnsi="Times New Roman"/>
              </w:rPr>
              <w:t xml:space="preserve"> vor fi </w:t>
            </w:r>
            <w:r w:rsidR="000E0137" w:rsidRPr="009444C7">
              <w:rPr>
                <w:rFonts w:ascii="Times New Roman" w:hAnsi="Times New Roman"/>
              </w:rPr>
              <w:t xml:space="preserve">Ministerul </w:t>
            </w:r>
            <w:r w:rsidRPr="009444C7">
              <w:rPr>
                <w:rFonts w:ascii="Times New Roman" w:hAnsi="Times New Roman"/>
              </w:rPr>
              <w:t>Energiei, I.P Centrul Național pentru Energie Durabilă, Agenția Națională pent</w:t>
            </w:r>
            <w:r w:rsidR="001A5FB7" w:rsidRPr="009444C7">
              <w:rPr>
                <w:rFonts w:ascii="Times New Roman" w:hAnsi="Times New Roman"/>
              </w:rPr>
              <w:t>ru Reglementarea în Energetică</w:t>
            </w:r>
            <w:r w:rsidRPr="009444C7">
              <w:rPr>
                <w:rFonts w:ascii="Times New Roman" w:hAnsi="Times New Roman"/>
              </w:rPr>
              <w:t xml:space="preserve">. </w:t>
            </w:r>
            <w:r w:rsidR="0047682B" w:rsidRPr="009444C7">
              <w:rPr>
                <w:rFonts w:ascii="Times New Roman" w:hAnsi="Times New Roman"/>
              </w:rPr>
              <w:t xml:space="preserve"> </w:t>
            </w:r>
          </w:p>
        </w:tc>
      </w:tr>
    </w:tbl>
    <w:p w14:paraId="3C1840E6" w14:textId="77777777" w:rsidR="0047682B" w:rsidRPr="009444C7" w:rsidRDefault="0047682B" w:rsidP="00F37ED4">
      <w:pPr>
        <w:pBdr>
          <w:top w:val="none" w:sz="4" w:space="0" w:color="000000"/>
          <w:left w:val="none" w:sz="4" w:space="0" w:color="000000"/>
          <w:bottom w:val="none" w:sz="4" w:space="0" w:color="000000"/>
          <w:right w:val="none" w:sz="4" w:space="0" w:color="000000"/>
        </w:pBdr>
        <w:tabs>
          <w:tab w:val="left" w:pos="884"/>
          <w:tab w:val="left" w:pos="1196"/>
        </w:tabs>
        <w:rPr>
          <w:b/>
        </w:rPr>
      </w:pPr>
    </w:p>
    <w:p w14:paraId="5D412355" w14:textId="77777777" w:rsidR="00A44792" w:rsidRPr="009444C7" w:rsidRDefault="00A44792" w:rsidP="00A44792">
      <w:pPr>
        <w:pBdr>
          <w:top w:val="none" w:sz="4" w:space="0" w:color="000000"/>
          <w:left w:val="none" w:sz="4" w:space="0" w:color="000000"/>
          <w:bottom w:val="none" w:sz="4" w:space="0" w:color="000000"/>
          <w:right w:val="none" w:sz="4" w:space="0" w:color="000000"/>
        </w:pBdr>
        <w:tabs>
          <w:tab w:val="left" w:pos="884"/>
          <w:tab w:val="left" w:pos="1196"/>
        </w:tabs>
        <w:rPr>
          <w:b/>
        </w:rPr>
      </w:pPr>
    </w:p>
    <w:p w14:paraId="7BF44AEC" w14:textId="77777777" w:rsidR="00D041AE" w:rsidRPr="009444C7" w:rsidRDefault="00D041AE" w:rsidP="00A44792">
      <w:pPr>
        <w:pBdr>
          <w:top w:val="none" w:sz="4" w:space="0" w:color="000000"/>
          <w:left w:val="none" w:sz="4" w:space="0" w:color="000000"/>
          <w:bottom w:val="none" w:sz="4" w:space="0" w:color="000000"/>
          <w:right w:val="none" w:sz="4" w:space="0" w:color="000000"/>
        </w:pBdr>
        <w:tabs>
          <w:tab w:val="left" w:pos="884"/>
          <w:tab w:val="left" w:pos="1196"/>
        </w:tabs>
        <w:rPr>
          <w:b/>
        </w:rPr>
      </w:pPr>
    </w:p>
    <w:p w14:paraId="5FD53242" w14:textId="28EB567F" w:rsidR="000B34B2" w:rsidRPr="009444C7" w:rsidRDefault="000B34B2" w:rsidP="000B34B2">
      <w:pPr>
        <w:tabs>
          <w:tab w:val="left" w:pos="5049"/>
        </w:tabs>
        <w:jc w:val="center"/>
        <w:rPr>
          <w:b/>
        </w:rPr>
      </w:pPr>
      <w:r w:rsidRPr="009444C7">
        <w:rPr>
          <w:b/>
          <w:spacing w:val="-2"/>
        </w:rPr>
        <w:t xml:space="preserve">                 </w:t>
      </w:r>
      <w:r w:rsidR="00982268">
        <w:rPr>
          <w:b/>
          <w:spacing w:val="-2"/>
        </w:rPr>
        <w:t>Ministrul energiei</w:t>
      </w:r>
      <w:r w:rsidRPr="009444C7">
        <w:rPr>
          <w:b/>
          <w:spacing w:val="-2"/>
        </w:rPr>
        <w:t xml:space="preserve">    </w:t>
      </w:r>
      <w:r w:rsidRPr="009444C7">
        <w:rPr>
          <w:bCs/>
          <w:spacing w:val="-2"/>
        </w:rPr>
        <w:t xml:space="preserve">/semnat electronic/            </w:t>
      </w:r>
      <w:r w:rsidR="00982268">
        <w:rPr>
          <w:b/>
          <w:spacing w:val="-2"/>
        </w:rPr>
        <w:t>Dorin</w:t>
      </w:r>
      <w:r w:rsidRPr="009444C7">
        <w:rPr>
          <w:b/>
          <w:spacing w:val="-2"/>
        </w:rPr>
        <w:t xml:space="preserve"> </w:t>
      </w:r>
      <w:r w:rsidR="00982268">
        <w:rPr>
          <w:b/>
          <w:spacing w:val="-2"/>
        </w:rPr>
        <w:t>JUNGHIETU</w:t>
      </w:r>
      <w:r w:rsidRPr="009444C7">
        <w:rPr>
          <w:b/>
          <w:spacing w:val="-2"/>
        </w:rPr>
        <w:t xml:space="preserve"> </w:t>
      </w:r>
      <w:r w:rsidRPr="009444C7">
        <w:rPr>
          <w:b/>
        </w:rPr>
        <w:tab/>
      </w:r>
    </w:p>
    <w:p w14:paraId="4371194D" w14:textId="1557AEAF" w:rsidR="00A44792" w:rsidRPr="009444C7" w:rsidRDefault="00A44792" w:rsidP="00D041AE">
      <w:pPr>
        <w:pBdr>
          <w:top w:val="none" w:sz="4" w:space="0" w:color="000000"/>
          <w:left w:val="none" w:sz="4" w:space="0" w:color="000000"/>
          <w:bottom w:val="none" w:sz="4" w:space="0" w:color="000000"/>
          <w:right w:val="none" w:sz="4" w:space="0" w:color="000000"/>
        </w:pBdr>
        <w:tabs>
          <w:tab w:val="left" w:pos="884"/>
          <w:tab w:val="left" w:pos="1196"/>
        </w:tabs>
        <w:jc w:val="center"/>
        <w:rPr>
          <w:b/>
        </w:rPr>
      </w:pPr>
    </w:p>
    <w:p w14:paraId="1854085B" w14:textId="77777777" w:rsidR="00D041AE" w:rsidRPr="009444C7" w:rsidRDefault="00D041AE" w:rsidP="00D041AE">
      <w:pPr>
        <w:pBdr>
          <w:top w:val="none" w:sz="4" w:space="0" w:color="000000"/>
          <w:left w:val="none" w:sz="4" w:space="0" w:color="000000"/>
          <w:bottom w:val="none" w:sz="4" w:space="0" w:color="000000"/>
          <w:right w:val="none" w:sz="4" w:space="0" w:color="000000"/>
        </w:pBdr>
        <w:tabs>
          <w:tab w:val="left" w:pos="884"/>
          <w:tab w:val="left" w:pos="1196"/>
        </w:tabs>
        <w:jc w:val="center"/>
        <w:rPr>
          <w:b/>
        </w:rPr>
      </w:pPr>
    </w:p>
    <w:p w14:paraId="7CAE6D85" w14:textId="77777777" w:rsidR="00D041AE" w:rsidRPr="00AC1A87" w:rsidRDefault="00D041AE" w:rsidP="00D041AE">
      <w:pPr>
        <w:pBdr>
          <w:top w:val="none" w:sz="4" w:space="0" w:color="000000"/>
          <w:left w:val="none" w:sz="4" w:space="0" w:color="000000"/>
          <w:bottom w:val="none" w:sz="4" w:space="0" w:color="000000"/>
          <w:right w:val="none" w:sz="4" w:space="0" w:color="000000"/>
        </w:pBdr>
        <w:tabs>
          <w:tab w:val="left" w:pos="884"/>
          <w:tab w:val="left" w:pos="1196"/>
        </w:tabs>
        <w:jc w:val="center"/>
        <w:rPr>
          <w:b/>
        </w:rPr>
      </w:pPr>
    </w:p>
    <w:sectPr w:rsidR="00D041AE" w:rsidRPr="00AC1A87" w:rsidSect="00C83148">
      <w:headerReference w:type="default" r:id="rId16"/>
      <w:headerReference w:type="first" r:id="rId17"/>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866E" w14:textId="77777777" w:rsidR="002C3D76" w:rsidRPr="009444C7" w:rsidRDefault="002C3D76">
      <w:r w:rsidRPr="009444C7">
        <w:separator/>
      </w:r>
    </w:p>
  </w:endnote>
  <w:endnote w:type="continuationSeparator" w:id="0">
    <w:p w14:paraId="595792BC" w14:textId="77777777" w:rsidR="002C3D76" w:rsidRPr="009444C7" w:rsidRDefault="002C3D76">
      <w:r w:rsidRPr="009444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4264" w14:textId="77777777" w:rsidR="002C3D76" w:rsidRPr="009444C7" w:rsidRDefault="002C3D76">
      <w:r w:rsidRPr="009444C7">
        <w:separator/>
      </w:r>
    </w:p>
  </w:footnote>
  <w:footnote w:type="continuationSeparator" w:id="0">
    <w:p w14:paraId="49D5666F" w14:textId="77777777" w:rsidR="002C3D76" w:rsidRPr="009444C7" w:rsidRDefault="002C3D76">
      <w:r w:rsidRPr="009444C7">
        <w:continuationSeparator/>
      </w:r>
    </w:p>
  </w:footnote>
  <w:footnote w:id="1">
    <w:p w14:paraId="1472C5A4" w14:textId="582708BC" w:rsidR="00157877" w:rsidRPr="009444C7" w:rsidRDefault="00157877">
      <w:pPr>
        <w:pStyle w:val="FootnoteText"/>
      </w:pPr>
      <w:r w:rsidRPr="009444C7">
        <w:rPr>
          <w:rStyle w:val="FootnoteReference"/>
        </w:rPr>
        <w:footnoteRef/>
      </w:r>
      <w:r w:rsidRPr="009444C7">
        <w:t xml:space="preserve"> Aplicabil până în data de 03 iunie 2025;</w:t>
      </w:r>
    </w:p>
  </w:footnote>
  <w:footnote w:id="2">
    <w:p w14:paraId="670B7128" w14:textId="668DCB82" w:rsidR="00A52AE4" w:rsidRPr="009444C7" w:rsidRDefault="00A52AE4">
      <w:pPr>
        <w:pStyle w:val="FootnoteText"/>
      </w:pPr>
      <w:r w:rsidRPr="009444C7">
        <w:rPr>
          <w:rStyle w:val="FootnoteReference"/>
        </w:rPr>
        <w:footnoteRef/>
      </w:r>
      <w:r w:rsidRPr="009444C7">
        <w:t xml:space="preserve"> Contribuțiile totale actualizate a fi colectate pe parcursul anului 2025, fără contribuțiile furnizorilor de energie termică, </w:t>
      </w:r>
      <w:r w:rsidR="006918C9" w:rsidRPr="009444C7">
        <w:t xml:space="preserve">pentru încălzire și/sau prepararea apei calde menajere, și/sau răcire, </w:t>
      </w:r>
      <w:r w:rsidRPr="009444C7">
        <w:t>pentru perioada 03.06 – 31.12.2025;</w:t>
      </w:r>
    </w:p>
  </w:footnote>
  <w:footnote w:id="3">
    <w:p w14:paraId="559D7339" w14:textId="56539D07" w:rsidR="005D2622" w:rsidRPr="009F0979" w:rsidRDefault="005D2622" w:rsidP="00A52AE4">
      <w:pPr>
        <w:pStyle w:val="FootnoteText"/>
        <w:jc w:val="both"/>
      </w:pPr>
      <w:r w:rsidRPr="009444C7">
        <w:rPr>
          <w:rStyle w:val="FootnoteReference"/>
        </w:rPr>
        <w:footnoteRef/>
      </w:r>
      <w:r w:rsidRPr="009444C7">
        <w:t xml:space="preserve"> </w:t>
      </w:r>
      <w:r w:rsidR="006918C9" w:rsidRPr="009444C7">
        <w:t xml:space="preserve">Valoarea estimativă actualizată a contribuțiilor totale pentru anul 2026, include diferențele dintre valorile estimative actualizate ale contribuțiilor totale anuale echivalente cu cheltuielile necesare în anul calendaristic „t” și </w:t>
      </w:r>
      <w:r w:rsidR="00E82EA9" w:rsidRPr="009444C7">
        <w:t xml:space="preserve">valorile </w:t>
      </w:r>
      <w:r w:rsidR="006918C9" w:rsidRPr="009444C7">
        <w:t>contribuțiil</w:t>
      </w:r>
      <w:r w:rsidR="00E82EA9" w:rsidRPr="009444C7">
        <w:t>or</w:t>
      </w:r>
      <w:r w:rsidR="006918C9" w:rsidRPr="009444C7">
        <w:t xml:space="preserve"> totale anuale efective ale părților obligate în anul calendaristic 2024 și 2025 (pentru anul 2025 acestea reprezintă valori prognozate în baza volumelor vânzărilor din anul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5F1688" w:rsidRPr="009444C7" w:rsidRDefault="005F1688" w:rsidP="009D4C0F">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5F1688" w:rsidRPr="009444C7" w:rsidRDefault="005F1688">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E2D"/>
    <w:multiLevelType w:val="hybridMultilevel"/>
    <w:tmpl w:val="FCD2AB14"/>
    <w:lvl w:ilvl="0" w:tplc="E4343A90">
      <w:start w:val="1"/>
      <w:numFmt w:val="decimal"/>
      <w:lvlText w:val="%1."/>
      <w:lvlJc w:val="left"/>
      <w:pPr>
        <w:ind w:left="402" w:hanging="360"/>
      </w:pPr>
      <w:rPr>
        <w:rFonts w:hint="default"/>
        <w:b w:val="0"/>
        <w:color w:val="00000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 w15:restartNumberingAfterBreak="0">
    <w:nsid w:val="02AA6B57"/>
    <w:multiLevelType w:val="hybridMultilevel"/>
    <w:tmpl w:val="93BE7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24CF6"/>
    <w:multiLevelType w:val="hybridMultilevel"/>
    <w:tmpl w:val="B9E0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85B5D"/>
    <w:multiLevelType w:val="hybridMultilevel"/>
    <w:tmpl w:val="BE28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428D9"/>
    <w:multiLevelType w:val="hybridMultilevel"/>
    <w:tmpl w:val="BE28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E4C20"/>
    <w:multiLevelType w:val="hybridMultilevel"/>
    <w:tmpl w:val="33AE0B9C"/>
    <w:lvl w:ilvl="0" w:tplc="73C60C6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032F1"/>
    <w:multiLevelType w:val="hybridMultilevel"/>
    <w:tmpl w:val="23664EB0"/>
    <w:lvl w:ilvl="0" w:tplc="0409000F">
      <w:start w:val="1"/>
      <w:numFmt w:val="decimal"/>
      <w:lvlText w:val="%1."/>
      <w:lvlJc w:val="left"/>
      <w:pPr>
        <w:ind w:left="360" w:hanging="360"/>
      </w:pPr>
      <w:rPr>
        <w:rFonts w:hint="default"/>
      </w:rPr>
    </w:lvl>
    <w:lvl w:ilvl="1" w:tplc="420E67C4">
      <w:start w:val="3"/>
      <w:numFmt w:val="bullet"/>
      <w:lvlText w:val="-"/>
      <w:lvlJc w:val="left"/>
      <w:pPr>
        <w:ind w:left="360" w:hanging="360"/>
      </w:pPr>
      <w:rPr>
        <w:rFonts w:ascii="Times New Roman" w:eastAsia="Times New Roman" w:hAnsi="Times New Roman" w:cs="Times New Roman" w:hint="default"/>
        <w:sz w:val="24"/>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15741A6"/>
    <w:multiLevelType w:val="hybridMultilevel"/>
    <w:tmpl w:val="8C38A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B76B8"/>
    <w:multiLevelType w:val="hybridMultilevel"/>
    <w:tmpl w:val="A8763E16"/>
    <w:lvl w:ilvl="0" w:tplc="B69046E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F6AE3"/>
    <w:multiLevelType w:val="hybridMultilevel"/>
    <w:tmpl w:val="CCD8F17E"/>
    <w:lvl w:ilvl="0" w:tplc="B69046E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D5656"/>
    <w:multiLevelType w:val="hybridMultilevel"/>
    <w:tmpl w:val="4726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402A6"/>
    <w:multiLevelType w:val="hybridMultilevel"/>
    <w:tmpl w:val="93B4E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005CD"/>
    <w:multiLevelType w:val="hybridMultilevel"/>
    <w:tmpl w:val="4CD26CE4"/>
    <w:lvl w:ilvl="0" w:tplc="420E67C4">
      <w:start w:val="3"/>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81099"/>
    <w:multiLevelType w:val="hybridMultilevel"/>
    <w:tmpl w:val="189C9C26"/>
    <w:lvl w:ilvl="0" w:tplc="EE42FF22">
      <w:start w:val="1"/>
      <w:numFmt w:val="lowerLetter"/>
      <w:lvlText w:val="%1)"/>
      <w:lvlJc w:val="left"/>
      <w:pPr>
        <w:ind w:left="778" w:hanging="360"/>
      </w:pPr>
      <w:rPr>
        <w:sz w:val="24"/>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4" w15:restartNumberingAfterBreak="0">
    <w:nsid w:val="3D8136E6"/>
    <w:multiLevelType w:val="hybridMultilevel"/>
    <w:tmpl w:val="978E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E66D9"/>
    <w:multiLevelType w:val="hybridMultilevel"/>
    <w:tmpl w:val="4EC8B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64775"/>
    <w:multiLevelType w:val="hybridMultilevel"/>
    <w:tmpl w:val="0950AEEC"/>
    <w:lvl w:ilvl="0" w:tplc="08090017">
      <w:start w:val="1"/>
      <w:numFmt w:val="lowerLetter"/>
      <w:lvlText w:val="%1)"/>
      <w:lvlJc w:val="left"/>
      <w:pPr>
        <w:ind w:left="1122" w:hanging="360"/>
      </w:pPr>
    </w:lvl>
    <w:lvl w:ilvl="1" w:tplc="08090019" w:tentative="1">
      <w:start w:val="1"/>
      <w:numFmt w:val="lowerLetter"/>
      <w:lvlText w:val="%2."/>
      <w:lvlJc w:val="left"/>
      <w:pPr>
        <w:ind w:left="1842" w:hanging="360"/>
      </w:pPr>
    </w:lvl>
    <w:lvl w:ilvl="2" w:tplc="0809001B" w:tentative="1">
      <w:start w:val="1"/>
      <w:numFmt w:val="lowerRoman"/>
      <w:lvlText w:val="%3."/>
      <w:lvlJc w:val="right"/>
      <w:pPr>
        <w:ind w:left="2562" w:hanging="180"/>
      </w:pPr>
    </w:lvl>
    <w:lvl w:ilvl="3" w:tplc="0809000F" w:tentative="1">
      <w:start w:val="1"/>
      <w:numFmt w:val="decimal"/>
      <w:lvlText w:val="%4."/>
      <w:lvlJc w:val="left"/>
      <w:pPr>
        <w:ind w:left="3282" w:hanging="360"/>
      </w:pPr>
    </w:lvl>
    <w:lvl w:ilvl="4" w:tplc="08090019" w:tentative="1">
      <w:start w:val="1"/>
      <w:numFmt w:val="lowerLetter"/>
      <w:lvlText w:val="%5."/>
      <w:lvlJc w:val="left"/>
      <w:pPr>
        <w:ind w:left="4002" w:hanging="360"/>
      </w:pPr>
    </w:lvl>
    <w:lvl w:ilvl="5" w:tplc="0809001B" w:tentative="1">
      <w:start w:val="1"/>
      <w:numFmt w:val="lowerRoman"/>
      <w:lvlText w:val="%6."/>
      <w:lvlJc w:val="right"/>
      <w:pPr>
        <w:ind w:left="4722" w:hanging="180"/>
      </w:pPr>
    </w:lvl>
    <w:lvl w:ilvl="6" w:tplc="0809000F" w:tentative="1">
      <w:start w:val="1"/>
      <w:numFmt w:val="decimal"/>
      <w:lvlText w:val="%7."/>
      <w:lvlJc w:val="left"/>
      <w:pPr>
        <w:ind w:left="5442" w:hanging="360"/>
      </w:pPr>
    </w:lvl>
    <w:lvl w:ilvl="7" w:tplc="08090019" w:tentative="1">
      <w:start w:val="1"/>
      <w:numFmt w:val="lowerLetter"/>
      <w:lvlText w:val="%8."/>
      <w:lvlJc w:val="left"/>
      <w:pPr>
        <w:ind w:left="6162" w:hanging="360"/>
      </w:pPr>
    </w:lvl>
    <w:lvl w:ilvl="8" w:tplc="0809001B" w:tentative="1">
      <w:start w:val="1"/>
      <w:numFmt w:val="lowerRoman"/>
      <w:lvlText w:val="%9."/>
      <w:lvlJc w:val="right"/>
      <w:pPr>
        <w:ind w:left="6882" w:hanging="180"/>
      </w:pPr>
    </w:lvl>
  </w:abstractNum>
  <w:abstractNum w:abstractNumId="17" w15:restartNumberingAfterBreak="0">
    <w:nsid w:val="41521D77"/>
    <w:multiLevelType w:val="hybridMultilevel"/>
    <w:tmpl w:val="3ED84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495BEF"/>
    <w:multiLevelType w:val="multilevel"/>
    <w:tmpl w:val="37040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760E60"/>
    <w:multiLevelType w:val="hybridMultilevel"/>
    <w:tmpl w:val="32AC6936"/>
    <w:lvl w:ilvl="0" w:tplc="420E67C4">
      <w:start w:val="3"/>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1" w15:restartNumberingAfterBreak="0">
    <w:nsid w:val="64E44950"/>
    <w:multiLevelType w:val="hybridMultilevel"/>
    <w:tmpl w:val="69FA20C0"/>
    <w:lvl w:ilvl="0" w:tplc="420E67C4">
      <w:start w:val="3"/>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E30148"/>
    <w:multiLevelType w:val="hybridMultilevel"/>
    <w:tmpl w:val="6B8691DE"/>
    <w:lvl w:ilvl="0" w:tplc="8BF24F1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D3900D6"/>
    <w:multiLevelType w:val="hybridMultilevel"/>
    <w:tmpl w:val="B9E0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ED656C"/>
    <w:multiLevelType w:val="multilevel"/>
    <w:tmpl w:val="75ED6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2054044">
    <w:abstractNumId w:val="20"/>
  </w:num>
  <w:num w:numId="2" w16cid:durableId="1952324769">
    <w:abstractNumId w:val="19"/>
  </w:num>
  <w:num w:numId="3" w16cid:durableId="986280599">
    <w:abstractNumId w:val="8"/>
  </w:num>
  <w:num w:numId="4" w16cid:durableId="1400593004">
    <w:abstractNumId w:val="9"/>
  </w:num>
  <w:num w:numId="5" w16cid:durableId="1269435745">
    <w:abstractNumId w:val="5"/>
  </w:num>
  <w:num w:numId="6" w16cid:durableId="707950288">
    <w:abstractNumId w:val="12"/>
  </w:num>
  <w:num w:numId="7" w16cid:durableId="1566376602">
    <w:abstractNumId w:val="21"/>
  </w:num>
  <w:num w:numId="8" w16cid:durableId="580067759">
    <w:abstractNumId w:val="13"/>
  </w:num>
  <w:num w:numId="9" w16cid:durableId="678969346">
    <w:abstractNumId w:val="0"/>
  </w:num>
  <w:num w:numId="10" w16cid:durableId="1415587271">
    <w:abstractNumId w:val="16"/>
  </w:num>
  <w:num w:numId="11" w16cid:durableId="90055519">
    <w:abstractNumId w:val="3"/>
  </w:num>
  <w:num w:numId="12" w16cid:durableId="1242327353">
    <w:abstractNumId w:val="22"/>
  </w:num>
  <w:num w:numId="13" w16cid:durableId="334653990">
    <w:abstractNumId w:val="18"/>
  </w:num>
  <w:num w:numId="14" w16cid:durableId="692461265">
    <w:abstractNumId w:val="7"/>
  </w:num>
  <w:num w:numId="15" w16cid:durableId="1498232113">
    <w:abstractNumId w:val="2"/>
  </w:num>
  <w:num w:numId="16" w16cid:durableId="1025180471">
    <w:abstractNumId w:val="15"/>
  </w:num>
  <w:num w:numId="17" w16cid:durableId="1529295373">
    <w:abstractNumId w:val="23"/>
  </w:num>
  <w:num w:numId="18" w16cid:durableId="1845702431">
    <w:abstractNumId w:val="4"/>
  </w:num>
  <w:num w:numId="19" w16cid:durableId="1731225435">
    <w:abstractNumId w:val="17"/>
  </w:num>
  <w:num w:numId="20" w16cid:durableId="1752972061">
    <w:abstractNumId w:val="1"/>
  </w:num>
  <w:num w:numId="21" w16cid:durableId="1724982000">
    <w:abstractNumId w:val="24"/>
  </w:num>
  <w:num w:numId="22" w16cid:durableId="1457137420">
    <w:abstractNumId w:val="14"/>
  </w:num>
  <w:num w:numId="23" w16cid:durableId="240218993">
    <w:abstractNumId w:val="6"/>
  </w:num>
  <w:num w:numId="24" w16cid:durableId="834953867">
    <w:abstractNumId w:val="10"/>
  </w:num>
  <w:num w:numId="25" w16cid:durableId="33746544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B8A"/>
    <w:rsid w:val="00002315"/>
    <w:rsid w:val="00005DC0"/>
    <w:rsid w:val="00013460"/>
    <w:rsid w:val="00013804"/>
    <w:rsid w:val="00013919"/>
    <w:rsid w:val="00013AC9"/>
    <w:rsid w:val="0001747F"/>
    <w:rsid w:val="0002084F"/>
    <w:rsid w:val="00020B60"/>
    <w:rsid w:val="000231A3"/>
    <w:rsid w:val="000241FD"/>
    <w:rsid w:val="0002435C"/>
    <w:rsid w:val="00024B3D"/>
    <w:rsid w:val="000257DE"/>
    <w:rsid w:val="00026BE5"/>
    <w:rsid w:val="00030521"/>
    <w:rsid w:val="00031728"/>
    <w:rsid w:val="00032B46"/>
    <w:rsid w:val="000331AE"/>
    <w:rsid w:val="00036155"/>
    <w:rsid w:val="000371E2"/>
    <w:rsid w:val="0004289C"/>
    <w:rsid w:val="00043AC7"/>
    <w:rsid w:val="00044D19"/>
    <w:rsid w:val="00046A50"/>
    <w:rsid w:val="00052045"/>
    <w:rsid w:val="00054810"/>
    <w:rsid w:val="00055351"/>
    <w:rsid w:val="00061995"/>
    <w:rsid w:val="0006434D"/>
    <w:rsid w:val="0006565F"/>
    <w:rsid w:val="000713DA"/>
    <w:rsid w:val="00071EAA"/>
    <w:rsid w:val="0007236F"/>
    <w:rsid w:val="00075A5F"/>
    <w:rsid w:val="00075D23"/>
    <w:rsid w:val="00077932"/>
    <w:rsid w:val="00081267"/>
    <w:rsid w:val="00081F96"/>
    <w:rsid w:val="00083AA2"/>
    <w:rsid w:val="00085029"/>
    <w:rsid w:val="000851F6"/>
    <w:rsid w:val="00085E00"/>
    <w:rsid w:val="00086A6F"/>
    <w:rsid w:val="0008775F"/>
    <w:rsid w:val="0009113C"/>
    <w:rsid w:val="000923B3"/>
    <w:rsid w:val="000924CD"/>
    <w:rsid w:val="00096E8B"/>
    <w:rsid w:val="00097A1C"/>
    <w:rsid w:val="000A281C"/>
    <w:rsid w:val="000A445C"/>
    <w:rsid w:val="000A4748"/>
    <w:rsid w:val="000A6044"/>
    <w:rsid w:val="000A6BA5"/>
    <w:rsid w:val="000A6EDB"/>
    <w:rsid w:val="000B1AB3"/>
    <w:rsid w:val="000B2EC8"/>
    <w:rsid w:val="000B34B2"/>
    <w:rsid w:val="000B3D87"/>
    <w:rsid w:val="000B4CA4"/>
    <w:rsid w:val="000B50EE"/>
    <w:rsid w:val="000B585E"/>
    <w:rsid w:val="000B76BC"/>
    <w:rsid w:val="000C041B"/>
    <w:rsid w:val="000C2594"/>
    <w:rsid w:val="000C2AB4"/>
    <w:rsid w:val="000C41F0"/>
    <w:rsid w:val="000D4674"/>
    <w:rsid w:val="000D5C74"/>
    <w:rsid w:val="000D5CFA"/>
    <w:rsid w:val="000D762B"/>
    <w:rsid w:val="000E0137"/>
    <w:rsid w:val="000E1660"/>
    <w:rsid w:val="000E1D40"/>
    <w:rsid w:val="000E2800"/>
    <w:rsid w:val="000E4B60"/>
    <w:rsid w:val="000F497A"/>
    <w:rsid w:val="000F61A5"/>
    <w:rsid w:val="00102AD8"/>
    <w:rsid w:val="00103705"/>
    <w:rsid w:val="0011153D"/>
    <w:rsid w:val="00113956"/>
    <w:rsid w:val="00116035"/>
    <w:rsid w:val="00120BBC"/>
    <w:rsid w:val="0012118A"/>
    <w:rsid w:val="001211EA"/>
    <w:rsid w:val="0012133C"/>
    <w:rsid w:val="0012196F"/>
    <w:rsid w:val="00124619"/>
    <w:rsid w:val="00124712"/>
    <w:rsid w:val="00131250"/>
    <w:rsid w:val="001374F4"/>
    <w:rsid w:val="00141206"/>
    <w:rsid w:val="00143389"/>
    <w:rsid w:val="00143CC4"/>
    <w:rsid w:val="00144FD2"/>
    <w:rsid w:val="00145419"/>
    <w:rsid w:val="00146134"/>
    <w:rsid w:val="00151440"/>
    <w:rsid w:val="0015146D"/>
    <w:rsid w:val="0015299E"/>
    <w:rsid w:val="00157877"/>
    <w:rsid w:val="00157D40"/>
    <w:rsid w:val="00157EED"/>
    <w:rsid w:val="001606DC"/>
    <w:rsid w:val="00162BE7"/>
    <w:rsid w:val="00162CD6"/>
    <w:rsid w:val="00163896"/>
    <w:rsid w:val="0017006C"/>
    <w:rsid w:val="00172941"/>
    <w:rsid w:val="00172FA9"/>
    <w:rsid w:val="001743E4"/>
    <w:rsid w:val="00174E20"/>
    <w:rsid w:val="00177703"/>
    <w:rsid w:val="001831B4"/>
    <w:rsid w:val="00183885"/>
    <w:rsid w:val="00184334"/>
    <w:rsid w:val="00185AC8"/>
    <w:rsid w:val="00187B87"/>
    <w:rsid w:val="00191428"/>
    <w:rsid w:val="001934CF"/>
    <w:rsid w:val="00193813"/>
    <w:rsid w:val="001A0A78"/>
    <w:rsid w:val="001A25C3"/>
    <w:rsid w:val="001A36CD"/>
    <w:rsid w:val="001A37C7"/>
    <w:rsid w:val="001A4F34"/>
    <w:rsid w:val="001A5FB7"/>
    <w:rsid w:val="001A76A5"/>
    <w:rsid w:val="001B301A"/>
    <w:rsid w:val="001B3BE4"/>
    <w:rsid w:val="001B5818"/>
    <w:rsid w:val="001B66A4"/>
    <w:rsid w:val="001B6E6E"/>
    <w:rsid w:val="001B7CD5"/>
    <w:rsid w:val="001C1404"/>
    <w:rsid w:val="001C2579"/>
    <w:rsid w:val="001C3F21"/>
    <w:rsid w:val="001C4EEE"/>
    <w:rsid w:val="001D178C"/>
    <w:rsid w:val="001D2FA2"/>
    <w:rsid w:val="001E05AD"/>
    <w:rsid w:val="001E244F"/>
    <w:rsid w:val="001E3221"/>
    <w:rsid w:val="001E4497"/>
    <w:rsid w:val="001E58A6"/>
    <w:rsid w:val="001E606A"/>
    <w:rsid w:val="001F0570"/>
    <w:rsid w:val="001F2097"/>
    <w:rsid w:val="001F4668"/>
    <w:rsid w:val="001F4E69"/>
    <w:rsid w:val="001F6B85"/>
    <w:rsid w:val="002000EB"/>
    <w:rsid w:val="00200223"/>
    <w:rsid w:val="00200516"/>
    <w:rsid w:val="00201BBC"/>
    <w:rsid w:val="00201E30"/>
    <w:rsid w:val="0020204D"/>
    <w:rsid w:val="00202100"/>
    <w:rsid w:val="00203A59"/>
    <w:rsid w:val="00205100"/>
    <w:rsid w:val="0020768F"/>
    <w:rsid w:val="0020794F"/>
    <w:rsid w:val="002164C9"/>
    <w:rsid w:val="002170A5"/>
    <w:rsid w:val="00217C7D"/>
    <w:rsid w:val="00220CF0"/>
    <w:rsid w:val="002211E6"/>
    <w:rsid w:val="00224DAE"/>
    <w:rsid w:val="00230761"/>
    <w:rsid w:val="002310C2"/>
    <w:rsid w:val="00231B60"/>
    <w:rsid w:val="00234686"/>
    <w:rsid w:val="00234AA7"/>
    <w:rsid w:val="0023597F"/>
    <w:rsid w:val="00235DF4"/>
    <w:rsid w:val="00236599"/>
    <w:rsid w:val="00236E65"/>
    <w:rsid w:val="00236ECC"/>
    <w:rsid w:val="002372B8"/>
    <w:rsid w:val="00240AC0"/>
    <w:rsid w:val="002411FC"/>
    <w:rsid w:val="002453BD"/>
    <w:rsid w:val="00250594"/>
    <w:rsid w:val="00254B67"/>
    <w:rsid w:val="00257353"/>
    <w:rsid w:val="00263920"/>
    <w:rsid w:val="00266BAD"/>
    <w:rsid w:val="00267111"/>
    <w:rsid w:val="00267618"/>
    <w:rsid w:val="00267AE6"/>
    <w:rsid w:val="002721D2"/>
    <w:rsid w:val="0027425A"/>
    <w:rsid w:val="0028093A"/>
    <w:rsid w:val="002816DE"/>
    <w:rsid w:val="00281C80"/>
    <w:rsid w:val="00281FC0"/>
    <w:rsid w:val="002837FE"/>
    <w:rsid w:val="0028589C"/>
    <w:rsid w:val="00286CBE"/>
    <w:rsid w:val="002950E0"/>
    <w:rsid w:val="002954C4"/>
    <w:rsid w:val="002A111F"/>
    <w:rsid w:val="002A4672"/>
    <w:rsid w:val="002A46C5"/>
    <w:rsid w:val="002B07BD"/>
    <w:rsid w:val="002B5444"/>
    <w:rsid w:val="002B547F"/>
    <w:rsid w:val="002B5BE6"/>
    <w:rsid w:val="002C17FE"/>
    <w:rsid w:val="002C21E9"/>
    <w:rsid w:val="002C3D76"/>
    <w:rsid w:val="002C7C5B"/>
    <w:rsid w:val="002D2C22"/>
    <w:rsid w:val="002D38C5"/>
    <w:rsid w:val="002E1C7B"/>
    <w:rsid w:val="002E4217"/>
    <w:rsid w:val="002E505B"/>
    <w:rsid w:val="002E53FD"/>
    <w:rsid w:val="002F235D"/>
    <w:rsid w:val="002F30F7"/>
    <w:rsid w:val="002F3DAA"/>
    <w:rsid w:val="002F49A3"/>
    <w:rsid w:val="002F5F1E"/>
    <w:rsid w:val="002F75A6"/>
    <w:rsid w:val="002F7FB5"/>
    <w:rsid w:val="00301D7D"/>
    <w:rsid w:val="0030534C"/>
    <w:rsid w:val="00305CD6"/>
    <w:rsid w:val="00312D64"/>
    <w:rsid w:val="003135A5"/>
    <w:rsid w:val="0031555D"/>
    <w:rsid w:val="00315655"/>
    <w:rsid w:val="00315B32"/>
    <w:rsid w:val="00315BDC"/>
    <w:rsid w:val="00324559"/>
    <w:rsid w:val="00326BC9"/>
    <w:rsid w:val="003270AB"/>
    <w:rsid w:val="00327C88"/>
    <w:rsid w:val="003341BB"/>
    <w:rsid w:val="00334833"/>
    <w:rsid w:val="00334C0F"/>
    <w:rsid w:val="00335391"/>
    <w:rsid w:val="003358FF"/>
    <w:rsid w:val="003368B8"/>
    <w:rsid w:val="00336996"/>
    <w:rsid w:val="00347B79"/>
    <w:rsid w:val="00350408"/>
    <w:rsid w:val="003509A8"/>
    <w:rsid w:val="00354545"/>
    <w:rsid w:val="003578E1"/>
    <w:rsid w:val="0036135C"/>
    <w:rsid w:val="00361E45"/>
    <w:rsid w:val="0036240C"/>
    <w:rsid w:val="00362D0C"/>
    <w:rsid w:val="00364A24"/>
    <w:rsid w:val="0036518F"/>
    <w:rsid w:val="00365E68"/>
    <w:rsid w:val="003671B8"/>
    <w:rsid w:val="0036768D"/>
    <w:rsid w:val="00374362"/>
    <w:rsid w:val="00376916"/>
    <w:rsid w:val="00377B12"/>
    <w:rsid w:val="00380147"/>
    <w:rsid w:val="00381C7D"/>
    <w:rsid w:val="00384B1F"/>
    <w:rsid w:val="00385C9B"/>
    <w:rsid w:val="003872BA"/>
    <w:rsid w:val="00387D77"/>
    <w:rsid w:val="003922EF"/>
    <w:rsid w:val="00392B28"/>
    <w:rsid w:val="003946EC"/>
    <w:rsid w:val="00394A57"/>
    <w:rsid w:val="00394A77"/>
    <w:rsid w:val="00397415"/>
    <w:rsid w:val="003A15A5"/>
    <w:rsid w:val="003A2CB2"/>
    <w:rsid w:val="003A4D1C"/>
    <w:rsid w:val="003A7A74"/>
    <w:rsid w:val="003B012C"/>
    <w:rsid w:val="003B1710"/>
    <w:rsid w:val="003B257A"/>
    <w:rsid w:val="003B59FF"/>
    <w:rsid w:val="003B7521"/>
    <w:rsid w:val="003C0C4D"/>
    <w:rsid w:val="003C11CC"/>
    <w:rsid w:val="003C2D71"/>
    <w:rsid w:val="003C3027"/>
    <w:rsid w:val="003C3DB4"/>
    <w:rsid w:val="003C3EB9"/>
    <w:rsid w:val="003D5E8B"/>
    <w:rsid w:val="003D5F20"/>
    <w:rsid w:val="003E3748"/>
    <w:rsid w:val="003E38E2"/>
    <w:rsid w:val="003E3A38"/>
    <w:rsid w:val="003E4704"/>
    <w:rsid w:val="003E4DA7"/>
    <w:rsid w:val="003F0831"/>
    <w:rsid w:val="003F0CD8"/>
    <w:rsid w:val="003F7E5B"/>
    <w:rsid w:val="00400E8D"/>
    <w:rsid w:val="00401AC2"/>
    <w:rsid w:val="004046AD"/>
    <w:rsid w:val="00405019"/>
    <w:rsid w:val="00406BA9"/>
    <w:rsid w:val="00407062"/>
    <w:rsid w:val="0040744B"/>
    <w:rsid w:val="00410C9A"/>
    <w:rsid w:val="004131A7"/>
    <w:rsid w:val="00413CCA"/>
    <w:rsid w:val="004159D9"/>
    <w:rsid w:val="004169F8"/>
    <w:rsid w:val="00420C72"/>
    <w:rsid w:val="00421AB5"/>
    <w:rsid w:val="00424212"/>
    <w:rsid w:val="00424CF9"/>
    <w:rsid w:val="0042652F"/>
    <w:rsid w:val="004309BF"/>
    <w:rsid w:val="00430C13"/>
    <w:rsid w:val="0043131C"/>
    <w:rsid w:val="0043208D"/>
    <w:rsid w:val="004333B4"/>
    <w:rsid w:val="00433594"/>
    <w:rsid w:val="00434203"/>
    <w:rsid w:val="00434A1B"/>
    <w:rsid w:val="00440090"/>
    <w:rsid w:val="0044030E"/>
    <w:rsid w:val="004428C5"/>
    <w:rsid w:val="00452324"/>
    <w:rsid w:val="0045262A"/>
    <w:rsid w:val="00452C3E"/>
    <w:rsid w:val="00452C6C"/>
    <w:rsid w:val="0045451B"/>
    <w:rsid w:val="00454B24"/>
    <w:rsid w:val="00457286"/>
    <w:rsid w:val="00460D14"/>
    <w:rsid w:val="004615B9"/>
    <w:rsid w:val="00464294"/>
    <w:rsid w:val="00464EA9"/>
    <w:rsid w:val="00465A38"/>
    <w:rsid w:val="004735CE"/>
    <w:rsid w:val="0047367C"/>
    <w:rsid w:val="0047440A"/>
    <w:rsid w:val="00474658"/>
    <w:rsid w:val="00474FF8"/>
    <w:rsid w:val="00475C24"/>
    <w:rsid w:val="0047682B"/>
    <w:rsid w:val="0047797E"/>
    <w:rsid w:val="00493892"/>
    <w:rsid w:val="00497F06"/>
    <w:rsid w:val="004A09CD"/>
    <w:rsid w:val="004A3757"/>
    <w:rsid w:val="004A5380"/>
    <w:rsid w:val="004A5642"/>
    <w:rsid w:val="004A594F"/>
    <w:rsid w:val="004B1283"/>
    <w:rsid w:val="004B3984"/>
    <w:rsid w:val="004B5EC1"/>
    <w:rsid w:val="004B7A41"/>
    <w:rsid w:val="004B7F24"/>
    <w:rsid w:val="004C02DC"/>
    <w:rsid w:val="004C2AD8"/>
    <w:rsid w:val="004C6034"/>
    <w:rsid w:val="004D3941"/>
    <w:rsid w:val="004E129C"/>
    <w:rsid w:val="004E2421"/>
    <w:rsid w:val="004E6489"/>
    <w:rsid w:val="004E6662"/>
    <w:rsid w:val="004E7416"/>
    <w:rsid w:val="004F2A42"/>
    <w:rsid w:val="004F322A"/>
    <w:rsid w:val="004F3A11"/>
    <w:rsid w:val="004F568A"/>
    <w:rsid w:val="005020EC"/>
    <w:rsid w:val="00515450"/>
    <w:rsid w:val="0051574F"/>
    <w:rsid w:val="00516555"/>
    <w:rsid w:val="0052219C"/>
    <w:rsid w:val="0052261E"/>
    <w:rsid w:val="00525117"/>
    <w:rsid w:val="005256CF"/>
    <w:rsid w:val="00525C39"/>
    <w:rsid w:val="00526D17"/>
    <w:rsid w:val="00527B53"/>
    <w:rsid w:val="00535095"/>
    <w:rsid w:val="005363FE"/>
    <w:rsid w:val="00537B1D"/>
    <w:rsid w:val="00541CE7"/>
    <w:rsid w:val="00542C43"/>
    <w:rsid w:val="00543DF5"/>
    <w:rsid w:val="00546FC8"/>
    <w:rsid w:val="00547F8E"/>
    <w:rsid w:val="00551299"/>
    <w:rsid w:val="00552566"/>
    <w:rsid w:val="005535FB"/>
    <w:rsid w:val="00555DF5"/>
    <w:rsid w:val="00556ED8"/>
    <w:rsid w:val="00564CE6"/>
    <w:rsid w:val="00572006"/>
    <w:rsid w:val="00573E74"/>
    <w:rsid w:val="00575350"/>
    <w:rsid w:val="0057560E"/>
    <w:rsid w:val="005765E5"/>
    <w:rsid w:val="0057790F"/>
    <w:rsid w:val="00582470"/>
    <w:rsid w:val="00583799"/>
    <w:rsid w:val="005864B2"/>
    <w:rsid w:val="00591355"/>
    <w:rsid w:val="00592440"/>
    <w:rsid w:val="00594DE5"/>
    <w:rsid w:val="005A12D7"/>
    <w:rsid w:val="005A29D6"/>
    <w:rsid w:val="005A4AD0"/>
    <w:rsid w:val="005B0912"/>
    <w:rsid w:val="005B0942"/>
    <w:rsid w:val="005B0C92"/>
    <w:rsid w:val="005B3F9C"/>
    <w:rsid w:val="005B4B6C"/>
    <w:rsid w:val="005B7B7B"/>
    <w:rsid w:val="005B7E20"/>
    <w:rsid w:val="005C130F"/>
    <w:rsid w:val="005C1844"/>
    <w:rsid w:val="005C1D42"/>
    <w:rsid w:val="005C2A37"/>
    <w:rsid w:val="005C412B"/>
    <w:rsid w:val="005C4835"/>
    <w:rsid w:val="005C5A53"/>
    <w:rsid w:val="005C5FC6"/>
    <w:rsid w:val="005C7769"/>
    <w:rsid w:val="005C7852"/>
    <w:rsid w:val="005D1692"/>
    <w:rsid w:val="005D22B6"/>
    <w:rsid w:val="005D2622"/>
    <w:rsid w:val="005D2E08"/>
    <w:rsid w:val="005D5F1D"/>
    <w:rsid w:val="005E0515"/>
    <w:rsid w:val="005E2A24"/>
    <w:rsid w:val="005E2DC5"/>
    <w:rsid w:val="005E37E8"/>
    <w:rsid w:val="005F02DD"/>
    <w:rsid w:val="005F0F53"/>
    <w:rsid w:val="005F1688"/>
    <w:rsid w:val="005F21F6"/>
    <w:rsid w:val="005F25A4"/>
    <w:rsid w:val="005F42F7"/>
    <w:rsid w:val="005F4EF2"/>
    <w:rsid w:val="005F584A"/>
    <w:rsid w:val="005F6554"/>
    <w:rsid w:val="0060531E"/>
    <w:rsid w:val="0060625D"/>
    <w:rsid w:val="00606D64"/>
    <w:rsid w:val="00607B2A"/>
    <w:rsid w:val="00610B30"/>
    <w:rsid w:val="00611BAA"/>
    <w:rsid w:val="00612D18"/>
    <w:rsid w:val="00613AD3"/>
    <w:rsid w:val="00613D09"/>
    <w:rsid w:val="00615BB7"/>
    <w:rsid w:val="00616A16"/>
    <w:rsid w:val="006170CA"/>
    <w:rsid w:val="00620D18"/>
    <w:rsid w:val="00621954"/>
    <w:rsid w:val="00622019"/>
    <w:rsid w:val="00623361"/>
    <w:rsid w:val="00624BA9"/>
    <w:rsid w:val="0062575C"/>
    <w:rsid w:val="00631CA4"/>
    <w:rsid w:val="006339EB"/>
    <w:rsid w:val="0064027A"/>
    <w:rsid w:val="00650024"/>
    <w:rsid w:val="00654AE5"/>
    <w:rsid w:val="006559E3"/>
    <w:rsid w:val="00657577"/>
    <w:rsid w:val="00657865"/>
    <w:rsid w:val="006646FE"/>
    <w:rsid w:val="00664FC5"/>
    <w:rsid w:val="00665B97"/>
    <w:rsid w:val="006660B2"/>
    <w:rsid w:val="00667EE9"/>
    <w:rsid w:val="0067056E"/>
    <w:rsid w:val="006730ED"/>
    <w:rsid w:val="006739CA"/>
    <w:rsid w:val="006740AE"/>
    <w:rsid w:val="0068258E"/>
    <w:rsid w:val="006826BF"/>
    <w:rsid w:val="00684B98"/>
    <w:rsid w:val="006855AC"/>
    <w:rsid w:val="00691790"/>
    <w:rsid w:val="006918C9"/>
    <w:rsid w:val="006933C3"/>
    <w:rsid w:val="0069460A"/>
    <w:rsid w:val="006956E6"/>
    <w:rsid w:val="006958A4"/>
    <w:rsid w:val="00695A4A"/>
    <w:rsid w:val="00697045"/>
    <w:rsid w:val="0069765E"/>
    <w:rsid w:val="006A003D"/>
    <w:rsid w:val="006A03F4"/>
    <w:rsid w:val="006A0DC9"/>
    <w:rsid w:val="006A19CE"/>
    <w:rsid w:val="006A27BD"/>
    <w:rsid w:val="006A337B"/>
    <w:rsid w:val="006A3871"/>
    <w:rsid w:val="006A4E08"/>
    <w:rsid w:val="006A57D6"/>
    <w:rsid w:val="006A58BC"/>
    <w:rsid w:val="006B0252"/>
    <w:rsid w:val="006B677F"/>
    <w:rsid w:val="006C1D3D"/>
    <w:rsid w:val="006C374D"/>
    <w:rsid w:val="006C40C7"/>
    <w:rsid w:val="006C4CE0"/>
    <w:rsid w:val="006C589D"/>
    <w:rsid w:val="006C602E"/>
    <w:rsid w:val="006D1285"/>
    <w:rsid w:val="006D1F09"/>
    <w:rsid w:val="006D228A"/>
    <w:rsid w:val="006D3EB7"/>
    <w:rsid w:val="006D4E7F"/>
    <w:rsid w:val="006D7B49"/>
    <w:rsid w:val="006E05A2"/>
    <w:rsid w:val="006E0A2E"/>
    <w:rsid w:val="006E1269"/>
    <w:rsid w:val="006E4AC5"/>
    <w:rsid w:val="006E7D38"/>
    <w:rsid w:val="006F0870"/>
    <w:rsid w:val="006F19BD"/>
    <w:rsid w:val="006F43CA"/>
    <w:rsid w:val="006F59F8"/>
    <w:rsid w:val="006F7EF4"/>
    <w:rsid w:val="007006BB"/>
    <w:rsid w:val="007026DD"/>
    <w:rsid w:val="00702770"/>
    <w:rsid w:val="00702931"/>
    <w:rsid w:val="00703FCE"/>
    <w:rsid w:val="007051CB"/>
    <w:rsid w:val="00705756"/>
    <w:rsid w:val="00707B68"/>
    <w:rsid w:val="007126C4"/>
    <w:rsid w:val="007176D9"/>
    <w:rsid w:val="007225FC"/>
    <w:rsid w:val="007239DD"/>
    <w:rsid w:val="007258CF"/>
    <w:rsid w:val="00730E6D"/>
    <w:rsid w:val="00732887"/>
    <w:rsid w:val="00732AE9"/>
    <w:rsid w:val="00733F14"/>
    <w:rsid w:val="00734236"/>
    <w:rsid w:val="00737731"/>
    <w:rsid w:val="00740210"/>
    <w:rsid w:val="007411D5"/>
    <w:rsid w:val="00741FC8"/>
    <w:rsid w:val="007442A6"/>
    <w:rsid w:val="00744477"/>
    <w:rsid w:val="00744C77"/>
    <w:rsid w:val="00752CA1"/>
    <w:rsid w:val="00755CF2"/>
    <w:rsid w:val="00756648"/>
    <w:rsid w:val="007572A2"/>
    <w:rsid w:val="00763887"/>
    <w:rsid w:val="00763C95"/>
    <w:rsid w:val="00764A7B"/>
    <w:rsid w:val="00767AF4"/>
    <w:rsid w:val="007724CE"/>
    <w:rsid w:val="00780C21"/>
    <w:rsid w:val="007816A4"/>
    <w:rsid w:val="0078356F"/>
    <w:rsid w:val="00784B26"/>
    <w:rsid w:val="00784FAA"/>
    <w:rsid w:val="00785A31"/>
    <w:rsid w:val="0079167D"/>
    <w:rsid w:val="00793439"/>
    <w:rsid w:val="00795F3B"/>
    <w:rsid w:val="007A0931"/>
    <w:rsid w:val="007A232F"/>
    <w:rsid w:val="007A4309"/>
    <w:rsid w:val="007A4CE3"/>
    <w:rsid w:val="007B627D"/>
    <w:rsid w:val="007B6E7F"/>
    <w:rsid w:val="007C53A1"/>
    <w:rsid w:val="007C58BD"/>
    <w:rsid w:val="007C5D4B"/>
    <w:rsid w:val="007D00B1"/>
    <w:rsid w:val="007D0E36"/>
    <w:rsid w:val="007D172F"/>
    <w:rsid w:val="007D2142"/>
    <w:rsid w:val="007D3FB1"/>
    <w:rsid w:val="007E3F69"/>
    <w:rsid w:val="007E4169"/>
    <w:rsid w:val="007E7735"/>
    <w:rsid w:val="007F1254"/>
    <w:rsid w:val="007F1374"/>
    <w:rsid w:val="007F62B1"/>
    <w:rsid w:val="0080064F"/>
    <w:rsid w:val="00800EE1"/>
    <w:rsid w:val="00801DA3"/>
    <w:rsid w:val="00811CAE"/>
    <w:rsid w:val="00812127"/>
    <w:rsid w:val="00812194"/>
    <w:rsid w:val="00821B55"/>
    <w:rsid w:val="00825DC9"/>
    <w:rsid w:val="00827725"/>
    <w:rsid w:val="00831DF3"/>
    <w:rsid w:val="008326E7"/>
    <w:rsid w:val="0083320D"/>
    <w:rsid w:val="008350E8"/>
    <w:rsid w:val="008359D2"/>
    <w:rsid w:val="00836669"/>
    <w:rsid w:val="0084241F"/>
    <w:rsid w:val="00842F21"/>
    <w:rsid w:val="00843F28"/>
    <w:rsid w:val="0084434E"/>
    <w:rsid w:val="008506B1"/>
    <w:rsid w:val="008510CC"/>
    <w:rsid w:val="00852A49"/>
    <w:rsid w:val="00853FC5"/>
    <w:rsid w:val="008563D8"/>
    <w:rsid w:val="00860C47"/>
    <w:rsid w:val="00860F73"/>
    <w:rsid w:val="00863417"/>
    <w:rsid w:val="0086343C"/>
    <w:rsid w:val="00863D76"/>
    <w:rsid w:val="0086509B"/>
    <w:rsid w:val="00865357"/>
    <w:rsid w:val="008664B7"/>
    <w:rsid w:val="0087296A"/>
    <w:rsid w:val="00876262"/>
    <w:rsid w:val="00881E21"/>
    <w:rsid w:val="00883187"/>
    <w:rsid w:val="008841CA"/>
    <w:rsid w:val="008842A6"/>
    <w:rsid w:val="00884CDA"/>
    <w:rsid w:val="0088682B"/>
    <w:rsid w:val="00891049"/>
    <w:rsid w:val="00897403"/>
    <w:rsid w:val="008A40C0"/>
    <w:rsid w:val="008A482B"/>
    <w:rsid w:val="008A4B2F"/>
    <w:rsid w:val="008A5923"/>
    <w:rsid w:val="008A6FD1"/>
    <w:rsid w:val="008B1120"/>
    <w:rsid w:val="008B1817"/>
    <w:rsid w:val="008B1AA1"/>
    <w:rsid w:val="008B1BFF"/>
    <w:rsid w:val="008B3818"/>
    <w:rsid w:val="008B4BE6"/>
    <w:rsid w:val="008C044F"/>
    <w:rsid w:val="008C29FE"/>
    <w:rsid w:val="008C2DD5"/>
    <w:rsid w:val="008C3AE8"/>
    <w:rsid w:val="008C661A"/>
    <w:rsid w:val="008D4FAD"/>
    <w:rsid w:val="008E0278"/>
    <w:rsid w:val="008E3AD6"/>
    <w:rsid w:val="008F12A1"/>
    <w:rsid w:val="008F3624"/>
    <w:rsid w:val="008F73D1"/>
    <w:rsid w:val="008F7854"/>
    <w:rsid w:val="00900093"/>
    <w:rsid w:val="009002CA"/>
    <w:rsid w:val="00903108"/>
    <w:rsid w:val="009033DF"/>
    <w:rsid w:val="00903AF9"/>
    <w:rsid w:val="0090579F"/>
    <w:rsid w:val="009143C9"/>
    <w:rsid w:val="00915A40"/>
    <w:rsid w:val="00916FA7"/>
    <w:rsid w:val="009201C9"/>
    <w:rsid w:val="00922AB8"/>
    <w:rsid w:val="00924870"/>
    <w:rsid w:val="009263C1"/>
    <w:rsid w:val="00926A93"/>
    <w:rsid w:val="00927302"/>
    <w:rsid w:val="00930424"/>
    <w:rsid w:val="009313FB"/>
    <w:rsid w:val="00935E8A"/>
    <w:rsid w:val="00942BCB"/>
    <w:rsid w:val="00942F03"/>
    <w:rsid w:val="009440B4"/>
    <w:rsid w:val="009444C7"/>
    <w:rsid w:val="009468C6"/>
    <w:rsid w:val="009474B7"/>
    <w:rsid w:val="00950DFC"/>
    <w:rsid w:val="00952A39"/>
    <w:rsid w:val="00953155"/>
    <w:rsid w:val="0095533C"/>
    <w:rsid w:val="00961B81"/>
    <w:rsid w:val="00962ED5"/>
    <w:rsid w:val="00964FF1"/>
    <w:rsid w:val="00967781"/>
    <w:rsid w:val="0097003A"/>
    <w:rsid w:val="00971561"/>
    <w:rsid w:val="00972442"/>
    <w:rsid w:val="009761DA"/>
    <w:rsid w:val="0098009E"/>
    <w:rsid w:val="00982268"/>
    <w:rsid w:val="009852E6"/>
    <w:rsid w:val="009858FE"/>
    <w:rsid w:val="009860EA"/>
    <w:rsid w:val="00990719"/>
    <w:rsid w:val="0099315C"/>
    <w:rsid w:val="00997304"/>
    <w:rsid w:val="009A025E"/>
    <w:rsid w:val="009A3F79"/>
    <w:rsid w:val="009A74BE"/>
    <w:rsid w:val="009B078B"/>
    <w:rsid w:val="009B1911"/>
    <w:rsid w:val="009B1B11"/>
    <w:rsid w:val="009B1D70"/>
    <w:rsid w:val="009B6342"/>
    <w:rsid w:val="009C02E5"/>
    <w:rsid w:val="009C0E0E"/>
    <w:rsid w:val="009C26E3"/>
    <w:rsid w:val="009C359C"/>
    <w:rsid w:val="009C47ED"/>
    <w:rsid w:val="009C6DD1"/>
    <w:rsid w:val="009C6EEE"/>
    <w:rsid w:val="009C730F"/>
    <w:rsid w:val="009C7CD6"/>
    <w:rsid w:val="009D136E"/>
    <w:rsid w:val="009D253B"/>
    <w:rsid w:val="009D2789"/>
    <w:rsid w:val="009D4C0F"/>
    <w:rsid w:val="009D5BD2"/>
    <w:rsid w:val="009D6B12"/>
    <w:rsid w:val="009D7C44"/>
    <w:rsid w:val="009E0A37"/>
    <w:rsid w:val="009E4623"/>
    <w:rsid w:val="009E6596"/>
    <w:rsid w:val="009E7B86"/>
    <w:rsid w:val="009F1E51"/>
    <w:rsid w:val="009F306A"/>
    <w:rsid w:val="009F366D"/>
    <w:rsid w:val="009F45EC"/>
    <w:rsid w:val="009F4B42"/>
    <w:rsid w:val="00A02C57"/>
    <w:rsid w:val="00A02EE4"/>
    <w:rsid w:val="00A0350D"/>
    <w:rsid w:val="00A06362"/>
    <w:rsid w:val="00A10374"/>
    <w:rsid w:val="00A11AA5"/>
    <w:rsid w:val="00A13D8B"/>
    <w:rsid w:val="00A2390C"/>
    <w:rsid w:val="00A244A2"/>
    <w:rsid w:val="00A24A81"/>
    <w:rsid w:val="00A256C2"/>
    <w:rsid w:val="00A30C86"/>
    <w:rsid w:val="00A34443"/>
    <w:rsid w:val="00A345F7"/>
    <w:rsid w:val="00A349E0"/>
    <w:rsid w:val="00A40344"/>
    <w:rsid w:val="00A404F7"/>
    <w:rsid w:val="00A42581"/>
    <w:rsid w:val="00A44792"/>
    <w:rsid w:val="00A50940"/>
    <w:rsid w:val="00A51447"/>
    <w:rsid w:val="00A52AE4"/>
    <w:rsid w:val="00A53F34"/>
    <w:rsid w:val="00A540EB"/>
    <w:rsid w:val="00A549F2"/>
    <w:rsid w:val="00A5539A"/>
    <w:rsid w:val="00A606CC"/>
    <w:rsid w:val="00A60B97"/>
    <w:rsid w:val="00A60F0E"/>
    <w:rsid w:val="00A622BF"/>
    <w:rsid w:val="00A6324A"/>
    <w:rsid w:val="00A642A9"/>
    <w:rsid w:val="00A6456E"/>
    <w:rsid w:val="00A669EC"/>
    <w:rsid w:val="00A70FCB"/>
    <w:rsid w:val="00A71E51"/>
    <w:rsid w:val="00A74C6D"/>
    <w:rsid w:val="00A75CFE"/>
    <w:rsid w:val="00A764E4"/>
    <w:rsid w:val="00A77F56"/>
    <w:rsid w:val="00A939FF"/>
    <w:rsid w:val="00A954D1"/>
    <w:rsid w:val="00A95A2D"/>
    <w:rsid w:val="00AA1109"/>
    <w:rsid w:val="00AA223A"/>
    <w:rsid w:val="00AA34B1"/>
    <w:rsid w:val="00AA3C18"/>
    <w:rsid w:val="00AA4B53"/>
    <w:rsid w:val="00AA719D"/>
    <w:rsid w:val="00AB0105"/>
    <w:rsid w:val="00AB06B2"/>
    <w:rsid w:val="00AB07B9"/>
    <w:rsid w:val="00AB1C3D"/>
    <w:rsid w:val="00AB2653"/>
    <w:rsid w:val="00AB29A8"/>
    <w:rsid w:val="00AB4D79"/>
    <w:rsid w:val="00AB7D22"/>
    <w:rsid w:val="00AC0CE7"/>
    <w:rsid w:val="00AC1A87"/>
    <w:rsid w:val="00AC22A5"/>
    <w:rsid w:val="00AC2670"/>
    <w:rsid w:val="00AD070D"/>
    <w:rsid w:val="00AD0A58"/>
    <w:rsid w:val="00AD4970"/>
    <w:rsid w:val="00AD610A"/>
    <w:rsid w:val="00AE1C50"/>
    <w:rsid w:val="00AE1F78"/>
    <w:rsid w:val="00AE5EEE"/>
    <w:rsid w:val="00AF0D75"/>
    <w:rsid w:val="00AF23AF"/>
    <w:rsid w:val="00AF33DA"/>
    <w:rsid w:val="00AF4781"/>
    <w:rsid w:val="00AF4E3A"/>
    <w:rsid w:val="00AF64D3"/>
    <w:rsid w:val="00AF6A53"/>
    <w:rsid w:val="00AF7C7B"/>
    <w:rsid w:val="00B00257"/>
    <w:rsid w:val="00B039D7"/>
    <w:rsid w:val="00B04F6B"/>
    <w:rsid w:val="00B05B57"/>
    <w:rsid w:val="00B05BBC"/>
    <w:rsid w:val="00B07F61"/>
    <w:rsid w:val="00B10549"/>
    <w:rsid w:val="00B11EFC"/>
    <w:rsid w:val="00B15210"/>
    <w:rsid w:val="00B1623B"/>
    <w:rsid w:val="00B16392"/>
    <w:rsid w:val="00B2258D"/>
    <w:rsid w:val="00B24403"/>
    <w:rsid w:val="00B25206"/>
    <w:rsid w:val="00B27455"/>
    <w:rsid w:val="00B27F95"/>
    <w:rsid w:val="00B3137F"/>
    <w:rsid w:val="00B313EF"/>
    <w:rsid w:val="00B32239"/>
    <w:rsid w:val="00B35CA6"/>
    <w:rsid w:val="00B4055C"/>
    <w:rsid w:val="00B406B4"/>
    <w:rsid w:val="00B42284"/>
    <w:rsid w:val="00B42DDB"/>
    <w:rsid w:val="00B44C08"/>
    <w:rsid w:val="00B472D0"/>
    <w:rsid w:val="00B53E63"/>
    <w:rsid w:val="00B55AC5"/>
    <w:rsid w:val="00B55F6B"/>
    <w:rsid w:val="00B6145A"/>
    <w:rsid w:val="00B61570"/>
    <w:rsid w:val="00B6585E"/>
    <w:rsid w:val="00B674FB"/>
    <w:rsid w:val="00B71414"/>
    <w:rsid w:val="00B72578"/>
    <w:rsid w:val="00B729BF"/>
    <w:rsid w:val="00B744FB"/>
    <w:rsid w:val="00B74A4F"/>
    <w:rsid w:val="00B755C5"/>
    <w:rsid w:val="00B76D63"/>
    <w:rsid w:val="00B77DE2"/>
    <w:rsid w:val="00B84A8E"/>
    <w:rsid w:val="00B85221"/>
    <w:rsid w:val="00B85252"/>
    <w:rsid w:val="00B92D67"/>
    <w:rsid w:val="00B93EF5"/>
    <w:rsid w:val="00B952D8"/>
    <w:rsid w:val="00B9590A"/>
    <w:rsid w:val="00B9615A"/>
    <w:rsid w:val="00BA0803"/>
    <w:rsid w:val="00BA1CBE"/>
    <w:rsid w:val="00BA370F"/>
    <w:rsid w:val="00BA3831"/>
    <w:rsid w:val="00BA500B"/>
    <w:rsid w:val="00BA50BC"/>
    <w:rsid w:val="00BA5B5B"/>
    <w:rsid w:val="00BB008B"/>
    <w:rsid w:val="00BB0093"/>
    <w:rsid w:val="00BB2181"/>
    <w:rsid w:val="00BB3C82"/>
    <w:rsid w:val="00BB57F6"/>
    <w:rsid w:val="00BB7932"/>
    <w:rsid w:val="00BC2684"/>
    <w:rsid w:val="00BC35AA"/>
    <w:rsid w:val="00BC3B25"/>
    <w:rsid w:val="00BC5AD2"/>
    <w:rsid w:val="00BC5BB3"/>
    <w:rsid w:val="00BC7979"/>
    <w:rsid w:val="00BD0C00"/>
    <w:rsid w:val="00BD2F0F"/>
    <w:rsid w:val="00BD53BD"/>
    <w:rsid w:val="00BD5DEF"/>
    <w:rsid w:val="00BD6200"/>
    <w:rsid w:val="00BD7C00"/>
    <w:rsid w:val="00BE123A"/>
    <w:rsid w:val="00BE2757"/>
    <w:rsid w:val="00BE4802"/>
    <w:rsid w:val="00BE74C4"/>
    <w:rsid w:val="00BF170E"/>
    <w:rsid w:val="00BF3829"/>
    <w:rsid w:val="00BF509C"/>
    <w:rsid w:val="00BF69CE"/>
    <w:rsid w:val="00BF74C6"/>
    <w:rsid w:val="00BF7CF6"/>
    <w:rsid w:val="00C00DF7"/>
    <w:rsid w:val="00C01B05"/>
    <w:rsid w:val="00C02694"/>
    <w:rsid w:val="00C069DB"/>
    <w:rsid w:val="00C11504"/>
    <w:rsid w:val="00C119D6"/>
    <w:rsid w:val="00C141D0"/>
    <w:rsid w:val="00C14C6C"/>
    <w:rsid w:val="00C156CB"/>
    <w:rsid w:val="00C16CFB"/>
    <w:rsid w:val="00C16D59"/>
    <w:rsid w:val="00C17670"/>
    <w:rsid w:val="00C20F98"/>
    <w:rsid w:val="00C21F77"/>
    <w:rsid w:val="00C249C9"/>
    <w:rsid w:val="00C25575"/>
    <w:rsid w:val="00C27BEF"/>
    <w:rsid w:val="00C30E90"/>
    <w:rsid w:val="00C31DFD"/>
    <w:rsid w:val="00C32161"/>
    <w:rsid w:val="00C32A74"/>
    <w:rsid w:val="00C33A74"/>
    <w:rsid w:val="00C33BEA"/>
    <w:rsid w:val="00C34A3D"/>
    <w:rsid w:val="00C34B95"/>
    <w:rsid w:val="00C36860"/>
    <w:rsid w:val="00C424F1"/>
    <w:rsid w:val="00C43371"/>
    <w:rsid w:val="00C4424F"/>
    <w:rsid w:val="00C445CC"/>
    <w:rsid w:val="00C4599F"/>
    <w:rsid w:val="00C45F82"/>
    <w:rsid w:val="00C475F7"/>
    <w:rsid w:val="00C53E01"/>
    <w:rsid w:val="00C55F8A"/>
    <w:rsid w:val="00C5723C"/>
    <w:rsid w:val="00C61697"/>
    <w:rsid w:val="00C66DD2"/>
    <w:rsid w:val="00C679DE"/>
    <w:rsid w:val="00C70DBB"/>
    <w:rsid w:val="00C732A5"/>
    <w:rsid w:val="00C73B94"/>
    <w:rsid w:val="00C7637E"/>
    <w:rsid w:val="00C77E9C"/>
    <w:rsid w:val="00C81CDA"/>
    <w:rsid w:val="00C83148"/>
    <w:rsid w:val="00C8354F"/>
    <w:rsid w:val="00C846A9"/>
    <w:rsid w:val="00C859C6"/>
    <w:rsid w:val="00C87B56"/>
    <w:rsid w:val="00C90AF1"/>
    <w:rsid w:val="00C92426"/>
    <w:rsid w:val="00C94889"/>
    <w:rsid w:val="00C96D2D"/>
    <w:rsid w:val="00C97610"/>
    <w:rsid w:val="00CA1827"/>
    <w:rsid w:val="00CA2822"/>
    <w:rsid w:val="00CA2AF3"/>
    <w:rsid w:val="00CA3F34"/>
    <w:rsid w:val="00CB128D"/>
    <w:rsid w:val="00CB26F8"/>
    <w:rsid w:val="00CB6832"/>
    <w:rsid w:val="00CB6841"/>
    <w:rsid w:val="00CB7480"/>
    <w:rsid w:val="00CC050A"/>
    <w:rsid w:val="00CC1D07"/>
    <w:rsid w:val="00CC365E"/>
    <w:rsid w:val="00CC59BA"/>
    <w:rsid w:val="00CC7262"/>
    <w:rsid w:val="00CC7AC8"/>
    <w:rsid w:val="00CD0459"/>
    <w:rsid w:val="00CD1ED8"/>
    <w:rsid w:val="00CD1F68"/>
    <w:rsid w:val="00CD3E6A"/>
    <w:rsid w:val="00CD77E8"/>
    <w:rsid w:val="00CE1C4A"/>
    <w:rsid w:val="00CE1F32"/>
    <w:rsid w:val="00CE20B1"/>
    <w:rsid w:val="00CE224F"/>
    <w:rsid w:val="00CE48DC"/>
    <w:rsid w:val="00CF0410"/>
    <w:rsid w:val="00CF11F7"/>
    <w:rsid w:val="00CF1BF6"/>
    <w:rsid w:val="00CF2874"/>
    <w:rsid w:val="00CF6CCE"/>
    <w:rsid w:val="00D00C36"/>
    <w:rsid w:val="00D0145D"/>
    <w:rsid w:val="00D01717"/>
    <w:rsid w:val="00D0230C"/>
    <w:rsid w:val="00D02424"/>
    <w:rsid w:val="00D041AE"/>
    <w:rsid w:val="00D046DF"/>
    <w:rsid w:val="00D07452"/>
    <w:rsid w:val="00D07A16"/>
    <w:rsid w:val="00D10E67"/>
    <w:rsid w:val="00D12DE0"/>
    <w:rsid w:val="00D13F52"/>
    <w:rsid w:val="00D14E81"/>
    <w:rsid w:val="00D1647F"/>
    <w:rsid w:val="00D16C96"/>
    <w:rsid w:val="00D17ACE"/>
    <w:rsid w:val="00D20F95"/>
    <w:rsid w:val="00D30E66"/>
    <w:rsid w:val="00D36607"/>
    <w:rsid w:val="00D3779C"/>
    <w:rsid w:val="00D37DCA"/>
    <w:rsid w:val="00D44292"/>
    <w:rsid w:val="00D50328"/>
    <w:rsid w:val="00D51B73"/>
    <w:rsid w:val="00D54373"/>
    <w:rsid w:val="00D60261"/>
    <w:rsid w:val="00D60709"/>
    <w:rsid w:val="00D61997"/>
    <w:rsid w:val="00D62225"/>
    <w:rsid w:val="00D643BA"/>
    <w:rsid w:val="00D65D20"/>
    <w:rsid w:val="00D745DA"/>
    <w:rsid w:val="00D76764"/>
    <w:rsid w:val="00D777DE"/>
    <w:rsid w:val="00D77DA5"/>
    <w:rsid w:val="00D82320"/>
    <w:rsid w:val="00D84420"/>
    <w:rsid w:val="00D84913"/>
    <w:rsid w:val="00D8492D"/>
    <w:rsid w:val="00D85438"/>
    <w:rsid w:val="00D85681"/>
    <w:rsid w:val="00D8732D"/>
    <w:rsid w:val="00D927DB"/>
    <w:rsid w:val="00D937E8"/>
    <w:rsid w:val="00DA0D76"/>
    <w:rsid w:val="00DA1274"/>
    <w:rsid w:val="00DA133C"/>
    <w:rsid w:val="00DA2858"/>
    <w:rsid w:val="00DA2B1D"/>
    <w:rsid w:val="00DA30A3"/>
    <w:rsid w:val="00DA7173"/>
    <w:rsid w:val="00DB0A51"/>
    <w:rsid w:val="00DB37A7"/>
    <w:rsid w:val="00DB55FD"/>
    <w:rsid w:val="00DB7EE7"/>
    <w:rsid w:val="00DC0474"/>
    <w:rsid w:val="00DC1CB0"/>
    <w:rsid w:val="00DC3E82"/>
    <w:rsid w:val="00DC529B"/>
    <w:rsid w:val="00DC79AF"/>
    <w:rsid w:val="00DD14B3"/>
    <w:rsid w:val="00DD563C"/>
    <w:rsid w:val="00DE06EE"/>
    <w:rsid w:val="00DE0AE6"/>
    <w:rsid w:val="00DE3A9A"/>
    <w:rsid w:val="00DE478D"/>
    <w:rsid w:val="00DE51E1"/>
    <w:rsid w:val="00DE729A"/>
    <w:rsid w:val="00DE7359"/>
    <w:rsid w:val="00DE7502"/>
    <w:rsid w:val="00DF0141"/>
    <w:rsid w:val="00DF0807"/>
    <w:rsid w:val="00DF2703"/>
    <w:rsid w:val="00DF284B"/>
    <w:rsid w:val="00DF513B"/>
    <w:rsid w:val="00DF7176"/>
    <w:rsid w:val="00DF71E8"/>
    <w:rsid w:val="00E02055"/>
    <w:rsid w:val="00E0352C"/>
    <w:rsid w:val="00E03AB6"/>
    <w:rsid w:val="00E03C50"/>
    <w:rsid w:val="00E07BB2"/>
    <w:rsid w:val="00E1085A"/>
    <w:rsid w:val="00E11610"/>
    <w:rsid w:val="00E11E1A"/>
    <w:rsid w:val="00E12C95"/>
    <w:rsid w:val="00E14566"/>
    <w:rsid w:val="00E14911"/>
    <w:rsid w:val="00E153A1"/>
    <w:rsid w:val="00E22660"/>
    <w:rsid w:val="00E22B2C"/>
    <w:rsid w:val="00E22E54"/>
    <w:rsid w:val="00E232E0"/>
    <w:rsid w:val="00E23A5B"/>
    <w:rsid w:val="00E24349"/>
    <w:rsid w:val="00E260F7"/>
    <w:rsid w:val="00E2684E"/>
    <w:rsid w:val="00E3030C"/>
    <w:rsid w:val="00E32A92"/>
    <w:rsid w:val="00E32EAF"/>
    <w:rsid w:val="00E34BF8"/>
    <w:rsid w:val="00E37CB7"/>
    <w:rsid w:val="00E42793"/>
    <w:rsid w:val="00E4369C"/>
    <w:rsid w:val="00E442E1"/>
    <w:rsid w:val="00E44F7F"/>
    <w:rsid w:val="00E452C3"/>
    <w:rsid w:val="00E46F18"/>
    <w:rsid w:val="00E50CC8"/>
    <w:rsid w:val="00E51FE8"/>
    <w:rsid w:val="00E5244F"/>
    <w:rsid w:val="00E53868"/>
    <w:rsid w:val="00E54505"/>
    <w:rsid w:val="00E54C93"/>
    <w:rsid w:val="00E55E57"/>
    <w:rsid w:val="00E56249"/>
    <w:rsid w:val="00E56F7D"/>
    <w:rsid w:val="00E61B8F"/>
    <w:rsid w:val="00E61E31"/>
    <w:rsid w:val="00E679FA"/>
    <w:rsid w:val="00E67ACE"/>
    <w:rsid w:val="00E67BA7"/>
    <w:rsid w:val="00E70AF5"/>
    <w:rsid w:val="00E71767"/>
    <w:rsid w:val="00E757FD"/>
    <w:rsid w:val="00E75D1A"/>
    <w:rsid w:val="00E82EA9"/>
    <w:rsid w:val="00E83E8C"/>
    <w:rsid w:val="00E84140"/>
    <w:rsid w:val="00E86515"/>
    <w:rsid w:val="00E8726C"/>
    <w:rsid w:val="00E9054F"/>
    <w:rsid w:val="00E93D69"/>
    <w:rsid w:val="00E94FA8"/>
    <w:rsid w:val="00EA10E1"/>
    <w:rsid w:val="00EA5B6C"/>
    <w:rsid w:val="00EA5F31"/>
    <w:rsid w:val="00EB4E93"/>
    <w:rsid w:val="00EB4FD7"/>
    <w:rsid w:val="00EB632C"/>
    <w:rsid w:val="00EB6D11"/>
    <w:rsid w:val="00EB7D55"/>
    <w:rsid w:val="00EC241E"/>
    <w:rsid w:val="00EC2F39"/>
    <w:rsid w:val="00EC564B"/>
    <w:rsid w:val="00EC6F58"/>
    <w:rsid w:val="00EC77F5"/>
    <w:rsid w:val="00ED2140"/>
    <w:rsid w:val="00ED29FB"/>
    <w:rsid w:val="00ED4634"/>
    <w:rsid w:val="00ED4799"/>
    <w:rsid w:val="00ED7CB3"/>
    <w:rsid w:val="00EE1123"/>
    <w:rsid w:val="00EE1706"/>
    <w:rsid w:val="00EE1ACD"/>
    <w:rsid w:val="00EE3A4F"/>
    <w:rsid w:val="00EF0C91"/>
    <w:rsid w:val="00EF2660"/>
    <w:rsid w:val="00EF26A2"/>
    <w:rsid w:val="00EF3358"/>
    <w:rsid w:val="00EF3B91"/>
    <w:rsid w:val="00EF5966"/>
    <w:rsid w:val="00F06892"/>
    <w:rsid w:val="00F11A74"/>
    <w:rsid w:val="00F11BAB"/>
    <w:rsid w:val="00F13ADC"/>
    <w:rsid w:val="00F15FB8"/>
    <w:rsid w:val="00F1668A"/>
    <w:rsid w:val="00F23BDC"/>
    <w:rsid w:val="00F23FA5"/>
    <w:rsid w:val="00F269DE"/>
    <w:rsid w:val="00F26A4B"/>
    <w:rsid w:val="00F27F25"/>
    <w:rsid w:val="00F30C7A"/>
    <w:rsid w:val="00F31636"/>
    <w:rsid w:val="00F376E3"/>
    <w:rsid w:val="00F37ED4"/>
    <w:rsid w:val="00F40A46"/>
    <w:rsid w:val="00F40F46"/>
    <w:rsid w:val="00F41D12"/>
    <w:rsid w:val="00F4210D"/>
    <w:rsid w:val="00F4445B"/>
    <w:rsid w:val="00F45235"/>
    <w:rsid w:val="00F45638"/>
    <w:rsid w:val="00F475F5"/>
    <w:rsid w:val="00F50B3C"/>
    <w:rsid w:val="00F5592A"/>
    <w:rsid w:val="00F57E9D"/>
    <w:rsid w:val="00F635FC"/>
    <w:rsid w:val="00F66E1A"/>
    <w:rsid w:val="00F70660"/>
    <w:rsid w:val="00F70EAE"/>
    <w:rsid w:val="00F71EBB"/>
    <w:rsid w:val="00F728DA"/>
    <w:rsid w:val="00F7310B"/>
    <w:rsid w:val="00F7367F"/>
    <w:rsid w:val="00F736BF"/>
    <w:rsid w:val="00F74360"/>
    <w:rsid w:val="00F82258"/>
    <w:rsid w:val="00F8554D"/>
    <w:rsid w:val="00F85F76"/>
    <w:rsid w:val="00F86ABC"/>
    <w:rsid w:val="00F8742F"/>
    <w:rsid w:val="00F901BD"/>
    <w:rsid w:val="00F95F4A"/>
    <w:rsid w:val="00F962B1"/>
    <w:rsid w:val="00FA07A5"/>
    <w:rsid w:val="00FA3382"/>
    <w:rsid w:val="00FA6A28"/>
    <w:rsid w:val="00FB2C39"/>
    <w:rsid w:val="00FB4E60"/>
    <w:rsid w:val="00FB4F6A"/>
    <w:rsid w:val="00FB6FC0"/>
    <w:rsid w:val="00FB7198"/>
    <w:rsid w:val="00FB7854"/>
    <w:rsid w:val="00FB78A7"/>
    <w:rsid w:val="00FC08FB"/>
    <w:rsid w:val="00FC1520"/>
    <w:rsid w:val="00FC273B"/>
    <w:rsid w:val="00FC4ACC"/>
    <w:rsid w:val="00FC5B9A"/>
    <w:rsid w:val="00FC7796"/>
    <w:rsid w:val="00FD0892"/>
    <w:rsid w:val="00FD2D98"/>
    <w:rsid w:val="00FD5243"/>
    <w:rsid w:val="00FD6782"/>
    <w:rsid w:val="00FE1B07"/>
    <w:rsid w:val="00FE58B8"/>
    <w:rsid w:val="00FE7186"/>
    <w:rsid w:val="00FF3986"/>
    <w:rsid w:val="00FF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8A"/>
    <w:pPr>
      <w:ind w:firstLine="0"/>
      <w:jc w:val="left"/>
    </w:pPr>
    <w:rPr>
      <w:sz w:val="24"/>
      <w:szCs w:val="24"/>
      <w:lang w:val="ro-RO" w:eastAsia="en-GB"/>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single space"/>
    <w:basedOn w:val="Normal"/>
    <w:link w:val="FootnoteTextChar"/>
    <w:unhideWhenUsed/>
    <w:qFormat/>
    <w:pPr>
      <w:spacing w:after="40"/>
    </w:pPr>
    <w:rPr>
      <w:sz w:val="18"/>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Pr>
      <w:sz w:val="18"/>
    </w:rPr>
  </w:style>
  <w:style w:type="character" w:styleId="FootnoteReference">
    <w:name w:val="footnote reference"/>
    <w:aliases w:val="SUPERS,BVI fnr,Footnote symbol,Footnote Reference Superscript,(Footnote Reference),Footnote reference number,note TESI,EN Footnote Reference,Voetnootverwijzing,Times 10 Point,Exposant 3 Point,Appel note de bas de,No"/>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pPr>
    <w:rPr>
      <w:rFonts w:ascii="Arial" w:eastAsia="Batang" w:hAnsi="Arial" w:cs="Arial"/>
    </w:rPr>
  </w:style>
  <w:style w:type="paragraph" w:styleId="NormalWeb">
    <w:name w:val="Normal (Web)"/>
    <w:basedOn w:val="Normal"/>
    <w:uiPriority w:val="99"/>
    <w:unhideWhenUsed/>
    <w:pPr>
      <w:ind w:firstLine="567"/>
    </w:pPr>
    <w:rPr>
      <w:lang w:val="ru-RU" w:eastAsia="ru-RU"/>
    </w:rPr>
  </w:style>
  <w:style w:type="paragraph" w:customStyle="1" w:styleId="cn">
    <w:name w:val="cn"/>
    <w:basedOn w:val="Normal"/>
    <w:pPr>
      <w:jc w:val="center"/>
    </w:pPr>
    <w:rPr>
      <w:lang w:val="ru-RU" w:eastAsia="ru-RU"/>
    </w:rPr>
  </w:style>
  <w:style w:type="paragraph" w:customStyle="1" w:styleId="cb">
    <w:name w:val="cb"/>
    <w:basedOn w:val="Normal"/>
    <w:uiPriority w:val="99"/>
    <w:semiHidden/>
    <w:pPr>
      <w:jc w:val="center"/>
    </w:pPr>
    <w:rPr>
      <w:b/>
      <w:bCs/>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X Bullet,En tête 1,Indent Paragraph,Table/Figure Heading,Heading,Heading 2_sj,Dot pt,Numbered Para 1,No Spacing1,List Paragraph Char Char Char,Indicator Text,Bullet 1,List Paragraph1,Bullet Points,MAIN CONTENT,List Paragraph12,Bullet EY"/>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jc w:val="center"/>
    </w:pPr>
    <w:rPr>
      <w:b/>
      <w:bCs/>
      <w:lang w:val="ru-RU" w:eastAsia="ru-RU"/>
    </w:rPr>
  </w:style>
  <w:style w:type="paragraph" w:customStyle="1" w:styleId="CharChar0">
    <w:name w:val="Char Char Знак Знак"/>
    <w:basedOn w:val="Normal"/>
    <w:pPr>
      <w:spacing w:after="160" w:line="240" w:lineRule="exac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lang w:val="ru-RU" w:eastAsia="ru-RU"/>
    </w:rPr>
  </w:style>
  <w:style w:type="paragraph" w:customStyle="1" w:styleId="Style8">
    <w:name w:val="Style8"/>
    <w:basedOn w:val="Normal"/>
    <w:uiPriority w:val="99"/>
    <w:pPr>
      <w:widowControl w:val="0"/>
      <w:spacing w:line="317" w:lineRule="exact"/>
    </w:pPr>
    <w:rPr>
      <w:rFonts w:eastAsiaTheme="minorEastAsia"/>
      <w:lang w:val="ru-RU" w:eastAsia="ru-RU"/>
    </w:rPr>
  </w:style>
  <w:style w:type="paragraph" w:customStyle="1" w:styleId="Style9">
    <w:name w:val="Style9"/>
    <w:basedOn w:val="Normal"/>
    <w:uiPriority w:val="99"/>
    <w:pPr>
      <w:widowControl w:val="0"/>
      <w:spacing w:line="326" w:lineRule="exact"/>
      <w:ind w:firstLine="398"/>
    </w:pPr>
    <w:rPr>
      <w:rFonts w:eastAsiaTheme="minorEastAsia"/>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pPr>
    <w:rPr>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paragraph" w:styleId="BodyText">
    <w:name w:val="Body Text"/>
    <w:basedOn w:val="Normal"/>
    <w:link w:val="BodyTextChar"/>
    <w:uiPriority w:val="1"/>
    <w:qFormat/>
    <w:rsid w:val="004169F8"/>
    <w:pPr>
      <w:widowControl w:val="0"/>
      <w:autoSpaceDE w:val="0"/>
      <w:autoSpaceDN w:val="0"/>
    </w:pPr>
    <w:rPr>
      <w:sz w:val="28"/>
      <w:szCs w:val="28"/>
    </w:rPr>
  </w:style>
  <w:style w:type="character" w:customStyle="1" w:styleId="BodyTextChar">
    <w:name w:val="Body Text Char"/>
    <w:basedOn w:val="DefaultParagraphFont"/>
    <w:link w:val="BodyText"/>
    <w:uiPriority w:val="1"/>
    <w:rsid w:val="004169F8"/>
    <w:rPr>
      <w:sz w:val="28"/>
      <w:szCs w:val="28"/>
      <w:lang w:val="ro-RO" w:eastAsia="en-US"/>
    </w:rPr>
  </w:style>
  <w:style w:type="character" w:customStyle="1" w:styleId="ListParagraphChar">
    <w:name w:val="List Paragraph Char"/>
    <w:aliases w:val="EX Bullet Char,En tête 1 Char,Indent Paragraph Char,Table/Figure Heading Char,Heading Char,Heading 2_sj Char,Dot pt Char,Numbered Para 1 Char,No Spacing1 Char,List Paragraph Char Char Char Char,Indicator Text Char,Bullet 1 Char"/>
    <w:link w:val="ListParagraph"/>
    <w:uiPriority w:val="34"/>
    <w:qFormat/>
    <w:locked/>
    <w:rsid w:val="00234AA7"/>
    <w:rPr>
      <w:lang w:val="en-US" w:eastAsia="en-US"/>
    </w:rPr>
  </w:style>
  <w:style w:type="paragraph" w:customStyle="1" w:styleId="oj-doc-ti">
    <w:name w:val="oj-doc-ti"/>
    <w:basedOn w:val="Normal"/>
    <w:rsid w:val="00234AA7"/>
    <w:pPr>
      <w:spacing w:before="100" w:beforeAutospacing="1" w:after="100" w:afterAutospacing="1"/>
    </w:pPr>
  </w:style>
  <w:style w:type="character" w:styleId="Emphasis">
    <w:name w:val="Emphasis"/>
    <w:basedOn w:val="DefaultParagraphFont"/>
    <w:uiPriority w:val="20"/>
    <w:qFormat/>
    <w:rsid w:val="007D3FB1"/>
    <w:rPr>
      <w:i/>
      <w:iCs/>
    </w:rPr>
  </w:style>
  <w:style w:type="character" w:styleId="UnresolvedMention">
    <w:name w:val="Unresolved Mention"/>
    <w:basedOn w:val="DefaultParagraphFont"/>
    <w:uiPriority w:val="99"/>
    <w:semiHidden/>
    <w:unhideWhenUsed/>
    <w:rsid w:val="00AB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5936">
      <w:bodyDiv w:val="1"/>
      <w:marLeft w:val="0"/>
      <w:marRight w:val="0"/>
      <w:marTop w:val="0"/>
      <w:marBottom w:val="0"/>
      <w:divBdr>
        <w:top w:val="none" w:sz="0" w:space="0" w:color="auto"/>
        <w:left w:val="none" w:sz="0" w:space="0" w:color="auto"/>
        <w:bottom w:val="none" w:sz="0" w:space="0" w:color="auto"/>
        <w:right w:val="none" w:sz="0" w:space="0" w:color="auto"/>
      </w:divBdr>
    </w:div>
    <w:div w:id="127088987">
      <w:bodyDiv w:val="1"/>
      <w:marLeft w:val="0"/>
      <w:marRight w:val="0"/>
      <w:marTop w:val="0"/>
      <w:marBottom w:val="0"/>
      <w:divBdr>
        <w:top w:val="none" w:sz="0" w:space="0" w:color="auto"/>
        <w:left w:val="none" w:sz="0" w:space="0" w:color="auto"/>
        <w:bottom w:val="none" w:sz="0" w:space="0" w:color="auto"/>
        <w:right w:val="none" w:sz="0" w:space="0" w:color="auto"/>
      </w:divBdr>
    </w:div>
    <w:div w:id="271982398">
      <w:bodyDiv w:val="1"/>
      <w:marLeft w:val="0"/>
      <w:marRight w:val="0"/>
      <w:marTop w:val="0"/>
      <w:marBottom w:val="0"/>
      <w:divBdr>
        <w:top w:val="none" w:sz="0" w:space="0" w:color="auto"/>
        <w:left w:val="none" w:sz="0" w:space="0" w:color="auto"/>
        <w:bottom w:val="none" w:sz="0" w:space="0" w:color="auto"/>
        <w:right w:val="none" w:sz="0" w:space="0" w:color="auto"/>
      </w:divBdr>
    </w:div>
    <w:div w:id="286359445">
      <w:bodyDiv w:val="1"/>
      <w:marLeft w:val="0"/>
      <w:marRight w:val="0"/>
      <w:marTop w:val="0"/>
      <w:marBottom w:val="0"/>
      <w:divBdr>
        <w:top w:val="none" w:sz="0" w:space="0" w:color="auto"/>
        <w:left w:val="none" w:sz="0" w:space="0" w:color="auto"/>
        <w:bottom w:val="none" w:sz="0" w:space="0" w:color="auto"/>
        <w:right w:val="none" w:sz="0" w:space="0" w:color="auto"/>
      </w:divBdr>
    </w:div>
    <w:div w:id="293296375">
      <w:bodyDiv w:val="1"/>
      <w:marLeft w:val="0"/>
      <w:marRight w:val="0"/>
      <w:marTop w:val="0"/>
      <w:marBottom w:val="0"/>
      <w:divBdr>
        <w:top w:val="none" w:sz="0" w:space="0" w:color="auto"/>
        <w:left w:val="none" w:sz="0" w:space="0" w:color="auto"/>
        <w:bottom w:val="none" w:sz="0" w:space="0" w:color="auto"/>
        <w:right w:val="none" w:sz="0" w:space="0" w:color="auto"/>
      </w:divBdr>
    </w:div>
    <w:div w:id="314381516">
      <w:bodyDiv w:val="1"/>
      <w:marLeft w:val="0"/>
      <w:marRight w:val="0"/>
      <w:marTop w:val="0"/>
      <w:marBottom w:val="0"/>
      <w:divBdr>
        <w:top w:val="none" w:sz="0" w:space="0" w:color="auto"/>
        <w:left w:val="none" w:sz="0" w:space="0" w:color="auto"/>
        <w:bottom w:val="none" w:sz="0" w:space="0" w:color="auto"/>
        <w:right w:val="none" w:sz="0" w:space="0" w:color="auto"/>
      </w:divBdr>
    </w:div>
    <w:div w:id="422067883">
      <w:bodyDiv w:val="1"/>
      <w:marLeft w:val="0"/>
      <w:marRight w:val="0"/>
      <w:marTop w:val="0"/>
      <w:marBottom w:val="0"/>
      <w:divBdr>
        <w:top w:val="none" w:sz="0" w:space="0" w:color="auto"/>
        <w:left w:val="none" w:sz="0" w:space="0" w:color="auto"/>
        <w:bottom w:val="none" w:sz="0" w:space="0" w:color="auto"/>
        <w:right w:val="none" w:sz="0" w:space="0" w:color="auto"/>
      </w:divBdr>
    </w:div>
    <w:div w:id="429662772">
      <w:bodyDiv w:val="1"/>
      <w:marLeft w:val="0"/>
      <w:marRight w:val="0"/>
      <w:marTop w:val="0"/>
      <w:marBottom w:val="0"/>
      <w:divBdr>
        <w:top w:val="none" w:sz="0" w:space="0" w:color="auto"/>
        <w:left w:val="none" w:sz="0" w:space="0" w:color="auto"/>
        <w:bottom w:val="none" w:sz="0" w:space="0" w:color="auto"/>
        <w:right w:val="none" w:sz="0" w:space="0" w:color="auto"/>
      </w:divBdr>
    </w:div>
    <w:div w:id="459539667">
      <w:bodyDiv w:val="1"/>
      <w:marLeft w:val="0"/>
      <w:marRight w:val="0"/>
      <w:marTop w:val="0"/>
      <w:marBottom w:val="0"/>
      <w:divBdr>
        <w:top w:val="none" w:sz="0" w:space="0" w:color="auto"/>
        <w:left w:val="none" w:sz="0" w:space="0" w:color="auto"/>
        <w:bottom w:val="none" w:sz="0" w:space="0" w:color="auto"/>
        <w:right w:val="none" w:sz="0" w:space="0" w:color="auto"/>
      </w:divBdr>
    </w:div>
    <w:div w:id="489977961">
      <w:bodyDiv w:val="1"/>
      <w:marLeft w:val="0"/>
      <w:marRight w:val="0"/>
      <w:marTop w:val="0"/>
      <w:marBottom w:val="0"/>
      <w:divBdr>
        <w:top w:val="none" w:sz="0" w:space="0" w:color="auto"/>
        <w:left w:val="none" w:sz="0" w:space="0" w:color="auto"/>
        <w:bottom w:val="none" w:sz="0" w:space="0" w:color="auto"/>
        <w:right w:val="none" w:sz="0" w:space="0" w:color="auto"/>
      </w:divBdr>
    </w:div>
    <w:div w:id="572937178">
      <w:bodyDiv w:val="1"/>
      <w:marLeft w:val="0"/>
      <w:marRight w:val="0"/>
      <w:marTop w:val="0"/>
      <w:marBottom w:val="0"/>
      <w:divBdr>
        <w:top w:val="none" w:sz="0" w:space="0" w:color="auto"/>
        <w:left w:val="none" w:sz="0" w:space="0" w:color="auto"/>
        <w:bottom w:val="none" w:sz="0" w:space="0" w:color="auto"/>
        <w:right w:val="none" w:sz="0" w:space="0" w:color="auto"/>
      </w:divBdr>
    </w:div>
    <w:div w:id="638845052">
      <w:bodyDiv w:val="1"/>
      <w:marLeft w:val="0"/>
      <w:marRight w:val="0"/>
      <w:marTop w:val="0"/>
      <w:marBottom w:val="0"/>
      <w:divBdr>
        <w:top w:val="none" w:sz="0" w:space="0" w:color="auto"/>
        <w:left w:val="none" w:sz="0" w:space="0" w:color="auto"/>
        <w:bottom w:val="none" w:sz="0" w:space="0" w:color="auto"/>
        <w:right w:val="none" w:sz="0" w:space="0" w:color="auto"/>
      </w:divBdr>
    </w:div>
    <w:div w:id="660236772">
      <w:bodyDiv w:val="1"/>
      <w:marLeft w:val="0"/>
      <w:marRight w:val="0"/>
      <w:marTop w:val="0"/>
      <w:marBottom w:val="0"/>
      <w:divBdr>
        <w:top w:val="none" w:sz="0" w:space="0" w:color="auto"/>
        <w:left w:val="none" w:sz="0" w:space="0" w:color="auto"/>
        <w:bottom w:val="none" w:sz="0" w:space="0" w:color="auto"/>
        <w:right w:val="none" w:sz="0" w:space="0" w:color="auto"/>
      </w:divBdr>
    </w:div>
    <w:div w:id="669454361">
      <w:bodyDiv w:val="1"/>
      <w:marLeft w:val="0"/>
      <w:marRight w:val="0"/>
      <w:marTop w:val="0"/>
      <w:marBottom w:val="0"/>
      <w:divBdr>
        <w:top w:val="none" w:sz="0" w:space="0" w:color="auto"/>
        <w:left w:val="none" w:sz="0" w:space="0" w:color="auto"/>
        <w:bottom w:val="none" w:sz="0" w:space="0" w:color="auto"/>
        <w:right w:val="none" w:sz="0" w:space="0" w:color="auto"/>
      </w:divBdr>
    </w:div>
    <w:div w:id="680819302">
      <w:bodyDiv w:val="1"/>
      <w:marLeft w:val="0"/>
      <w:marRight w:val="0"/>
      <w:marTop w:val="0"/>
      <w:marBottom w:val="0"/>
      <w:divBdr>
        <w:top w:val="none" w:sz="0" w:space="0" w:color="auto"/>
        <w:left w:val="none" w:sz="0" w:space="0" w:color="auto"/>
        <w:bottom w:val="none" w:sz="0" w:space="0" w:color="auto"/>
        <w:right w:val="none" w:sz="0" w:space="0" w:color="auto"/>
      </w:divBdr>
    </w:div>
    <w:div w:id="711150366">
      <w:bodyDiv w:val="1"/>
      <w:marLeft w:val="0"/>
      <w:marRight w:val="0"/>
      <w:marTop w:val="0"/>
      <w:marBottom w:val="0"/>
      <w:divBdr>
        <w:top w:val="none" w:sz="0" w:space="0" w:color="auto"/>
        <w:left w:val="none" w:sz="0" w:space="0" w:color="auto"/>
        <w:bottom w:val="none" w:sz="0" w:space="0" w:color="auto"/>
        <w:right w:val="none" w:sz="0" w:space="0" w:color="auto"/>
      </w:divBdr>
    </w:div>
    <w:div w:id="718482115">
      <w:bodyDiv w:val="1"/>
      <w:marLeft w:val="0"/>
      <w:marRight w:val="0"/>
      <w:marTop w:val="0"/>
      <w:marBottom w:val="0"/>
      <w:divBdr>
        <w:top w:val="none" w:sz="0" w:space="0" w:color="auto"/>
        <w:left w:val="none" w:sz="0" w:space="0" w:color="auto"/>
        <w:bottom w:val="none" w:sz="0" w:space="0" w:color="auto"/>
        <w:right w:val="none" w:sz="0" w:space="0" w:color="auto"/>
      </w:divBdr>
    </w:div>
    <w:div w:id="757480077">
      <w:bodyDiv w:val="1"/>
      <w:marLeft w:val="0"/>
      <w:marRight w:val="0"/>
      <w:marTop w:val="0"/>
      <w:marBottom w:val="0"/>
      <w:divBdr>
        <w:top w:val="none" w:sz="0" w:space="0" w:color="auto"/>
        <w:left w:val="none" w:sz="0" w:space="0" w:color="auto"/>
        <w:bottom w:val="none" w:sz="0" w:space="0" w:color="auto"/>
        <w:right w:val="none" w:sz="0" w:space="0" w:color="auto"/>
      </w:divBdr>
    </w:div>
    <w:div w:id="765662146">
      <w:bodyDiv w:val="1"/>
      <w:marLeft w:val="0"/>
      <w:marRight w:val="0"/>
      <w:marTop w:val="0"/>
      <w:marBottom w:val="0"/>
      <w:divBdr>
        <w:top w:val="none" w:sz="0" w:space="0" w:color="auto"/>
        <w:left w:val="none" w:sz="0" w:space="0" w:color="auto"/>
        <w:bottom w:val="none" w:sz="0" w:space="0" w:color="auto"/>
        <w:right w:val="none" w:sz="0" w:space="0" w:color="auto"/>
      </w:divBdr>
    </w:div>
    <w:div w:id="875118424">
      <w:bodyDiv w:val="1"/>
      <w:marLeft w:val="0"/>
      <w:marRight w:val="0"/>
      <w:marTop w:val="0"/>
      <w:marBottom w:val="0"/>
      <w:divBdr>
        <w:top w:val="none" w:sz="0" w:space="0" w:color="auto"/>
        <w:left w:val="none" w:sz="0" w:space="0" w:color="auto"/>
        <w:bottom w:val="none" w:sz="0" w:space="0" w:color="auto"/>
        <w:right w:val="none" w:sz="0" w:space="0" w:color="auto"/>
      </w:divBdr>
    </w:div>
    <w:div w:id="890194853">
      <w:bodyDiv w:val="1"/>
      <w:marLeft w:val="0"/>
      <w:marRight w:val="0"/>
      <w:marTop w:val="0"/>
      <w:marBottom w:val="0"/>
      <w:divBdr>
        <w:top w:val="none" w:sz="0" w:space="0" w:color="auto"/>
        <w:left w:val="none" w:sz="0" w:space="0" w:color="auto"/>
        <w:bottom w:val="none" w:sz="0" w:space="0" w:color="auto"/>
        <w:right w:val="none" w:sz="0" w:space="0" w:color="auto"/>
      </w:divBdr>
    </w:div>
    <w:div w:id="956251690">
      <w:bodyDiv w:val="1"/>
      <w:marLeft w:val="0"/>
      <w:marRight w:val="0"/>
      <w:marTop w:val="0"/>
      <w:marBottom w:val="0"/>
      <w:divBdr>
        <w:top w:val="none" w:sz="0" w:space="0" w:color="auto"/>
        <w:left w:val="none" w:sz="0" w:space="0" w:color="auto"/>
        <w:bottom w:val="none" w:sz="0" w:space="0" w:color="auto"/>
        <w:right w:val="none" w:sz="0" w:space="0" w:color="auto"/>
      </w:divBdr>
    </w:div>
    <w:div w:id="987171734">
      <w:bodyDiv w:val="1"/>
      <w:marLeft w:val="0"/>
      <w:marRight w:val="0"/>
      <w:marTop w:val="0"/>
      <w:marBottom w:val="0"/>
      <w:divBdr>
        <w:top w:val="none" w:sz="0" w:space="0" w:color="auto"/>
        <w:left w:val="none" w:sz="0" w:space="0" w:color="auto"/>
        <w:bottom w:val="none" w:sz="0" w:space="0" w:color="auto"/>
        <w:right w:val="none" w:sz="0" w:space="0" w:color="auto"/>
      </w:divBdr>
    </w:div>
    <w:div w:id="1012880843">
      <w:bodyDiv w:val="1"/>
      <w:marLeft w:val="0"/>
      <w:marRight w:val="0"/>
      <w:marTop w:val="0"/>
      <w:marBottom w:val="0"/>
      <w:divBdr>
        <w:top w:val="none" w:sz="0" w:space="0" w:color="auto"/>
        <w:left w:val="none" w:sz="0" w:space="0" w:color="auto"/>
        <w:bottom w:val="none" w:sz="0" w:space="0" w:color="auto"/>
        <w:right w:val="none" w:sz="0" w:space="0" w:color="auto"/>
      </w:divBdr>
    </w:div>
    <w:div w:id="1018508922">
      <w:bodyDiv w:val="1"/>
      <w:marLeft w:val="0"/>
      <w:marRight w:val="0"/>
      <w:marTop w:val="0"/>
      <w:marBottom w:val="0"/>
      <w:divBdr>
        <w:top w:val="none" w:sz="0" w:space="0" w:color="auto"/>
        <w:left w:val="none" w:sz="0" w:space="0" w:color="auto"/>
        <w:bottom w:val="none" w:sz="0" w:space="0" w:color="auto"/>
        <w:right w:val="none" w:sz="0" w:space="0" w:color="auto"/>
      </w:divBdr>
    </w:div>
    <w:div w:id="1048148128">
      <w:bodyDiv w:val="1"/>
      <w:marLeft w:val="0"/>
      <w:marRight w:val="0"/>
      <w:marTop w:val="0"/>
      <w:marBottom w:val="0"/>
      <w:divBdr>
        <w:top w:val="none" w:sz="0" w:space="0" w:color="auto"/>
        <w:left w:val="none" w:sz="0" w:space="0" w:color="auto"/>
        <w:bottom w:val="none" w:sz="0" w:space="0" w:color="auto"/>
        <w:right w:val="none" w:sz="0" w:space="0" w:color="auto"/>
      </w:divBdr>
    </w:div>
    <w:div w:id="1077898047">
      <w:bodyDiv w:val="1"/>
      <w:marLeft w:val="0"/>
      <w:marRight w:val="0"/>
      <w:marTop w:val="0"/>
      <w:marBottom w:val="0"/>
      <w:divBdr>
        <w:top w:val="none" w:sz="0" w:space="0" w:color="auto"/>
        <w:left w:val="none" w:sz="0" w:space="0" w:color="auto"/>
        <w:bottom w:val="none" w:sz="0" w:space="0" w:color="auto"/>
        <w:right w:val="none" w:sz="0" w:space="0" w:color="auto"/>
      </w:divBdr>
    </w:div>
    <w:div w:id="1079790034">
      <w:bodyDiv w:val="1"/>
      <w:marLeft w:val="0"/>
      <w:marRight w:val="0"/>
      <w:marTop w:val="0"/>
      <w:marBottom w:val="0"/>
      <w:divBdr>
        <w:top w:val="none" w:sz="0" w:space="0" w:color="auto"/>
        <w:left w:val="none" w:sz="0" w:space="0" w:color="auto"/>
        <w:bottom w:val="none" w:sz="0" w:space="0" w:color="auto"/>
        <w:right w:val="none" w:sz="0" w:space="0" w:color="auto"/>
      </w:divBdr>
    </w:div>
    <w:div w:id="1082408414">
      <w:bodyDiv w:val="1"/>
      <w:marLeft w:val="0"/>
      <w:marRight w:val="0"/>
      <w:marTop w:val="0"/>
      <w:marBottom w:val="0"/>
      <w:divBdr>
        <w:top w:val="none" w:sz="0" w:space="0" w:color="auto"/>
        <w:left w:val="none" w:sz="0" w:space="0" w:color="auto"/>
        <w:bottom w:val="none" w:sz="0" w:space="0" w:color="auto"/>
        <w:right w:val="none" w:sz="0" w:space="0" w:color="auto"/>
      </w:divBdr>
    </w:div>
    <w:div w:id="1113938508">
      <w:bodyDiv w:val="1"/>
      <w:marLeft w:val="0"/>
      <w:marRight w:val="0"/>
      <w:marTop w:val="0"/>
      <w:marBottom w:val="0"/>
      <w:divBdr>
        <w:top w:val="none" w:sz="0" w:space="0" w:color="auto"/>
        <w:left w:val="none" w:sz="0" w:space="0" w:color="auto"/>
        <w:bottom w:val="none" w:sz="0" w:space="0" w:color="auto"/>
        <w:right w:val="none" w:sz="0" w:space="0" w:color="auto"/>
      </w:divBdr>
    </w:div>
    <w:div w:id="1141506991">
      <w:bodyDiv w:val="1"/>
      <w:marLeft w:val="0"/>
      <w:marRight w:val="0"/>
      <w:marTop w:val="0"/>
      <w:marBottom w:val="0"/>
      <w:divBdr>
        <w:top w:val="none" w:sz="0" w:space="0" w:color="auto"/>
        <w:left w:val="none" w:sz="0" w:space="0" w:color="auto"/>
        <w:bottom w:val="none" w:sz="0" w:space="0" w:color="auto"/>
        <w:right w:val="none" w:sz="0" w:space="0" w:color="auto"/>
      </w:divBdr>
    </w:div>
    <w:div w:id="1173912211">
      <w:bodyDiv w:val="1"/>
      <w:marLeft w:val="0"/>
      <w:marRight w:val="0"/>
      <w:marTop w:val="0"/>
      <w:marBottom w:val="0"/>
      <w:divBdr>
        <w:top w:val="none" w:sz="0" w:space="0" w:color="auto"/>
        <w:left w:val="none" w:sz="0" w:space="0" w:color="auto"/>
        <w:bottom w:val="none" w:sz="0" w:space="0" w:color="auto"/>
        <w:right w:val="none" w:sz="0" w:space="0" w:color="auto"/>
      </w:divBdr>
    </w:div>
    <w:div w:id="1185900483">
      <w:bodyDiv w:val="1"/>
      <w:marLeft w:val="0"/>
      <w:marRight w:val="0"/>
      <w:marTop w:val="0"/>
      <w:marBottom w:val="0"/>
      <w:divBdr>
        <w:top w:val="none" w:sz="0" w:space="0" w:color="auto"/>
        <w:left w:val="none" w:sz="0" w:space="0" w:color="auto"/>
        <w:bottom w:val="none" w:sz="0" w:space="0" w:color="auto"/>
        <w:right w:val="none" w:sz="0" w:space="0" w:color="auto"/>
      </w:divBdr>
    </w:div>
    <w:div w:id="1193804346">
      <w:bodyDiv w:val="1"/>
      <w:marLeft w:val="0"/>
      <w:marRight w:val="0"/>
      <w:marTop w:val="0"/>
      <w:marBottom w:val="0"/>
      <w:divBdr>
        <w:top w:val="none" w:sz="0" w:space="0" w:color="auto"/>
        <w:left w:val="none" w:sz="0" w:space="0" w:color="auto"/>
        <w:bottom w:val="none" w:sz="0" w:space="0" w:color="auto"/>
        <w:right w:val="none" w:sz="0" w:space="0" w:color="auto"/>
      </w:divBdr>
    </w:div>
    <w:div w:id="1228760925">
      <w:bodyDiv w:val="1"/>
      <w:marLeft w:val="0"/>
      <w:marRight w:val="0"/>
      <w:marTop w:val="0"/>
      <w:marBottom w:val="0"/>
      <w:divBdr>
        <w:top w:val="none" w:sz="0" w:space="0" w:color="auto"/>
        <w:left w:val="none" w:sz="0" w:space="0" w:color="auto"/>
        <w:bottom w:val="none" w:sz="0" w:space="0" w:color="auto"/>
        <w:right w:val="none" w:sz="0" w:space="0" w:color="auto"/>
      </w:divBdr>
    </w:div>
    <w:div w:id="1254168035">
      <w:bodyDiv w:val="1"/>
      <w:marLeft w:val="0"/>
      <w:marRight w:val="0"/>
      <w:marTop w:val="0"/>
      <w:marBottom w:val="0"/>
      <w:divBdr>
        <w:top w:val="none" w:sz="0" w:space="0" w:color="auto"/>
        <w:left w:val="none" w:sz="0" w:space="0" w:color="auto"/>
        <w:bottom w:val="none" w:sz="0" w:space="0" w:color="auto"/>
        <w:right w:val="none" w:sz="0" w:space="0" w:color="auto"/>
      </w:divBdr>
    </w:div>
    <w:div w:id="1306349899">
      <w:bodyDiv w:val="1"/>
      <w:marLeft w:val="0"/>
      <w:marRight w:val="0"/>
      <w:marTop w:val="0"/>
      <w:marBottom w:val="0"/>
      <w:divBdr>
        <w:top w:val="none" w:sz="0" w:space="0" w:color="auto"/>
        <w:left w:val="none" w:sz="0" w:space="0" w:color="auto"/>
        <w:bottom w:val="none" w:sz="0" w:space="0" w:color="auto"/>
        <w:right w:val="none" w:sz="0" w:space="0" w:color="auto"/>
      </w:divBdr>
    </w:div>
    <w:div w:id="1313605797">
      <w:bodyDiv w:val="1"/>
      <w:marLeft w:val="0"/>
      <w:marRight w:val="0"/>
      <w:marTop w:val="0"/>
      <w:marBottom w:val="0"/>
      <w:divBdr>
        <w:top w:val="none" w:sz="0" w:space="0" w:color="auto"/>
        <w:left w:val="none" w:sz="0" w:space="0" w:color="auto"/>
        <w:bottom w:val="none" w:sz="0" w:space="0" w:color="auto"/>
        <w:right w:val="none" w:sz="0" w:space="0" w:color="auto"/>
      </w:divBdr>
    </w:div>
    <w:div w:id="1342198851">
      <w:bodyDiv w:val="1"/>
      <w:marLeft w:val="0"/>
      <w:marRight w:val="0"/>
      <w:marTop w:val="0"/>
      <w:marBottom w:val="0"/>
      <w:divBdr>
        <w:top w:val="none" w:sz="0" w:space="0" w:color="auto"/>
        <w:left w:val="none" w:sz="0" w:space="0" w:color="auto"/>
        <w:bottom w:val="none" w:sz="0" w:space="0" w:color="auto"/>
        <w:right w:val="none" w:sz="0" w:space="0" w:color="auto"/>
      </w:divBdr>
    </w:div>
    <w:div w:id="1342976752">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503355392">
      <w:bodyDiv w:val="1"/>
      <w:marLeft w:val="0"/>
      <w:marRight w:val="0"/>
      <w:marTop w:val="0"/>
      <w:marBottom w:val="0"/>
      <w:divBdr>
        <w:top w:val="none" w:sz="0" w:space="0" w:color="auto"/>
        <w:left w:val="none" w:sz="0" w:space="0" w:color="auto"/>
        <w:bottom w:val="none" w:sz="0" w:space="0" w:color="auto"/>
        <w:right w:val="none" w:sz="0" w:space="0" w:color="auto"/>
      </w:divBdr>
    </w:div>
    <w:div w:id="150562623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35777101">
      <w:bodyDiv w:val="1"/>
      <w:marLeft w:val="0"/>
      <w:marRight w:val="0"/>
      <w:marTop w:val="0"/>
      <w:marBottom w:val="0"/>
      <w:divBdr>
        <w:top w:val="none" w:sz="0" w:space="0" w:color="auto"/>
        <w:left w:val="none" w:sz="0" w:space="0" w:color="auto"/>
        <w:bottom w:val="none" w:sz="0" w:space="0" w:color="auto"/>
        <w:right w:val="none" w:sz="0" w:space="0" w:color="auto"/>
      </w:divBdr>
    </w:div>
    <w:div w:id="1549344588">
      <w:bodyDiv w:val="1"/>
      <w:marLeft w:val="0"/>
      <w:marRight w:val="0"/>
      <w:marTop w:val="0"/>
      <w:marBottom w:val="0"/>
      <w:divBdr>
        <w:top w:val="none" w:sz="0" w:space="0" w:color="auto"/>
        <w:left w:val="none" w:sz="0" w:space="0" w:color="auto"/>
        <w:bottom w:val="none" w:sz="0" w:space="0" w:color="auto"/>
        <w:right w:val="none" w:sz="0" w:space="0" w:color="auto"/>
      </w:divBdr>
    </w:div>
    <w:div w:id="1569874843">
      <w:bodyDiv w:val="1"/>
      <w:marLeft w:val="0"/>
      <w:marRight w:val="0"/>
      <w:marTop w:val="0"/>
      <w:marBottom w:val="0"/>
      <w:divBdr>
        <w:top w:val="none" w:sz="0" w:space="0" w:color="auto"/>
        <w:left w:val="none" w:sz="0" w:space="0" w:color="auto"/>
        <w:bottom w:val="none" w:sz="0" w:space="0" w:color="auto"/>
        <w:right w:val="none" w:sz="0" w:space="0" w:color="auto"/>
      </w:divBdr>
    </w:div>
    <w:div w:id="1671330045">
      <w:bodyDiv w:val="1"/>
      <w:marLeft w:val="0"/>
      <w:marRight w:val="0"/>
      <w:marTop w:val="0"/>
      <w:marBottom w:val="0"/>
      <w:divBdr>
        <w:top w:val="none" w:sz="0" w:space="0" w:color="auto"/>
        <w:left w:val="none" w:sz="0" w:space="0" w:color="auto"/>
        <w:bottom w:val="none" w:sz="0" w:space="0" w:color="auto"/>
        <w:right w:val="none" w:sz="0" w:space="0" w:color="auto"/>
      </w:divBdr>
    </w:div>
    <w:div w:id="1743523972">
      <w:bodyDiv w:val="1"/>
      <w:marLeft w:val="0"/>
      <w:marRight w:val="0"/>
      <w:marTop w:val="0"/>
      <w:marBottom w:val="0"/>
      <w:divBdr>
        <w:top w:val="none" w:sz="0" w:space="0" w:color="auto"/>
        <w:left w:val="none" w:sz="0" w:space="0" w:color="auto"/>
        <w:bottom w:val="none" w:sz="0" w:space="0" w:color="auto"/>
        <w:right w:val="none" w:sz="0" w:space="0" w:color="auto"/>
      </w:divBdr>
    </w:div>
    <w:div w:id="1746218022">
      <w:bodyDiv w:val="1"/>
      <w:marLeft w:val="0"/>
      <w:marRight w:val="0"/>
      <w:marTop w:val="0"/>
      <w:marBottom w:val="0"/>
      <w:divBdr>
        <w:top w:val="none" w:sz="0" w:space="0" w:color="auto"/>
        <w:left w:val="none" w:sz="0" w:space="0" w:color="auto"/>
        <w:bottom w:val="none" w:sz="0" w:space="0" w:color="auto"/>
        <w:right w:val="none" w:sz="0" w:space="0" w:color="auto"/>
      </w:divBdr>
    </w:div>
    <w:div w:id="1824544668">
      <w:bodyDiv w:val="1"/>
      <w:marLeft w:val="0"/>
      <w:marRight w:val="0"/>
      <w:marTop w:val="0"/>
      <w:marBottom w:val="0"/>
      <w:divBdr>
        <w:top w:val="none" w:sz="0" w:space="0" w:color="auto"/>
        <w:left w:val="none" w:sz="0" w:space="0" w:color="auto"/>
        <w:bottom w:val="none" w:sz="0" w:space="0" w:color="auto"/>
        <w:right w:val="none" w:sz="0" w:space="0" w:color="auto"/>
      </w:divBdr>
    </w:div>
    <w:div w:id="1856381121">
      <w:bodyDiv w:val="1"/>
      <w:marLeft w:val="0"/>
      <w:marRight w:val="0"/>
      <w:marTop w:val="0"/>
      <w:marBottom w:val="0"/>
      <w:divBdr>
        <w:top w:val="none" w:sz="0" w:space="0" w:color="auto"/>
        <w:left w:val="none" w:sz="0" w:space="0" w:color="auto"/>
        <w:bottom w:val="none" w:sz="0" w:space="0" w:color="auto"/>
        <w:right w:val="none" w:sz="0" w:space="0" w:color="auto"/>
      </w:divBdr>
    </w:div>
    <w:div w:id="1932548547">
      <w:bodyDiv w:val="1"/>
      <w:marLeft w:val="0"/>
      <w:marRight w:val="0"/>
      <w:marTop w:val="0"/>
      <w:marBottom w:val="0"/>
      <w:divBdr>
        <w:top w:val="none" w:sz="0" w:space="0" w:color="auto"/>
        <w:left w:val="none" w:sz="0" w:space="0" w:color="auto"/>
        <w:bottom w:val="none" w:sz="0" w:space="0" w:color="auto"/>
        <w:right w:val="none" w:sz="0" w:space="0" w:color="auto"/>
      </w:divBdr>
    </w:div>
    <w:div w:id="1969312977">
      <w:bodyDiv w:val="1"/>
      <w:marLeft w:val="0"/>
      <w:marRight w:val="0"/>
      <w:marTop w:val="0"/>
      <w:marBottom w:val="0"/>
      <w:divBdr>
        <w:top w:val="none" w:sz="0" w:space="0" w:color="auto"/>
        <w:left w:val="none" w:sz="0" w:space="0" w:color="auto"/>
        <w:bottom w:val="none" w:sz="0" w:space="0" w:color="auto"/>
        <w:right w:val="none" w:sz="0" w:space="0" w:color="auto"/>
      </w:divBdr>
    </w:div>
    <w:div w:id="2015525313">
      <w:bodyDiv w:val="1"/>
      <w:marLeft w:val="0"/>
      <w:marRight w:val="0"/>
      <w:marTop w:val="0"/>
      <w:marBottom w:val="0"/>
      <w:divBdr>
        <w:top w:val="none" w:sz="0" w:space="0" w:color="auto"/>
        <w:left w:val="none" w:sz="0" w:space="0" w:color="auto"/>
        <w:bottom w:val="none" w:sz="0" w:space="0" w:color="auto"/>
        <w:right w:val="none" w:sz="0" w:space="0" w:color="auto"/>
      </w:divBdr>
    </w:div>
    <w:div w:id="2047633061">
      <w:bodyDiv w:val="1"/>
      <w:marLeft w:val="0"/>
      <w:marRight w:val="0"/>
      <w:marTop w:val="0"/>
      <w:marBottom w:val="0"/>
      <w:divBdr>
        <w:top w:val="none" w:sz="0" w:space="0" w:color="auto"/>
        <w:left w:val="none" w:sz="0" w:space="0" w:color="auto"/>
        <w:bottom w:val="none" w:sz="0" w:space="0" w:color="auto"/>
        <w:right w:val="none" w:sz="0" w:space="0" w:color="auto"/>
      </w:divBdr>
    </w:div>
    <w:div w:id="2051682343">
      <w:bodyDiv w:val="1"/>
      <w:marLeft w:val="0"/>
      <w:marRight w:val="0"/>
      <w:marTop w:val="0"/>
      <w:marBottom w:val="0"/>
      <w:divBdr>
        <w:top w:val="none" w:sz="0" w:space="0" w:color="auto"/>
        <w:left w:val="none" w:sz="0" w:space="0" w:color="auto"/>
        <w:bottom w:val="none" w:sz="0" w:space="0" w:color="auto"/>
        <w:right w:val="none" w:sz="0" w:space="0" w:color="auto"/>
      </w:divBdr>
    </w:div>
    <w:div w:id="20701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ticip.gov.m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cu-privire-la-initierea-elaborarii-proiectului-hotararii-de-guvern-privind-modificarea-unor-hotarari-ale-guvernului-facilitarea-implementarii-proiectelor-de-eficienta-energetica-ministerul-energiei-anunta-initierea-procesului-de-elaborare-a-proiectului-hotararii-guvernului-privind-modificarea-unor-hotarari-ale-guvernului-facilitarea-implementarii-proiectelor-de-eficienta-energetica/1461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ed.gov.md/sites/default/files/document/attachments/lista_intreprinderilor_mari_ce_au_obligatia_de_a_efectua_audit_energetic_ordin_06_ab_din_14.02.2025_0.pdf" TargetMode="External"/><Relationship Id="rId5" Type="http://schemas.openxmlformats.org/officeDocument/2006/relationships/numbering" Target="numbering.xml"/><Relationship Id="rId15" Type="http://schemas.openxmlformats.org/officeDocument/2006/relationships/hyperlink" Target="http://www.particip.gov.m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ticip.gov.md/ro/document/stages/*/1504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746A3696-1EA0-484E-BFC4-B09B4060602A}">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4629</TotalTime>
  <Pages>16</Pages>
  <Words>6798</Words>
  <Characters>38749</Characters>
  <Application>Microsoft Office Word</Application>
  <DocSecurity>0</DocSecurity>
  <Lines>322</Lines>
  <Paragraphs>90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Valerian Colun</cp:lastModifiedBy>
  <cp:revision>324</cp:revision>
  <cp:lastPrinted>2024-03-11T11:21:00Z</cp:lastPrinted>
  <dcterms:created xsi:type="dcterms:W3CDTF">2024-03-25T08:15:00Z</dcterms:created>
  <dcterms:modified xsi:type="dcterms:W3CDTF">2025-09-24T07:24:00Z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