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A616" w14:textId="77777777" w:rsidR="00D22630" w:rsidRPr="00EE77BE" w:rsidRDefault="00D22630" w:rsidP="00D22630">
      <w:pPr>
        <w:spacing w:after="0"/>
        <w:jc w:val="center"/>
        <w:rPr>
          <w:rFonts w:ascii="Times New Roman" w:hAnsi="Times New Roman" w:cs="Times New Roman"/>
          <w:b/>
          <w:bCs/>
          <w:sz w:val="28"/>
          <w:szCs w:val="28"/>
        </w:rPr>
      </w:pPr>
      <w:r w:rsidRPr="00EE77BE">
        <w:rPr>
          <w:rFonts w:ascii="Times New Roman" w:hAnsi="Times New Roman" w:cs="Times New Roman"/>
          <w:b/>
          <w:bCs/>
          <w:sz w:val="28"/>
          <w:szCs w:val="28"/>
        </w:rPr>
        <w:t>SINTEZA</w:t>
      </w:r>
    </w:p>
    <w:p w14:paraId="14AC89B7" w14:textId="77777777" w:rsidR="00D22630" w:rsidRPr="003B7381" w:rsidRDefault="00D22630" w:rsidP="00D22630">
      <w:pPr>
        <w:spacing w:after="0"/>
        <w:jc w:val="center"/>
        <w:rPr>
          <w:rFonts w:ascii="Times New Roman" w:hAnsi="Times New Roman" w:cs="Times New Roman"/>
          <w:b/>
          <w:bCs/>
          <w:i/>
          <w:iCs/>
          <w:sz w:val="28"/>
          <w:szCs w:val="28"/>
        </w:rPr>
      </w:pPr>
      <w:r w:rsidRPr="003B7381">
        <w:rPr>
          <w:rFonts w:ascii="Times New Roman" w:hAnsi="Times New Roman" w:cs="Times New Roman"/>
          <w:b/>
          <w:bCs/>
          <w:i/>
          <w:iCs/>
          <w:sz w:val="28"/>
          <w:szCs w:val="28"/>
        </w:rPr>
        <w:t xml:space="preserve">la proiectul  hotărârii Guvernului cu privire la modificarea  Hotărârii Guvernului </w:t>
      </w:r>
      <w:r w:rsidRPr="003B7381">
        <w:rPr>
          <w:rFonts w:ascii="Times New Roman" w:hAnsi="Times New Roman" w:cs="Times New Roman"/>
          <w:b/>
          <w:bCs/>
          <w:i/>
          <w:iCs/>
          <w:sz w:val="28"/>
          <w:szCs w:val="28"/>
          <w:lang w:eastAsia="ru-RU"/>
        </w:rPr>
        <w:t>nr. 1094/2017 pentru aprobarea Reglementării tehnice privind echipamentele sub presiune transportabile</w:t>
      </w:r>
    </w:p>
    <w:p w14:paraId="2CDEB83A" w14:textId="21A0C12E" w:rsidR="00D22630" w:rsidRPr="00D22630" w:rsidRDefault="00D22630" w:rsidP="00D22630">
      <w:pPr>
        <w:spacing w:after="0"/>
        <w:jc w:val="center"/>
        <w:rPr>
          <w:rFonts w:ascii="Times New Roman" w:hAnsi="Times New Roman" w:cs="Times New Roman"/>
          <w:i/>
          <w:iCs/>
          <w:sz w:val="28"/>
          <w:szCs w:val="28"/>
        </w:rPr>
      </w:pPr>
      <w:r w:rsidRPr="00D22630">
        <w:rPr>
          <w:rFonts w:ascii="Times New Roman" w:hAnsi="Times New Roman" w:cs="Times New Roman"/>
          <w:i/>
          <w:iCs/>
          <w:sz w:val="28"/>
          <w:szCs w:val="28"/>
        </w:rPr>
        <w:t>(număr unic 562/MIDR/2025)</w:t>
      </w:r>
    </w:p>
    <w:tbl>
      <w:tblPr>
        <w:tblW w:w="5000" w:type="pct"/>
        <w:jc w:val="center"/>
        <w:tblCellMar>
          <w:top w:w="15" w:type="dxa"/>
          <w:left w:w="15" w:type="dxa"/>
          <w:bottom w:w="15" w:type="dxa"/>
          <w:right w:w="15" w:type="dxa"/>
        </w:tblCellMar>
        <w:tblLook w:val="04A0" w:firstRow="1" w:lastRow="0" w:firstColumn="1" w:lastColumn="0" w:noHBand="0" w:noVBand="1"/>
      </w:tblPr>
      <w:tblGrid>
        <w:gridCol w:w="4956"/>
        <w:gridCol w:w="706"/>
        <w:gridCol w:w="7049"/>
        <w:gridCol w:w="1843"/>
      </w:tblGrid>
      <w:tr w:rsidR="00D22630" w:rsidRPr="00EE77BE" w14:paraId="1D714F5B" w14:textId="77777777" w:rsidTr="00717488">
        <w:trPr>
          <w:jc w:val="center"/>
        </w:trPr>
        <w:tc>
          <w:tcPr>
            <w:tcW w:w="1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D12874" w14:textId="77777777" w:rsidR="00D22630" w:rsidRPr="00EE77BE" w:rsidRDefault="00D22630" w:rsidP="00B2638A">
            <w:pPr>
              <w:spacing w:after="0"/>
              <w:jc w:val="center"/>
              <w:rPr>
                <w:rFonts w:ascii="Times New Roman" w:hAnsi="Times New Roman" w:cs="Times New Roman"/>
                <w:b/>
                <w:bCs/>
                <w:sz w:val="28"/>
                <w:szCs w:val="28"/>
              </w:rPr>
            </w:pPr>
            <w:r w:rsidRPr="00EE77BE">
              <w:rPr>
                <w:rFonts w:ascii="Times New Roman" w:hAnsi="Times New Roman" w:cs="Times New Roman"/>
                <w:b/>
                <w:bCs/>
                <w:sz w:val="28"/>
                <w:szCs w:val="28"/>
              </w:rPr>
              <w:t>Participantul la avizare,</w:t>
            </w:r>
            <w:r w:rsidRPr="00EE77BE">
              <w:rPr>
                <w:rFonts w:ascii="Times New Roman" w:hAnsi="Times New Roman" w:cs="Times New Roman"/>
                <w:b/>
                <w:bCs/>
                <w:sz w:val="28"/>
                <w:szCs w:val="28"/>
              </w:rPr>
              <w:br/>
              <w:t>consultare publică, expertizare</w:t>
            </w: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099D8A" w14:textId="77777777" w:rsidR="00D22630" w:rsidRPr="00EE77BE" w:rsidRDefault="00D22630" w:rsidP="002C7BD6">
            <w:pPr>
              <w:spacing w:after="0"/>
              <w:jc w:val="center"/>
              <w:rPr>
                <w:rFonts w:ascii="Times New Roman" w:hAnsi="Times New Roman" w:cs="Times New Roman"/>
                <w:b/>
                <w:bCs/>
                <w:sz w:val="28"/>
                <w:szCs w:val="28"/>
              </w:rPr>
            </w:pPr>
            <w:r w:rsidRPr="00EE77BE">
              <w:rPr>
                <w:rFonts w:ascii="Times New Roman" w:hAnsi="Times New Roman" w:cs="Times New Roman"/>
                <w:b/>
                <w:bCs/>
                <w:sz w:val="28"/>
                <w:szCs w:val="28"/>
              </w:rPr>
              <w:t>Nr.</w:t>
            </w:r>
            <w:r w:rsidRPr="00EE77BE">
              <w:rPr>
                <w:rFonts w:ascii="Times New Roman" w:hAnsi="Times New Roman" w:cs="Times New Roman"/>
                <w:b/>
                <w:bCs/>
                <w:sz w:val="28"/>
                <w:szCs w:val="28"/>
              </w:rPr>
              <w:br/>
              <w:t>crt.</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EDA833" w14:textId="77777777" w:rsidR="00D22630" w:rsidRPr="00EE77BE" w:rsidRDefault="00D22630" w:rsidP="00B2638A">
            <w:pPr>
              <w:spacing w:after="0"/>
              <w:jc w:val="center"/>
              <w:rPr>
                <w:rFonts w:ascii="Times New Roman" w:hAnsi="Times New Roman" w:cs="Times New Roman"/>
                <w:b/>
                <w:bCs/>
                <w:sz w:val="28"/>
                <w:szCs w:val="28"/>
              </w:rPr>
            </w:pPr>
            <w:r w:rsidRPr="00EE77BE">
              <w:rPr>
                <w:rFonts w:ascii="Times New Roman" w:hAnsi="Times New Roman" w:cs="Times New Roman"/>
                <w:b/>
                <w:bCs/>
                <w:sz w:val="28"/>
                <w:szCs w:val="28"/>
              </w:rPr>
              <w:t>Conținutul obiecției, propunerii,</w:t>
            </w:r>
            <w:r w:rsidRPr="00EE77BE">
              <w:rPr>
                <w:rFonts w:ascii="Times New Roman" w:hAnsi="Times New Roman" w:cs="Times New Roman"/>
                <w:b/>
                <w:bCs/>
                <w:sz w:val="28"/>
                <w:szCs w:val="28"/>
              </w:rPr>
              <w:br/>
              <w:t>recomandării, concluziei</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5A8A1D" w14:textId="77777777" w:rsidR="00D22630" w:rsidRPr="00EE77BE" w:rsidRDefault="00D22630" w:rsidP="002C7BD6">
            <w:pPr>
              <w:spacing w:after="0"/>
              <w:jc w:val="center"/>
              <w:rPr>
                <w:rFonts w:ascii="Times New Roman" w:hAnsi="Times New Roman" w:cs="Times New Roman"/>
                <w:b/>
                <w:bCs/>
                <w:sz w:val="28"/>
                <w:szCs w:val="28"/>
              </w:rPr>
            </w:pPr>
            <w:r w:rsidRPr="00EE77BE">
              <w:rPr>
                <w:rFonts w:ascii="Times New Roman" w:hAnsi="Times New Roman" w:cs="Times New Roman"/>
                <w:b/>
                <w:bCs/>
                <w:sz w:val="28"/>
                <w:szCs w:val="28"/>
              </w:rPr>
              <w:t>Argumentarea autorului</w:t>
            </w:r>
            <w:r w:rsidRPr="00EE77BE">
              <w:rPr>
                <w:rFonts w:ascii="Times New Roman" w:hAnsi="Times New Roman" w:cs="Times New Roman"/>
                <w:b/>
                <w:bCs/>
                <w:sz w:val="28"/>
                <w:szCs w:val="28"/>
              </w:rPr>
              <w:br/>
              <w:t>proiectului</w:t>
            </w:r>
          </w:p>
        </w:tc>
      </w:tr>
      <w:tr w:rsidR="00D22630" w:rsidRPr="003214A8" w14:paraId="164CF594" w14:textId="77777777" w:rsidTr="00B2638A">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FE2137" w14:textId="05CF48F8" w:rsidR="00D22630" w:rsidRPr="003B7381" w:rsidRDefault="003B7381" w:rsidP="002C7BD6">
            <w:pPr>
              <w:spacing w:after="0"/>
              <w:jc w:val="center"/>
              <w:rPr>
                <w:rFonts w:ascii="Times New Roman" w:hAnsi="Times New Roman" w:cs="Times New Roman"/>
                <w:b/>
                <w:bCs/>
                <w:sz w:val="28"/>
                <w:szCs w:val="28"/>
              </w:rPr>
            </w:pPr>
            <w:r w:rsidRPr="003B7381">
              <w:rPr>
                <w:rFonts w:ascii="Times New Roman" w:hAnsi="Times New Roman" w:cs="Times New Roman"/>
                <w:b/>
                <w:bCs/>
                <w:sz w:val="28"/>
                <w:szCs w:val="28"/>
              </w:rPr>
              <w:t>AVIZARE ŞI CONSULTARE PUBLICĂ</w:t>
            </w:r>
          </w:p>
        </w:tc>
      </w:tr>
      <w:tr w:rsidR="00717488" w:rsidRPr="00EE77BE" w14:paraId="2691B059" w14:textId="77777777" w:rsidTr="00510E6C">
        <w:trPr>
          <w:jc w:val="center"/>
        </w:trPr>
        <w:tc>
          <w:tcPr>
            <w:tcW w:w="1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75E3E4" w14:textId="77777777" w:rsidR="00717488" w:rsidRDefault="00717488" w:rsidP="00717488">
            <w:pPr>
              <w:spacing w:after="0"/>
              <w:rPr>
                <w:rFonts w:ascii="Times New Roman" w:hAnsi="Times New Roman" w:cs="Times New Roman"/>
                <w:sz w:val="28"/>
                <w:szCs w:val="28"/>
              </w:rPr>
            </w:pPr>
            <w:r w:rsidRPr="003214A8">
              <w:rPr>
                <w:rFonts w:ascii="Times New Roman" w:hAnsi="Times New Roman" w:cs="Times New Roman"/>
                <w:b/>
                <w:bCs/>
                <w:sz w:val="28"/>
                <w:szCs w:val="28"/>
              </w:rPr>
              <w:t>Centrul Național de Acreditare din Republica Moldova (MOLDAC)</w:t>
            </w:r>
            <w:r>
              <w:rPr>
                <w:rFonts w:ascii="Times New Roman" w:hAnsi="Times New Roman" w:cs="Times New Roman"/>
                <w:sz w:val="28"/>
                <w:szCs w:val="28"/>
              </w:rPr>
              <w:t xml:space="preserve"> </w:t>
            </w:r>
          </w:p>
          <w:p w14:paraId="42B4735A" w14:textId="77777777" w:rsidR="00717488" w:rsidRPr="00EE77BE" w:rsidRDefault="00717488" w:rsidP="00717488">
            <w:pPr>
              <w:spacing w:after="0"/>
              <w:rPr>
                <w:rFonts w:ascii="Times New Roman" w:hAnsi="Times New Roman" w:cs="Times New Roman"/>
                <w:sz w:val="28"/>
                <w:szCs w:val="28"/>
              </w:rPr>
            </w:pPr>
            <w:r w:rsidRPr="003214A8">
              <w:rPr>
                <w:rFonts w:ascii="Times New Roman" w:hAnsi="Times New Roman" w:cs="Times New Roman"/>
                <w:i/>
                <w:iCs/>
                <w:sz w:val="28"/>
                <w:szCs w:val="28"/>
              </w:rPr>
              <w:t>(nr. 24/353 DE-2 din 11.07.2025)</w:t>
            </w: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FBA0F27" w14:textId="7761556E" w:rsidR="00717488" w:rsidRPr="00EE77BE" w:rsidRDefault="00717488" w:rsidP="002C7BD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FE3FB46" w14:textId="77777777" w:rsidR="00717488" w:rsidRPr="00EE77BE" w:rsidRDefault="00717488" w:rsidP="00717488">
            <w:pPr>
              <w:spacing w:after="0"/>
              <w:rPr>
                <w:rFonts w:ascii="Times New Roman" w:hAnsi="Times New Roman" w:cs="Times New Roman"/>
                <w:sz w:val="28"/>
                <w:szCs w:val="28"/>
              </w:rPr>
            </w:pPr>
            <w:r>
              <w:rPr>
                <w:rFonts w:ascii="Times New Roman" w:hAnsi="Times New Roman" w:cs="Times New Roman"/>
                <w:sz w:val="28"/>
                <w:szCs w:val="28"/>
              </w:rPr>
              <w:t>Lipsă de obiecții și propuneri.</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2B776F" w14:textId="75298687" w:rsidR="00717488" w:rsidRPr="00EE77BE" w:rsidRDefault="00717488" w:rsidP="002C7BD6">
            <w:pPr>
              <w:spacing w:after="0"/>
              <w:jc w:val="center"/>
              <w:rPr>
                <w:rFonts w:ascii="Times New Roman" w:hAnsi="Times New Roman" w:cs="Times New Roman"/>
                <w:sz w:val="28"/>
                <w:szCs w:val="28"/>
              </w:rPr>
            </w:pPr>
            <w:r w:rsidRPr="00FA584D">
              <w:rPr>
                <w:rFonts w:ascii="Times New Roman" w:hAnsi="Times New Roman" w:cs="Times New Roman"/>
                <w:b/>
                <w:bCs/>
                <w:sz w:val="28"/>
                <w:szCs w:val="28"/>
              </w:rPr>
              <w:t>Se acceptă</w:t>
            </w:r>
          </w:p>
        </w:tc>
      </w:tr>
      <w:tr w:rsidR="00717488" w:rsidRPr="00EE77BE" w14:paraId="2398272F" w14:textId="77777777" w:rsidTr="00510E6C">
        <w:trPr>
          <w:jc w:val="center"/>
        </w:trPr>
        <w:tc>
          <w:tcPr>
            <w:tcW w:w="1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2703B3" w14:textId="77777777" w:rsidR="00717488" w:rsidRPr="003214A8" w:rsidRDefault="00717488" w:rsidP="00717488">
            <w:pPr>
              <w:spacing w:after="0"/>
              <w:rPr>
                <w:rFonts w:ascii="Times New Roman" w:hAnsi="Times New Roman" w:cs="Times New Roman"/>
                <w:b/>
                <w:bCs/>
                <w:sz w:val="28"/>
                <w:szCs w:val="28"/>
              </w:rPr>
            </w:pPr>
            <w:r w:rsidRPr="003214A8">
              <w:rPr>
                <w:rFonts w:ascii="Times New Roman" w:hAnsi="Times New Roman" w:cs="Times New Roman"/>
                <w:b/>
                <w:bCs/>
                <w:sz w:val="28"/>
                <w:szCs w:val="28"/>
              </w:rPr>
              <w:t xml:space="preserve">Ministerul Finanțelor </w:t>
            </w:r>
          </w:p>
          <w:p w14:paraId="79C5BACC" w14:textId="77777777" w:rsidR="00717488" w:rsidRPr="003214A8" w:rsidRDefault="00717488" w:rsidP="00717488">
            <w:pPr>
              <w:spacing w:after="0"/>
              <w:rPr>
                <w:rFonts w:ascii="Times New Roman" w:hAnsi="Times New Roman" w:cs="Times New Roman"/>
                <w:i/>
                <w:iCs/>
                <w:sz w:val="28"/>
                <w:szCs w:val="28"/>
              </w:rPr>
            </w:pPr>
            <w:r w:rsidRPr="003214A8">
              <w:rPr>
                <w:rFonts w:ascii="Times New Roman" w:hAnsi="Times New Roman" w:cs="Times New Roman"/>
                <w:i/>
                <w:iCs/>
                <w:sz w:val="28"/>
                <w:szCs w:val="28"/>
              </w:rPr>
              <w:t>(nr. 09/2-03/334/1090  din 17.07.2025)</w:t>
            </w: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19C1CF8" w14:textId="6C174FAC" w:rsidR="00717488" w:rsidRPr="00EE77BE" w:rsidRDefault="00717488" w:rsidP="002C7BD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102F7C" w14:textId="77777777" w:rsidR="00717488" w:rsidRPr="00EE77BE" w:rsidRDefault="00717488" w:rsidP="00717488">
            <w:pPr>
              <w:spacing w:after="0"/>
              <w:rPr>
                <w:rFonts w:ascii="Times New Roman" w:hAnsi="Times New Roman" w:cs="Times New Roman"/>
                <w:sz w:val="28"/>
                <w:szCs w:val="28"/>
              </w:rPr>
            </w:pPr>
            <w:r>
              <w:rPr>
                <w:rFonts w:ascii="Times New Roman" w:hAnsi="Times New Roman" w:cs="Times New Roman"/>
                <w:sz w:val="28"/>
                <w:szCs w:val="28"/>
              </w:rPr>
              <w:t>Lipsă de obiecții și propuneri.</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FA7647" w14:textId="551ADCA8" w:rsidR="00717488" w:rsidRPr="00EE77BE" w:rsidRDefault="00717488" w:rsidP="002C7BD6">
            <w:pPr>
              <w:spacing w:after="0"/>
              <w:jc w:val="center"/>
              <w:rPr>
                <w:rFonts w:ascii="Times New Roman" w:hAnsi="Times New Roman" w:cs="Times New Roman"/>
                <w:sz w:val="28"/>
                <w:szCs w:val="28"/>
              </w:rPr>
            </w:pPr>
            <w:r w:rsidRPr="00FA584D">
              <w:rPr>
                <w:rFonts w:ascii="Times New Roman" w:hAnsi="Times New Roman" w:cs="Times New Roman"/>
                <w:b/>
                <w:bCs/>
                <w:sz w:val="28"/>
                <w:szCs w:val="28"/>
              </w:rPr>
              <w:t>Se acceptă</w:t>
            </w:r>
          </w:p>
        </w:tc>
      </w:tr>
      <w:tr w:rsidR="00717488" w:rsidRPr="00EE77BE" w14:paraId="58E21D37" w14:textId="77777777" w:rsidTr="00510E6C">
        <w:trPr>
          <w:jc w:val="center"/>
        </w:trPr>
        <w:tc>
          <w:tcPr>
            <w:tcW w:w="1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24020E" w14:textId="77777777" w:rsidR="00717488" w:rsidRPr="003B7381" w:rsidRDefault="00717488" w:rsidP="00717488">
            <w:pPr>
              <w:spacing w:after="0"/>
              <w:rPr>
                <w:rFonts w:ascii="Times New Roman" w:hAnsi="Times New Roman" w:cs="Times New Roman"/>
                <w:b/>
                <w:bCs/>
                <w:sz w:val="28"/>
                <w:szCs w:val="28"/>
              </w:rPr>
            </w:pPr>
            <w:r w:rsidRPr="003B7381">
              <w:rPr>
                <w:rFonts w:ascii="Times New Roman" w:hAnsi="Times New Roman" w:cs="Times New Roman"/>
                <w:b/>
                <w:bCs/>
                <w:sz w:val="28"/>
                <w:szCs w:val="28"/>
              </w:rPr>
              <w:t xml:space="preserve">Ministerul Energiei </w:t>
            </w:r>
          </w:p>
          <w:p w14:paraId="436F991B" w14:textId="62B57C3B" w:rsidR="00717488" w:rsidRPr="003B7381" w:rsidRDefault="00717488" w:rsidP="00717488">
            <w:pPr>
              <w:spacing w:after="0"/>
              <w:rPr>
                <w:rFonts w:ascii="Times New Roman" w:hAnsi="Times New Roman" w:cs="Times New Roman"/>
                <w:i/>
                <w:iCs/>
                <w:sz w:val="28"/>
                <w:szCs w:val="28"/>
              </w:rPr>
            </w:pPr>
            <w:r w:rsidRPr="003B7381">
              <w:rPr>
                <w:rFonts w:ascii="Times New Roman" w:hAnsi="Times New Roman" w:cs="Times New Roman"/>
                <w:i/>
                <w:iCs/>
                <w:sz w:val="28"/>
                <w:szCs w:val="28"/>
              </w:rPr>
              <w:t>(nr.07-1987 din 22.07.2025)</w:t>
            </w: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B5183FA" w14:textId="55587D48" w:rsidR="00717488" w:rsidRPr="00EE77BE" w:rsidRDefault="00717488" w:rsidP="002C7BD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140E3D6" w14:textId="77777777" w:rsidR="00717488" w:rsidRPr="00EE77BE" w:rsidRDefault="00717488" w:rsidP="00717488">
            <w:pPr>
              <w:spacing w:after="0"/>
              <w:rPr>
                <w:rFonts w:ascii="Times New Roman" w:hAnsi="Times New Roman" w:cs="Times New Roman"/>
                <w:sz w:val="28"/>
                <w:szCs w:val="28"/>
              </w:rPr>
            </w:pPr>
            <w:r>
              <w:rPr>
                <w:rFonts w:ascii="Times New Roman" w:hAnsi="Times New Roman" w:cs="Times New Roman"/>
                <w:sz w:val="28"/>
                <w:szCs w:val="28"/>
              </w:rPr>
              <w:t>Lipsă de obiecții și propuneri.</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7176A9" w14:textId="028FFD5D" w:rsidR="00717488" w:rsidRPr="00EE77BE" w:rsidRDefault="00717488" w:rsidP="002C7BD6">
            <w:pPr>
              <w:spacing w:after="0"/>
              <w:jc w:val="center"/>
              <w:rPr>
                <w:rFonts w:ascii="Times New Roman" w:hAnsi="Times New Roman" w:cs="Times New Roman"/>
                <w:sz w:val="28"/>
                <w:szCs w:val="28"/>
              </w:rPr>
            </w:pPr>
            <w:r w:rsidRPr="00FA584D">
              <w:rPr>
                <w:rFonts w:ascii="Times New Roman" w:hAnsi="Times New Roman" w:cs="Times New Roman"/>
                <w:b/>
                <w:bCs/>
                <w:sz w:val="28"/>
                <w:szCs w:val="28"/>
              </w:rPr>
              <w:t>Se acceptă</w:t>
            </w:r>
          </w:p>
        </w:tc>
      </w:tr>
      <w:tr w:rsidR="00717488" w:rsidRPr="00EE77BE" w14:paraId="7E39C044" w14:textId="77777777" w:rsidTr="00510E6C">
        <w:trPr>
          <w:jc w:val="center"/>
        </w:trPr>
        <w:tc>
          <w:tcPr>
            <w:tcW w:w="1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87AF6D" w14:textId="77777777" w:rsidR="00717488" w:rsidRPr="003B7381" w:rsidRDefault="00717488" w:rsidP="00717488">
            <w:pPr>
              <w:spacing w:after="0"/>
              <w:rPr>
                <w:rFonts w:ascii="Times New Roman" w:hAnsi="Times New Roman" w:cs="Times New Roman"/>
                <w:b/>
                <w:bCs/>
                <w:sz w:val="28"/>
                <w:szCs w:val="28"/>
              </w:rPr>
            </w:pPr>
            <w:r w:rsidRPr="003B7381">
              <w:rPr>
                <w:rFonts w:ascii="Times New Roman" w:hAnsi="Times New Roman" w:cs="Times New Roman"/>
                <w:b/>
                <w:bCs/>
                <w:sz w:val="28"/>
                <w:szCs w:val="28"/>
              </w:rPr>
              <w:t xml:space="preserve">Ministerul Mediului </w:t>
            </w:r>
          </w:p>
          <w:p w14:paraId="7161F0BD" w14:textId="6ADB577F" w:rsidR="00717488" w:rsidRPr="003B7381" w:rsidRDefault="00717488" w:rsidP="00717488">
            <w:pPr>
              <w:spacing w:after="0"/>
              <w:rPr>
                <w:rFonts w:ascii="Times New Roman" w:hAnsi="Times New Roman" w:cs="Times New Roman"/>
                <w:i/>
                <w:iCs/>
                <w:sz w:val="28"/>
                <w:szCs w:val="28"/>
              </w:rPr>
            </w:pPr>
            <w:r w:rsidRPr="003B7381">
              <w:rPr>
                <w:rFonts w:ascii="Times New Roman" w:hAnsi="Times New Roman" w:cs="Times New Roman"/>
                <w:i/>
                <w:iCs/>
                <w:sz w:val="28"/>
                <w:szCs w:val="28"/>
              </w:rPr>
              <w:t>(nr.13-05/2077 din 22.07.2025)</w:t>
            </w: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5D8483" w14:textId="3ECB207A" w:rsidR="00717488" w:rsidRPr="00EE77BE" w:rsidRDefault="00717488" w:rsidP="002C7BD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FB1672F" w14:textId="77777777" w:rsidR="00717488" w:rsidRPr="00EE77BE" w:rsidRDefault="00717488" w:rsidP="00717488">
            <w:pPr>
              <w:spacing w:after="0"/>
              <w:rPr>
                <w:rFonts w:ascii="Times New Roman" w:hAnsi="Times New Roman" w:cs="Times New Roman"/>
                <w:sz w:val="28"/>
                <w:szCs w:val="28"/>
              </w:rPr>
            </w:pPr>
            <w:r>
              <w:rPr>
                <w:rFonts w:ascii="Times New Roman" w:hAnsi="Times New Roman" w:cs="Times New Roman"/>
                <w:sz w:val="28"/>
                <w:szCs w:val="28"/>
              </w:rPr>
              <w:t>Lipsă de obiecții și propuneri.</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D06EDC" w14:textId="68F79493" w:rsidR="00717488" w:rsidRPr="00EE77BE" w:rsidRDefault="00717488" w:rsidP="002C7BD6">
            <w:pPr>
              <w:spacing w:after="0"/>
              <w:jc w:val="center"/>
              <w:rPr>
                <w:rFonts w:ascii="Times New Roman" w:hAnsi="Times New Roman" w:cs="Times New Roman"/>
                <w:sz w:val="28"/>
                <w:szCs w:val="28"/>
              </w:rPr>
            </w:pPr>
            <w:r w:rsidRPr="00FA584D">
              <w:rPr>
                <w:rFonts w:ascii="Times New Roman" w:hAnsi="Times New Roman" w:cs="Times New Roman"/>
                <w:b/>
                <w:bCs/>
                <w:sz w:val="28"/>
                <w:szCs w:val="28"/>
              </w:rPr>
              <w:t>Se acceptă</w:t>
            </w:r>
          </w:p>
        </w:tc>
      </w:tr>
      <w:tr w:rsidR="00D22630" w:rsidRPr="00EE77BE" w14:paraId="52C620CB" w14:textId="77777777" w:rsidTr="00717488">
        <w:trPr>
          <w:jc w:val="center"/>
        </w:trPr>
        <w:tc>
          <w:tcPr>
            <w:tcW w:w="1703"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0891E273" w14:textId="77777777" w:rsidR="00D22630" w:rsidRPr="003B7381" w:rsidRDefault="00D22630" w:rsidP="00B2638A">
            <w:pPr>
              <w:spacing w:after="0"/>
              <w:rPr>
                <w:rFonts w:ascii="Times New Roman" w:hAnsi="Times New Roman" w:cs="Times New Roman"/>
                <w:b/>
                <w:bCs/>
                <w:sz w:val="28"/>
                <w:szCs w:val="28"/>
              </w:rPr>
            </w:pPr>
            <w:r w:rsidRPr="003B7381">
              <w:rPr>
                <w:rFonts w:ascii="Times New Roman" w:hAnsi="Times New Roman" w:cs="Times New Roman"/>
                <w:b/>
                <w:bCs/>
                <w:sz w:val="28"/>
                <w:szCs w:val="28"/>
              </w:rPr>
              <w:t>Ministerul Dezvoltării Economice și Digitalizării</w:t>
            </w:r>
          </w:p>
          <w:p w14:paraId="5FA8FF10" w14:textId="129FC144" w:rsidR="00D22630" w:rsidRPr="003B7381" w:rsidRDefault="003B7381" w:rsidP="00B2638A">
            <w:pPr>
              <w:spacing w:after="0"/>
              <w:rPr>
                <w:rFonts w:ascii="Times New Roman" w:hAnsi="Times New Roman" w:cs="Times New Roman"/>
                <w:i/>
                <w:iCs/>
                <w:sz w:val="28"/>
                <w:szCs w:val="28"/>
              </w:rPr>
            </w:pPr>
            <w:r w:rsidRPr="003B7381">
              <w:rPr>
                <w:rFonts w:ascii="Times New Roman" w:hAnsi="Times New Roman" w:cs="Times New Roman"/>
                <w:i/>
                <w:iCs/>
                <w:sz w:val="28"/>
                <w:szCs w:val="28"/>
              </w:rPr>
              <w:t>(</w:t>
            </w:r>
            <w:r w:rsidR="00D22630" w:rsidRPr="003B7381">
              <w:rPr>
                <w:rFonts w:ascii="Times New Roman" w:hAnsi="Times New Roman" w:cs="Times New Roman"/>
                <w:i/>
                <w:iCs/>
                <w:sz w:val="28"/>
                <w:szCs w:val="28"/>
              </w:rPr>
              <w:t>nr. 16/2-2066 din 15.07.2027</w:t>
            </w:r>
            <w:r w:rsidRPr="003B7381">
              <w:rPr>
                <w:rFonts w:ascii="Times New Roman" w:hAnsi="Times New Roman" w:cs="Times New Roman"/>
                <w:i/>
                <w:iCs/>
                <w:sz w:val="28"/>
                <w:szCs w:val="28"/>
              </w:rPr>
              <w:t>)</w:t>
            </w: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14DE5DF" w14:textId="11A9C2B0" w:rsidR="00D22630" w:rsidRPr="00EE77BE" w:rsidRDefault="003B7381" w:rsidP="002C7BD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4788CC7" w14:textId="77777777" w:rsidR="00D22630" w:rsidRPr="003B7381" w:rsidRDefault="00D22630" w:rsidP="003B7381">
            <w:pPr>
              <w:spacing w:after="0"/>
              <w:rPr>
                <w:rFonts w:ascii="Times New Roman" w:hAnsi="Times New Roman" w:cs="Times New Roman"/>
                <w:sz w:val="28"/>
                <w:szCs w:val="28"/>
              </w:rPr>
            </w:pPr>
            <w:r w:rsidRPr="003B7381">
              <w:rPr>
                <w:rFonts w:ascii="Times New Roman" w:hAnsi="Times New Roman" w:cs="Times New Roman"/>
                <w:sz w:val="28"/>
                <w:szCs w:val="28"/>
              </w:rPr>
              <w:t xml:space="preserve">La pct. 1: </w:t>
            </w:r>
          </w:p>
          <w:p w14:paraId="2FBD965F" w14:textId="77777777" w:rsidR="00D22630" w:rsidRPr="00EE77BE" w:rsidRDefault="00D22630" w:rsidP="003B7381">
            <w:pPr>
              <w:spacing w:after="0"/>
              <w:jc w:val="both"/>
              <w:rPr>
                <w:rFonts w:ascii="Times New Roman" w:hAnsi="Times New Roman" w:cs="Times New Roman"/>
                <w:sz w:val="28"/>
                <w:szCs w:val="28"/>
              </w:rPr>
            </w:pPr>
            <w:r w:rsidRPr="00EE77BE">
              <w:rPr>
                <w:rFonts w:ascii="Times New Roman" w:hAnsi="Times New Roman" w:cs="Times New Roman"/>
                <w:sz w:val="28"/>
                <w:szCs w:val="28"/>
              </w:rPr>
              <w:t>subpct. 1.4.12. se propune substituirea textului „</w:t>
            </w:r>
            <w:r w:rsidRPr="00EE77BE">
              <w:rPr>
                <w:rFonts w:ascii="Times New Roman" w:hAnsi="Times New Roman" w:cs="Times New Roman"/>
                <w:i/>
                <w:iCs/>
                <w:sz w:val="28"/>
                <w:szCs w:val="28"/>
              </w:rPr>
              <w:t>organismul național de acreditare, recunoscut conform art. 7 din Legea nr.235/2011</w:t>
            </w:r>
            <w:r w:rsidRPr="00EE77BE">
              <w:rPr>
                <w:rFonts w:ascii="Times New Roman" w:hAnsi="Times New Roman" w:cs="Times New Roman"/>
                <w:sz w:val="28"/>
                <w:szCs w:val="28"/>
              </w:rPr>
              <w:t xml:space="preserve">” cu textul </w:t>
            </w:r>
            <w:r w:rsidRPr="00210AE1">
              <w:rPr>
                <w:rFonts w:ascii="Times New Roman" w:hAnsi="Times New Roman" w:cs="Times New Roman"/>
                <w:i/>
                <w:iCs/>
                <w:sz w:val="28"/>
                <w:szCs w:val="28"/>
              </w:rPr>
              <w:t>„Centrul Naţional de Acreditare „MOLDAC”</w:t>
            </w:r>
            <w:r w:rsidRPr="00EE77BE">
              <w:rPr>
                <w:rFonts w:ascii="Times New Roman" w:hAnsi="Times New Roman" w:cs="Times New Roman"/>
                <w:sz w:val="28"/>
                <w:szCs w:val="28"/>
              </w:rPr>
              <w:t xml:space="preserve">, în condiţiile Legii nr. 235/2011”, pentru a exclude interpretarea ambiguă a normei propuse.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3E7974" w14:textId="77777777" w:rsidR="00D22630" w:rsidRPr="003B7381" w:rsidRDefault="00D22630" w:rsidP="002C7BD6">
            <w:pPr>
              <w:spacing w:after="0"/>
              <w:jc w:val="center"/>
              <w:rPr>
                <w:rFonts w:ascii="Times New Roman" w:hAnsi="Times New Roman" w:cs="Times New Roman"/>
                <w:b/>
                <w:bCs/>
                <w:sz w:val="28"/>
                <w:szCs w:val="28"/>
              </w:rPr>
            </w:pPr>
            <w:r w:rsidRPr="003B7381">
              <w:rPr>
                <w:rFonts w:ascii="Times New Roman" w:hAnsi="Times New Roman" w:cs="Times New Roman"/>
                <w:b/>
                <w:bCs/>
                <w:sz w:val="28"/>
                <w:szCs w:val="28"/>
              </w:rPr>
              <w:t>Se acceptă</w:t>
            </w:r>
          </w:p>
        </w:tc>
      </w:tr>
      <w:tr w:rsidR="00D22630" w:rsidRPr="00EE77BE" w14:paraId="7A212D95" w14:textId="77777777" w:rsidTr="00717488">
        <w:trPr>
          <w:jc w:val="center"/>
        </w:trPr>
        <w:tc>
          <w:tcPr>
            <w:tcW w:w="1703"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15E4FACB" w14:textId="77777777" w:rsidR="00D22630" w:rsidRPr="00EE77BE" w:rsidRDefault="00D22630"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C75F891" w14:textId="389E8FA9" w:rsidR="00D22630" w:rsidRPr="00EE77BE" w:rsidRDefault="003B7381" w:rsidP="002C7BD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4CD9CB5" w14:textId="77777777" w:rsidR="00D22630" w:rsidRPr="00EE77BE" w:rsidRDefault="00D22630" w:rsidP="003B7381">
            <w:pPr>
              <w:spacing w:after="0"/>
              <w:rPr>
                <w:rFonts w:ascii="Times New Roman" w:hAnsi="Times New Roman" w:cs="Times New Roman"/>
                <w:sz w:val="28"/>
                <w:szCs w:val="28"/>
              </w:rPr>
            </w:pPr>
            <w:r w:rsidRPr="00EE77BE">
              <w:rPr>
                <w:rFonts w:ascii="Times New Roman" w:hAnsi="Times New Roman" w:cs="Times New Roman"/>
                <w:sz w:val="28"/>
                <w:szCs w:val="28"/>
              </w:rPr>
              <w:t xml:space="preserve">subpct. 1.4.28. se propune substituirea textului </w:t>
            </w:r>
            <w:r w:rsidRPr="003B7381">
              <w:rPr>
                <w:rFonts w:ascii="Times New Roman" w:hAnsi="Times New Roman" w:cs="Times New Roman"/>
                <w:i/>
                <w:iCs/>
                <w:sz w:val="28"/>
                <w:szCs w:val="28"/>
              </w:rPr>
              <w:t>„punctele 91</w:t>
            </w:r>
            <w:r w:rsidRPr="003B7381">
              <w:rPr>
                <w:rFonts w:ascii="Times New Roman" w:hAnsi="Times New Roman" w:cs="Times New Roman"/>
                <w:i/>
                <w:iCs/>
                <w:sz w:val="28"/>
                <w:szCs w:val="28"/>
                <w:vertAlign w:val="superscript"/>
              </w:rPr>
              <w:t>2</w:t>
            </w:r>
            <w:r w:rsidRPr="003B7381">
              <w:rPr>
                <w:rFonts w:ascii="Times New Roman" w:hAnsi="Times New Roman" w:cs="Times New Roman"/>
                <w:i/>
                <w:iCs/>
                <w:sz w:val="28"/>
                <w:szCs w:val="28"/>
              </w:rPr>
              <w:t>-91</w:t>
            </w:r>
            <w:r w:rsidRPr="003B7381">
              <w:rPr>
                <w:rFonts w:ascii="Times New Roman" w:hAnsi="Times New Roman" w:cs="Times New Roman"/>
                <w:i/>
                <w:iCs/>
                <w:sz w:val="28"/>
                <w:szCs w:val="28"/>
                <w:vertAlign w:val="superscript"/>
              </w:rPr>
              <w:t>3</w:t>
            </w:r>
            <w:r w:rsidRPr="003B7381">
              <w:rPr>
                <w:rFonts w:ascii="Times New Roman" w:hAnsi="Times New Roman" w:cs="Times New Roman"/>
                <w:i/>
                <w:iCs/>
                <w:sz w:val="28"/>
                <w:szCs w:val="28"/>
              </w:rPr>
              <w:t>”</w:t>
            </w:r>
            <w:r w:rsidRPr="00EE77BE">
              <w:rPr>
                <w:rFonts w:ascii="Times New Roman" w:hAnsi="Times New Roman" w:cs="Times New Roman"/>
                <w:sz w:val="28"/>
                <w:szCs w:val="28"/>
              </w:rPr>
              <w:t xml:space="preserve"> cu textul </w:t>
            </w:r>
            <w:r w:rsidRPr="003B7381">
              <w:rPr>
                <w:rFonts w:ascii="Times New Roman" w:hAnsi="Times New Roman" w:cs="Times New Roman"/>
                <w:i/>
                <w:iCs/>
                <w:sz w:val="28"/>
                <w:szCs w:val="28"/>
              </w:rPr>
              <w:t>„punctele 91</w:t>
            </w:r>
            <w:r w:rsidRPr="003B7381">
              <w:rPr>
                <w:rFonts w:ascii="Times New Roman" w:hAnsi="Times New Roman" w:cs="Times New Roman"/>
                <w:i/>
                <w:iCs/>
                <w:sz w:val="28"/>
                <w:szCs w:val="28"/>
                <w:vertAlign w:val="superscript"/>
              </w:rPr>
              <w:t>1</w:t>
            </w:r>
            <w:r w:rsidRPr="003B7381">
              <w:rPr>
                <w:rFonts w:ascii="Times New Roman" w:hAnsi="Times New Roman" w:cs="Times New Roman"/>
                <w:i/>
                <w:iCs/>
                <w:sz w:val="28"/>
                <w:szCs w:val="28"/>
              </w:rPr>
              <w:t>-91</w:t>
            </w:r>
            <w:r w:rsidRPr="003B7381">
              <w:rPr>
                <w:rFonts w:ascii="Times New Roman" w:hAnsi="Times New Roman" w:cs="Times New Roman"/>
                <w:i/>
                <w:iCs/>
                <w:sz w:val="28"/>
                <w:szCs w:val="28"/>
                <w:vertAlign w:val="superscript"/>
              </w:rPr>
              <w:t>3</w:t>
            </w:r>
            <w:r w:rsidRPr="003B7381">
              <w:rPr>
                <w:rFonts w:ascii="Times New Roman" w:hAnsi="Times New Roman" w:cs="Times New Roman"/>
                <w:i/>
                <w:iCs/>
                <w:sz w:val="28"/>
                <w:szCs w:val="28"/>
              </w:rPr>
              <w:t>”</w:t>
            </w:r>
            <w:r w:rsidRPr="00EE77BE">
              <w:rPr>
                <w:rFonts w:ascii="Times New Roman" w:hAnsi="Times New Roman" w:cs="Times New Roman"/>
                <w:sz w:val="28"/>
                <w:szCs w:val="28"/>
              </w:rPr>
              <w:t>, pentru a exclude omiterea indicării incorecte a numerotării punctelor prin care se completează reglementarea tehnică.</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F0190E9" w14:textId="77777777" w:rsidR="00D22630" w:rsidRPr="003B7381" w:rsidRDefault="00D22630" w:rsidP="002C7BD6">
            <w:pPr>
              <w:spacing w:after="0"/>
              <w:jc w:val="center"/>
              <w:rPr>
                <w:rFonts w:ascii="Times New Roman" w:hAnsi="Times New Roman" w:cs="Times New Roman"/>
                <w:b/>
                <w:bCs/>
                <w:sz w:val="28"/>
                <w:szCs w:val="28"/>
              </w:rPr>
            </w:pPr>
            <w:r w:rsidRPr="003B7381">
              <w:rPr>
                <w:rFonts w:ascii="Times New Roman" w:hAnsi="Times New Roman" w:cs="Times New Roman"/>
                <w:b/>
                <w:bCs/>
                <w:sz w:val="28"/>
                <w:szCs w:val="28"/>
              </w:rPr>
              <w:t>Se acceptă</w:t>
            </w:r>
          </w:p>
        </w:tc>
      </w:tr>
      <w:tr w:rsidR="00D22630" w:rsidRPr="00EE77BE" w14:paraId="15B67927" w14:textId="77777777" w:rsidTr="00717488">
        <w:trPr>
          <w:jc w:val="center"/>
        </w:trPr>
        <w:tc>
          <w:tcPr>
            <w:tcW w:w="1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DE9F8B" w14:textId="77777777" w:rsidR="00D22630" w:rsidRPr="003B7381" w:rsidRDefault="00D22630" w:rsidP="00B2638A">
            <w:pPr>
              <w:spacing w:after="0"/>
              <w:rPr>
                <w:rFonts w:ascii="Times New Roman" w:hAnsi="Times New Roman" w:cs="Times New Roman"/>
                <w:b/>
                <w:bCs/>
                <w:sz w:val="28"/>
                <w:szCs w:val="28"/>
              </w:rPr>
            </w:pPr>
            <w:r w:rsidRPr="003B7381">
              <w:rPr>
                <w:rFonts w:ascii="Times New Roman" w:hAnsi="Times New Roman" w:cs="Times New Roman"/>
                <w:b/>
                <w:bCs/>
                <w:sz w:val="28"/>
                <w:szCs w:val="28"/>
              </w:rPr>
              <w:lastRenderedPageBreak/>
              <w:t>Ministerul Afacerilor Interne</w:t>
            </w:r>
          </w:p>
          <w:p w14:paraId="289B7F6C" w14:textId="38259C5B" w:rsidR="00D22630" w:rsidRPr="003B7381" w:rsidRDefault="003B7381" w:rsidP="00B2638A">
            <w:pPr>
              <w:spacing w:after="0"/>
              <w:rPr>
                <w:rFonts w:ascii="Times New Roman" w:hAnsi="Times New Roman" w:cs="Times New Roman"/>
                <w:i/>
                <w:iCs/>
                <w:sz w:val="28"/>
                <w:szCs w:val="28"/>
              </w:rPr>
            </w:pPr>
            <w:r w:rsidRPr="003B7381">
              <w:rPr>
                <w:rFonts w:ascii="Times New Roman" w:hAnsi="Times New Roman" w:cs="Times New Roman"/>
                <w:i/>
                <w:iCs/>
                <w:sz w:val="28"/>
                <w:szCs w:val="28"/>
              </w:rPr>
              <w:t>(</w:t>
            </w:r>
            <w:r w:rsidR="00D22630" w:rsidRPr="003B7381">
              <w:rPr>
                <w:rFonts w:ascii="Times New Roman" w:hAnsi="Times New Roman" w:cs="Times New Roman"/>
                <w:i/>
                <w:iCs/>
                <w:sz w:val="28"/>
                <w:szCs w:val="28"/>
              </w:rPr>
              <w:t>nr. 38/2557 din 21.07. 2025</w:t>
            </w:r>
            <w:r w:rsidRPr="003B7381">
              <w:rPr>
                <w:rFonts w:ascii="Times New Roman" w:hAnsi="Times New Roman" w:cs="Times New Roman"/>
                <w:i/>
                <w:iCs/>
                <w:sz w:val="28"/>
                <w:szCs w:val="28"/>
              </w:rPr>
              <w:t>)</w:t>
            </w: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0742999" w14:textId="35FA294D" w:rsidR="00D22630" w:rsidRPr="00EE77BE" w:rsidRDefault="003B7381" w:rsidP="002C7BD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36CCAD8" w14:textId="77777777" w:rsidR="00D22630" w:rsidRPr="00EE77BE" w:rsidRDefault="00D22630" w:rsidP="003B7381">
            <w:pPr>
              <w:spacing w:after="0"/>
              <w:rPr>
                <w:rFonts w:ascii="Times New Roman" w:hAnsi="Times New Roman" w:cs="Times New Roman"/>
                <w:sz w:val="28"/>
                <w:szCs w:val="28"/>
              </w:rPr>
            </w:pPr>
            <w:r>
              <w:rPr>
                <w:rFonts w:ascii="Times New Roman" w:hAnsi="Times New Roman" w:cs="Times New Roman"/>
                <w:sz w:val="28"/>
                <w:szCs w:val="28"/>
              </w:rPr>
              <w:t>Lipsă de obiecții și propuneri.</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FAE8879" w14:textId="77777777" w:rsidR="00D22630" w:rsidRPr="00EE77BE" w:rsidRDefault="00D22630" w:rsidP="002C7BD6">
            <w:pPr>
              <w:spacing w:after="0"/>
              <w:jc w:val="center"/>
              <w:rPr>
                <w:rFonts w:ascii="Times New Roman" w:hAnsi="Times New Roman" w:cs="Times New Roman"/>
                <w:sz w:val="28"/>
                <w:szCs w:val="28"/>
              </w:rPr>
            </w:pPr>
          </w:p>
        </w:tc>
      </w:tr>
      <w:tr w:rsidR="00D22630" w:rsidRPr="00EE77BE" w14:paraId="3F4E66E3" w14:textId="77777777" w:rsidTr="00B2638A">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295ED" w14:textId="66CC4307" w:rsidR="00D22630" w:rsidRPr="003B7381" w:rsidRDefault="003B7381" w:rsidP="002C7BD6">
            <w:pPr>
              <w:spacing w:after="0"/>
              <w:jc w:val="center"/>
              <w:rPr>
                <w:rFonts w:ascii="Times New Roman" w:hAnsi="Times New Roman" w:cs="Times New Roman"/>
                <w:b/>
                <w:bCs/>
                <w:sz w:val="28"/>
                <w:szCs w:val="28"/>
              </w:rPr>
            </w:pPr>
            <w:r w:rsidRPr="003B7381">
              <w:rPr>
                <w:rFonts w:ascii="Times New Roman" w:hAnsi="Times New Roman" w:cs="Times New Roman"/>
                <w:b/>
                <w:bCs/>
                <w:sz w:val="28"/>
                <w:szCs w:val="28"/>
              </w:rPr>
              <w:t>EXPERTIZARE</w:t>
            </w:r>
          </w:p>
        </w:tc>
      </w:tr>
      <w:tr w:rsidR="00717488" w:rsidRPr="00EE77BE" w14:paraId="5E4426EE" w14:textId="77777777" w:rsidTr="00717488">
        <w:trPr>
          <w:jc w:val="center"/>
        </w:trPr>
        <w:tc>
          <w:tcPr>
            <w:tcW w:w="1703" w:type="pct"/>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14:paraId="3DCDD860" w14:textId="77777777" w:rsidR="00717488" w:rsidRPr="003B7381" w:rsidRDefault="00717488" w:rsidP="00B2638A">
            <w:pPr>
              <w:spacing w:after="0"/>
              <w:rPr>
                <w:rFonts w:ascii="Times New Roman" w:hAnsi="Times New Roman" w:cs="Times New Roman"/>
                <w:b/>
                <w:bCs/>
                <w:sz w:val="28"/>
                <w:szCs w:val="28"/>
              </w:rPr>
            </w:pPr>
            <w:r w:rsidRPr="003B7381">
              <w:rPr>
                <w:rFonts w:ascii="Times New Roman" w:hAnsi="Times New Roman" w:cs="Times New Roman"/>
                <w:b/>
                <w:bCs/>
                <w:sz w:val="28"/>
                <w:szCs w:val="28"/>
              </w:rPr>
              <w:t>Centrul de Armonizare a Legislației</w:t>
            </w:r>
          </w:p>
          <w:p w14:paraId="1CF2A069" w14:textId="00C51C85" w:rsidR="00717488" w:rsidRPr="003B7381" w:rsidRDefault="00717488" w:rsidP="00B2638A">
            <w:pPr>
              <w:spacing w:after="0"/>
              <w:rPr>
                <w:rFonts w:ascii="Times New Roman" w:hAnsi="Times New Roman" w:cs="Times New Roman"/>
                <w:i/>
                <w:iCs/>
                <w:sz w:val="28"/>
                <w:szCs w:val="28"/>
              </w:rPr>
            </w:pPr>
            <w:r w:rsidRPr="003B7381">
              <w:rPr>
                <w:rFonts w:ascii="Times New Roman" w:hAnsi="Times New Roman" w:cs="Times New Roman"/>
                <w:i/>
                <w:iCs/>
                <w:sz w:val="28"/>
                <w:szCs w:val="28"/>
              </w:rPr>
              <w:t>(nr. 31/02-126-7694 din 16.07.2025)</w:t>
            </w:r>
          </w:p>
          <w:p w14:paraId="2E1998F8" w14:textId="77777777" w:rsidR="00717488" w:rsidRPr="00EE77BE" w:rsidRDefault="00717488" w:rsidP="00B2638A">
            <w:pPr>
              <w:spacing w:after="0"/>
              <w:rPr>
                <w:rFonts w:ascii="Times New Roman" w:hAnsi="Times New Roman" w:cs="Times New Roman"/>
                <w:sz w:val="28"/>
                <w:szCs w:val="28"/>
              </w:rPr>
            </w:pPr>
            <w:r w:rsidRPr="00EE77BE">
              <w:rPr>
                <w:rFonts w:ascii="Times New Roman" w:hAnsi="Times New Roman" w:cs="Times New Roman"/>
                <w:sz w:val="28"/>
                <w:szCs w:val="28"/>
              </w:rPr>
              <w:t> </w:t>
            </w:r>
          </w:p>
          <w:p w14:paraId="2300A534" w14:textId="270E3976" w:rsidR="00717488" w:rsidRPr="00EE77BE" w:rsidRDefault="00717488" w:rsidP="00B2638A">
            <w:pPr>
              <w:spacing w:after="0"/>
              <w:rPr>
                <w:rFonts w:ascii="Times New Roman" w:hAnsi="Times New Roman" w:cs="Times New Roman"/>
                <w:sz w:val="28"/>
                <w:szCs w:val="28"/>
              </w:rPr>
            </w:pPr>
            <w:r w:rsidRPr="00EE77BE">
              <w:rPr>
                <w:rFonts w:ascii="Times New Roman" w:hAnsi="Times New Roman" w:cs="Times New Roman"/>
                <w:sz w:val="28"/>
                <w:szCs w:val="28"/>
              </w:rPr>
              <w:t> </w:t>
            </w: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CE732F" w14:textId="7919FA5E" w:rsidR="00717488"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C3081A" w14:textId="77777777" w:rsidR="00717488" w:rsidRPr="00EE77BE" w:rsidRDefault="00717488" w:rsidP="00D22630">
            <w:pPr>
              <w:pStyle w:val="ListParagraph"/>
              <w:numPr>
                <w:ilvl w:val="0"/>
                <w:numId w:val="2"/>
              </w:numPr>
              <w:spacing w:after="0"/>
              <w:rPr>
                <w:rFonts w:ascii="Times New Roman" w:hAnsi="Times New Roman" w:cs="Times New Roman"/>
                <w:sz w:val="28"/>
                <w:szCs w:val="28"/>
              </w:rPr>
            </w:pPr>
            <w:r w:rsidRPr="00EE77BE">
              <w:rPr>
                <w:rFonts w:ascii="Times New Roman" w:hAnsi="Times New Roman" w:cs="Times New Roman"/>
                <w:sz w:val="28"/>
                <w:szCs w:val="28"/>
              </w:rPr>
              <w:t>Evaluarea din perspectiva compatibilității cu Dreptul UE</w:t>
            </w:r>
          </w:p>
          <w:p w14:paraId="371AA663"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Din punct de vedere al dreptului UE, prin prisma obiectului de reglementare, prezentul demers normativ se circumscrie reglementărilor statuate la nivelul UE, subsumate Capitolului 14 ”Transport”.</w:t>
            </w:r>
          </w:p>
          <w:p w14:paraId="146DEEBF"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Astfel, din perspectiva proiectului examinat, la nivelul legislației europene derivate, prezintă relevanță directă Directiva 2010/35/UE, care stabilește cadrul juridic privind echipamentele sub presiune transportabile, cu scopul principal de a asigura un nivel ridicat de siguranță în utilizarea și circulația acestora în interiorul Uniunii Europene, precum și de a garanta libera circulație a acestor produse pe piața internă. Directiva abrogă și înlocuiește actele anterioare relevante în acest domeniu, adaptând cadrul normativ la progresele tehnice și la nevoia de coerență cu alte reglementări europene privind transportul mărfurilor periculoase. Actul UE reglementează cerințele tehnice, procedurile de evaluare și reevaluare a conformității, inspecțiile periodice și măsurile de supraveghere aplicabile echipamentelor sub presiune transportabile, inclusiv marcarea obligatorie cu simbolul „π” (pi), care atestă conformitatea cu normele europene. Sunt definite obligații clare pentru toți actorii implicați în lanțul de punere pe piață și utilizare, producători, importatori, distribuitori, proprietari și </w:t>
            </w:r>
            <w:r w:rsidRPr="00EE77BE">
              <w:rPr>
                <w:rFonts w:ascii="Times New Roman" w:hAnsi="Times New Roman" w:cs="Times New Roman"/>
                <w:sz w:val="28"/>
                <w:szCs w:val="28"/>
              </w:rPr>
              <w:lastRenderedPageBreak/>
              <w:t>operatori în vederea garantării faptului că aceste echipamente sunt fabricate, întreținute și utilizate în condiții de siguranță.</w:t>
            </w:r>
          </w:p>
          <w:p w14:paraId="586CD380"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Prezentul proiect este un exercițiu de continuitate a transpunerii Directivei 2010/35/UE, ori aceasta a constituit obiect al armonizării prin același act normativ supus modificării.</w:t>
            </w:r>
          </w:p>
          <w:p w14:paraId="61FAC597"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a) Analiza comparativă a transpunerii dispozițiilor Directivei 2010/35/UE a Parlamentului European şi al Consiliului din 16 iunie 2010.</w:t>
            </w:r>
          </w:p>
          <w:p w14:paraId="6C7B27DD"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Evaluând gradul de transpunere a Directivei 2010/35/UE a Parlamentului European şi al Consiliului din 16 iunie 2010 prin proiectul național, menționăm cu titlu general că, acesta asigură transpunerea parțială a actului UE conform celor constatate infra.</w:t>
            </w:r>
          </w:p>
          <w:p w14:paraId="4BB54CB6"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Proiectul național, prin dispozițiile statuate la pct. 1, subpct. 1.4 modifică pct. 1 - 6 din Reglementarea tehnică, în vederea ajustării terminologice și completării cu noțiuni noi în acord cu art. 1 și 2 ale actului UE.</w:t>
            </w:r>
          </w:p>
          <w:p w14:paraId="054CACAD"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Pct. 1, subpct. 1.4.6 și 1.4.7 al proiectului național modifică terminologic pct. 22 – 31 din Reglementarea tehnică potrivit art. 6 (5) și (7) și art. 7 (1), (3) și (4) din Directiva 2010/35/UE.</w:t>
            </w:r>
          </w:p>
          <w:p w14:paraId="6989120E"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Pct. 1, subpct. 1.4.8 – 1.4.38 din proiect modifică pct. 43, 47, 51</w:t>
            </w:r>
            <w:r w:rsidRPr="00EE77BE">
              <w:rPr>
                <w:rFonts w:ascii="Times New Roman" w:hAnsi="Times New Roman" w:cs="Times New Roman"/>
                <w:sz w:val="28"/>
                <w:szCs w:val="28"/>
                <w:vertAlign w:val="superscript"/>
              </w:rPr>
              <w:t>1</w:t>
            </w:r>
            <w:r w:rsidRPr="00EE77BE">
              <w:rPr>
                <w:rFonts w:ascii="Times New Roman" w:hAnsi="Times New Roman" w:cs="Times New Roman"/>
                <w:sz w:val="28"/>
                <w:szCs w:val="28"/>
              </w:rPr>
              <w:t>, 57, 62</w:t>
            </w:r>
            <w:r w:rsidRPr="00EE77BE">
              <w:rPr>
                <w:rFonts w:ascii="Times New Roman" w:hAnsi="Times New Roman" w:cs="Times New Roman"/>
                <w:sz w:val="28"/>
                <w:szCs w:val="28"/>
                <w:vertAlign w:val="superscript"/>
              </w:rPr>
              <w:t>1</w:t>
            </w:r>
            <w:r w:rsidRPr="00EE77BE">
              <w:rPr>
                <w:rFonts w:ascii="Times New Roman" w:hAnsi="Times New Roman" w:cs="Times New Roman"/>
                <w:sz w:val="28"/>
                <w:szCs w:val="28"/>
              </w:rPr>
              <w:t>, 63, 67, 68</w:t>
            </w:r>
            <w:r w:rsidRPr="00EE77BE">
              <w:rPr>
                <w:rFonts w:ascii="Times New Roman" w:hAnsi="Times New Roman" w:cs="Times New Roman"/>
                <w:sz w:val="28"/>
                <w:szCs w:val="28"/>
                <w:vertAlign w:val="superscript"/>
              </w:rPr>
              <w:t>1-2</w:t>
            </w:r>
            <w:r w:rsidRPr="00EE77BE">
              <w:rPr>
                <w:rFonts w:ascii="Times New Roman" w:hAnsi="Times New Roman" w:cs="Times New Roman"/>
                <w:sz w:val="28"/>
                <w:szCs w:val="28"/>
              </w:rPr>
              <w:t xml:space="preserve"> – 71, 73, 77, 78</w:t>
            </w:r>
            <w:r w:rsidRPr="00EE77BE">
              <w:rPr>
                <w:rFonts w:ascii="Times New Roman" w:hAnsi="Times New Roman" w:cs="Times New Roman"/>
                <w:sz w:val="28"/>
                <w:szCs w:val="28"/>
                <w:vertAlign w:val="superscript"/>
              </w:rPr>
              <w:t>1</w:t>
            </w:r>
            <w:r w:rsidRPr="00EE77BE">
              <w:rPr>
                <w:rFonts w:ascii="Times New Roman" w:hAnsi="Times New Roman" w:cs="Times New Roman"/>
                <w:sz w:val="28"/>
                <w:szCs w:val="28"/>
              </w:rPr>
              <w:t>, 81, 83</w:t>
            </w:r>
            <w:r w:rsidRPr="00EE77BE">
              <w:rPr>
                <w:rFonts w:ascii="Times New Roman" w:hAnsi="Times New Roman" w:cs="Times New Roman"/>
                <w:sz w:val="28"/>
                <w:szCs w:val="28"/>
                <w:vertAlign w:val="superscript"/>
              </w:rPr>
              <w:t>1-2</w:t>
            </w:r>
            <w:r w:rsidRPr="00EE77BE">
              <w:rPr>
                <w:rFonts w:ascii="Times New Roman" w:hAnsi="Times New Roman" w:cs="Times New Roman"/>
                <w:sz w:val="28"/>
                <w:szCs w:val="28"/>
              </w:rPr>
              <w:t>, 86 - 88, 91</w:t>
            </w:r>
            <w:r w:rsidRPr="00EE77BE">
              <w:rPr>
                <w:rFonts w:ascii="Times New Roman" w:hAnsi="Times New Roman" w:cs="Times New Roman"/>
                <w:sz w:val="28"/>
                <w:szCs w:val="28"/>
                <w:vertAlign w:val="superscript"/>
              </w:rPr>
              <w:t>1</w:t>
            </w:r>
            <w:r w:rsidRPr="00EE77BE">
              <w:rPr>
                <w:rFonts w:ascii="Times New Roman" w:hAnsi="Times New Roman" w:cs="Times New Roman"/>
                <w:sz w:val="28"/>
                <w:szCs w:val="28"/>
              </w:rPr>
              <w:t>, 94, 96 – 101 și 102</w:t>
            </w:r>
            <w:r w:rsidRPr="00EE77BE">
              <w:rPr>
                <w:rFonts w:ascii="Times New Roman" w:hAnsi="Times New Roman" w:cs="Times New Roman"/>
                <w:sz w:val="28"/>
                <w:szCs w:val="28"/>
                <w:vertAlign w:val="superscript"/>
              </w:rPr>
              <w:t>1</w:t>
            </w:r>
            <w:r w:rsidRPr="00EE77BE">
              <w:rPr>
                <w:rFonts w:ascii="Times New Roman" w:hAnsi="Times New Roman" w:cs="Times New Roman"/>
                <w:sz w:val="28"/>
                <w:szCs w:val="28"/>
              </w:rPr>
              <w:t xml:space="preserve"> din Reglementare, care reglementează valabilitatea certificatelor și rapoartelor emise de organisme notificate în toate statele membre, inclusiv în Republica Moldova, prevăd condițiile reevaluării conformității echipamentelor puse în funcțiune anterior aplicării normelor </w:t>
            </w:r>
            <w:r w:rsidRPr="00EE77BE">
              <w:rPr>
                <w:rFonts w:ascii="Times New Roman" w:hAnsi="Times New Roman" w:cs="Times New Roman"/>
                <w:sz w:val="28"/>
                <w:szCs w:val="28"/>
              </w:rPr>
              <w:lastRenderedPageBreak/>
              <w:t>actuale și stabilesc modul corect de aplicare a marcajului „π”, exclusiv pentru echipamente conforme. Totodată, sunt definite obligațiile autorităților naționale de notificare, cerințele privind imparțialitatea și competența acestora, precum și procedura de notificare a organismelor, responsabilitatea pentru supravegherea acestora și măsurile aplicabile în caz de nerespectare a cerințelor, fapt prin care se aliniază cerințelor stabilite la art. 12 (3), art. 14 (2) și (7), art. 15 (6), art. 17 (2) și (4), art. 18 (4) și (6) – (20), art. 22 (4) și (6), art. 24 (1), art. 25 (1), (2) și (4), art. 27 – 32, art. 42 (4) din documentul UE.</w:t>
            </w:r>
          </w:p>
          <w:p w14:paraId="4A869F8B"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Pct. 1, subpct. 1.4.39 modifică Anexa nr. 2 prin substituirea termenilor ”un certificat de reevaluare de tip” și „un certificat de reevaluare” cu textul ,,raport de inspecție” în acord cu pct. 4 din Anexa III la actul UE.</w:t>
            </w:r>
          </w:p>
          <w:p w14:paraId="29A36606"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b) Prevederi neaplicabile ale Directivei 2010/35/UE a Parlamentului European şi al Consiliului din 16 iunie 2010</w:t>
            </w:r>
          </w:p>
          <w:p w14:paraId="7C8DB570"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O serie de dispoziții ale actului UE nu constituie obiect al transpunerii întrucât stabilesc norme care vizează obligații specifice pentru Comisia Europeană sau care, per general, nu pot fi transpuse, art. 23 (1), art. 25 (3), art. 26 (3), art. 31 (3), art. 32 (4) și (5), art. 34 - 44, Anexa II, Anexa III pct. 9.</w:t>
            </w:r>
          </w:p>
          <w:p w14:paraId="637691E8" w14:textId="77777777" w:rsidR="00717488" w:rsidRPr="00EE77BE" w:rsidRDefault="00717488" w:rsidP="00B2638A">
            <w:pPr>
              <w:spacing w:after="0"/>
              <w:jc w:val="both"/>
              <w:rPr>
                <w:rFonts w:ascii="Times New Roman" w:hAnsi="Times New Roman" w:cs="Times New Roman"/>
                <w:sz w:val="28"/>
                <w:szCs w:val="28"/>
              </w:rPr>
            </w:pP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C853D0" w14:textId="76715650" w:rsidR="00717488" w:rsidRPr="00717488" w:rsidRDefault="00717488" w:rsidP="002C7BD6">
            <w:pPr>
              <w:spacing w:after="0"/>
              <w:jc w:val="center"/>
              <w:rPr>
                <w:rFonts w:ascii="Times New Roman" w:hAnsi="Times New Roman" w:cs="Times New Roman"/>
                <w:b/>
                <w:bCs/>
                <w:sz w:val="28"/>
                <w:szCs w:val="28"/>
              </w:rPr>
            </w:pPr>
            <w:r w:rsidRPr="00717488">
              <w:rPr>
                <w:rFonts w:ascii="Times New Roman" w:hAnsi="Times New Roman" w:cs="Times New Roman"/>
                <w:b/>
                <w:bCs/>
                <w:sz w:val="28"/>
                <w:szCs w:val="28"/>
              </w:rPr>
              <w:lastRenderedPageBreak/>
              <w:t>Se acceptă</w:t>
            </w:r>
          </w:p>
        </w:tc>
      </w:tr>
      <w:tr w:rsidR="00717488" w:rsidRPr="00EE77BE" w14:paraId="7A843CFC"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hideMark/>
          </w:tcPr>
          <w:p w14:paraId="77966687" w14:textId="5BA6EE87" w:rsidR="00717488" w:rsidRPr="00EE77BE" w:rsidRDefault="00717488"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E842BA" w14:textId="74A6E4C0" w:rsidR="00717488"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54B2CF" w14:textId="77777777" w:rsidR="00717488" w:rsidRPr="00EE77BE" w:rsidRDefault="00717488" w:rsidP="00B2638A">
            <w:pPr>
              <w:spacing w:after="0"/>
              <w:rPr>
                <w:rFonts w:ascii="Times New Roman" w:hAnsi="Times New Roman" w:cs="Times New Roman"/>
                <w:sz w:val="28"/>
                <w:szCs w:val="28"/>
              </w:rPr>
            </w:pPr>
            <w:r w:rsidRPr="00EE77BE">
              <w:rPr>
                <w:rFonts w:ascii="Times New Roman" w:hAnsi="Times New Roman" w:cs="Times New Roman"/>
                <w:sz w:val="28"/>
                <w:szCs w:val="28"/>
              </w:rPr>
              <w:t>III. Respectarea mecanismului de armonizare</w:t>
            </w:r>
          </w:p>
          <w:p w14:paraId="085C95DB" w14:textId="77777777" w:rsidR="00717488" w:rsidRPr="00EE77BE" w:rsidRDefault="00717488" w:rsidP="00B2638A">
            <w:pPr>
              <w:spacing w:after="0"/>
              <w:rPr>
                <w:rFonts w:ascii="Times New Roman" w:hAnsi="Times New Roman" w:cs="Times New Roman"/>
                <w:sz w:val="28"/>
                <w:szCs w:val="28"/>
              </w:rPr>
            </w:pPr>
            <w:r w:rsidRPr="00EE77BE">
              <w:rPr>
                <w:rFonts w:ascii="Times New Roman" w:hAnsi="Times New Roman" w:cs="Times New Roman"/>
                <w:sz w:val="28"/>
                <w:szCs w:val="28"/>
              </w:rPr>
              <w:t>a) Obiecții privind clauza de armonizare</w:t>
            </w:r>
          </w:p>
          <w:p w14:paraId="62EDA057" w14:textId="53072EA9" w:rsidR="00717488" w:rsidRPr="00EE77BE" w:rsidRDefault="00717488" w:rsidP="00B2638A">
            <w:pPr>
              <w:spacing w:after="0"/>
              <w:rPr>
                <w:rFonts w:ascii="Times New Roman" w:hAnsi="Times New Roman" w:cs="Times New Roman"/>
                <w:sz w:val="28"/>
                <w:szCs w:val="28"/>
              </w:rPr>
            </w:pPr>
            <w:r w:rsidRPr="00EE77BE">
              <w:rPr>
                <w:rFonts w:ascii="Times New Roman" w:hAnsi="Times New Roman" w:cs="Times New Roman"/>
                <w:sz w:val="28"/>
                <w:szCs w:val="28"/>
              </w:rPr>
              <w:t>Proiectul național se va completa cu clauza de armonizare,</w:t>
            </w:r>
            <w:r>
              <w:rPr>
                <w:rFonts w:ascii="Times New Roman" w:hAnsi="Times New Roman" w:cs="Times New Roman"/>
                <w:sz w:val="28"/>
                <w:szCs w:val="28"/>
              </w:rPr>
              <w:t xml:space="preserve"> </w:t>
            </w:r>
            <w:r w:rsidRPr="00EE77BE">
              <w:rPr>
                <w:rFonts w:ascii="Times New Roman" w:hAnsi="Times New Roman" w:cs="Times New Roman"/>
                <w:sz w:val="28"/>
                <w:szCs w:val="28"/>
              </w:rPr>
              <w:t>după clauza de adoptare, în următoarea redacție:</w:t>
            </w:r>
          </w:p>
          <w:p w14:paraId="512D02C5"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”Prezenta hotărâre transpune parțial Directiva 2010/35/UE a Parlamentului European şi al Consiliului din 16 iunie 2010 privind echipamentele sub presiune transportabile și de </w:t>
            </w:r>
            <w:r w:rsidRPr="00EE77BE">
              <w:rPr>
                <w:rFonts w:ascii="Times New Roman" w:hAnsi="Times New Roman" w:cs="Times New Roman"/>
                <w:sz w:val="28"/>
                <w:szCs w:val="28"/>
              </w:rPr>
              <w:lastRenderedPageBreak/>
              <w:t>abrogare a Directivelor 76/767/CEE, 84/525/CEE, 84/526/CEE, 84/527/CEE și 1999/36/CE ale Consiliului, CELEX: 32010L0035, publicată în Jurnalul Oficial al Uniunii Europene seria L 165 din 30 iunie 2010”.</w:t>
            </w:r>
          </w:p>
          <w:p w14:paraId="46D01F40"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De asemenea, cu referire la pct. 1, subpct. 1.2, clauza existentă a HG nr. 1094/2017, se va expune în redacție similară, expusă mai sus. Totodată, aceasta se va exclude din partea introductivă a Reglementării tehnice și se va păstra doar în textul HG.</w:t>
            </w:r>
          </w:p>
          <w:p w14:paraId="394BB25E"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b) Obiecții privind Tabelul de concordanță referitor la Directiva 2010/35/UE a Parlamentului European şi al Consiliului din 16 iunie 2010</w:t>
            </w:r>
          </w:p>
          <w:p w14:paraId="28068B01"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La compartimentul 1 al Tabelului se va indica tipul, numărul, instituția/instituțiile care l-a/l-au adoptat, data, titlul actului juridic european, nr. CELEX, inclusiv cea mai recentă modificare a actului care constituie obiect al transpunerii, prin precizarea tipului, a numărului și a datei de adoptare a actului juridic european de modificare - Directiva 2010/35/UE a Parlamentului European şi al Consiliului din 16 iunie 2010 privind echipamentele sub presiune transportabile și de abrogare a Directivelor 76/767/CEE, 84/525/CEE, 84/526/CEE, 84/527/CEE și 1999/36/CE ale Consiliului, CELEX: 32010L0035, publicată în Jurnalul Oficial al Uniunii Europene seria L 165 din 30 iunie 2010.</w:t>
            </w:r>
          </w:p>
          <w:p w14:paraId="1E0F6A73" w14:textId="77777777" w:rsidR="00717488" w:rsidRPr="00EE77BE" w:rsidRDefault="00717488" w:rsidP="00B2638A">
            <w:pPr>
              <w:spacing w:after="0"/>
              <w:jc w:val="both"/>
              <w:rPr>
                <w:rFonts w:ascii="Times New Roman" w:hAnsi="Times New Roman" w:cs="Times New Roman"/>
                <w:sz w:val="28"/>
                <w:szCs w:val="28"/>
              </w:rPr>
            </w:pP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738363" w14:textId="77777777" w:rsidR="00717488" w:rsidRPr="00717488" w:rsidRDefault="00717488" w:rsidP="002C7BD6">
            <w:pPr>
              <w:spacing w:after="0"/>
              <w:jc w:val="center"/>
              <w:rPr>
                <w:rFonts w:ascii="Times New Roman" w:hAnsi="Times New Roman" w:cs="Times New Roman"/>
                <w:b/>
                <w:bCs/>
                <w:sz w:val="28"/>
                <w:szCs w:val="28"/>
              </w:rPr>
            </w:pPr>
            <w:r w:rsidRPr="00717488">
              <w:rPr>
                <w:rFonts w:ascii="Times New Roman" w:hAnsi="Times New Roman" w:cs="Times New Roman"/>
                <w:b/>
                <w:bCs/>
                <w:sz w:val="28"/>
                <w:szCs w:val="28"/>
              </w:rPr>
              <w:lastRenderedPageBreak/>
              <w:t>Se acceptă</w:t>
            </w:r>
          </w:p>
        </w:tc>
      </w:tr>
      <w:tr w:rsidR="00717488" w:rsidRPr="00EE77BE" w14:paraId="7D045448" w14:textId="77777777" w:rsidTr="00717488">
        <w:trPr>
          <w:jc w:val="center"/>
        </w:trPr>
        <w:tc>
          <w:tcPr>
            <w:tcW w:w="1703" w:type="pct"/>
            <w:vMerge/>
            <w:tcBorders>
              <w:left w:val="single" w:sz="6" w:space="0" w:color="000000"/>
              <w:bottom w:val="single" w:sz="6" w:space="0" w:color="000000"/>
              <w:right w:val="single" w:sz="6" w:space="0" w:color="000000"/>
            </w:tcBorders>
            <w:tcMar>
              <w:top w:w="15" w:type="dxa"/>
              <w:left w:w="45" w:type="dxa"/>
              <w:bottom w:w="15" w:type="dxa"/>
              <w:right w:w="45" w:type="dxa"/>
            </w:tcMar>
            <w:hideMark/>
          </w:tcPr>
          <w:p w14:paraId="3E248F73" w14:textId="70001CC5" w:rsidR="00717488" w:rsidRPr="00EE77BE" w:rsidRDefault="00717488"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A00B04" w14:textId="41A29CA6" w:rsidR="00717488"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D362EE"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IV. Concluzii</w:t>
            </w:r>
          </w:p>
          <w:p w14:paraId="7987336D" w14:textId="77777777" w:rsidR="00717488" w:rsidRPr="00EE77BE" w:rsidRDefault="00717488"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Ca urmare a expertizei de compatibilitate realizate, clauza de armonizare și Tabelul de concordanță se vor definitiva potrivit celor expuse în prezenta Declarație.</w:t>
            </w:r>
          </w:p>
          <w:p w14:paraId="52CCDD2C" w14:textId="5F8A2F1B" w:rsidR="00717488" w:rsidRPr="00EE77BE" w:rsidRDefault="00717488" w:rsidP="00B2638A">
            <w:pPr>
              <w:spacing w:after="0"/>
              <w:jc w:val="both"/>
              <w:rPr>
                <w:rFonts w:ascii="Times New Roman" w:hAnsi="Times New Roman" w:cs="Times New Roman"/>
                <w:sz w:val="28"/>
                <w:szCs w:val="28"/>
              </w:rPr>
            </w:pP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4DD580" w14:textId="77777777" w:rsidR="00717488" w:rsidRPr="00717488" w:rsidRDefault="00717488" w:rsidP="002C7BD6">
            <w:pPr>
              <w:spacing w:after="0"/>
              <w:jc w:val="center"/>
              <w:rPr>
                <w:rFonts w:ascii="Times New Roman" w:hAnsi="Times New Roman" w:cs="Times New Roman"/>
                <w:b/>
                <w:bCs/>
                <w:sz w:val="28"/>
                <w:szCs w:val="28"/>
              </w:rPr>
            </w:pPr>
            <w:r w:rsidRPr="00717488">
              <w:rPr>
                <w:rFonts w:ascii="Times New Roman" w:hAnsi="Times New Roman" w:cs="Times New Roman"/>
                <w:b/>
                <w:bCs/>
                <w:sz w:val="28"/>
                <w:szCs w:val="28"/>
              </w:rPr>
              <w:t>Se acceptă</w:t>
            </w:r>
          </w:p>
        </w:tc>
      </w:tr>
      <w:tr w:rsidR="00210AE1" w:rsidRPr="00EE77BE" w14:paraId="4B466D5C" w14:textId="77777777" w:rsidTr="00717488">
        <w:trPr>
          <w:trHeight w:val="690"/>
          <w:jc w:val="center"/>
        </w:trPr>
        <w:tc>
          <w:tcPr>
            <w:tcW w:w="1703"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2A22449F" w14:textId="629DBEAF" w:rsidR="00210AE1" w:rsidRPr="00717488" w:rsidRDefault="00210AE1" w:rsidP="00717488">
            <w:pPr>
              <w:spacing w:after="0"/>
              <w:rPr>
                <w:rFonts w:ascii="Times New Roman" w:hAnsi="Times New Roman" w:cs="Times New Roman"/>
                <w:b/>
                <w:bCs/>
                <w:sz w:val="28"/>
                <w:szCs w:val="28"/>
              </w:rPr>
            </w:pPr>
            <w:r w:rsidRPr="00717488">
              <w:rPr>
                <w:rFonts w:ascii="Times New Roman" w:hAnsi="Times New Roman" w:cs="Times New Roman"/>
                <w:b/>
                <w:bCs/>
                <w:sz w:val="28"/>
                <w:szCs w:val="28"/>
              </w:rPr>
              <w:lastRenderedPageBreak/>
              <w:t>Ministerul Justiției</w:t>
            </w:r>
          </w:p>
          <w:p w14:paraId="7FAF41FA" w14:textId="291696A3" w:rsidR="00210AE1" w:rsidRPr="00717488" w:rsidRDefault="00210AE1" w:rsidP="00717488">
            <w:pPr>
              <w:spacing w:after="0"/>
              <w:rPr>
                <w:rFonts w:ascii="Times New Roman" w:hAnsi="Times New Roman" w:cs="Times New Roman"/>
                <w:i/>
                <w:iCs/>
                <w:sz w:val="28"/>
                <w:szCs w:val="28"/>
              </w:rPr>
            </w:pPr>
            <w:r w:rsidRPr="00717488">
              <w:rPr>
                <w:rFonts w:ascii="Times New Roman" w:hAnsi="Times New Roman" w:cs="Times New Roman"/>
                <w:i/>
                <w:iCs/>
                <w:sz w:val="28"/>
                <w:szCs w:val="28"/>
              </w:rPr>
              <w:t>(nr. 04/2-8247 din 18.08.2025)</w:t>
            </w:r>
          </w:p>
          <w:p w14:paraId="01831932" w14:textId="77777777" w:rsidR="00210AE1" w:rsidRPr="00EE77BE" w:rsidRDefault="00210AE1" w:rsidP="00B2638A">
            <w:pPr>
              <w:spacing w:after="0"/>
              <w:rPr>
                <w:rFonts w:ascii="Times New Roman" w:hAnsi="Times New Roman" w:cs="Times New Roman"/>
                <w:sz w:val="28"/>
                <w:szCs w:val="28"/>
              </w:rPr>
            </w:pPr>
          </w:p>
          <w:p w14:paraId="68CF7ED2" w14:textId="77777777" w:rsidR="00210AE1" w:rsidRPr="00EE77BE" w:rsidRDefault="00210AE1" w:rsidP="00B2638A">
            <w:pPr>
              <w:spacing w:after="0"/>
              <w:rPr>
                <w:rFonts w:ascii="Times New Roman" w:hAnsi="Times New Roman" w:cs="Times New Roman"/>
                <w:sz w:val="28"/>
                <w:szCs w:val="28"/>
              </w:rPr>
            </w:pPr>
          </w:p>
          <w:p w14:paraId="7B41301A" w14:textId="77777777" w:rsidR="00210AE1" w:rsidRPr="00EE77BE" w:rsidRDefault="00210AE1" w:rsidP="00B2638A">
            <w:pPr>
              <w:spacing w:after="0"/>
              <w:rPr>
                <w:rFonts w:ascii="Times New Roman" w:hAnsi="Times New Roman" w:cs="Times New Roman"/>
                <w:sz w:val="28"/>
                <w:szCs w:val="28"/>
              </w:rPr>
            </w:pPr>
          </w:p>
          <w:p w14:paraId="1D6A52EE"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FC3E0B" w14:textId="2DA2293D"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E4F935"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Sub aspectul intenției de reglementare, potrivit notei de fundamentare, proiectul de act normativ a fost elaborat în scopul transpunerii parțiale a Directivei 2010/35/UE a Parlamentului European şi al Consiliului din 16 iunie 2010 privind echipamentele sub presiune transportabile și de abrogare a Directivelor 76/767/CEE, 84/525/CEE, 84/526/CEE, 84/527/CEE și 1999/36/CE ale Consiliului. Modificările propuse sunt de ordin tehnic, operarea cărora exclude unele neconformități din legislația națională în raport cu prevederile actelor Uniunii Europene și introduce unele clarificări în mecanismul de punere la dispoziție pe piață a echipamentelor, conlucrare între autorități, etc. În context, raționamentele expuse de inițiator în notă reflectă motivul elaborării proiectului actului normativ.</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395A34" w14:textId="77777777" w:rsidR="00210AE1" w:rsidRPr="00EE77BE" w:rsidRDefault="00210AE1" w:rsidP="002C7BD6">
            <w:pPr>
              <w:spacing w:after="0"/>
              <w:jc w:val="center"/>
              <w:rPr>
                <w:rFonts w:ascii="Times New Roman" w:hAnsi="Times New Roman" w:cs="Times New Roman"/>
                <w:sz w:val="28"/>
                <w:szCs w:val="28"/>
              </w:rPr>
            </w:pPr>
          </w:p>
        </w:tc>
      </w:tr>
      <w:tr w:rsidR="00210AE1" w:rsidRPr="00EE77BE" w14:paraId="1289593E" w14:textId="77777777" w:rsidTr="000F5101">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67DE2E9F"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AF7F8C" w14:textId="4114CAB9"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BD0C61"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Totodată, aferent rigorilor normative se vor reține următoarele: Denumirea proiectului va include referința la modificarea Hotărârii Guvernului nr. 1094/2017 pentru aprobarea Reglementării tehnice privind echipamentele sub presiune transportabile, în măsura în care se propune operarea modificărilor atât în textul hotărârii, cât și în textul Reglementării tehnice.</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90BC01" w14:textId="77777777" w:rsidR="00210AE1" w:rsidRPr="00717488" w:rsidRDefault="00210AE1" w:rsidP="002C7BD6">
            <w:pPr>
              <w:spacing w:after="0"/>
              <w:jc w:val="center"/>
              <w:rPr>
                <w:rFonts w:ascii="Times New Roman" w:hAnsi="Times New Roman" w:cs="Times New Roman"/>
                <w:b/>
                <w:bCs/>
                <w:sz w:val="28"/>
                <w:szCs w:val="28"/>
              </w:rPr>
            </w:pPr>
            <w:r w:rsidRPr="00717488">
              <w:rPr>
                <w:rFonts w:ascii="Times New Roman" w:hAnsi="Times New Roman" w:cs="Times New Roman"/>
                <w:b/>
                <w:bCs/>
                <w:sz w:val="28"/>
                <w:szCs w:val="28"/>
              </w:rPr>
              <w:t>Se acceptă</w:t>
            </w:r>
          </w:p>
        </w:tc>
      </w:tr>
      <w:tr w:rsidR="00210AE1" w:rsidRPr="00EE77BE" w14:paraId="2125AA5C" w14:textId="77777777" w:rsidTr="000F5101">
        <w:trPr>
          <w:trHeight w:val="3156"/>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616545C9"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332390" w14:textId="55B1FE13"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E8023D"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În clauza de adoptare: </w:t>
            </w:r>
          </w:p>
          <w:p w14:paraId="00AA971C"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după sursa de publicare a Legii nr. 235/2011 privind activitățile de acreditare şi de evaluare a conformității, se vor exclude cuvintele </w:t>
            </w:r>
            <w:r w:rsidRPr="00210AE1">
              <w:rPr>
                <w:rFonts w:ascii="Times New Roman" w:hAnsi="Times New Roman" w:cs="Times New Roman"/>
                <w:i/>
                <w:iCs/>
                <w:sz w:val="28"/>
                <w:szCs w:val="28"/>
              </w:rPr>
              <w:t>„şi completările”</w:t>
            </w:r>
            <w:r w:rsidRPr="00EE77BE">
              <w:rPr>
                <w:rFonts w:ascii="Times New Roman" w:hAnsi="Times New Roman" w:cs="Times New Roman"/>
                <w:sz w:val="28"/>
                <w:szCs w:val="28"/>
              </w:rPr>
              <w:t xml:space="preserve">, or, potrivit art. 62 alin. (2) din Legea nr. 100/2017 cu privire la actele normative, accepțiunea termenului </w:t>
            </w:r>
            <w:r w:rsidRPr="00210AE1">
              <w:rPr>
                <w:rFonts w:ascii="Times New Roman" w:hAnsi="Times New Roman" w:cs="Times New Roman"/>
                <w:i/>
                <w:iCs/>
                <w:sz w:val="28"/>
                <w:szCs w:val="28"/>
              </w:rPr>
              <w:t>„modificarea”</w:t>
            </w:r>
            <w:r w:rsidRPr="00EE77BE">
              <w:rPr>
                <w:rFonts w:ascii="Times New Roman" w:hAnsi="Times New Roman" w:cs="Times New Roman"/>
                <w:sz w:val="28"/>
                <w:szCs w:val="28"/>
              </w:rPr>
              <w:t xml:space="preserve"> cuprinde și completarea actelor normative; </w:t>
            </w:r>
          </w:p>
          <w:p w14:paraId="2B73C273"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sursa publicării Legii nr. 162/2023 privind supravegherea pieței şi conformitatea produselor va fi redată după cum urmează – </w:t>
            </w:r>
            <w:r w:rsidRPr="00210AE1">
              <w:rPr>
                <w:rFonts w:ascii="Times New Roman" w:hAnsi="Times New Roman" w:cs="Times New Roman"/>
                <w:i/>
                <w:iCs/>
                <w:sz w:val="28"/>
                <w:szCs w:val="28"/>
              </w:rPr>
              <w:t>„(Monitorul Oficial al Republicii Moldova, 2023, nr. 272-273, art. 468)”</w:t>
            </w:r>
            <w:r w:rsidRPr="00EE77BE">
              <w:rPr>
                <w:rFonts w:ascii="Times New Roman" w:hAnsi="Times New Roman" w:cs="Times New Roman"/>
                <w:sz w:val="28"/>
                <w:szCs w:val="28"/>
              </w:rPr>
              <w:t xml:space="preserve">.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F76EE0" w14:textId="77777777" w:rsidR="00210AE1" w:rsidRPr="00EE77BE" w:rsidRDefault="00210AE1" w:rsidP="002C7BD6">
            <w:pPr>
              <w:spacing w:after="0"/>
              <w:jc w:val="center"/>
              <w:rPr>
                <w:rFonts w:ascii="Times New Roman" w:hAnsi="Times New Roman" w:cs="Times New Roman"/>
                <w:sz w:val="28"/>
                <w:szCs w:val="28"/>
              </w:rPr>
            </w:pPr>
          </w:p>
          <w:p w14:paraId="39655617" w14:textId="77777777" w:rsidR="00210AE1" w:rsidRPr="00210AE1" w:rsidRDefault="00210AE1" w:rsidP="002C7BD6">
            <w:pPr>
              <w:spacing w:after="0"/>
              <w:jc w:val="center"/>
              <w:rPr>
                <w:rFonts w:ascii="Times New Roman" w:hAnsi="Times New Roman" w:cs="Times New Roman"/>
                <w:b/>
                <w:bCs/>
                <w:sz w:val="28"/>
                <w:szCs w:val="28"/>
              </w:rPr>
            </w:pPr>
            <w:r w:rsidRPr="00210AE1">
              <w:rPr>
                <w:rFonts w:ascii="Times New Roman" w:hAnsi="Times New Roman" w:cs="Times New Roman"/>
                <w:b/>
                <w:bCs/>
                <w:sz w:val="28"/>
                <w:szCs w:val="28"/>
              </w:rPr>
              <w:t>Se acceptă</w:t>
            </w:r>
          </w:p>
          <w:p w14:paraId="7FA46FDB" w14:textId="77777777" w:rsidR="00210AE1" w:rsidRPr="00EE77BE" w:rsidRDefault="00210AE1" w:rsidP="002C7BD6">
            <w:pPr>
              <w:spacing w:after="0"/>
              <w:jc w:val="center"/>
              <w:rPr>
                <w:rFonts w:ascii="Times New Roman" w:hAnsi="Times New Roman" w:cs="Times New Roman"/>
                <w:sz w:val="28"/>
                <w:szCs w:val="28"/>
              </w:rPr>
            </w:pPr>
          </w:p>
          <w:p w14:paraId="62640F41" w14:textId="77777777" w:rsidR="00210AE1" w:rsidRPr="00EE77BE" w:rsidRDefault="00210AE1" w:rsidP="002C7BD6">
            <w:pPr>
              <w:spacing w:after="0"/>
              <w:jc w:val="center"/>
              <w:rPr>
                <w:rFonts w:ascii="Times New Roman" w:hAnsi="Times New Roman" w:cs="Times New Roman"/>
                <w:sz w:val="28"/>
                <w:szCs w:val="28"/>
              </w:rPr>
            </w:pPr>
          </w:p>
          <w:p w14:paraId="33AA23A1" w14:textId="2A39DD40" w:rsidR="00210AE1" w:rsidRPr="00EE77BE" w:rsidRDefault="00210AE1" w:rsidP="002C7BD6">
            <w:pPr>
              <w:spacing w:after="0"/>
              <w:jc w:val="center"/>
              <w:rPr>
                <w:rFonts w:ascii="Times New Roman" w:hAnsi="Times New Roman" w:cs="Times New Roman"/>
                <w:sz w:val="28"/>
                <w:szCs w:val="28"/>
              </w:rPr>
            </w:pPr>
          </w:p>
        </w:tc>
      </w:tr>
      <w:tr w:rsidR="00210AE1" w:rsidRPr="00EE77BE" w14:paraId="496C8179"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3D056137"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6F5400" w14:textId="286CFF69"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F62F62"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pct. 1, partea dispozitivă urmează a fi expusă în modul următor: </w:t>
            </w:r>
            <w:r w:rsidRPr="00210AE1">
              <w:rPr>
                <w:rFonts w:ascii="Times New Roman" w:hAnsi="Times New Roman" w:cs="Times New Roman"/>
                <w:i/>
                <w:iCs/>
                <w:sz w:val="28"/>
                <w:szCs w:val="28"/>
              </w:rPr>
              <w:t>„Hotărârea Guvernului nr. 1094/2017 pentru aprobarea Reglementării tehnice privind echipamentele sub presiune transportabile (Monitorul Oficial al Republicii Moldova, 2017, nr. 451-463, art. 1263), cu modificările ulterioare, se modifică după cum urmează:”</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84A2F6" w14:textId="77777777" w:rsidR="00210AE1" w:rsidRPr="00210AE1" w:rsidRDefault="00210AE1" w:rsidP="002C7BD6">
            <w:pPr>
              <w:spacing w:after="0"/>
              <w:jc w:val="center"/>
              <w:rPr>
                <w:rFonts w:ascii="Times New Roman" w:hAnsi="Times New Roman" w:cs="Times New Roman"/>
                <w:b/>
                <w:bCs/>
                <w:sz w:val="28"/>
                <w:szCs w:val="28"/>
              </w:rPr>
            </w:pPr>
            <w:r w:rsidRPr="00210AE1">
              <w:rPr>
                <w:rFonts w:ascii="Times New Roman" w:hAnsi="Times New Roman" w:cs="Times New Roman"/>
                <w:b/>
                <w:bCs/>
                <w:sz w:val="28"/>
                <w:szCs w:val="28"/>
              </w:rPr>
              <w:t>Se acceptă</w:t>
            </w:r>
          </w:p>
        </w:tc>
      </w:tr>
      <w:tr w:rsidR="00210AE1" w:rsidRPr="00EE77BE" w14:paraId="54A46CB8" w14:textId="77777777" w:rsidTr="000F5101">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62AFCB15"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0ED374" w14:textId="788F372F"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D2AF0F"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1.1, cuvintele </w:t>
            </w:r>
            <w:r w:rsidRPr="00210AE1">
              <w:rPr>
                <w:rFonts w:ascii="Times New Roman" w:hAnsi="Times New Roman" w:cs="Times New Roman"/>
                <w:i/>
                <w:iCs/>
                <w:sz w:val="28"/>
                <w:szCs w:val="28"/>
              </w:rPr>
              <w:t>„pe tot parcursul textului”</w:t>
            </w:r>
            <w:r w:rsidRPr="00EE77BE">
              <w:rPr>
                <w:rFonts w:ascii="Times New Roman" w:hAnsi="Times New Roman" w:cs="Times New Roman"/>
                <w:sz w:val="28"/>
                <w:szCs w:val="28"/>
              </w:rPr>
              <w:t xml:space="preserve"> se vor substitui cu cuvintele </w:t>
            </w:r>
            <w:r w:rsidRPr="00210AE1">
              <w:rPr>
                <w:rFonts w:ascii="Times New Roman" w:hAnsi="Times New Roman" w:cs="Times New Roman"/>
                <w:i/>
                <w:iCs/>
                <w:sz w:val="28"/>
                <w:szCs w:val="28"/>
              </w:rPr>
              <w:t>„în tot textul”</w:t>
            </w:r>
            <w:r w:rsidRPr="00EE77BE">
              <w:rPr>
                <w:rFonts w:ascii="Times New Roman" w:hAnsi="Times New Roman" w:cs="Times New Roman"/>
                <w:sz w:val="28"/>
                <w:szCs w:val="28"/>
              </w:rPr>
              <w:t>.</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92827B" w14:textId="77777777" w:rsidR="00210AE1" w:rsidRPr="00210AE1" w:rsidRDefault="00210AE1" w:rsidP="002C7BD6">
            <w:pPr>
              <w:spacing w:after="0"/>
              <w:jc w:val="center"/>
              <w:rPr>
                <w:rFonts w:ascii="Times New Roman" w:hAnsi="Times New Roman" w:cs="Times New Roman"/>
                <w:b/>
                <w:bCs/>
                <w:sz w:val="28"/>
                <w:szCs w:val="28"/>
              </w:rPr>
            </w:pPr>
            <w:r w:rsidRPr="00210AE1">
              <w:rPr>
                <w:rFonts w:ascii="Times New Roman" w:hAnsi="Times New Roman" w:cs="Times New Roman"/>
                <w:b/>
                <w:bCs/>
                <w:sz w:val="28"/>
                <w:szCs w:val="28"/>
              </w:rPr>
              <w:t>Se acceptă</w:t>
            </w:r>
          </w:p>
        </w:tc>
      </w:tr>
      <w:tr w:rsidR="00210AE1" w:rsidRPr="00EE77BE" w14:paraId="7A592548" w14:textId="77777777" w:rsidTr="000F5101">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42EBA5FC"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4B97E6" w14:textId="2944F053"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0F4D37"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1.3.2, semnalăm că, pentru exprimarea normativă a intenției de scoatere din vigoare a unor elemente structurale ale actului normativ se utilizează expresia </w:t>
            </w:r>
            <w:r w:rsidRPr="00210AE1">
              <w:rPr>
                <w:rFonts w:ascii="Times New Roman" w:hAnsi="Times New Roman" w:cs="Times New Roman"/>
                <w:i/>
                <w:iCs/>
                <w:sz w:val="28"/>
                <w:szCs w:val="28"/>
              </w:rPr>
              <w:t>„se abrogă”</w:t>
            </w:r>
            <w:r w:rsidRPr="00EE77BE">
              <w:rPr>
                <w:rFonts w:ascii="Times New Roman" w:hAnsi="Times New Roman" w:cs="Times New Roman"/>
                <w:sz w:val="28"/>
                <w:szCs w:val="28"/>
              </w:rPr>
              <w:t xml:space="preserve"> şi nu </w:t>
            </w:r>
            <w:r w:rsidRPr="00210AE1">
              <w:rPr>
                <w:rFonts w:ascii="Times New Roman" w:hAnsi="Times New Roman" w:cs="Times New Roman"/>
                <w:i/>
                <w:iCs/>
                <w:sz w:val="28"/>
                <w:szCs w:val="28"/>
              </w:rPr>
              <w:t>„se exclude”</w:t>
            </w:r>
            <w:r w:rsidRPr="00EE77BE">
              <w:rPr>
                <w:rFonts w:ascii="Times New Roman" w:hAnsi="Times New Roman" w:cs="Times New Roman"/>
                <w:sz w:val="28"/>
                <w:szCs w:val="28"/>
              </w:rPr>
              <w:t xml:space="preserve">, care se utilizează doar în cazul excluderii unor cuvinte, sintagme, propoziții </w:t>
            </w:r>
            <w:r w:rsidRPr="00210AE1">
              <w:rPr>
                <w:rFonts w:ascii="Times New Roman" w:hAnsi="Times New Roman" w:cs="Times New Roman"/>
                <w:i/>
                <w:iCs/>
                <w:sz w:val="28"/>
                <w:szCs w:val="28"/>
              </w:rPr>
              <w:t>(observație valabilă pentru toate cazurile similare din proiect)</w:t>
            </w:r>
            <w:r w:rsidRPr="00EE77BE">
              <w:rPr>
                <w:rFonts w:ascii="Times New Roman" w:hAnsi="Times New Roman" w:cs="Times New Roman"/>
                <w:sz w:val="28"/>
                <w:szCs w:val="28"/>
              </w:rPr>
              <w:t xml:space="preserve">.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11F7B9" w14:textId="77777777" w:rsidR="00210AE1" w:rsidRPr="00210AE1" w:rsidRDefault="00210AE1" w:rsidP="002C7BD6">
            <w:pPr>
              <w:spacing w:after="0"/>
              <w:jc w:val="center"/>
              <w:rPr>
                <w:rFonts w:ascii="Times New Roman" w:hAnsi="Times New Roman" w:cs="Times New Roman"/>
                <w:b/>
                <w:bCs/>
                <w:sz w:val="28"/>
                <w:szCs w:val="28"/>
              </w:rPr>
            </w:pPr>
            <w:r w:rsidRPr="00210AE1">
              <w:rPr>
                <w:rFonts w:ascii="Times New Roman" w:hAnsi="Times New Roman" w:cs="Times New Roman"/>
                <w:b/>
                <w:bCs/>
                <w:sz w:val="28"/>
                <w:szCs w:val="28"/>
              </w:rPr>
              <w:t>Se acceptă</w:t>
            </w:r>
          </w:p>
        </w:tc>
      </w:tr>
      <w:tr w:rsidR="00210AE1" w:rsidRPr="00EE77BE" w14:paraId="7CD23927"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48F83A62"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E4ABEC" w14:textId="54C46982"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A47345"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1.4.1 cuvintele </w:t>
            </w:r>
            <w:r w:rsidRPr="00210AE1">
              <w:rPr>
                <w:rFonts w:ascii="Times New Roman" w:hAnsi="Times New Roman" w:cs="Times New Roman"/>
                <w:i/>
                <w:iCs/>
                <w:sz w:val="28"/>
                <w:szCs w:val="28"/>
              </w:rPr>
              <w:t>„a Reglementării tehnice”</w:t>
            </w:r>
            <w:r w:rsidRPr="00EE77BE">
              <w:rPr>
                <w:rFonts w:ascii="Times New Roman" w:hAnsi="Times New Roman" w:cs="Times New Roman"/>
                <w:sz w:val="28"/>
                <w:szCs w:val="28"/>
              </w:rPr>
              <w:t xml:space="preserve"> se vor exclude ca fiind excedente în cazul dat.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E705B2" w14:textId="77777777" w:rsidR="00210AE1" w:rsidRPr="00210AE1" w:rsidRDefault="00210AE1" w:rsidP="002C7BD6">
            <w:pPr>
              <w:spacing w:after="0"/>
              <w:jc w:val="center"/>
              <w:rPr>
                <w:rFonts w:ascii="Times New Roman" w:hAnsi="Times New Roman" w:cs="Times New Roman"/>
                <w:b/>
                <w:bCs/>
                <w:sz w:val="28"/>
                <w:szCs w:val="28"/>
              </w:rPr>
            </w:pPr>
            <w:r w:rsidRPr="00210AE1">
              <w:rPr>
                <w:rFonts w:ascii="Times New Roman" w:hAnsi="Times New Roman" w:cs="Times New Roman"/>
                <w:b/>
                <w:bCs/>
                <w:sz w:val="28"/>
                <w:szCs w:val="28"/>
              </w:rPr>
              <w:t>Se acceptă</w:t>
            </w:r>
          </w:p>
        </w:tc>
      </w:tr>
      <w:tr w:rsidR="00210AE1" w:rsidRPr="00EE77BE" w14:paraId="188C2A87" w14:textId="77777777" w:rsidTr="000F5101">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27E795EA"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6EF883" w14:textId="0E107366"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40B6E0"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1.4.5.1 și 1.4.5.2, termenii </w:t>
            </w:r>
            <w:r w:rsidRPr="00210AE1">
              <w:rPr>
                <w:rFonts w:ascii="Times New Roman" w:hAnsi="Times New Roman" w:cs="Times New Roman"/>
                <w:i/>
                <w:iCs/>
                <w:sz w:val="28"/>
                <w:szCs w:val="28"/>
              </w:rPr>
              <w:t>„cuvântul”, „cuvintele”</w:t>
            </w:r>
            <w:r w:rsidRPr="00EE77BE">
              <w:rPr>
                <w:rFonts w:ascii="Times New Roman" w:hAnsi="Times New Roman" w:cs="Times New Roman"/>
                <w:sz w:val="28"/>
                <w:szCs w:val="28"/>
              </w:rPr>
              <w:t xml:space="preserve"> se vor substitui cu termenul </w:t>
            </w:r>
            <w:r w:rsidRPr="00210AE1">
              <w:rPr>
                <w:rFonts w:ascii="Times New Roman" w:hAnsi="Times New Roman" w:cs="Times New Roman"/>
                <w:i/>
                <w:iCs/>
                <w:sz w:val="28"/>
                <w:szCs w:val="28"/>
              </w:rPr>
              <w:t>„textul”</w:t>
            </w:r>
            <w:r w:rsidRPr="00EE77BE">
              <w:rPr>
                <w:rFonts w:ascii="Times New Roman" w:hAnsi="Times New Roman" w:cs="Times New Roman"/>
                <w:sz w:val="28"/>
                <w:szCs w:val="28"/>
              </w:rPr>
              <w:t xml:space="preserve">. La formularea amendamentelor se va ține cont că, în conformitate cu uzanțele de tehnică legislativă, cuvântul </w:t>
            </w:r>
            <w:r w:rsidRPr="00210AE1">
              <w:rPr>
                <w:rFonts w:ascii="Times New Roman" w:hAnsi="Times New Roman" w:cs="Times New Roman"/>
                <w:i/>
                <w:iCs/>
                <w:sz w:val="28"/>
                <w:szCs w:val="28"/>
              </w:rPr>
              <w:t xml:space="preserve">„sintagma” </w:t>
            </w:r>
            <w:r w:rsidRPr="00EE77BE">
              <w:rPr>
                <w:rFonts w:ascii="Times New Roman" w:hAnsi="Times New Roman" w:cs="Times New Roman"/>
                <w:sz w:val="28"/>
                <w:szCs w:val="28"/>
              </w:rPr>
              <w:t xml:space="preserve">se utilizează cu referire la un grup de două sau mai multe cuvinte între care există raporturi de subordonare; cuvântul </w:t>
            </w:r>
            <w:r w:rsidRPr="00210AE1">
              <w:rPr>
                <w:rFonts w:ascii="Times New Roman" w:hAnsi="Times New Roman" w:cs="Times New Roman"/>
                <w:i/>
                <w:iCs/>
                <w:sz w:val="28"/>
                <w:szCs w:val="28"/>
              </w:rPr>
              <w:t>„textul”</w:t>
            </w:r>
            <w:r w:rsidRPr="00EE77BE">
              <w:rPr>
                <w:rFonts w:ascii="Times New Roman" w:hAnsi="Times New Roman" w:cs="Times New Roman"/>
                <w:sz w:val="28"/>
                <w:szCs w:val="28"/>
              </w:rPr>
              <w:t xml:space="preserve"> se folosește pentru individualizarea unor cuvinte și cifre, cuvinte și semne de punctuație, cifre și semne de punctuație, iar în celelalte cazuri, pentru formularea dispozițiilor de modificare, se utilizează termenii </w:t>
            </w:r>
            <w:r w:rsidRPr="00210AE1">
              <w:rPr>
                <w:rFonts w:ascii="Times New Roman" w:hAnsi="Times New Roman" w:cs="Times New Roman"/>
                <w:i/>
                <w:iCs/>
                <w:sz w:val="28"/>
                <w:szCs w:val="28"/>
              </w:rPr>
              <w:t>„cuvântul”/„cuvintele”</w:t>
            </w:r>
            <w:r w:rsidRPr="00EE77BE">
              <w:rPr>
                <w:rFonts w:ascii="Times New Roman" w:hAnsi="Times New Roman" w:cs="Times New Roman"/>
                <w:sz w:val="28"/>
                <w:szCs w:val="28"/>
              </w:rPr>
              <w:t xml:space="preserve">, după caz, termenii </w:t>
            </w:r>
            <w:r w:rsidRPr="00210AE1">
              <w:rPr>
                <w:rFonts w:ascii="Times New Roman" w:hAnsi="Times New Roman" w:cs="Times New Roman"/>
                <w:i/>
                <w:iCs/>
                <w:sz w:val="28"/>
                <w:szCs w:val="28"/>
              </w:rPr>
              <w:t>„cifra”/„cifrele”</w:t>
            </w:r>
            <w:r w:rsidRPr="00EE77BE">
              <w:rPr>
                <w:rFonts w:ascii="Times New Roman" w:hAnsi="Times New Roman" w:cs="Times New Roman"/>
                <w:sz w:val="28"/>
                <w:szCs w:val="28"/>
              </w:rPr>
              <w:t xml:space="preserve">. Observația dată este valabilă pentru toate referirile ulterioare din proiect.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B45776" w14:textId="77777777" w:rsidR="00210AE1" w:rsidRPr="00210AE1" w:rsidRDefault="00210AE1" w:rsidP="002C7BD6">
            <w:pPr>
              <w:spacing w:after="0"/>
              <w:jc w:val="center"/>
              <w:rPr>
                <w:rFonts w:ascii="Times New Roman" w:hAnsi="Times New Roman" w:cs="Times New Roman"/>
                <w:b/>
                <w:bCs/>
                <w:sz w:val="28"/>
                <w:szCs w:val="28"/>
              </w:rPr>
            </w:pPr>
            <w:r w:rsidRPr="00210AE1">
              <w:rPr>
                <w:rFonts w:ascii="Times New Roman" w:hAnsi="Times New Roman" w:cs="Times New Roman"/>
                <w:b/>
                <w:bCs/>
                <w:sz w:val="28"/>
                <w:szCs w:val="28"/>
              </w:rPr>
              <w:t>Se acceptă</w:t>
            </w:r>
          </w:p>
        </w:tc>
      </w:tr>
      <w:tr w:rsidR="00210AE1" w:rsidRPr="00EE77BE" w14:paraId="77B497ED" w14:textId="77777777" w:rsidTr="000F5101">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54483CA8"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4BDB09" w14:textId="2827DB5C"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1ED896"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1.4.6.4 textul </w:t>
            </w:r>
            <w:r w:rsidRPr="00210AE1">
              <w:rPr>
                <w:rFonts w:ascii="Times New Roman" w:hAnsi="Times New Roman" w:cs="Times New Roman"/>
                <w:i/>
                <w:iCs/>
                <w:sz w:val="28"/>
                <w:szCs w:val="28"/>
              </w:rPr>
              <w:t>„următoarele definiții, în ordine alfabetică, după cum urmează”</w:t>
            </w:r>
            <w:r w:rsidRPr="00EE77BE">
              <w:rPr>
                <w:rFonts w:ascii="Times New Roman" w:hAnsi="Times New Roman" w:cs="Times New Roman"/>
                <w:sz w:val="28"/>
                <w:szCs w:val="28"/>
              </w:rPr>
              <w:t xml:space="preserve"> se va substitui cu textul </w:t>
            </w:r>
            <w:r w:rsidRPr="00210AE1">
              <w:rPr>
                <w:rFonts w:ascii="Times New Roman" w:hAnsi="Times New Roman" w:cs="Times New Roman"/>
                <w:i/>
                <w:iCs/>
                <w:sz w:val="28"/>
                <w:szCs w:val="28"/>
              </w:rPr>
              <w:t>„subpunctele 7)-23) cu următorul cuprins”</w:t>
            </w:r>
            <w:r w:rsidRPr="00EE77BE">
              <w:rPr>
                <w:rFonts w:ascii="Times New Roman" w:hAnsi="Times New Roman" w:cs="Times New Roman"/>
                <w:sz w:val="28"/>
                <w:szCs w:val="28"/>
              </w:rPr>
              <w:t xml:space="preserve">.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67D71F" w14:textId="77777777" w:rsidR="00210AE1" w:rsidRPr="00210AE1" w:rsidRDefault="00210AE1" w:rsidP="002C7BD6">
            <w:pPr>
              <w:spacing w:after="0"/>
              <w:jc w:val="center"/>
              <w:rPr>
                <w:rFonts w:ascii="Times New Roman" w:hAnsi="Times New Roman" w:cs="Times New Roman"/>
                <w:b/>
                <w:bCs/>
                <w:sz w:val="28"/>
                <w:szCs w:val="28"/>
              </w:rPr>
            </w:pPr>
            <w:r w:rsidRPr="00210AE1">
              <w:rPr>
                <w:rFonts w:ascii="Times New Roman" w:hAnsi="Times New Roman" w:cs="Times New Roman"/>
                <w:b/>
                <w:bCs/>
                <w:sz w:val="28"/>
                <w:szCs w:val="28"/>
              </w:rPr>
              <w:t>Se acceptă</w:t>
            </w:r>
          </w:p>
        </w:tc>
      </w:tr>
      <w:tr w:rsidR="00210AE1" w:rsidRPr="00EE77BE" w14:paraId="781C72FD"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66354CDE"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D2BE89" w14:textId="3E5803E3"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E4581A"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1.4.7 și 1.4.8, se va exclude sintagma </w:t>
            </w:r>
            <w:r w:rsidRPr="00210AE1">
              <w:rPr>
                <w:rFonts w:ascii="Times New Roman" w:hAnsi="Times New Roman" w:cs="Times New Roman"/>
                <w:i/>
                <w:iCs/>
                <w:sz w:val="28"/>
                <w:szCs w:val="28"/>
              </w:rPr>
              <w:t>„la forma gramaticală corespunzătoare”</w:t>
            </w:r>
            <w:r w:rsidRPr="00EE77BE">
              <w:rPr>
                <w:rFonts w:ascii="Times New Roman" w:hAnsi="Times New Roman" w:cs="Times New Roman"/>
                <w:sz w:val="28"/>
                <w:szCs w:val="28"/>
              </w:rPr>
              <w:t xml:space="preserve">, întrucât modificările propuse nu se utilizează la diferite forme gramaticale.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14981D" w14:textId="77777777" w:rsidR="00210AE1" w:rsidRPr="00210AE1" w:rsidRDefault="00210AE1" w:rsidP="002C7BD6">
            <w:pPr>
              <w:spacing w:after="0"/>
              <w:jc w:val="center"/>
              <w:rPr>
                <w:rFonts w:ascii="Times New Roman" w:hAnsi="Times New Roman" w:cs="Times New Roman"/>
                <w:b/>
                <w:bCs/>
                <w:sz w:val="28"/>
                <w:szCs w:val="28"/>
              </w:rPr>
            </w:pPr>
            <w:r w:rsidRPr="00210AE1">
              <w:rPr>
                <w:rFonts w:ascii="Times New Roman" w:hAnsi="Times New Roman" w:cs="Times New Roman"/>
                <w:b/>
                <w:bCs/>
                <w:sz w:val="28"/>
                <w:szCs w:val="28"/>
              </w:rPr>
              <w:t>Se acceptă</w:t>
            </w:r>
          </w:p>
        </w:tc>
      </w:tr>
      <w:tr w:rsidR="00210AE1" w:rsidRPr="00EE77BE" w14:paraId="1FCD66F4"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767447D2"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F4437D" w14:textId="19423013"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CE0A85"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1.4.10, 1.4.21, 1.4.23.2, textul </w:t>
            </w:r>
            <w:r w:rsidRPr="00210AE1">
              <w:rPr>
                <w:rFonts w:ascii="Times New Roman" w:hAnsi="Times New Roman" w:cs="Times New Roman"/>
                <w:i/>
                <w:iCs/>
                <w:sz w:val="28"/>
                <w:szCs w:val="28"/>
              </w:rPr>
              <w:t xml:space="preserve">„cu propoziția cu următorul cuprins:” </w:t>
            </w:r>
            <w:r w:rsidRPr="00EE77BE">
              <w:rPr>
                <w:rFonts w:ascii="Times New Roman" w:hAnsi="Times New Roman" w:cs="Times New Roman"/>
                <w:sz w:val="28"/>
                <w:szCs w:val="28"/>
              </w:rPr>
              <w:t xml:space="preserve">se va substitui cu textul </w:t>
            </w:r>
            <w:r w:rsidRPr="00210AE1">
              <w:rPr>
                <w:rFonts w:ascii="Times New Roman" w:hAnsi="Times New Roman" w:cs="Times New Roman"/>
                <w:i/>
                <w:iCs/>
                <w:sz w:val="28"/>
                <w:szCs w:val="28"/>
              </w:rPr>
              <w:t>„cu un enunț cu următorul cuprins:”</w:t>
            </w:r>
            <w:r w:rsidRPr="00EE77BE">
              <w:rPr>
                <w:rFonts w:ascii="Times New Roman" w:hAnsi="Times New Roman" w:cs="Times New Roman"/>
                <w:sz w:val="28"/>
                <w:szCs w:val="28"/>
              </w:rPr>
              <w:t xml:space="preserve">.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7670AE" w14:textId="77777777" w:rsidR="00210AE1" w:rsidRPr="00210AE1" w:rsidRDefault="00210AE1" w:rsidP="002C7BD6">
            <w:pPr>
              <w:spacing w:after="0"/>
              <w:jc w:val="center"/>
              <w:rPr>
                <w:rFonts w:ascii="Times New Roman" w:hAnsi="Times New Roman" w:cs="Times New Roman"/>
                <w:b/>
                <w:bCs/>
                <w:sz w:val="28"/>
                <w:szCs w:val="28"/>
              </w:rPr>
            </w:pPr>
            <w:r w:rsidRPr="00210AE1">
              <w:rPr>
                <w:rFonts w:ascii="Times New Roman" w:hAnsi="Times New Roman" w:cs="Times New Roman"/>
                <w:b/>
                <w:bCs/>
                <w:sz w:val="28"/>
                <w:szCs w:val="28"/>
              </w:rPr>
              <w:t>Se acceptă</w:t>
            </w:r>
          </w:p>
        </w:tc>
      </w:tr>
      <w:tr w:rsidR="00210AE1" w:rsidRPr="00EE77BE" w14:paraId="29793397"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25F36AC5"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53D007" w14:textId="400251A5"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604275"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1.4.11, în partea dispozitivă, se va exclude textul </w:t>
            </w:r>
            <w:r w:rsidRPr="00210AE1">
              <w:rPr>
                <w:rFonts w:ascii="Times New Roman" w:hAnsi="Times New Roman" w:cs="Times New Roman"/>
                <w:i/>
                <w:iCs/>
                <w:sz w:val="28"/>
                <w:szCs w:val="28"/>
              </w:rPr>
              <w:t>„după punctul 51,”</w:t>
            </w:r>
            <w:r w:rsidRPr="00EE77BE">
              <w:rPr>
                <w:rFonts w:ascii="Times New Roman" w:hAnsi="Times New Roman" w:cs="Times New Roman"/>
                <w:sz w:val="28"/>
                <w:szCs w:val="28"/>
              </w:rPr>
              <w:t xml:space="preserve">, deoarece numerotarea elementelor structurale se efectuează în ordine consecutivă. Observația dată este valabilă pentru toate referirile ulterioare din proiect </w:t>
            </w:r>
            <w:r w:rsidRPr="00210AE1">
              <w:rPr>
                <w:rFonts w:ascii="Times New Roman" w:hAnsi="Times New Roman" w:cs="Times New Roman"/>
                <w:i/>
                <w:iCs/>
                <w:sz w:val="28"/>
                <w:szCs w:val="28"/>
              </w:rPr>
              <w:t>(sbp. 1.4.13, 1.4.16, 1.4.18, 1.4.22, 1.4.29, 1.4.35, 1.4.37, 1.4.39)</w:t>
            </w:r>
            <w:r w:rsidRPr="00EE77BE">
              <w:rPr>
                <w:rFonts w:ascii="Times New Roman" w:hAnsi="Times New Roman" w:cs="Times New Roman"/>
                <w:sz w:val="28"/>
                <w:szCs w:val="28"/>
              </w:rPr>
              <w:t>.</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E258E5" w14:textId="77777777" w:rsidR="00210AE1" w:rsidRPr="00210AE1" w:rsidRDefault="00210AE1" w:rsidP="002C7BD6">
            <w:pPr>
              <w:spacing w:after="0"/>
              <w:jc w:val="center"/>
              <w:rPr>
                <w:rFonts w:ascii="Times New Roman" w:hAnsi="Times New Roman" w:cs="Times New Roman"/>
                <w:b/>
                <w:bCs/>
                <w:sz w:val="28"/>
                <w:szCs w:val="28"/>
              </w:rPr>
            </w:pPr>
            <w:r w:rsidRPr="00210AE1">
              <w:rPr>
                <w:rFonts w:ascii="Times New Roman" w:hAnsi="Times New Roman" w:cs="Times New Roman"/>
                <w:b/>
                <w:bCs/>
                <w:sz w:val="28"/>
                <w:szCs w:val="28"/>
              </w:rPr>
              <w:t>Se acceptă</w:t>
            </w:r>
          </w:p>
        </w:tc>
      </w:tr>
      <w:tr w:rsidR="00210AE1" w:rsidRPr="00EE77BE" w14:paraId="0FF305BD"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29BCFF00"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8F5FFE" w14:textId="71B4F0AA"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13</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626791"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La sbp. 1.4.16 prevederea de la pct. 68</w:t>
            </w:r>
            <w:r w:rsidRPr="007D6B3A">
              <w:rPr>
                <w:rFonts w:ascii="Times New Roman" w:hAnsi="Times New Roman" w:cs="Times New Roman"/>
                <w:sz w:val="28"/>
                <w:szCs w:val="28"/>
                <w:vertAlign w:val="superscript"/>
              </w:rPr>
              <w:t>1</w:t>
            </w:r>
            <w:r w:rsidRPr="00EE77BE">
              <w:rPr>
                <w:rFonts w:ascii="Times New Roman" w:hAnsi="Times New Roman" w:cs="Times New Roman"/>
                <w:sz w:val="28"/>
                <w:szCs w:val="28"/>
              </w:rPr>
              <w:t xml:space="preserve"> nu reprezintă o normă juridică, dar o prevedere declarativă, motiv pentru care se va revizui.</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2C0CC8" w14:textId="77777777" w:rsidR="00210AE1" w:rsidRPr="007D6B3A" w:rsidRDefault="00210AE1" w:rsidP="002C7BD6">
            <w:pPr>
              <w:spacing w:after="0"/>
              <w:jc w:val="center"/>
              <w:rPr>
                <w:rFonts w:ascii="Times New Roman" w:hAnsi="Times New Roman" w:cs="Times New Roman"/>
                <w:b/>
                <w:bCs/>
                <w:sz w:val="28"/>
                <w:szCs w:val="28"/>
              </w:rPr>
            </w:pPr>
            <w:r w:rsidRPr="007D6B3A">
              <w:rPr>
                <w:rFonts w:ascii="Times New Roman" w:hAnsi="Times New Roman" w:cs="Times New Roman"/>
                <w:b/>
                <w:bCs/>
                <w:sz w:val="28"/>
                <w:szCs w:val="28"/>
              </w:rPr>
              <w:t>Se acceptă</w:t>
            </w:r>
          </w:p>
        </w:tc>
      </w:tr>
      <w:tr w:rsidR="00210AE1" w:rsidRPr="00EE77BE" w14:paraId="25ED815E" w14:textId="77777777" w:rsidTr="000F5101">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792FD629"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37CD12" w14:textId="16152593"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14</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C2EDD9"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1.4.20, având în vedere că pct. 73 se modifică substanțial (sbp. 1.4.20.1- 1.4.20.4), se propune ca acesta să fie expus integral în redacție nouă, asigurând în același timp coerența, claritatea și predictibilitatea normei juridice.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2B9484" w14:textId="77777777" w:rsidR="00210AE1" w:rsidRPr="007D6B3A" w:rsidRDefault="00210AE1" w:rsidP="002C7BD6">
            <w:pPr>
              <w:spacing w:after="0"/>
              <w:jc w:val="center"/>
              <w:rPr>
                <w:rFonts w:ascii="Times New Roman" w:hAnsi="Times New Roman" w:cs="Times New Roman"/>
                <w:b/>
                <w:bCs/>
                <w:sz w:val="28"/>
                <w:szCs w:val="28"/>
              </w:rPr>
            </w:pPr>
            <w:r w:rsidRPr="007D6B3A">
              <w:rPr>
                <w:rFonts w:ascii="Times New Roman" w:hAnsi="Times New Roman" w:cs="Times New Roman"/>
                <w:b/>
                <w:bCs/>
                <w:sz w:val="28"/>
                <w:szCs w:val="28"/>
              </w:rPr>
              <w:t>Se acceptă</w:t>
            </w:r>
          </w:p>
        </w:tc>
      </w:tr>
      <w:tr w:rsidR="00210AE1" w:rsidRPr="00EE77BE" w14:paraId="1EDE7383" w14:textId="77777777" w:rsidTr="000F5101">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2388BED4"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0D9006" w14:textId="2D13BFBF"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15</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5B1B2F"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1.4.23, nu este clar unde concret se propune inserarea textelor la pct. 81 („la sfârșitul propoziției”, „după ultima propoziție”), în măsura în care acesta conține doar o singură propoziție. În această legătură, recomandăm, formularea în redacție nouă a pct. 81.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2EAE38" w14:textId="77777777" w:rsidR="00210AE1" w:rsidRPr="007D6B3A" w:rsidRDefault="00210AE1" w:rsidP="002C7BD6">
            <w:pPr>
              <w:spacing w:after="0"/>
              <w:jc w:val="center"/>
              <w:rPr>
                <w:rFonts w:ascii="Times New Roman" w:hAnsi="Times New Roman" w:cs="Times New Roman"/>
                <w:b/>
                <w:bCs/>
                <w:sz w:val="28"/>
                <w:szCs w:val="28"/>
              </w:rPr>
            </w:pPr>
            <w:r w:rsidRPr="007D6B3A">
              <w:rPr>
                <w:rFonts w:ascii="Times New Roman" w:hAnsi="Times New Roman" w:cs="Times New Roman"/>
                <w:b/>
                <w:bCs/>
                <w:sz w:val="28"/>
                <w:szCs w:val="28"/>
              </w:rPr>
              <w:t>Se acceptă</w:t>
            </w:r>
          </w:p>
        </w:tc>
      </w:tr>
      <w:tr w:rsidR="00210AE1" w:rsidRPr="00EE77BE" w14:paraId="29F9AE5C"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570221E9"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DBBFC4" w14:textId="196CDC95"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5866B2"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1.4.24, 1.4.27 nu este necesar a preciza denumirea noii secțiuni la alineatul introductiv, fiind suficient a o indica între semnele citării.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687FC0" w14:textId="77777777" w:rsidR="00210AE1" w:rsidRPr="007D6B3A" w:rsidRDefault="00210AE1" w:rsidP="002C7BD6">
            <w:pPr>
              <w:spacing w:after="0"/>
              <w:jc w:val="center"/>
              <w:rPr>
                <w:rFonts w:ascii="Times New Roman" w:hAnsi="Times New Roman" w:cs="Times New Roman"/>
                <w:b/>
                <w:bCs/>
                <w:sz w:val="28"/>
                <w:szCs w:val="28"/>
              </w:rPr>
            </w:pPr>
            <w:r w:rsidRPr="007D6B3A">
              <w:rPr>
                <w:rFonts w:ascii="Times New Roman" w:hAnsi="Times New Roman" w:cs="Times New Roman"/>
                <w:b/>
                <w:bCs/>
                <w:sz w:val="28"/>
                <w:szCs w:val="28"/>
              </w:rPr>
              <w:t>Se acceptă</w:t>
            </w:r>
          </w:p>
        </w:tc>
      </w:tr>
      <w:tr w:rsidR="00210AE1" w:rsidRPr="00EE77BE" w14:paraId="6243850F"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6AA2CF71"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FD21F5" w14:textId="2592530A"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17</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0C69CD"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La sbp. 1.4.29 atragem atenția că la pct. 91</w:t>
            </w:r>
            <w:r w:rsidRPr="007D6B3A">
              <w:rPr>
                <w:rFonts w:ascii="Times New Roman" w:hAnsi="Times New Roman" w:cs="Times New Roman"/>
                <w:sz w:val="28"/>
                <w:szCs w:val="28"/>
                <w:vertAlign w:val="superscript"/>
              </w:rPr>
              <w:t>3</w:t>
            </w:r>
            <w:r w:rsidRPr="00EE77BE">
              <w:rPr>
                <w:rFonts w:ascii="Times New Roman" w:hAnsi="Times New Roman" w:cs="Times New Roman"/>
                <w:sz w:val="28"/>
                <w:szCs w:val="28"/>
              </w:rPr>
              <w:t xml:space="preserve"> este utilizat un termen învechit </w:t>
            </w:r>
            <w:r w:rsidRPr="007D6B3A">
              <w:rPr>
                <w:rFonts w:ascii="Times New Roman" w:hAnsi="Times New Roman" w:cs="Times New Roman"/>
                <w:i/>
                <w:iCs/>
                <w:sz w:val="28"/>
                <w:szCs w:val="28"/>
              </w:rPr>
              <w:t>„legislația comunitară”</w:t>
            </w:r>
            <w:r w:rsidRPr="00EE77BE">
              <w:rPr>
                <w:rFonts w:ascii="Times New Roman" w:hAnsi="Times New Roman" w:cs="Times New Roman"/>
                <w:sz w:val="28"/>
                <w:szCs w:val="28"/>
              </w:rPr>
              <w:t xml:space="preserve">. În prezent se utilizează termenul </w:t>
            </w:r>
            <w:r w:rsidRPr="007D6B3A">
              <w:rPr>
                <w:rFonts w:ascii="Times New Roman" w:hAnsi="Times New Roman" w:cs="Times New Roman"/>
                <w:i/>
                <w:iCs/>
                <w:sz w:val="28"/>
                <w:szCs w:val="28"/>
              </w:rPr>
              <w:t>„legislația Uniunii Europene”</w:t>
            </w:r>
            <w:r w:rsidRPr="00EE77BE">
              <w:rPr>
                <w:rFonts w:ascii="Times New Roman" w:hAnsi="Times New Roman" w:cs="Times New Roman"/>
                <w:sz w:val="28"/>
                <w:szCs w:val="28"/>
              </w:rPr>
              <w:t>.</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43C75A" w14:textId="77777777" w:rsidR="00210AE1" w:rsidRPr="007D6B3A" w:rsidRDefault="00210AE1" w:rsidP="002C7BD6">
            <w:pPr>
              <w:spacing w:after="0"/>
              <w:jc w:val="center"/>
              <w:rPr>
                <w:rFonts w:ascii="Times New Roman" w:hAnsi="Times New Roman" w:cs="Times New Roman"/>
                <w:b/>
                <w:bCs/>
                <w:sz w:val="28"/>
                <w:szCs w:val="28"/>
              </w:rPr>
            </w:pPr>
            <w:r w:rsidRPr="007D6B3A">
              <w:rPr>
                <w:rFonts w:ascii="Times New Roman" w:hAnsi="Times New Roman" w:cs="Times New Roman"/>
                <w:b/>
                <w:bCs/>
                <w:sz w:val="28"/>
                <w:szCs w:val="28"/>
              </w:rPr>
              <w:t>Se acceptă</w:t>
            </w:r>
          </w:p>
        </w:tc>
      </w:tr>
      <w:tr w:rsidR="00210AE1" w:rsidRPr="00EE77BE" w14:paraId="1CEBCC64"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53548796"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E257FC" w14:textId="0193861A"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18</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565E3A"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1.4.30.2, partea dispozitivă se va reda după cum urmează: </w:t>
            </w:r>
            <w:r w:rsidRPr="007D6B3A">
              <w:rPr>
                <w:rFonts w:ascii="Times New Roman" w:hAnsi="Times New Roman" w:cs="Times New Roman"/>
                <w:i/>
                <w:iCs/>
                <w:sz w:val="28"/>
                <w:szCs w:val="28"/>
              </w:rPr>
              <w:t>„se completează cu următorul enunț:”. Totodată, în cuprinsul nemijlocit al textului, se vor exclude cuvintele „în vigoare”</w:t>
            </w:r>
            <w:r w:rsidRPr="00EE77BE">
              <w:rPr>
                <w:rFonts w:ascii="Times New Roman" w:hAnsi="Times New Roman" w:cs="Times New Roman"/>
                <w:sz w:val="28"/>
                <w:szCs w:val="28"/>
              </w:rPr>
              <w:t xml:space="preserve">.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699E55" w14:textId="77777777" w:rsidR="00210AE1" w:rsidRPr="007D6B3A" w:rsidRDefault="00210AE1" w:rsidP="002C7BD6">
            <w:pPr>
              <w:spacing w:after="0"/>
              <w:jc w:val="center"/>
              <w:rPr>
                <w:rFonts w:ascii="Times New Roman" w:hAnsi="Times New Roman" w:cs="Times New Roman"/>
                <w:b/>
                <w:bCs/>
                <w:sz w:val="28"/>
                <w:szCs w:val="28"/>
              </w:rPr>
            </w:pPr>
            <w:r w:rsidRPr="007D6B3A">
              <w:rPr>
                <w:rFonts w:ascii="Times New Roman" w:hAnsi="Times New Roman" w:cs="Times New Roman"/>
                <w:b/>
                <w:bCs/>
                <w:sz w:val="28"/>
                <w:szCs w:val="28"/>
              </w:rPr>
              <w:t>Se acceptă</w:t>
            </w:r>
          </w:p>
        </w:tc>
      </w:tr>
      <w:tr w:rsidR="00210AE1" w:rsidRPr="00EE77BE" w14:paraId="04D578B3" w14:textId="77777777" w:rsidTr="00717488">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1D0CE3EF"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9105DE" w14:textId="06982846"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19</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9AD868"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1.4.31.1, în partea dispozitivă, textul </w:t>
            </w:r>
            <w:r w:rsidRPr="007D6B3A">
              <w:rPr>
                <w:rFonts w:ascii="Times New Roman" w:hAnsi="Times New Roman" w:cs="Times New Roman"/>
                <w:i/>
                <w:iCs/>
                <w:sz w:val="28"/>
                <w:szCs w:val="28"/>
              </w:rPr>
              <w:t>„la alin. 1)”</w:t>
            </w:r>
            <w:r w:rsidRPr="00EE77BE">
              <w:rPr>
                <w:rFonts w:ascii="Times New Roman" w:hAnsi="Times New Roman" w:cs="Times New Roman"/>
                <w:sz w:val="28"/>
                <w:szCs w:val="28"/>
              </w:rPr>
              <w:t xml:space="preserve"> se va substitui cu textul </w:t>
            </w:r>
            <w:r w:rsidRPr="007D6B3A">
              <w:rPr>
                <w:rFonts w:ascii="Times New Roman" w:hAnsi="Times New Roman" w:cs="Times New Roman"/>
                <w:i/>
                <w:iCs/>
                <w:sz w:val="28"/>
                <w:szCs w:val="28"/>
              </w:rPr>
              <w:t>„subpct. 1)”</w:t>
            </w:r>
            <w:r w:rsidRPr="00EE77BE">
              <w:rPr>
                <w:rFonts w:ascii="Times New Roman" w:hAnsi="Times New Roman" w:cs="Times New Roman"/>
                <w:sz w:val="28"/>
                <w:szCs w:val="28"/>
              </w:rPr>
              <w:t xml:space="preserve"> (valabil și pentru sbp. 1.4.31.2).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6D07EA" w14:textId="77777777" w:rsidR="00210AE1" w:rsidRPr="007D6B3A" w:rsidRDefault="00210AE1" w:rsidP="002C7BD6">
            <w:pPr>
              <w:spacing w:after="0"/>
              <w:jc w:val="center"/>
              <w:rPr>
                <w:rFonts w:ascii="Times New Roman" w:hAnsi="Times New Roman" w:cs="Times New Roman"/>
                <w:b/>
                <w:bCs/>
                <w:sz w:val="28"/>
                <w:szCs w:val="28"/>
              </w:rPr>
            </w:pPr>
            <w:r w:rsidRPr="007D6B3A">
              <w:rPr>
                <w:rFonts w:ascii="Times New Roman" w:hAnsi="Times New Roman" w:cs="Times New Roman"/>
                <w:b/>
                <w:bCs/>
                <w:sz w:val="28"/>
                <w:szCs w:val="28"/>
              </w:rPr>
              <w:t>Se acceptă</w:t>
            </w:r>
          </w:p>
        </w:tc>
      </w:tr>
      <w:tr w:rsidR="00210AE1" w:rsidRPr="00EE77BE" w14:paraId="0B31596C" w14:textId="77777777" w:rsidTr="000F5101">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0C841298"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CA0119" w14:textId="4085E953"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98F88A" w14:textId="548D39D6"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La sbp. 1.4.39, în redacția propusă, pct. 102</w:t>
            </w:r>
            <w:r w:rsidRPr="007D6B3A">
              <w:rPr>
                <w:rFonts w:ascii="Times New Roman" w:hAnsi="Times New Roman" w:cs="Times New Roman"/>
                <w:sz w:val="28"/>
                <w:szCs w:val="28"/>
                <w:vertAlign w:val="superscript"/>
              </w:rPr>
              <w:t xml:space="preserve">1 </w:t>
            </w:r>
            <w:r w:rsidRPr="00EE77BE">
              <w:rPr>
                <w:rFonts w:ascii="Times New Roman" w:hAnsi="Times New Roman" w:cs="Times New Roman"/>
                <w:sz w:val="28"/>
                <w:szCs w:val="28"/>
              </w:rPr>
              <w:t xml:space="preserve">conține dispoziții finale privind intrarea în vigoare a Reglementării tehnice în </w:t>
            </w:r>
            <w:r w:rsidRPr="00EE77BE">
              <w:rPr>
                <w:rFonts w:ascii="Times New Roman" w:hAnsi="Times New Roman" w:cs="Times New Roman"/>
                <w:sz w:val="28"/>
                <w:szCs w:val="28"/>
              </w:rPr>
              <w:lastRenderedPageBreak/>
              <w:t xml:space="preserve">privința recipientelor sub presiune, ventilelor acestora și altor accesorii utilizate pentru transportarea echipamentelor cu numerele ONU 1745, 1746 și 2495. În context, semnalăm că, dispozițiile finale și tranzitorii sunt caracteristice legilor, iar în cazul actelor normative ale Guvernului, acestea, în cazul în care cuprind momentul intrării în vigoare şi măsurile necesare punerii în aplicare a actului normativ, reglementări privind </w:t>
            </w:r>
            <w:r w:rsidR="002C7BD6" w:rsidRPr="00EE77BE">
              <w:rPr>
                <w:rFonts w:ascii="Times New Roman" w:hAnsi="Times New Roman" w:cs="Times New Roman"/>
                <w:sz w:val="28"/>
                <w:szCs w:val="28"/>
              </w:rPr>
              <w:t>obligația</w:t>
            </w:r>
            <w:r w:rsidRPr="00EE77BE">
              <w:rPr>
                <w:rFonts w:ascii="Times New Roman" w:hAnsi="Times New Roman" w:cs="Times New Roman"/>
                <w:sz w:val="28"/>
                <w:szCs w:val="28"/>
              </w:rPr>
              <w:t xml:space="preserve"> autorităţilor responsabile de a executa actul normativ, precum și măsuri ce se instituie cu privire la continuarea raporturilor juridice născute în temeiul vechilor reglementări care urmează a fi abrogate sau înlocuite de noul act normativ, urmează a fi plasate în textul hotărârii. Concomitent, urmează a fi reformulată norma vizată, prin substituirea sintagmelor „Se asigură că prezenta Reglementare tehnică” și „începând cu data de intrare în vigoare” cu sintagmele „Reglementarea tehnică privind echipamentele sub presiune transportabile”, respectiv, „începând cu data intrării în vigoare a prezentei hotărâri”. </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83CBE1" w14:textId="77777777" w:rsidR="00210AE1" w:rsidRPr="007D6B3A" w:rsidRDefault="00210AE1" w:rsidP="002C7BD6">
            <w:pPr>
              <w:spacing w:after="0"/>
              <w:jc w:val="center"/>
              <w:rPr>
                <w:rFonts w:ascii="Times New Roman" w:hAnsi="Times New Roman" w:cs="Times New Roman"/>
                <w:b/>
                <w:bCs/>
                <w:sz w:val="28"/>
                <w:szCs w:val="28"/>
              </w:rPr>
            </w:pPr>
            <w:r w:rsidRPr="007D6B3A">
              <w:rPr>
                <w:rFonts w:ascii="Times New Roman" w:hAnsi="Times New Roman" w:cs="Times New Roman"/>
                <w:b/>
                <w:bCs/>
                <w:sz w:val="28"/>
                <w:szCs w:val="28"/>
              </w:rPr>
              <w:lastRenderedPageBreak/>
              <w:t>Se acceptă</w:t>
            </w:r>
          </w:p>
        </w:tc>
      </w:tr>
      <w:tr w:rsidR="00210AE1" w:rsidRPr="00EE77BE" w14:paraId="2F8BEC5A" w14:textId="77777777" w:rsidTr="000F5101">
        <w:trPr>
          <w:jc w:val="center"/>
        </w:trPr>
        <w:tc>
          <w:tcPr>
            <w:tcW w:w="1703" w:type="pct"/>
            <w:vMerge/>
            <w:tcBorders>
              <w:left w:val="single" w:sz="6" w:space="0" w:color="000000"/>
              <w:right w:val="single" w:sz="6" w:space="0" w:color="000000"/>
            </w:tcBorders>
            <w:tcMar>
              <w:top w:w="15" w:type="dxa"/>
              <w:left w:w="45" w:type="dxa"/>
              <w:bottom w:w="15" w:type="dxa"/>
              <w:right w:w="45" w:type="dxa"/>
            </w:tcMar>
          </w:tcPr>
          <w:p w14:paraId="7F404040"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EDC40B" w14:textId="136B1083"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21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86D04E" w14:textId="0D994DC3" w:rsidR="00210AE1" w:rsidRPr="00EE77BE" w:rsidRDefault="00210AE1" w:rsidP="002C7BD6">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sbp. 1.4.40, se recomandă, expunerea dispoziției în următorul mod: </w:t>
            </w:r>
            <w:r w:rsidRPr="002C7BD6">
              <w:rPr>
                <w:rFonts w:ascii="Times New Roman" w:hAnsi="Times New Roman" w:cs="Times New Roman"/>
                <w:i/>
                <w:iCs/>
                <w:sz w:val="28"/>
                <w:szCs w:val="28"/>
              </w:rPr>
              <w:t>„la anexa nr. 2, în punctele 4-7 cuvintele ,,un certificat de reevaluare de tip”</w:t>
            </w:r>
            <w:r w:rsidRPr="00EE77BE">
              <w:rPr>
                <w:rFonts w:ascii="Times New Roman" w:hAnsi="Times New Roman" w:cs="Times New Roman"/>
                <w:sz w:val="28"/>
                <w:szCs w:val="28"/>
              </w:rPr>
              <w:t xml:space="preserve"> și </w:t>
            </w:r>
            <w:r w:rsidRPr="002C7BD6">
              <w:rPr>
                <w:rFonts w:ascii="Times New Roman" w:hAnsi="Times New Roman" w:cs="Times New Roman"/>
                <w:i/>
                <w:iCs/>
                <w:sz w:val="28"/>
                <w:szCs w:val="28"/>
              </w:rPr>
              <w:t>„un certificat de reevaluare”</w:t>
            </w:r>
            <w:r w:rsidRPr="00EE77BE">
              <w:rPr>
                <w:rFonts w:ascii="Times New Roman" w:hAnsi="Times New Roman" w:cs="Times New Roman"/>
                <w:sz w:val="28"/>
                <w:szCs w:val="28"/>
              </w:rPr>
              <w:t xml:space="preserve">, la orice formă gramaticală, se substituie cu cuvintele </w:t>
            </w:r>
            <w:r w:rsidRPr="002C7BD6">
              <w:rPr>
                <w:rFonts w:ascii="Times New Roman" w:hAnsi="Times New Roman" w:cs="Times New Roman"/>
                <w:i/>
                <w:iCs/>
                <w:sz w:val="28"/>
                <w:szCs w:val="28"/>
              </w:rPr>
              <w:t>,,raport de inspecție”</w:t>
            </w:r>
            <w:r w:rsidRPr="00EE77BE">
              <w:rPr>
                <w:rFonts w:ascii="Times New Roman" w:hAnsi="Times New Roman" w:cs="Times New Roman"/>
                <w:sz w:val="28"/>
                <w:szCs w:val="28"/>
              </w:rPr>
              <w:t>, la forma gramaticală corespunzătoare”.</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F23945" w14:textId="77777777" w:rsidR="00210AE1" w:rsidRPr="002C7BD6" w:rsidRDefault="00210AE1" w:rsidP="002C7BD6">
            <w:pPr>
              <w:spacing w:after="0"/>
              <w:jc w:val="center"/>
              <w:rPr>
                <w:rFonts w:ascii="Times New Roman" w:hAnsi="Times New Roman" w:cs="Times New Roman"/>
                <w:b/>
                <w:bCs/>
                <w:sz w:val="28"/>
                <w:szCs w:val="28"/>
              </w:rPr>
            </w:pPr>
            <w:r w:rsidRPr="002C7BD6">
              <w:rPr>
                <w:rFonts w:ascii="Times New Roman" w:hAnsi="Times New Roman" w:cs="Times New Roman"/>
                <w:b/>
                <w:bCs/>
                <w:sz w:val="28"/>
                <w:szCs w:val="28"/>
              </w:rPr>
              <w:t>Se acceptă</w:t>
            </w:r>
          </w:p>
        </w:tc>
      </w:tr>
      <w:tr w:rsidR="00210AE1" w:rsidRPr="00EE77BE" w14:paraId="1CC0A6BE" w14:textId="77777777" w:rsidTr="000F5101">
        <w:trPr>
          <w:jc w:val="center"/>
        </w:trPr>
        <w:tc>
          <w:tcPr>
            <w:tcW w:w="1703"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25F6FBD5" w14:textId="77777777" w:rsidR="00210AE1" w:rsidRPr="00EE77BE" w:rsidRDefault="00210AE1" w:rsidP="00B2638A">
            <w:pPr>
              <w:spacing w:after="0"/>
              <w:rPr>
                <w:rFonts w:ascii="Times New Roman" w:hAnsi="Times New Roman" w:cs="Times New Roman"/>
                <w:sz w:val="28"/>
                <w:szCs w:val="28"/>
              </w:rPr>
            </w:pP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27EAA1" w14:textId="7FAA280C" w:rsidR="00210AE1"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22</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60EA93" w14:textId="77777777" w:rsidR="00210AE1" w:rsidRPr="00EE77BE" w:rsidRDefault="00210AE1" w:rsidP="00B2638A">
            <w:pPr>
              <w:spacing w:after="0"/>
              <w:jc w:val="both"/>
              <w:rPr>
                <w:rFonts w:ascii="Times New Roman" w:hAnsi="Times New Roman" w:cs="Times New Roman"/>
                <w:sz w:val="28"/>
                <w:szCs w:val="28"/>
              </w:rPr>
            </w:pPr>
            <w:r w:rsidRPr="00EE77BE">
              <w:rPr>
                <w:rFonts w:ascii="Times New Roman" w:hAnsi="Times New Roman" w:cs="Times New Roman"/>
                <w:sz w:val="28"/>
                <w:szCs w:val="28"/>
              </w:rPr>
              <w:t xml:space="preserve">La pct. 2, pentru respectarea uzanțelor normative, cuvântul </w:t>
            </w:r>
            <w:r w:rsidRPr="002C7BD6">
              <w:rPr>
                <w:rFonts w:ascii="Times New Roman" w:hAnsi="Times New Roman" w:cs="Times New Roman"/>
                <w:i/>
                <w:iCs/>
                <w:sz w:val="28"/>
                <w:szCs w:val="28"/>
              </w:rPr>
              <w:t>„peste”</w:t>
            </w:r>
            <w:r w:rsidRPr="00EE77BE">
              <w:rPr>
                <w:rFonts w:ascii="Times New Roman" w:hAnsi="Times New Roman" w:cs="Times New Roman"/>
                <w:sz w:val="28"/>
                <w:szCs w:val="28"/>
              </w:rPr>
              <w:t xml:space="preserve"> se va substitui cu cuvintele </w:t>
            </w:r>
            <w:r w:rsidRPr="002C7BD6">
              <w:rPr>
                <w:rFonts w:ascii="Times New Roman" w:hAnsi="Times New Roman" w:cs="Times New Roman"/>
                <w:i/>
                <w:iCs/>
                <w:sz w:val="28"/>
                <w:szCs w:val="28"/>
              </w:rPr>
              <w:t>„la expirarea a”</w:t>
            </w:r>
            <w:r w:rsidRPr="00EE77BE">
              <w:rPr>
                <w:rFonts w:ascii="Times New Roman" w:hAnsi="Times New Roman" w:cs="Times New Roman"/>
                <w:sz w:val="28"/>
                <w:szCs w:val="28"/>
              </w:rPr>
              <w:t>.</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3B2D6" w14:textId="77777777" w:rsidR="00210AE1" w:rsidRPr="002C7BD6" w:rsidRDefault="00210AE1" w:rsidP="002C7BD6">
            <w:pPr>
              <w:spacing w:after="0"/>
              <w:jc w:val="center"/>
              <w:rPr>
                <w:rFonts w:ascii="Times New Roman" w:hAnsi="Times New Roman" w:cs="Times New Roman"/>
                <w:b/>
                <w:bCs/>
                <w:sz w:val="28"/>
                <w:szCs w:val="28"/>
              </w:rPr>
            </w:pPr>
            <w:r w:rsidRPr="002C7BD6">
              <w:rPr>
                <w:rFonts w:ascii="Times New Roman" w:hAnsi="Times New Roman" w:cs="Times New Roman"/>
                <w:b/>
                <w:bCs/>
                <w:sz w:val="28"/>
                <w:szCs w:val="28"/>
              </w:rPr>
              <w:t>Se acceptă</w:t>
            </w:r>
          </w:p>
        </w:tc>
      </w:tr>
      <w:tr w:rsidR="00D22630" w:rsidRPr="00EE77BE" w14:paraId="72091DF6" w14:textId="77777777" w:rsidTr="00717488">
        <w:trPr>
          <w:jc w:val="center"/>
        </w:trPr>
        <w:tc>
          <w:tcPr>
            <w:tcW w:w="1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C98930" w14:textId="77777777" w:rsidR="00D22630" w:rsidRPr="003214A8" w:rsidRDefault="00D22630" w:rsidP="00B2638A">
            <w:pPr>
              <w:spacing w:after="0"/>
              <w:jc w:val="both"/>
              <w:rPr>
                <w:rFonts w:ascii="Times New Roman" w:hAnsi="Times New Roman" w:cs="Times New Roman"/>
                <w:b/>
                <w:bCs/>
                <w:sz w:val="28"/>
                <w:szCs w:val="28"/>
              </w:rPr>
            </w:pPr>
            <w:r w:rsidRPr="003214A8">
              <w:rPr>
                <w:rFonts w:ascii="Times New Roman" w:hAnsi="Times New Roman" w:cs="Times New Roman"/>
                <w:b/>
                <w:bCs/>
                <w:sz w:val="28"/>
                <w:szCs w:val="28"/>
              </w:rPr>
              <w:t xml:space="preserve">Centrul Național Anticorupție </w:t>
            </w:r>
          </w:p>
          <w:p w14:paraId="3FA0B8D3" w14:textId="77777777" w:rsidR="00D22630" w:rsidRPr="003214A8" w:rsidRDefault="00D22630" w:rsidP="00B2638A">
            <w:pPr>
              <w:spacing w:after="0"/>
              <w:jc w:val="both"/>
              <w:rPr>
                <w:rFonts w:ascii="Times New Roman" w:hAnsi="Times New Roman" w:cs="Times New Roman"/>
                <w:i/>
                <w:iCs/>
                <w:sz w:val="28"/>
                <w:szCs w:val="28"/>
              </w:rPr>
            </w:pPr>
            <w:r w:rsidRPr="003214A8">
              <w:rPr>
                <w:rFonts w:ascii="Times New Roman" w:hAnsi="Times New Roman" w:cs="Times New Roman"/>
                <w:i/>
                <w:iCs/>
                <w:sz w:val="28"/>
                <w:szCs w:val="28"/>
              </w:rPr>
              <w:t>(Nr. 06/2/14109 din 13.08.2025)</w:t>
            </w:r>
          </w:p>
        </w:tc>
        <w:tc>
          <w:tcPr>
            <w:tcW w:w="2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DF4DF2" w14:textId="682BF319" w:rsidR="00D22630" w:rsidRPr="00EE77BE" w:rsidRDefault="002C7BD6" w:rsidP="002C7BD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BE07D7" w14:textId="77777777" w:rsidR="00D22630" w:rsidRPr="00D22630" w:rsidRDefault="00D22630" w:rsidP="00B2638A">
            <w:pPr>
              <w:spacing w:after="0"/>
              <w:jc w:val="both"/>
              <w:rPr>
                <w:rFonts w:ascii="Times New Roman" w:hAnsi="Times New Roman" w:cs="Times New Roman"/>
                <w:sz w:val="28"/>
                <w:szCs w:val="28"/>
              </w:rPr>
            </w:pPr>
            <w:r w:rsidRPr="00D22630">
              <w:rPr>
                <w:rFonts w:ascii="Times New Roman" w:hAnsi="Times New Roman" w:cs="Times New Roman"/>
                <w:sz w:val="28"/>
                <w:szCs w:val="28"/>
              </w:rPr>
              <w:t>Proiectul hotărârii Guvernului cu privire la modificarea Reglementării tehnice privind echipamentele</w:t>
            </w:r>
            <w:r>
              <w:rPr>
                <w:rFonts w:ascii="Times New Roman" w:hAnsi="Times New Roman" w:cs="Times New Roman"/>
                <w:sz w:val="28"/>
                <w:szCs w:val="28"/>
              </w:rPr>
              <w:t xml:space="preserve"> </w:t>
            </w:r>
            <w:r w:rsidRPr="00D22630">
              <w:rPr>
                <w:rFonts w:ascii="Times New Roman" w:hAnsi="Times New Roman" w:cs="Times New Roman"/>
                <w:sz w:val="28"/>
                <w:szCs w:val="28"/>
              </w:rPr>
              <w:t xml:space="preserve">sub presiune </w:t>
            </w:r>
            <w:r w:rsidRPr="00D22630">
              <w:rPr>
                <w:rFonts w:ascii="Times New Roman" w:hAnsi="Times New Roman" w:cs="Times New Roman"/>
                <w:sz w:val="28"/>
                <w:szCs w:val="28"/>
              </w:rPr>
              <w:lastRenderedPageBreak/>
              <w:t>transportabile, aprobată prin Hotărârea Guvernului nr. 1094/2017 a fost elaborat de către Ministerul Infrastructurii și Dezvoltării Regionale, în scopul ajustării reglementărilor tehnice în domeniul echipamentelor sub presiune transportabile la cerințele actelor Uniunii Europene având ca</w:t>
            </w:r>
          </w:p>
          <w:p w14:paraId="2D3FB586" w14:textId="77777777" w:rsidR="00D22630" w:rsidRPr="00D22630" w:rsidRDefault="00D22630" w:rsidP="00B2638A">
            <w:pPr>
              <w:spacing w:after="0"/>
              <w:jc w:val="both"/>
              <w:rPr>
                <w:rFonts w:ascii="Times New Roman" w:hAnsi="Times New Roman" w:cs="Times New Roman"/>
                <w:sz w:val="28"/>
                <w:szCs w:val="28"/>
              </w:rPr>
            </w:pPr>
            <w:r w:rsidRPr="00D22630">
              <w:rPr>
                <w:rFonts w:ascii="Times New Roman" w:hAnsi="Times New Roman" w:cs="Times New Roman"/>
                <w:sz w:val="28"/>
                <w:szCs w:val="28"/>
              </w:rPr>
              <w:t xml:space="preserve"> obiectiv oferirea de posibilități mai largi pentru operatorii economici autohtoni pentru a plasa produsele în țările Uniunii Europene.</w:t>
            </w:r>
          </w:p>
          <w:p w14:paraId="0023973F" w14:textId="00DCB1EB" w:rsidR="00D22630" w:rsidRPr="00D22630" w:rsidRDefault="00D22630" w:rsidP="00B2638A">
            <w:pPr>
              <w:spacing w:after="0"/>
              <w:jc w:val="both"/>
              <w:rPr>
                <w:rFonts w:ascii="Times New Roman" w:hAnsi="Times New Roman" w:cs="Times New Roman"/>
                <w:sz w:val="28"/>
                <w:szCs w:val="28"/>
              </w:rPr>
            </w:pPr>
            <w:r w:rsidRPr="00D22630">
              <w:rPr>
                <w:rFonts w:ascii="Times New Roman" w:hAnsi="Times New Roman" w:cs="Times New Roman"/>
                <w:sz w:val="28"/>
                <w:szCs w:val="28"/>
              </w:rPr>
              <w:t>În cadrul procesului de elaborare au fost respectate prevederile legale cu privire la transparența în</w:t>
            </w:r>
            <w:r>
              <w:rPr>
                <w:rFonts w:ascii="Times New Roman" w:hAnsi="Times New Roman" w:cs="Times New Roman"/>
                <w:sz w:val="28"/>
                <w:szCs w:val="28"/>
              </w:rPr>
              <w:t xml:space="preserve"> </w:t>
            </w:r>
            <w:r w:rsidRPr="00D22630">
              <w:rPr>
                <w:rFonts w:ascii="Times New Roman" w:hAnsi="Times New Roman" w:cs="Times New Roman"/>
                <w:sz w:val="28"/>
                <w:szCs w:val="28"/>
              </w:rPr>
              <w:t>procesul decizional și proiectul corespunde normelor de tehnică legislativă.</w:t>
            </w:r>
          </w:p>
          <w:p w14:paraId="706DFCE3" w14:textId="1F0E40E7" w:rsidR="00D22630" w:rsidRPr="00EE77BE" w:rsidRDefault="00D22630" w:rsidP="00B2638A">
            <w:pPr>
              <w:spacing w:after="0"/>
              <w:jc w:val="both"/>
              <w:rPr>
                <w:rFonts w:ascii="Times New Roman" w:hAnsi="Times New Roman" w:cs="Times New Roman"/>
                <w:sz w:val="28"/>
                <w:szCs w:val="28"/>
              </w:rPr>
            </w:pPr>
            <w:r w:rsidRPr="00D22630">
              <w:rPr>
                <w:rFonts w:ascii="Times New Roman" w:hAnsi="Times New Roman" w:cs="Times New Roman"/>
                <w:sz w:val="28"/>
                <w:szCs w:val="28"/>
              </w:rPr>
              <w:t xml:space="preserve"> Proiectul corespunde interesului public general, deoarece va contribui la realizarea acțiunilor din</w:t>
            </w:r>
            <w:r>
              <w:rPr>
                <w:rFonts w:ascii="Times New Roman" w:hAnsi="Times New Roman" w:cs="Times New Roman"/>
                <w:sz w:val="28"/>
                <w:szCs w:val="28"/>
              </w:rPr>
              <w:t xml:space="preserve"> </w:t>
            </w:r>
            <w:r w:rsidRPr="00D22630">
              <w:rPr>
                <w:rFonts w:ascii="Times New Roman" w:hAnsi="Times New Roman" w:cs="Times New Roman"/>
                <w:sz w:val="28"/>
                <w:szCs w:val="28"/>
              </w:rPr>
              <w:t xml:space="preserve">Programul </w:t>
            </w:r>
            <w:r w:rsidR="002C7BD6" w:rsidRPr="00D22630">
              <w:rPr>
                <w:rFonts w:ascii="Times New Roman" w:hAnsi="Times New Roman" w:cs="Times New Roman"/>
                <w:sz w:val="28"/>
                <w:szCs w:val="28"/>
              </w:rPr>
              <w:t>național</w:t>
            </w:r>
            <w:r w:rsidRPr="00D22630">
              <w:rPr>
                <w:rFonts w:ascii="Times New Roman" w:hAnsi="Times New Roman" w:cs="Times New Roman"/>
                <w:sz w:val="28"/>
                <w:szCs w:val="28"/>
              </w:rPr>
              <w:t xml:space="preserve"> de aderare a Republicii Moldova la Uniunea Europeană pentru anii 2025-2029,</w:t>
            </w:r>
            <w:r>
              <w:rPr>
                <w:rFonts w:ascii="Times New Roman" w:hAnsi="Times New Roman" w:cs="Times New Roman"/>
                <w:sz w:val="28"/>
                <w:szCs w:val="28"/>
              </w:rPr>
              <w:t xml:space="preserve"> </w:t>
            </w:r>
            <w:r w:rsidRPr="00D22630">
              <w:rPr>
                <w:rFonts w:ascii="Times New Roman" w:hAnsi="Times New Roman" w:cs="Times New Roman"/>
                <w:sz w:val="28"/>
                <w:szCs w:val="28"/>
              </w:rPr>
              <w:t xml:space="preserve">aprobat prin Hotărârea Guvernului </w:t>
            </w:r>
            <w:r w:rsidR="002C7BD6">
              <w:rPr>
                <w:rFonts w:ascii="Times New Roman" w:hAnsi="Times New Roman" w:cs="Times New Roman"/>
                <w:sz w:val="28"/>
                <w:szCs w:val="28"/>
              </w:rPr>
              <w:br/>
            </w:r>
            <w:r w:rsidRPr="00D22630">
              <w:rPr>
                <w:rFonts w:ascii="Times New Roman" w:hAnsi="Times New Roman" w:cs="Times New Roman"/>
                <w:sz w:val="28"/>
                <w:szCs w:val="28"/>
              </w:rPr>
              <w:t>nr. 306/2025.</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8B88BA" w14:textId="3643F572" w:rsidR="00D22630" w:rsidRPr="00EE77BE" w:rsidRDefault="002C7BD6" w:rsidP="002C7BD6">
            <w:pPr>
              <w:spacing w:after="0"/>
              <w:jc w:val="center"/>
              <w:rPr>
                <w:rFonts w:ascii="Times New Roman" w:hAnsi="Times New Roman" w:cs="Times New Roman"/>
                <w:sz w:val="28"/>
                <w:szCs w:val="28"/>
              </w:rPr>
            </w:pPr>
            <w:r w:rsidRPr="00717488">
              <w:rPr>
                <w:rFonts w:ascii="Times New Roman" w:hAnsi="Times New Roman" w:cs="Times New Roman"/>
                <w:b/>
                <w:bCs/>
                <w:sz w:val="28"/>
                <w:szCs w:val="28"/>
              </w:rPr>
              <w:lastRenderedPageBreak/>
              <w:t>Se acceptă</w:t>
            </w:r>
          </w:p>
        </w:tc>
      </w:tr>
    </w:tbl>
    <w:p w14:paraId="10898C1F" w14:textId="77777777" w:rsidR="00D22630" w:rsidRDefault="00D22630" w:rsidP="003214A8">
      <w:pPr>
        <w:spacing w:after="0"/>
        <w:rPr>
          <w:rFonts w:ascii="Times New Roman" w:hAnsi="Times New Roman" w:cs="Times New Roman"/>
          <w:sz w:val="28"/>
          <w:szCs w:val="28"/>
        </w:rPr>
      </w:pPr>
    </w:p>
    <w:p w14:paraId="22EFB84E" w14:textId="77777777" w:rsidR="002C7BD6" w:rsidRDefault="002C7BD6" w:rsidP="003214A8">
      <w:pPr>
        <w:spacing w:after="0"/>
        <w:rPr>
          <w:rFonts w:ascii="Times New Roman" w:hAnsi="Times New Roman" w:cs="Times New Roman"/>
          <w:sz w:val="28"/>
          <w:szCs w:val="28"/>
        </w:rPr>
      </w:pPr>
    </w:p>
    <w:p w14:paraId="12E524E9" w14:textId="77777777" w:rsidR="002C7BD6" w:rsidRDefault="002C7BD6" w:rsidP="003214A8">
      <w:pPr>
        <w:spacing w:after="0"/>
        <w:rPr>
          <w:rFonts w:ascii="Times New Roman" w:hAnsi="Times New Roman" w:cs="Times New Roman"/>
          <w:sz w:val="28"/>
          <w:szCs w:val="28"/>
        </w:rPr>
      </w:pPr>
    </w:p>
    <w:p w14:paraId="47611757" w14:textId="5423B191" w:rsidR="002C7BD6" w:rsidRPr="002C7BD6" w:rsidRDefault="002C7BD6" w:rsidP="002C7BD6">
      <w:pPr>
        <w:spacing w:after="0"/>
        <w:jc w:val="center"/>
        <w:rPr>
          <w:rFonts w:ascii="Times New Roman" w:hAnsi="Times New Roman" w:cs="Times New Roman"/>
          <w:b/>
          <w:bCs/>
          <w:sz w:val="28"/>
          <w:szCs w:val="28"/>
        </w:rPr>
      </w:pPr>
      <w:r w:rsidRPr="002C7BD6">
        <w:rPr>
          <w:rFonts w:ascii="Times New Roman" w:hAnsi="Times New Roman" w:cs="Times New Roman"/>
          <w:b/>
          <w:bCs/>
          <w:sz w:val="28"/>
          <w:szCs w:val="28"/>
        </w:rPr>
        <w:t xml:space="preserve">Secretar General </w:t>
      </w:r>
      <w:r>
        <w:rPr>
          <w:rFonts w:ascii="Times New Roman" w:hAnsi="Times New Roman" w:cs="Times New Roman"/>
          <w:b/>
          <w:bCs/>
          <w:sz w:val="28"/>
          <w:szCs w:val="28"/>
        </w:rPr>
        <w:t xml:space="preserve">                                                                                                                              </w:t>
      </w:r>
      <w:r w:rsidRPr="002C7BD6">
        <w:rPr>
          <w:rFonts w:ascii="Times New Roman" w:hAnsi="Times New Roman" w:cs="Times New Roman"/>
          <w:b/>
          <w:bCs/>
          <w:sz w:val="28"/>
          <w:szCs w:val="28"/>
        </w:rPr>
        <w:t>Angela ȚURCANU</w:t>
      </w:r>
    </w:p>
    <w:sectPr w:rsidR="002C7BD6" w:rsidRPr="002C7BD6" w:rsidSect="00C91410">
      <w:footerReference w:type="default" r:id="rId7"/>
      <w:pgSz w:w="16838" w:h="11906" w:orient="landscape"/>
      <w:pgMar w:top="720"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F5D9" w14:textId="77777777" w:rsidR="00382C6D" w:rsidRDefault="00382C6D" w:rsidP="00382C6D">
      <w:pPr>
        <w:spacing w:after="0" w:line="240" w:lineRule="auto"/>
      </w:pPr>
      <w:r>
        <w:separator/>
      </w:r>
    </w:p>
  </w:endnote>
  <w:endnote w:type="continuationSeparator" w:id="0">
    <w:p w14:paraId="59BD822E" w14:textId="77777777" w:rsidR="00382C6D" w:rsidRDefault="00382C6D" w:rsidP="0038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265024"/>
      <w:docPartObj>
        <w:docPartGallery w:val="Page Numbers (Bottom of Page)"/>
        <w:docPartUnique/>
      </w:docPartObj>
    </w:sdtPr>
    <w:sdtEndPr>
      <w:rPr>
        <w:noProof/>
      </w:rPr>
    </w:sdtEndPr>
    <w:sdtContent>
      <w:p w14:paraId="25B37A96" w14:textId="26406231" w:rsidR="00382C6D" w:rsidRDefault="00382C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4DC99C" w14:textId="77777777" w:rsidR="00382C6D" w:rsidRDefault="00382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1EBD" w14:textId="77777777" w:rsidR="00382C6D" w:rsidRDefault="00382C6D" w:rsidP="00382C6D">
      <w:pPr>
        <w:spacing w:after="0" w:line="240" w:lineRule="auto"/>
      </w:pPr>
      <w:r>
        <w:separator/>
      </w:r>
    </w:p>
  </w:footnote>
  <w:footnote w:type="continuationSeparator" w:id="0">
    <w:p w14:paraId="6C209BFB" w14:textId="77777777" w:rsidR="00382C6D" w:rsidRDefault="00382C6D" w:rsidP="00382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4DC8"/>
    <w:multiLevelType w:val="hybridMultilevel"/>
    <w:tmpl w:val="689A61F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166333"/>
    <w:multiLevelType w:val="hybridMultilevel"/>
    <w:tmpl w:val="689A61F4"/>
    <w:lvl w:ilvl="0" w:tplc="D6F85E9E">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974864228">
    <w:abstractNumId w:val="1"/>
  </w:num>
  <w:num w:numId="2" w16cid:durableId="94511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FF"/>
    <w:rsid w:val="00071049"/>
    <w:rsid w:val="000A4065"/>
    <w:rsid w:val="001747C2"/>
    <w:rsid w:val="00181909"/>
    <w:rsid w:val="001B478A"/>
    <w:rsid w:val="00210AE1"/>
    <w:rsid w:val="00292E62"/>
    <w:rsid w:val="002C7BD6"/>
    <w:rsid w:val="00317FF7"/>
    <w:rsid w:val="003214A8"/>
    <w:rsid w:val="00382C6D"/>
    <w:rsid w:val="003B7381"/>
    <w:rsid w:val="00417015"/>
    <w:rsid w:val="0049448B"/>
    <w:rsid w:val="00495F33"/>
    <w:rsid w:val="005734CD"/>
    <w:rsid w:val="006600F6"/>
    <w:rsid w:val="0069628F"/>
    <w:rsid w:val="006A7A30"/>
    <w:rsid w:val="00717488"/>
    <w:rsid w:val="007D2CD7"/>
    <w:rsid w:val="007D6B3A"/>
    <w:rsid w:val="008544C4"/>
    <w:rsid w:val="0087799E"/>
    <w:rsid w:val="00916CBB"/>
    <w:rsid w:val="00925A37"/>
    <w:rsid w:val="009537D6"/>
    <w:rsid w:val="00962832"/>
    <w:rsid w:val="009975D7"/>
    <w:rsid w:val="009C4CED"/>
    <w:rsid w:val="009F5DF8"/>
    <w:rsid w:val="00A1527F"/>
    <w:rsid w:val="00A742EE"/>
    <w:rsid w:val="00AE6F1E"/>
    <w:rsid w:val="00B40B8D"/>
    <w:rsid w:val="00B53CAB"/>
    <w:rsid w:val="00BD29E2"/>
    <w:rsid w:val="00C16355"/>
    <w:rsid w:val="00C24D40"/>
    <w:rsid w:val="00C441C6"/>
    <w:rsid w:val="00C72517"/>
    <w:rsid w:val="00C91410"/>
    <w:rsid w:val="00CD0A2E"/>
    <w:rsid w:val="00CE5F9C"/>
    <w:rsid w:val="00D22630"/>
    <w:rsid w:val="00DA3808"/>
    <w:rsid w:val="00DA6D9A"/>
    <w:rsid w:val="00E23008"/>
    <w:rsid w:val="00EA513C"/>
    <w:rsid w:val="00EA7F35"/>
    <w:rsid w:val="00ED6E05"/>
    <w:rsid w:val="00EE77BE"/>
    <w:rsid w:val="00F2255C"/>
    <w:rsid w:val="00F244C0"/>
    <w:rsid w:val="00F30BFF"/>
    <w:rsid w:val="00F672E1"/>
    <w:rsid w:val="00FD483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A7BF"/>
  <w15:chartTrackingRefBased/>
  <w15:docId w15:val="{C8EF8214-AF46-4357-AC6E-9B0711EE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B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B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B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B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B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B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B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B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BFF"/>
    <w:rPr>
      <w:rFonts w:eastAsiaTheme="majorEastAsia" w:cstheme="majorBidi"/>
      <w:color w:val="272727" w:themeColor="text1" w:themeTint="D8"/>
    </w:rPr>
  </w:style>
  <w:style w:type="paragraph" w:styleId="Title">
    <w:name w:val="Title"/>
    <w:basedOn w:val="Normal"/>
    <w:next w:val="Normal"/>
    <w:link w:val="TitleChar"/>
    <w:uiPriority w:val="10"/>
    <w:qFormat/>
    <w:rsid w:val="00F30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BFF"/>
    <w:pPr>
      <w:spacing w:before="160"/>
      <w:jc w:val="center"/>
    </w:pPr>
    <w:rPr>
      <w:i/>
      <w:iCs/>
      <w:color w:val="404040" w:themeColor="text1" w:themeTint="BF"/>
    </w:rPr>
  </w:style>
  <w:style w:type="character" w:customStyle="1" w:styleId="QuoteChar">
    <w:name w:val="Quote Char"/>
    <w:basedOn w:val="DefaultParagraphFont"/>
    <w:link w:val="Quote"/>
    <w:uiPriority w:val="29"/>
    <w:rsid w:val="00F30BFF"/>
    <w:rPr>
      <w:i/>
      <w:iCs/>
      <w:color w:val="404040" w:themeColor="text1" w:themeTint="BF"/>
    </w:rPr>
  </w:style>
  <w:style w:type="paragraph" w:styleId="ListParagraph">
    <w:name w:val="List Paragraph"/>
    <w:basedOn w:val="Normal"/>
    <w:uiPriority w:val="34"/>
    <w:qFormat/>
    <w:rsid w:val="00F30BFF"/>
    <w:pPr>
      <w:ind w:left="720"/>
      <w:contextualSpacing/>
    </w:pPr>
  </w:style>
  <w:style w:type="character" w:styleId="IntenseEmphasis">
    <w:name w:val="Intense Emphasis"/>
    <w:basedOn w:val="DefaultParagraphFont"/>
    <w:uiPriority w:val="21"/>
    <w:qFormat/>
    <w:rsid w:val="00F30BFF"/>
    <w:rPr>
      <w:i/>
      <w:iCs/>
      <w:color w:val="2F5496" w:themeColor="accent1" w:themeShade="BF"/>
    </w:rPr>
  </w:style>
  <w:style w:type="paragraph" w:styleId="IntenseQuote">
    <w:name w:val="Intense Quote"/>
    <w:basedOn w:val="Normal"/>
    <w:next w:val="Normal"/>
    <w:link w:val="IntenseQuoteChar"/>
    <w:uiPriority w:val="30"/>
    <w:qFormat/>
    <w:rsid w:val="00F30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BFF"/>
    <w:rPr>
      <w:i/>
      <w:iCs/>
      <w:color w:val="2F5496" w:themeColor="accent1" w:themeShade="BF"/>
    </w:rPr>
  </w:style>
  <w:style w:type="character" w:styleId="IntenseReference">
    <w:name w:val="Intense Reference"/>
    <w:basedOn w:val="DefaultParagraphFont"/>
    <w:uiPriority w:val="32"/>
    <w:qFormat/>
    <w:rsid w:val="00F30BFF"/>
    <w:rPr>
      <w:b/>
      <w:bCs/>
      <w:smallCaps/>
      <w:color w:val="2F5496" w:themeColor="accent1" w:themeShade="BF"/>
      <w:spacing w:val="5"/>
    </w:rPr>
  </w:style>
  <w:style w:type="paragraph" w:styleId="Header">
    <w:name w:val="header"/>
    <w:basedOn w:val="Normal"/>
    <w:link w:val="HeaderChar"/>
    <w:uiPriority w:val="99"/>
    <w:unhideWhenUsed/>
    <w:rsid w:val="00382C6D"/>
    <w:pPr>
      <w:tabs>
        <w:tab w:val="center" w:pos="4677"/>
        <w:tab w:val="right" w:pos="9355"/>
      </w:tabs>
      <w:spacing w:after="0" w:line="240" w:lineRule="auto"/>
    </w:pPr>
  </w:style>
  <w:style w:type="character" w:customStyle="1" w:styleId="HeaderChar">
    <w:name w:val="Header Char"/>
    <w:basedOn w:val="DefaultParagraphFont"/>
    <w:link w:val="Header"/>
    <w:uiPriority w:val="99"/>
    <w:rsid w:val="00382C6D"/>
  </w:style>
  <w:style w:type="paragraph" w:styleId="Footer">
    <w:name w:val="footer"/>
    <w:basedOn w:val="Normal"/>
    <w:link w:val="FooterChar"/>
    <w:uiPriority w:val="99"/>
    <w:unhideWhenUsed/>
    <w:rsid w:val="00382C6D"/>
    <w:pPr>
      <w:tabs>
        <w:tab w:val="center" w:pos="4677"/>
        <w:tab w:val="right" w:pos="9355"/>
      </w:tabs>
      <w:spacing w:after="0" w:line="240" w:lineRule="auto"/>
    </w:pPr>
  </w:style>
  <w:style w:type="character" w:customStyle="1" w:styleId="FooterChar">
    <w:name w:val="Footer Char"/>
    <w:basedOn w:val="DefaultParagraphFont"/>
    <w:link w:val="Footer"/>
    <w:uiPriority w:val="99"/>
    <w:rsid w:val="00382C6D"/>
  </w:style>
  <w:style w:type="paragraph" w:styleId="Revision">
    <w:name w:val="Revision"/>
    <w:hidden/>
    <w:uiPriority w:val="99"/>
    <w:semiHidden/>
    <w:rsid w:val="00181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Regional development</dc:creator>
  <cp:keywords/>
  <dc:description/>
  <cp:lastModifiedBy>Hailan2 Midr</cp:lastModifiedBy>
  <cp:revision>2</cp:revision>
  <dcterms:created xsi:type="dcterms:W3CDTF">2025-09-22T08:14:00Z</dcterms:created>
  <dcterms:modified xsi:type="dcterms:W3CDTF">2025-09-22T08:14:00Z</dcterms:modified>
</cp:coreProperties>
</file>