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67" w:rsidRPr="008F34CF" w:rsidRDefault="00EE6A67" w:rsidP="00EE6A67">
      <w:pPr>
        <w:spacing w:after="0"/>
        <w:jc w:val="center"/>
        <w:rPr>
          <w:rFonts w:ascii="Times New Roman" w:hAnsi="Times New Roman" w:cs="Times New Roman"/>
          <w:b/>
          <w:lang w:val="ro-MD"/>
        </w:rPr>
      </w:pPr>
      <w:bookmarkStart w:id="0" w:name="_GoBack"/>
      <w:bookmarkEnd w:id="0"/>
      <w:r w:rsidRPr="008F34CF">
        <w:rPr>
          <w:rFonts w:ascii="Times New Roman" w:hAnsi="Times New Roman" w:cs="Times New Roman"/>
          <w:b/>
          <w:lang w:val="ro-MD"/>
        </w:rPr>
        <w:t>Tabel comparativ</w:t>
      </w:r>
    </w:p>
    <w:p w:rsidR="0045359F" w:rsidRPr="008F34CF" w:rsidRDefault="0045359F" w:rsidP="0045359F">
      <w:pPr>
        <w:ind w:firstLine="567"/>
        <w:jc w:val="center"/>
        <w:rPr>
          <w:rFonts w:ascii="Times New Roman" w:hAnsi="Times New Roman" w:cs="Times New Roman"/>
          <w:b/>
          <w:lang w:val="ro-MD"/>
        </w:rPr>
      </w:pPr>
      <w:r w:rsidRPr="008F34CF">
        <w:rPr>
          <w:rFonts w:ascii="Times New Roman" w:hAnsi="Times New Roman" w:cs="Times New Roman"/>
          <w:b/>
          <w:lang w:val="ro-MD"/>
        </w:rPr>
        <w:t>Cu privire la modificarea Hotărârii Guvernului nr. 1469/2016 pentru aprobarea Regulamentului cu privire la crearea și funcționarea ghișeului unic de autorizare a lucrărilor de construcție</w:t>
      </w:r>
    </w:p>
    <w:p w:rsidR="000A19BC" w:rsidRPr="008F34CF" w:rsidRDefault="0045359F" w:rsidP="0045359F">
      <w:pPr>
        <w:spacing w:after="0" w:line="240" w:lineRule="auto"/>
        <w:jc w:val="center"/>
        <w:rPr>
          <w:rFonts w:ascii="Times New Roman" w:hAnsi="Times New Roman" w:cs="Times New Roman"/>
          <w:b/>
          <w:lang w:val="ro-MD"/>
        </w:rPr>
      </w:pPr>
      <w:r w:rsidRPr="008F34CF">
        <w:rPr>
          <w:rFonts w:ascii="Times New Roman" w:hAnsi="Times New Roman" w:cs="Times New Roman"/>
          <w:b/>
          <w:lang w:val="ro-MD"/>
        </w:rPr>
        <w:t xml:space="preserve"> </w:t>
      </w:r>
      <w:r w:rsidR="000A19BC" w:rsidRPr="008F34CF">
        <w:rPr>
          <w:rFonts w:ascii="Times New Roman" w:hAnsi="Times New Roman" w:cs="Times New Roman"/>
          <w:b/>
          <w:lang w:val="ro-MD"/>
        </w:rPr>
        <w:t>(ajustarea cadrului normativ urmare a adoptării</w:t>
      </w:r>
    </w:p>
    <w:p w:rsidR="000A19BC" w:rsidRPr="008F34CF" w:rsidRDefault="000A19BC" w:rsidP="000A19BC">
      <w:pPr>
        <w:spacing w:after="0" w:line="240" w:lineRule="auto"/>
        <w:jc w:val="center"/>
        <w:rPr>
          <w:rFonts w:ascii="Times New Roman" w:hAnsi="Times New Roman" w:cs="Times New Roman"/>
          <w:b/>
          <w:lang w:val="ro-MD"/>
        </w:rPr>
      </w:pPr>
      <w:r w:rsidRPr="008F34CF">
        <w:rPr>
          <w:rFonts w:ascii="Times New Roman" w:hAnsi="Times New Roman" w:cs="Times New Roman"/>
          <w:b/>
          <w:lang w:val="ro-MD"/>
        </w:rPr>
        <w:t>Codului urbanismului și construcțiilor nr. 434/2023)</w:t>
      </w:r>
    </w:p>
    <w:p w:rsidR="00A648E9" w:rsidRPr="008F34CF" w:rsidRDefault="00A648E9" w:rsidP="000A19BC">
      <w:pPr>
        <w:spacing w:after="0" w:line="240" w:lineRule="auto"/>
        <w:jc w:val="center"/>
        <w:rPr>
          <w:rFonts w:ascii="Times New Roman" w:hAnsi="Times New Roman" w:cs="Times New Roman"/>
          <w:b/>
          <w:lang w:val="ro-MD"/>
        </w:rPr>
      </w:pP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149"/>
        <w:gridCol w:w="3505"/>
        <w:gridCol w:w="4678"/>
      </w:tblGrid>
      <w:tr w:rsidR="00EE6A67" w:rsidRPr="008F34CF" w:rsidTr="009456D1">
        <w:tc>
          <w:tcPr>
            <w:tcW w:w="1413" w:type="dxa"/>
          </w:tcPr>
          <w:p w:rsidR="00EE6A67" w:rsidRPr="008F34CF" w:rsidRDefault="00E71F3C" w:rsidP="00AD7D4E">
            <w:pPr>
              <w:jc w:val="center"/>
              <w:rPr>
                <w:rFonts w:ascii="Times New Roman" w:hAnsi="Times New Roman" w:cs="Times New Roman"/>
                <w:b/>
                <w:lang w:val="ro-MD"/>
              </w:rPr>
            </w:pPr>
            <w:r w:rsidRPr="008F34CF">
              <w:rPr>
                <w:rFonts w:ascii="Times New Roman" w:hAnsi="Times New Roman" w:cs="Times New Roman"/>
                <w:b/>
                <w:lang w:val="ro-MD"/>
              </w:rPr>
              <w:t>Pct. din actul normativ existent</w:t>
            </w:r>
          </w:p>
        </w:tc>
        <w:tc>
          <w:tcPr>
            <w:tcW w:w="4149" w:type="dxa"/>
          </w:tcPr>
          <w:p w:rsidR="00EE6A67" w:rsidRPr="008F34CF" w:rsidRDefault="00EE6A67" w:rsidP="00AD7D4E">
            <w:pPr>
              <w:jc w:val="center"/>
              <w:rPr>
                <w:rFonts w:ascii="Times New Roman" w:hAnsi="Times New Roman" w:cs="Times New Roman"/>
                <w:b/>
                <w:lang w:val="ro-MD"/>
              </w:rPr>
            </w:pPr>
            <w:r w:rsidRPr="008F34CF">
              <w:rPr>
                <w:rFonts w:ascii="Times New Roman" w:hAnsi="Times New Roman" w:cs="Times New Roman"/>
                <w:b/>
                <w:lang w:val="ro-MD"/>
              </w:rPr>
              <w:t>Prevedere actuală</w:t>
            </w:r>
          </w:p>
        </w:tc>
        <w:tc>
          <w:tcPr>
            <w:tcW w:w="3505" w:type="dxa"/>
          </w:tcPr>
          <w:p w:rsidR="00EE6A67" w:rsidRPr="008F34CF" w:rsidRDefault="00EE6A67" w:rsidP="00AD7D4E">
            <w:pPr>
              <w:jc w:val="center"/>
              <w:rPr>
                <w:rFonts w:ascii="Times New Roman" w:hAnsi="Times New Roman" w:cs="Times New Roman"/>
                <w:b/>
                <w:lang w:val="ro-MD"/>
              </w:rPr>
            </w:pPr>
            <w:r w:rsidRPr="008F34CF">
              <w:rPr>
                <w:rFonts w:ascii="Times New Roman" w:hAnsi="Times New Roman" w:cs="Times New Roman"/>
                <w:b/>
                <w:lang w:val="ro-MD"/>
              </w:rPr>
              <w:t>Modificarea propusă</w:t>
            </w:r>
          </w:p>
        </w:tc>
        <w:tc>
          <w:tcPr>
            <w:tcW w:w="4678" w:type="dxa"/>
          </w:tcPr>
          <w:p w:rsidR="00EE6A67" w:rsidRPr="008F34CF" w:rsidRDefault="00EE6A67" w:rsidP="00AD7D4E">
            <w:pPr>
              <w:jc w:val="center"/>
              <w:rPr>
                <w:rFonts w:ascii="Times New Roman" w:hAnsi="Times New Roman" w:cs="Times New Roman"/>
                <w:b/>
                <w:lang w:val="ro-MD"/>
              </w:rPr>
            </w:pPr>
            <w:r w:rsidRPr="008F34CF">
              <w:rPr>
                <w:rFonts w:ascii="Times New Roman" w:hAnsi="Times New Roman" w:cs="Times New Roman"/>
                <w:b/>
                <w:lang w:val="ro-MD"/>
              </w:rPr>
              <w:t>Prevederea după modificare</w:t>
            </w:r>
          </w:p>
        </w:tc>
      </w:tr>
      <w:tr w:rsidR="00EE6A67" w:rsidRPr="008F34CF" w:rsidTr="009456D1">
        <w:tc>
          <w:tcPr>
            <w:tcW w:w="13745" w:type="dxa"/>
            <w:gridSpan w:val="4"/>
          </w:tcPr>
          <w:p w:rsidR="00EE6A67" w:rsidRPr="008F34CF" w:rsidRDefault="00EE6A67" w:rsidP="00AD7D4E">
            <w:pPr>
              <w:jc w:val="center"/>
              <w:rPr>
                <w:rFonts w:ascii="Times New Roman" w:hAnsi="Times New Roman" w:cs="Times New Roman"/>
                <w:lang w:val="ro-MD"/>
              </w:rPr>
            </w:pPr>
          </w:p>
        </w:tc>
      </w:tr>
      <w:tr w:rsidR="00223936" w:rsidRPr="008F34CF" w:rsidTr="0045359F">
        <w:trPr>
          <w:trHeight w:val="1131"/>
        </w:trPr>
        <w:tc>
          <w:tcPr>
            <w:tcW w:w="1413" w:type="dxa"/>
          </w:tcPr>
          <w:p w:rsidR="00223936" w:rsidRPr="008F34CF" w:rsidRDefault="00FF6395" w:rsidP="0045359F">
            <w:pPr>
              <w:rPr>
                <w:rFonts w:ascii="Times New Roman" w:hAnsi="Times New Roman" w:cs="Times New Roman"/>
                <w:lang w:val="ro-MD"/>
              </w:rPr>
            </w:pPr>
            <w:r w:rsidRPr="008F34CF">
              <w:rPr>
                <w:rFonts w:ascii="Times New Roman" w:hAnsi="Times New Roman" w:cs="Times New Roman"/>
                <w:lang w:val="ro-MD"/>
              </w:rPr>
              <w:t xml:space="preserve">H.G. </w:t>
            </w:r>
            <w:r w:rsidR="0045359F" w:rsidRPr="008F34CF">
              <w:rPr>
                <w:rFonts w:ascii="Times New Roman" w:hAnsi="Times New Roman" w:cs="Times New Roman"/>
                <w:lang w:val="ro-MD"/>
              </w:rPr>
              <w:t>1469/2016</w:t>
            </w:r>
          </w:p>
        </w:tc>
        <w:tc>
          <w:tcPr>
            <w:tcW w:w="4149" w:type="dxa"/>
          </w:tcPr>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Textul ,,în conformitate cu prevederile Legii nr. 163 din 9 iulie 2010 privind autorizarea executării lucrărilor de construcție (Monitorul Oficial al Republicii Moldova, 2010, nr.155-158, art. 549)”.</w:t>
            </w:r>
          </w:p>
          <w:p w:rsidR="00223936" w:rsidRPr="008F34CF" w:rsidRDefault="00223936" w:rsidP="00FF6395">
            <w:pPr>
              <w:jc w:val="both"/>
              <w:rPr>
                <w:rFonts w:ascii="Times New Roman" w:hAnsi="Times New Roman" w:cs="Times New Roman"/>
                <w:lang w:val="ro-MD"/>
              </w:rPr>
            </w:pPr>
          </w:p>
        </w:tc>
        <w:tc>
          <w:tcPr>
            <w:tcW w:w="3505" w:type="dxa"/>
          </w:tcPr>
          <w:p w:rsidR="00223936" w:rsidRPr="008F34CF" w:rsidRDefault="0045359F" w:rsidP="009803DD">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223936" w:rsidRPr="008F34CF" w:rsidRDefault="0045359F" w:rsidP="00FF6395">
            <w:pPr>
              <w:jc w:val="both"/>
              <w:rPr>
                <w:rFonts w:ascii="Times New Roman" w:hAnsi="Times New Roman" w:cs="Times New Roman"/>
                <w:lang w:val="ro-MD"/>
              </w:rPr>
            </w:pPr>
            <w:r w:rsidRPr="008F34CF">
              <w:rPr>
                <w:rFonts w:ascii="Times New Roman" w:hAnsi="Times New Roman" w:cs="Times New Roman"/>
                <w:lang w:val="ro-MD"/>
              </w:rPr>
              <w:t>cu textul: ,,în conformitate cu  prevederile Codului urbanismului și construcțiilor nr. 434/2023 (Monitorul Oficial al Republicii Moldova, 2024, nr.41-44, art. 61)</w:t>
            </w:r>
            <w:r w:rsidR="008F34CF">
              <w:rPr>
                <w:rFonts w:ascii="Times New Roman" w:hAnsi="Times New Roman" w:cs="Times New Roman"/>
                <w:lang w:val="ro-MD"/>
              </w:rPr>
              <w:t>”.</w:t>
            </w:r>
          </w:p>
        </w:tc>
      </w:tr>
      <w:tr w:rsidR="00C47383" w:rsidRPr="008F34CF" w:rsidTr="009456D1">
        <w:tc>
          <w:tcPr>
            <w:tcW w:w="1413" w:type="dxa"/>
          </w:tcPr>
          <w:p w:rsidR="00C47383" w:rsidRPr="008F34CF" w:rsidRDefault="0045359F" w:rsidP="00775052">
            <w:pPr>
              <w:rPr>
                <w:rFonts w:ascii="Times New Roman" w:hAnsi="Times New Roman" w:cs="Times New Roman"/>
                <w:lang w:val="ro-MD"/>
              </w:rPr>
            </w:pPr>
            <w:r w:rsidRPr="008F34CF">
              <w:rPr>
                <w:rFonts w:ascii="Times New Roman" w:hAnsi="Times New Roman" w:cs="Times New Roman"/>
                <w:lang w:val="ro-MD"/>
              </w:rPr>
              <w:t>H.G. 1469/2016</w:t>
            </w:r>
          </w:p>
        </w:tc>
        <w:tc>
          <w:tcPr>
            <w:tcW w:w="4149" w:type="dxa"/>
          </w:tcPr>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 xml:space="preserve">textul „în termen de </w:t>
            </w:r>
            <w:proofErr w:type="spellStart"/>
            <w:r w:rsidRPr="008F34CF">
              <w:rPr>
                <w:rFonts w:ascii="Times New Roman" w:hAnsi="Times New Roman" w:cs="Times New Roman"/>
                <w:lang w:val="ro-MD"/>
              </w:rPr>
              <w:t>pînă</w:t>
            </w:r>
            <w:proofErr w:type="spellEnd"/>
            <w:r w:rsidRPr="008F34CF">
              <w:rPr>
                <w:rFonts w:ascii="Times New Roman" w:hAnsi="Times New Roman" w:cs="Times New Roman"/>
                <w:lang w:val="ro-MD"/>
              </w:rPr>
              <w:t xml:space="preserve"> la 31 decembrie 2017” </w:t>
            </w:r>
            <w:r w:rsidR="008F34CF">
              <w:rPr>
                <w:rFonts w:ascii="Times New Roman" w:hAnsi="Times New Roman" w:cs="Times New Roman"/>
                <w:lang w:val="ro-MD"/>
              </w:rPr>
              <w:t>.</w:t>
            </w:r>
            <w:r w:rsidRPr="008F34CF">
              <w:rPr>
                <w:rFonts w:ascii="Times New Roman" w:hAnsi="Times New Roman" w:cs="Times New Roman"/>
                <w:lang w:val="ro-MD"/>
              </w:rPr>
              <w:t xml:space="preserve"> </w:t>
            </w:r>
          </w:p>
          <w:p w:rsidR="0045359F" w:rsidRPr="008F34CF" w:rsidRDefault="0045359F" w:rsidP="0045359F">
            <w:pPr>
              <w:ind w:firstLine="567"/>
              <w:jc w:val="both"/>
              <w:rPr>
                <w:rFonts w:ascii="Times New Roman" w:hAnsi="Times New Roman" w:cs="Times New Roman"/>
                <w:lang w:val="ro-MD"/>
              </w:rPr>
            </w:pPr>
          </w:p>
          <w:p w:rsidR="0045359F" w:rsidRPr="008F34CF" w:rsidRDefault="0045359F" w:rsidP="0045359F">
            <w:pPr>
              <w:jc w:val="both"/>
              <w:rPr>
                <w:rFonts w:ascii="Times New Roman" w:hAnsi="Times New Roman" w:cs="Times New Roman"/>
                <w:lang w:val="ro-MD"/>
              </w:rPr>
            </w:pPr>
          </w:p>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textul „conform programului de conectare prevăzut în anexa nr. 3 la prezenta hotărâre”</w:t>
            </w:r>
            <w:r w:rsidR="008F34CF">
              <w:rPr>
                <w:rFonts w:ascii="Times New Roman" w:hAnsi="Times New Roman" w:cs="Times New Roman"/>
                <w:lang w:val="ro-MD"/>
              </w:rPr>
              <w:t>.</w:t>
            </w:r>
            <w:r w:rsidRPr="008F34CF">
              <w:rPr>
                <w:rFonts w:ascii="Times New Roman" w:hAnsi="Times New Roman" w:cs="Times New Roman"/>
                <w:lang w:val="ro-MD"/>
              </w:rPr>
              <w:t xml:space="preserve"> </w:t>
            </w:r>
          </w:p>
          <w:p w:rsidR="0045359F" w:rsidRPr="008F34CF" w:rsidRDefault="0045359F" w:rsidP="0045359F">
            <w:pPr>
              <w:ind w:firstLine="567"/>
              <w:jc w:val="both"/>
              <w:rPr>
                <w:rFonts w:ascii="Times New Roman" w:hAnsi="Times New Roman" w:cs="Times New Roman"/>
                <w:lang w:val="ro-MD"/>
              </w:rPr>
            </w:pPr>
          </w:p>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textul „</w:t>
            </w:r>
            <w:r w:rsidRPr="008F34CF">
              <w:rPr>
                <w:rFonts w:ascii="Times New Roman" w:hAnsi="Times New Roman" w:cs="Times New Roman"/>
                <w:shd w:val="clear" w:color="auto" w:fill="FFFFFF"/>
                <w:lang w:val="ro-MD"/>
              </w:rPr>
              <w:t xml:space="preserve">Ministerul Economiei și Infrastructurii este obligat să asigure introducerea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actualizarea datelor privind </w:t>
            </w:r>
            <w:proofErr w:type="spellStart"/>
            <w:r w:rsidRPr="008F34CF">
              <w:rPr>
                <w:rFonts w:ascii="Times New Roman" w:hAnsi="Times New Roman" w:cs="Times New Roman"/>
                <w:shd w:val="clear" w:color="auto" w:fill="FFFFFF"/>
                <w:lang w:val="ro-MD"/>
              </w:rPr>
              <w:t>experţii</w:t>
            </w:r>
            <w:proofErr w:type="spellEnd"/>
            <w:r w:rsidRPr="008F34CF">
              <w:rPr>
                <w:rFonts w:ascii="Times New Roman" w:hAnsi="Times New Roman" w:cs="Times New Roman"/>
                <w:shd w:val="clear" w:color="auto" w:fill="FFFFFF"/>
                <w:lang w:val="ro-MD"/>
              </w:rPr>
              <w:t xml:space="preserve"> tehnici </w:t>
            </w:r>
            <w:proofErr w:type="spellStart"/>
            <w:r w:rsidRPr="008F34CF">
              <w:rPr>
                <w:rFonts w:ascii="Times New Roman" w:hAnsi="Times New Roman" w:cs="Times New Roman"/>
                <w:shd w:val="clear" w:color="auto" w:fill="FFFFFF"/>
                <w:lang w:val="ro-MD"/>
              </w:rPr>
              <w:t>autorizaţi</w:t>
            </w:r>
            <w:proofErr w:type="spellEnd"/>
            <w:r w:rsidRPr="008F34CF">
              <w:rPr>
                <w:rFonts w:ascii="Times New Roman" w:hAnsi="Times New Roman" w:cs="Times New Roman"/>
                <w:shd w:val="clear" w:color="auto" w:fill="FFFFFF"/>
                <w:lang w:val="ro-MD"/>
              </w:rPr>
              <w:t xml:space="preserv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verificatorii de proiecte </w:t>
            </w:r>
            <w:proofErr w:type="spellStart"/>
            <w:r w:rsidRPr="008F34CF">
              <w:rPr>
                <w:rFonts w:ascii="Times New Roman" w:hAnsi="Times New Roman" w:cs="Times New Roman"/>
                <w:shd w:val="clear" w:color="auto" w:fill="FFFFFF"/>
                <w:lang w:val="ro-MD"/>
              </w:rPr>
              <w:t>atestaţi</w:t>
            </w:r>
            <w:proofErr w:type="spellEnd"/>
            <w:r w:rsidRPr="008F34CF">
              <w:rPr>
                <w:rFonts w:ascii="Times New Roman" w:hAnsi="Times New Roman" w:cs="Times New Roman"/>
                <w:shd w:val="clear" w:color="auto" w:fill="FFFFFF"/>
                <w:lang w:val="ro-MD"/>
              </w:rPr>
              <w:t xml:space="preserve"> din cadrul </w:t>
            </w:r>
            <w:proofErr w:type="spellStart"/>
            <w:r w:rsidRPr="008F34CF">
              <w:rPr>
                <w:rFonts w:ascii="Times New Roman" w:hAnsi="Times New Roman" w:cs="Times New Roman"/>
                <w:shd w:val="clear" w:color="auto" w:fill="FFFFFF"/>
                <w:lang w:val="ro-MD"/>
              </w:rPr>
              <w:t>instituţiilor</w:t>
            </w:r>
            <w:proofErr w:type="spellEnd"/>
            <w:r w:rsidRPr="008F34CF">
              <w:rPr>
                <w:rFonts w:ascii="Times New Roman" w:hAnsi="Times New Roman" w:cs="Times New Roman"/>
                <w:shd w:val="clear" w:color="auto" w:fill="FFFFFF"/>
                <w:lang w:val="ro-MD"/>
              </w:rPr>
              <w:t xml:space="preserve"> autoriza</w:t>
            </w:r>
            <w:r w:rsidR="00B40AE6" w:rsidRPr="008F34CF">
              <w:rPr>
                <w:rFonts w:ascii="Times New Roman" w:hAnsi="Times New Roman" w:cs="Times New Roman"/>
                <w:shd w:val="clear" w:color="auto" w:fill="FFFFFF"/>
                <w:lang w:val="ro-MD"/>
              </w:rPr>
              <w:t>te în verificarea proiectelor ”.</w:t>
            </w:r>
          </w:p>
          <w:p w:rsidR="00C47383" w:rsidRPr="008F34CF" w:rsidRDefault="00C47383" w:rsidP="00A05E90">
            <w:pPr>
              <w:jc w:val="both"/>
              <w:rPr>
                <w:rFonts w:ascii="Times New Roman" w:hAnsi="Times New Roman" w:cs="Times New Roman"/>
                <w:lang w:val="ro-MD"/>
              </w:rPr>
            </w:pPr>
          </w:p>
        </w:tc>
        <w:tc>
          <w:tcPr>
            <w:tcW w:w="3505" w:type="dxa"/>
          </w:tcPr>
          <w:p w:rsidR="00C47383" w:rsidRPr="008F34CF" w:rsidRDefault="0045359F" w:rsidP="006355E5">
            <w:pPr>
              <w:jc w:val="both"/>
              <w:rPr>
                <w:rFonts w:ascii="Times New Roman" w:hAnsi="Times New Roman" w:cs="Times New Roman"/>
                <w:lang w:val="ro-MD"/>
              </w:rPr>
            </w:pPr>
            <w:r w:rsidRPr="008F34CF">
              <w:rPr>
                <w:rFonts w:ascii="Times New Roman" w:hAnsi="Times New Roman" w:cs="Times New Roman"/>
                <w:lang w:val="ro-MD"/>
              </w:rPr>
              <w:t>Temei art. 388 alin. (6) din  Codul urbanismului și construcțiilor nr. 434/2023.</w:t>
            </w:r>
          </w:p>
          <w:p w:rsidR="0045359F" w:rsidRPr="008F34CF" w:rsidRDefault="0045359F" w:rsidP="006355E5">
            <w:pPr>
              <w:jc w:val="both"/>
              <w:rPr>
                <w:rFonts w:ascii="Times New Roman" w:hAnsi="Times New Roman" w:cs="Times New Roman"/>
                <w:lang w:val="ro-MD"/>
              </w:rPr>
            </w:pPr>
          </w:p>
          <w:p w:rsidR="0045359F" w:rsidRPr="008F34CF" w:rsidRDefault="0045359F" w:rsidP="006355E5">
            <w:pPr>
              <w:jc w:val="both"/>
              <w:rPr>
                <w:rFonts w:ascii="Times New Roman" w:hAnsi="Times New Roman" w:cs="Times New Roman"/>
                <w:lang w:val="ro-MD"/>
              </w:rPr>
            </w:pPr>
          </w:p>
          <w:p w:rsidR="0045359F" w:rsidRPr="008F34CF" w:rsidRDefault="0045359F" w:rsidP="006355E5">
            <w:pPr>
              <w:jc w:val="both"/>
              <w:rPr>
                <w:rFonts w:ascii="Times New Roman" w:hAnsi="Times New Roman" w:cs="Times New Roman"/>
                <w:lang w:val="ro-MD"/>
              </w:rPr>
            </w:pPr>
          </w:p>
          <w:p w:rsidR="0045359F" w:rsidRPr="008F34CF" w:rsidRDefault="0045359F" w:rsidP="006355E5">
            <w:pPr>
              <w:jc w:val="both"/>
              <w:rPr>
                <w:rFonts w:ascii="Times New Roman" w:hAnsi="Times New Roman" w:cs="Times New Roman"/>
                <w:lang w:val="ro-MD"/>
              </w:rPr>
            </w:pPr>
          </w:p>
          <w:p w:rsidR="00B40AE6" w:rsidRPr="008F34CF" w:rsidRDefault="0045359F" w:rsidP="00B40AE6">
            <w:pPr>
              <w:pStyle w:val="Heading4"/>
              <w:shd w:val="clear" w:color="auto" w:fill="FFFFFF"/>
              <w:spacing w:before="165" w:beforeAutospacing="0" w:after="165" w:afterAutospacing="0"/>
              <w:jc w:val="both"/>
              <w:outlineLvl w:val="3"/>
              <w:rPr>
                <w:bCs w:val="0"/>
                <w:color w:val="333333"/>
                <w:sz w:val="22"/>
                <w:szCs w:val="22"/>
                <w:lang w:val="ro-MD"/>
              </w:rPr>
            </w:pPr>
            <w:r w:rsidRPr="008F34CF">
              <w:rPr>
                <w:b w:val="0"/>
                <w:sz w:val="22"/>
                <w:szCs w:val="22"/>
                <w:lang w:val="ro-MD"/>
              </w:rPr>
              <w:t xml:space="preserve">Temei </w:t>
            </w:r>
            <w:r w:rsidR="00B40AE6" w:rsidRPr="008F34CF">
              <w:rPr>
                <w:b w:val="0"/>
                <w:sz w:val="22"/>
                <w:szCs w:val="22"/>
                <w:lang w:val="ro-MD"/>
              </w:rPr>
              <w:t>Hotărârea</w:t>
            </w:r>
            <w:r w:rsidRPr="008F34CF">
              <w:rPr>
                <w:b w:val="0"/>
                <w:sz w:val="22"/>
                <w:szCs w:val="22"/>
                <w:lang w:val="ro-MD"/>
              </w:rPr>
              <w:t xml:space="preserve"> Guvernului nr. </w:t>
            </w:r>
            <w:r w:rsidR="00B40AE6" w:rsidRPr="008F34CF">
              <w:rPr>
                <w:b w:val="0"/>
                <w:sz w:val="22"/>
                <w:szCs w:val="22"/>
                <w:lang w:val="ro-MD"/>
              </w:rPr>
              <w:t xml:space="preserve">633/2023 </w:t>
            </w:r>
            <w:r w:rsidR="00B40AE6" w:rsidRPr="008F34CF">
              <w:rPr>
                <w:b w:val="0"/>
                <w:bCs w:val="0"/>
                <w:color w:val="333333"/>
                <w:sz w:val="22"/>
                <w:szCs w:val="22"/>
                <w:lang w:val="ro-MD"/>
              </w:rPr>
              <w:t xml:space="preserve"> </w:t>
            </w:r>
            <w:r w:rsidR="00B40AE6" w:rsidRPr="008F34CF">
              <w:rPr>
                <w:rStyle w:val="Strong"/>
                <w:bCs/>
                <w:color w:val="333333"/>
                <w:sz w:val="22"/>
                <w:szCs w:val="22"/>
                <w:lang w:val="ro-MD"/>
              </w:rPr>
              <w:t>cu privire la organizarea și funcționarea Instituției Publice Oficiul Amenajarea Teritoriului, Urbanism, Construcții și Locuințe</w:t>
            </w:r>
            <w:r w:rsidR="008F34CF">
              <w:rPr>
                <w:rStyle w:val="Strong"/>
                <w:bCs/>
                <w:color w:val="333333"/>
                <w:sz w:val="22"/>
                <w:szCs w:val="22"/>
                <w:lang w:val="ro-MD"/>
              </w:rPr>
              <w:t>.</w:t>
            </w:r>
          </w:p>
          <w:p w:rsidR="0045359F" w:rsidRPr="008F34CF" w:rsidRDefault="0045359F" w:rsidP="006355E5">
            <w:pPr>
              <w:jc w:val="both"/>
              <w:rPr>
                <w:rFonts w:ascii="Times New Roman" w:hAnsi="Times New Roman" w:cs="Times New Roman"/>
              </w:rPr>
            </w:pPr>
          </w:p>
        </w:tc>
        <w:tc>
          <w:tcPr>
            <w:tcW w:w="4678" w:type="dxa"/>
          </w:tcPr>
          <w:p w:rsidR="0045359F" w:rsidRPr="008F34CF" w:rsidRDefault="0045359F" w:rsidP="00A05E90">
            <w:pPr>
              <w:jc w:val="both"/>
              <w:rPr>
                <w:rFonts w:ascii="Times New Roman" w:hAnsi="Times New Roman" w:cs="Times New Roman"/>
                <w:lang w:val="ro-MD"/>
              </w:rPr>
            </w:pPr>
            <w:r w:rsidRPr="008F34CF">
              <w:rPr>
                <w:rFonts w:ascii="Times New Roman" w:hAnsi="Times New Roman" w:cs="Times New Roman"/>
                <w:lang w:val="ro-MD"/>
              </w:rPr>
              <w:t xml:space="preserve">cu textul „în termen de </w:t>
            </w:r>
            <w:proofErr w:type="spellStart"/>
            <w:r w:rsidRPr="008F34CF">
              <w:rPr>
                <w:rFonts w:ascii="Times New Roman" w:hAnsi="Times New Roman" w:cs="Times New Roman"/>
                <w:lang w:val="ro-MD"/>
              </w:rPr>
              <w:t>pînă</w:t>
            </w:r>
            <w:proofErr w:type="spellEnd"/>
            <w:r w:rsidRPr="008F34CF">
              <w:rPr>
                <w:rFonts w:ascii="Times New Roman" w:hAnsi="Times New Roman" w:cs="Times New Roman"/>
                <w:lang w:val="ro-MD"/>
              </w:rPr>
              <w:t xml:space="preserve"> la 1 ianuarie 2027”: </w:t>
            </w:r>
          </w:p>
          <w:p w:rsidR="0045359F" w:rsidRPr="008F34CF" w:rsidRDefault="0045359F" w:rsidP="00A05E90">
            <w:pPr>
              <w:jc w:val="both"/>
              <w:rPr>
                <w:rFonts w:ascii="Times New Roman" w:hAnsi="Times New Roman" w:cs="Times New Roman"/>
                <w:lang w:val="ro-MD"/>
              </w:rPr>
            </w:pPr>
          </w:p>
          <w:p w:rsidR="0045359F" w:rsidRPr="008F34CF" w:rsidRDefault="0045359F" w:rsidP="00A05E90">
            <w:pPr>
              <w:jc w:val="both"/>
              <w:rPr>
                <w:rFonts w:ascii="Times New Roman" w:hAnsi="Times New Roman" w:cs="Times New Roman"/>
                <w:lang w:val="ro-MD"/>
              </w:rPr>
            </w:pPr>
          </w:p>
          <w:p w:rsidR="0045359F" w:rsidRPr="008F34CF" w:rsidRDefault="0045359F" w:rsidP="00A05E90">
            <w:pPr>
              <w:jc w:val="both"/>
              <w:rPr>
                <w:rFonts w:ascii="Times New Roman" w:hAnsi="Times New Roman" w:cs="Times New Roman"/>
                <w:lang w:val="ro-MD"/>
              </w:rPr>
            </w:pPr>
          </w:p>
          <w:p w:rsidR="0045359F" w:rsidRPr="008F34CF" w:rsidRDefault="0045359F" w:rsidP="00A05E90">
            <w:pPr>
              <w:jc w:val="both"/>
              <w:rPr>
                <w:rFonts w:ascii="Times New Roman" w:hAnsi="Times New Roman" w:cs="Times New Roman"/>
                <w:shd w:val="clear" w:color="auto" w:fill="FFFFFF"/>
                <w:lang w:val="ro-MD"/>
              </w:rPr>
            </w:pPr>
            <w:r w:rsidRPr="008F34CF">
              <w:rPr>
                <w:rFonts w:ascii="Times New Roman" w:hAnsi="Times New Roman" w:cs="Times New Roman"/>
                <w:lang w:val="ro-MD"/>
              </w:rPr>
              <w:t>se abrogă.</w:t>
            </w:r>
            <w:r w:rsidRPr="008F34CF">
              <w:rPr>
                <w:rFonts w:ascii="Times New Roman" w:hAnsi="Times New Roman" w:cs="Times New Roman"/>
                <w:shd w:val="clear" w:color="auto" w:fill="FFFFFF"/>
                <w:lang w:val="ro-MD"/>
              </w:rPr>
              <w:t xml:space="preserve"> </w:t>
            </w:r>
          </w:p>
          <w:p w:rsidR="0045359F" w:rsidRPr="008F34CF" w:rsidRDefault="0045359F" w:rsidP="00A05E90">
            <w:pPr>
              <w:jc w:val="both"/>
              <w:rPr>
                <w:rFonts w:ascii="Times New Roman" w:hAnsi="Times New Roman" w:cs="Times New Roman"/>
                <w:shd w:val="clear" w:color="auto" w:fill="FFFFFF"/>
                <w:lang w:val="ro-MD"/>
              </w:rPr>
            </w:pPr>
          </w:p>
          <w:p w:rsidR="0045359F" w:rsidRPr="008F34CF" w:rsidRDefault="0045359F" w:rsidP="00A05E90">
            <w:pPr>
              <w:jc w:val="both"/>
              <w:rPr>
                <w:rFonts w:ascii="Times New Roman" w:hAnsi="Times New Roman" w:cs="Times New Roman"/>
                <w:shd w:val="clear" w:color="auto" w:fill="FFFFFF"/>
                <w:lang w:val="ro-MD"/>
              </w:rPr>
            </w:pPr>
          </w:p>
          <w:p w:rsidR="00C47383" w:rsidRPr="008F34CF" w:rsidRDefault="0045359F" w:rsidP="00A05E90">
            <w:pPr>
              <w:jc w:val="both"/>
              <w:rPr>
                <w:rFonts w:ascii="Times New Roman" w:hAnsi="Times New Roman" w:cs="Times New Roman"/>
                <w:lang w:val="ro-MD"/>
              </w:rPr>
            </w:pPr>
            <w:r w:rsidRPr="008F34CF">
              <w:rPr>
                <w:rFonts w:ascii="Times New Roman" w:hAnsi="Times New Roman" w:cs="Times New Roman"/>
                <w:shd w:val="clear" w:color="auto" w:fill="FFFFFF"/>
                <w:lang w:val="ro-MD"/>
              </w:rPr>
              <w:t xml:space="preserve">cu textul „I.P. Oficiul Amenajarea Teritoriului, Urbanism, Construcții și Locuințe este obligat să asigure introducerea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actualizarea datelor privind specialiștii atestați din domeniul construcțiilor”</w:t>
            </w:r>
            <w:r w:rsidRPr="008F34CF">
              <w:rPr>
                <w:rFonts w:ascii="Times New Roman" w:hAnsi="Times New Roman" w:cs="Times New Roman"/>
                <w:lang w:val="ro-MD"/>
              </w:rPr>
              <w:t>.</w:t>
            </w:r>
          </w:p>
        </w:tc>
      </w:tr>
      <w:tr w:rsidR="00751A4E" w:rsidRPr="008F34CF" w:rsidTr="009456D1">
        <w:tc>
          <w:tcPr>
            <w:tcW w:w="1413" w:type="dxa"/>
          </w:tcPr>
          <w:p w:rsidR="00751A4E" w:rsidRPr="008F34CF" w:rsidRDefault="0045359F" w:rsidP="00775052">
            <w:pPr>
              <w:rPr>
                <w:rFonts w:ascii="Times New Roman" w:hAnsi="Times New Roman" w:cs="Times New Roman"/>
                <w:lang w:val="ro-MD"/>
              </w:rPr>
            </w:pPr>
            <w:r w:rsidRPr="008F34CF">
              <w:rPr>
                <w:rFonts w:ascii="Times New Roman" w:hAnsi="Times New Roman" w:cs="Times New Roman"/>
                <w:lang w:val="ro-MD"/>
              </w:rPr>
              <w:t>H.G. 1469/2016</w:t>
            </w:r>
          </w:p>
          <w:p w:rsidR="00B40AE6" w:rsidRPr="008F34CF" w:rsidRDefault="00B40AE6" w:rsidP="00775052">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B40AE6" w:rsidRPr="008F34CF" w:rsidRDefault="00B40AE6" w:rsidP="00B40AE6">
            <w:pPr>
              <w:jc w:val="both"/>
              <w:rPr>
                <w:rFonts w:ascii="Times New Roman" w:hAnsi="Times New Roman" w:cs="Times New Roman"/>
                <w:lang w:val="ro-MD"/>
              </w:rPr>
            </w:pPr>
            <w:r w:rsidRPr="008F34CF">
              <w:rPr>
                <w:rFonts w:ascii="Times New Roman" w:hAnsi="Times New Roman" w:cs="Times New Roman"/>
                <w:lang w:val="ro-MD"/>
              </w:rPr>
              <w:t>textul „L</w:t>
            </w:r>
            <w:r w:rsidR="008F34CF">
              <w:rPr>
                <w:rFonts w:ascii="Times New Roman" w:hAnsi="Times New Roman" w:cs="Times New Roman"/>
                <w:lang w:val="ro-MD"/>
              </w:rPr>
              <w:t>egea nr. 161 din 22 iulie 2011”.</w:t>
            </w:r>
          </w:p>
          <w:p w:rsidR="00B40AE6" w:rsidRPr="008F34CF" w:rsidRDefault="00B40AE6" w:rsidP="00B40AE6">
            <w:pPr>
              <w:ind w:firstLine="567"/>
              <w:jc w:val="both"/>
              <w:rPr>
                <w:rFonts w:ascii="Times New Roman" w:hAnsi="Times New Roman" w:cs="Times New Roman"/>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jc w:val="both"/>
              <w:rPr>
                <w:rStyle w:val="Strong"/>
                <w:rFonts w:ascii="Times New Roman" w:hAnsi="Times New Roman" w:cs="Times New Roman"/>
                <w:b w:val="0"/>
                <w:bCs w:val="0"/>
                <w:lang w:val="ro-MD"/>
              </w:rPr>
            </w:pPr>
            <w:r w:rsidRPr="008F34CF">
              <w:rPr>
                <w:rFonts w:ascii="Times New Roman" w:hAnsi="Times New Roman" w:cs="Times New Roman"/>
                <w:lang w:val="ro-MD"/>
              </w:rPr>
              <w:t xml:space="preserve">textul „Hotărârea Guvernului  nr. 753 din 14 iunie 2016 </w:t>
            </w:r>
            <w:r w:rsidRPr="008F34CF">
              <w:rPr>
                <w:rFonts w:ascii="Times New Roman" w:hAnsi="Times New Roman" w:cs="Times New Roman"/>
                <w:shd w:val="clear" w:color="auto" w:fill="FFFFFF"/>
                <w:lang w:val="ro-MD"/>
              </w:rPr>
              <w:t xml:space="preserve">„Pentru aprobarea Conceptului </w:t>
            </w:r>
            <w:r w:rsidRPr="008F34CF">
              <w:rPr>
                <w:rFonts w:ascii="Times New Roman" w:hAnsi="Times New Roman" w:cs="Times New Roman"/>
                <w:shd w:val="clear" w:color="auto" w:fill="FFFFFF"/>
                <w:lang w:val="ro-MD"/>
              </w:rPr>
              <w:lastRenderedPageBreak/>
              <w:t xml:space="preserve">mecanismului de gestionare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eliberare a actelor permisive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a Planului de </w:t>
            </w:r>
            <w:proofErr w:type="spellStart"/>
            <w:r w:rsidRPr="008F34CF">
              <w:rPr>
                <w:rFonts w:ascii="Times New Roman" w:hAnsi="Times New Roman" w:cs="Times New Roman"/>
                <w:shd w:val="clear" w:color="auto" w:fill="FFFFFF"/>
                <w:lang w:val="ro-MD"/>
              </w:rPr>
              <w:t>acţiuni</w:t>
            </w:r>
            <w:proofErr w:type="spellEnd"/>
            <w:r w:rsidRPr="008F34CF">
              <w:rPr>
                <w:rFonts w:ascii="Times New Roman" w:hAnsi="Times New Roman" w:cs="Times New Roman"/>
                <w:shd w:val="clear" w:color="auto" w:fill="FFFFFF"/>
                <w:lang w:val="ro-MD"/>
              </w:rPr>
              <w:t xml:space="preserve"> privind optimizarea actelor permisive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implementarea soluțiilor de </w:t>
            </w:r>
            <w:proofErr w:type="spellStart"/>
            <w:r w:rsidRPr="008F34CF">
              <w:rPr>
                <w:rFonts w:ascii="Times New Roman" w:hAnsi="Times New Roman" w:cs="Times New Roman"/>
                <w:shd w:val="clear" w:color="auto" w:fill="FFFFFF"/>
                <w:lang w:val="ro-MD"/>
              </w:rPr>
              <w:t>ghişeu</w:t>
            </w:r>
            <w:proofErr w:type="spellEnd"/>
            <w:r w:rsidRPr="008F34CF">
              <w:rPr>
                <w:rFonts w:ascii="Times New Roman" w:hAnsi="Times New Roman" w:cs="Times New Roman"/>
                <w:shd w:val="clear" w:color="auto" w:fill="FFFFFF"/>
                <w:lang w:val="ro-MD"/>
              </w:rPr>
              <w:t xml:space="preserve"> unic”</w:t>
            </w:r>
            <w:r w:rsidR="00DB2255" w:rsidRPr="008F34CF">
              <w:rPr>
                <w:rFonts w:ascii="Times New Roman" w:hAnsi="Times New Roman" w:cs="Times New Roman"/>
                <w:shd w:val="clear" w:color="auto" w:fill="FFFFFF"/>
                <w:lang w:val="ro-MD"/>
              </w:rPr>
              <w:t>.</w:t>
            </w:r>
            <w:r w:rsidRPr="008F34CF">
              <w:rPr>
                <w:rFonts w:ascii="Times New Roman" w:hAnsi="Times New Roman" w:cs="Times New Roman"/>
                <w:lang w:val="ro-MD"/>
              </w:rPr>
              <w:t xml:space="preserve"> </w:t>
            </w: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jc w:val="both"/>
              <w:rPr>
                <w:rFonts w:ascii="Times New Roman" w:hAnsi="Times New Roman" w:cs="Times New Roman"/>
                <w:lang w:val="ro-MD"/>
              </w:rPr>
            </w:pPr>
            <w:r w:rsidRPr="008F34CF">
              <w:rPr>
                <w:rFonts w:ascii="Times New Roman" w:hAnsi="Times New Roman" w:cs="Times New Roman"/>
                <w:lang w:val="ro-MD"/>
              </w:rPr>
              <w:t>textul „Legea nr. 218 din 17 septembrie 2010”.</w:t>
            </w:r>
          </w:p>
          <w:p w:rsidR="00751A4E" w:rsidRPr="008F34CF" w:rsidRDefault="00751A4E" w:rsidP="00A05E90">
            <w:pPr>
              <w:jc w:val="both"/>
              <w:rPr>
                <w:rFonts w:ascii="Times New Roman" w:hAnsi="Times New Roman" w:cs="Times New Roman"/>
                <w:lang w:val="ro-MD"/>
              </w:rPr>
            </w:pPr>
          </w:p>
        </w:tc>
        <w:tc>
          <w:tcPr>
            <w:tcW w:w="3505" w:type="dxa"/>
          </w:tcPr>
          <w:p w:rsidR="00751A4E" w:rsidRPr="008F34CF" w:rsidRDefault="00B40AE6" w:rsidP="006355E5">
            <w:pPr>
              <w:jc w:val="both"/>
              <w:rPr>
                <w:rStyle w:val="Strong"/>
                <w:rFonts w:ascii="Times New Roman" w:hAnsi="Times New Roman" w:cs="Times New Roman"/>
                <w:b w:val="0"/>
                <w:color w:val="333333"/>
                <w:shd w:val="clear" w:color="auto" w:fill="FFFFFF"/>
                <w:lang w:val="ro-MD"/>
              </w:rPr>
            </w:pPr>
            <w:r w:rsidRPr="008F34CF">
              <w:rPr>
                <w:rFonts w:ascii="Times New Roman" w:hAnsi="Times New Roman" w:cs="Times New Roman"/>
                <w:lang w:val="ro-MD"/>
              </w:rPr>
              <w:lastRenderedPageBreak/>
              <w:t xml:space="preserve">Temei Legea nr. 161/2011 </w:t>
            </w:r>
            <w:r w:rsidRPr="008F34CF">
              <w:rPr>
                <w:rStyle w:val="Strong"/>
                <w:rFonts w:ascii="Times New Roman" w:hAnsi="Times New Roman" w:cs="Times New Roman"/>
                <w:b w:val="0"/>
                <w:color w:val="333333"/>
                <w:shd w:val="clear" w:color="auto" w:fill="FFFFFF"/>
                <w:lang w:val="ro-MD"/>
              </w:rPr>
              <w:t xml:space="preserve">privind implementarea </w:t>
            </w:r>
            <w:proofErr w:type="spellStart"/>
            <w:r w:rsidRPr="008F34CF">
              <w:rPr>
                <w:rStyle w:val="Strong"/>
                <w:rFonts w:ascii="Times New Roman" w:hAnsi="Times New Roman" w:cs="Times New Roman"/>
                <w:b w:val="0"/>
                <w:color w:val="333333"/>
                <w:shd w:val="clear" w:color="auto" w:fill="FFFFFF"/>
                <w:lang w:val="ro-MD"/>
              </w:rPr>
              <w:t>ghişeului</w:t>
            </w:r>
            <w:proofErr w:type="spellEnd"/>
            <w:r w:rsidRPr="008F34CF">
              <w:rPr>
                <w:rStyle w:val="Strong"/>
                <w:rFonts w:ascii="Times New Roman" w:hAnsi="Times New Roman" w:cs="Times New Roman"/>
                <w:b w:val="0"/>
                <w:color w:val="333333"/>
                <w:shd w:val="clear" w:color="auto" w:fill="FFFFFF"/>
                <w:lang w:val="ro-MD"/>
              </w:rPr>
              <w:t xml:space="preserve"> unic în</w:t>
            </w:r>
            <w:r w:rsidRPr="008F34CF">
              <w:rPr>
                <w:rFonts w:ascii="Times New Roman" w:hAnsi="Times New Roman" w:cs="Times New Roman"/>
                <w:b/>
                <w:bCs/>
                <w:color w:val="333333"/>
                <w:shd w:val="clear" w:color="auto" w:fill="FFFFFF"/>
                <w:lang w:val="ro-MD"/>
              </w:rPr>
              <w:br/>
            </w:r>
            <w:proofErr w:type="spellStart"/>
            <w:r w:rsidRPr="008F34CF">
              <w:rPr>
                <w:rStyle w:val="Strong"/>
                <w:rFonts w:ascii="Times New Roman" w:hAnsi="Times New Roman" w:cs="Times New Roman"/>
                <w:b w:val="0"/>
                <w:color w:val="333333"/>
                <w:shd w:val="clear" w:color="auto" w:fill="FFFFFF"/>
                <w:lang w:val="ro-MD"/>
              </w:rPr>
              <w:t>desfăşurarea</w:t>
            </w:r>
            <w:proofErr w:type="spellEnd"/>
            <w:r w:rsidRPr="008F34CF">
              <w:rPr>
                <w:rStyle w:val="Strong"/>
                <w:rFonts w:ascii="Times New Roman" w:hAnsi="Times New Roman" w:cs="Times New Roman"/>
                <w:b w:val="0"/>
                <w:color w:val="333333"/>
                <w:shd w:val="clear" w:color="auto" w:fill="FFFFFF"/>
                <w:lang w:val="ro-MD"/>
              </w:rPr>
              <w:t xml:space="preserve"> </w:t>
            </w:r>
            <w:proofErr w:type="spellStart"/>
            <w:r w:rsidRPr="008F34CF">
              <w:rPr>
                <w:rStyle w:val="Strong"/>
                <w:rFonts w:ascii="Times New Roman" w:hAnsi="Times New Roman" w:cs="Times New Roman"/>
                <w:b w:val="0"/>
                <w:color w:val="333333"/>
                <w:shd w:val="clear" w:color="auto" w:fill="FFFFFF"/>
                <w:lang w:val="ro-MD"/>
              </w:rPr>
              <w:t>activităţii</w:t>
            </w:r>
            <w:proofErr w:type="spellEnd"/>
            <w:r w:rsidRPr="008F34CF">
              <w:rPr>
                <w:rStyle w:val="Strong"/>
                <w:rFonts w:ascii="Times New Roman" w:hAnsi="Times New Roman" w:cs="Times New Roman"/>
                <w:b w:val="0"/>
                <w:color w:val="333333"/>
                <w:shd w:val="clear" w:color="auto" w:fill="FFFFFF"/>
                <w:lang w:val="ro-MD"/>
              </w:rPr>
              <w:t xml:space="preserve"> de întreprinzător.</w:t>
            </w:r>
          </w:p>
          <w:p w:rsidR="00B40AE6" w:rsidRPr="008F34CF" w:rsidRDefault="00B40AE6" w:rsidP="006355E5">
            <w:pPr>
              <w:jc w:val="both"/>
              <w:rPr>
                <w:rStyle w:val="Strong"/>
                <w:rFonts w:ascii="Times New Roman" w:hAnsi="Times New Roman" w:cs="Times New Roman"/>
                <w:b w:val="0"/>
                <w:color w:val="333333"/>
                <w:shd w:val="clear" w:color="auto" w:fill="FFFFFF"/>
                <w:lang w:val="ro-MD"/>
              </w:rPr>
            </w:pPr>
          </w:p>
          <w:p w:rsidR="00B40AE6" w:rsidRPr="008F34CF" w:rsidRDefault="00B40AE6" w:rsidP="006355E5">
            <w:pPr>
              <w:jc w:val="both"/>
              <w:rPr>
                <w:rStyle w:val="Strong"/>
                <w:rFonts w:ascii="Times New Roman" w:hAnsi="Times New Roman" w:cs="Times New Roman"/>
                <w:b w:val="0"/>
                <w:color w:val="333333"/>
                <w:shd w:val="clear" w:color="auto" w:fill="FFFFFF"/>
                <w:lang w:val="ro-MD"/>
              </w:rPr>
            </w:pPr>
          </w:p>
          <w:p w:rsidR="00B40AE6" w:rsidRPr="008F34CF" w:rsidRDefault="00B40AE6" w:rsidP="006355E5">
            <w:pPr>
              <w:jc w:val="both"/>
              <w:rPr>
                <w:rStyle w:val="Strong"/>
                <w:rFonts w:ascii="Times New Roman" w:hAnsi="Times New Roman" w:cs="Times New Roman"/>
                <w:b w:val="0"/>
                <w:lang w:val="ro-MD"/>
              </w:rPr>
            </w:pPr>
            <w:r w:rsidRPr="008F34CF">
              <w:rPr>
                <w:rStyle w:val="Strong"/>
                <w:rFonts w:ascii="Times New Roman" w:hAnsi="Times New Roman" w:cs="Times New Roman"/>
                <w:b w:val="0"/>
                <w:color w:val="333333"/>
                <w:shd w:val="clear" w:color="auto" w:fill="FFFFFF"/>
                <w:lang w:val="ro-MD"/>
              </w:rPr>
              <w:t xml:space="preserve">Temei </w:t>
            </w:r>
            <w:r w:rsidRPr="008F34CF">
              <w:rPr>
                <w:rFonts w:ascii="Times New Roman" w:hAnsi="Times New Roman" w:cs="Times New Roman"/>
                <w:lang w:val="ro-MD"/>
              </w:rPr>
              <w:t xml:space="preserve"> Hotărârea Guvernului  nr. 753/2016 p</w:t>
            </w:r>
            <w:r w:rsidRPr="008F34CF">
              <w:rPr>
                <w:rStyle w:val="Strong"/>
                <w:rFonts w:ascii="Times New Roman" w:hAnsi="Times New Roman" w:cs="Times New Roman"/>
                <w:b w:val="0"/>
                <w:lang w:val="ro-MD"/>
              </w:rPr>
              <w:t xml:space="preserve">entru aprobarea </w:t>
            </w:r>
            <w:r w:rsidRPr="008F34CF">
              <w:rPr>
                <w:rStyle w:val="Strong"/>
                <w:rFonts w:ascii="Times New Roman" w:hAnsi="Times New Roman" w:cs="Times New Roman"/>
                <w:b w:val="0"/>
                <w:lang w:val="ro-MD"/>
              </w:rPr>
              <w:lastRenderedPageBreak/>
              <w:t xml:space="preserve">Conceptului mecanismului de gestionare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eliberare a actelor permisive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a Planului de </w:t>
            </w:r>
            <w:proofErr w:type="spellStart"/>
            <w:r w:rsidRPr="008F34CF">
              <w:rPr>
                <w:rStyle w:val="Strong"/>
                <w:rFonts w:ascii="Times New Roman" w:hAnsi="Times New Roman" w:cs="Times New Roman"/>
                <w:b w:val="0"/>
                <w:lang w:val="ro-MD"/>
              </w:rPr>
              <w:t>acţiuni</w:t>
            </w:r>
            <w:proofErr w:type="spellEnd"/>
            <w:r w:rsidRPr="008F34CF">
              <w:rPr>
                <w:rStyle w:val="Strong"/>
                <w:rFonts w:ascii="Times New Roman" w:hAnsi="Times New Roman" w:cs="Times New Roman"/>
                <w:b w:val="0"/>
                <w:lang w:val="ro-MD"/>
              </w:rPr>
              <w:t xml:space="preserve"> privind implementarea </w:t>
            </w:r>
            <w:proofErr w:type="spellStart"/>
            <w:r w:rsidRPr="008F34CF">
              <w:rPr>
                <w:rStyle w:val="Strong"/>
                <w:rFonts w:ascii="Times New Roman" w:hAnsi="Times New Roman" w:cs="Times New Roman"/>
                <w:b w:val="0"/>
                <w:lang w:val="ro-MD"/>
              </w:rPr>
              <w:t>soluţiilor</w:t>
            </w:r>
            <w:proofErr w:type="spellEnd"/>
            <w:r w:rsidRPr="008F34CF">
              <w:rPr>
                <w:rStyle w:val="Strong"/>
                <w:rFonts w:ascii="Times New Roman" w:hAnsi="Times New Roman" w:cs="Times New Roman"/>
                <w:b w:val="0"/>
                <w:lang w:val="ro-MD"/>
              </w:rPr>
              <w:t xml:space="preserve"> de </w:t>
            </w:r>
            <w:proofErr w:type="spellStart"/>
            <w:r w:rsidRPr="008F34CF">
              <w:rPr>
                <w:rStyle w:val="Strong"/>
                <w:rFonts w:ascii="Times New Roman" w:hAnsi="Times New Roman" w:cs="Times New Roman"/>
                <w:b w:val="0"/>
                <w:lang w:val="ro-MD"/>
              </w:rPr>
              <w:t>ghişeu</w:t>
            </w:r>
            <w:proofErr w:type="spellEnd"/>
            <w:r w:rsidRPr="008F34CF">
              <w:rPr>
                <w:rStyle w:val="Strong"/>
                <w:rFonts w:ascii="Times New Roman" w:hAnsi="Times New Roman" w:cs="Times New Roman"/>
                <w:b w:val="0"/>
                <w:lang w:val="ro-MD"/>
              </w:rPr>
              <w:t xml:space="preserve"> unic.</w:t>
            </w:r>
          </w:p>
          <w:p w:rsidR="00B40AE6" w:rsidRPr="008F34CF" w:rsidRDefault="00B40AE6" w:rsidP="006355E5">
            <w:pPr>
              <w:jc w:val="both"/>
              <w:rPr>
                <w:rStyle w:val="Strong"/>
                <w:rFonts w:ascii="Times New Roman" w:hAnsi="Times New Roman" w:cs="Times New Roman"/>
                <w:b w:val="0"/>
                <w:lang w:val="ro-MD"/>
              </w:rPr>
            </w:pPr>
          </w:p>
          <w:p w:rsidR="00B40AE6" w:rsidRPr="008F34CF" w:rsidRDefault="00B40AE6" w:rsidP="006355E5">
            <w:pPr>
              <w:jc w:val="both"/>
              <w:rPr>
                <w:rStyle w:val="Strong"/>
                <w:rFonts w:ascii="Times New Roman" w:hAnsi="Times New Roman" w:cs="Times New Roman"/>
                <w:b w:val="0"/>
                <w:lang w:val="ro-MD"/>
              </w:rPr>
            </w:pPr>
          </w:p>
          <w:p w:rsidR="009840AC" w:rsidRPr="008F34CF" w:rsidRDefault="00B40AE6" w:rsidP="00704FED">
            <w:pPr>
              <w:pStyle w:val="Heading4"/>
              <w:shd w:val="clear" w:color="auto" w:fill="FFFFFF"/>
              <w:spacing w:before="165" w:beforeAutospacing="0" w:after="165" w:afterAutospacing="0"/>
              <w:jc w:val="both"/>
              <w:outlineLvl w:val="3"/>
              <w:rPr>
                <w:b w:val="0"/>
                <w:bCs w:val="0"/>
                <w:color w:val="333333"/>
                <w:sz w:val="22"/>
                <w:szCs w:val="22"/>
              </w:rPr>
            </w:pPr>
            <w:r w:rsidRPr="008F34CF">
              <w:rPr>
                <w:b w:val="0"/>
                <w:sz w:val="22"/>
                <w:szCs w:val="22"/>
                <w:lang w:val="ro-MD"/>
              </w:rPr>
              <w:t xml:space="preserve">Temei Legea </w:t>
            </w:r>
            <w:r w:rsidR="009840AC" w:rsidRPr="008F34CF">
              <w:rPr>
                <w:b w:val="0"/>
                <w:bCs w:val="0"/>
                <w:color w:val="333333"/>
                <w:sz w:val="22"/>
                <w:szCs w:val="22"/>
              </w:rPr>
              <w:t xml:space="preserve"> </w:t>
            </w:r>
            <w:proofErr w:type="spellStart"/>
            <w:r w:rsidR="009840AC" w:rsidRPr="008F34CF">
              <w:rPr>
                <w:b w:val="0"/>
                <w:bCs w:val="0"/>
                <w:color w:val="333333"/>
                <w:sz w:val="22"/>
                <w:szCs w:val="22"/>
              </w:rPr>
              <w:t>nr</w:t>
            </w:r>
            <w:proofErr w:type="spellEnd"/>
            <w:r w:rsidR="009840AC" w:rsidRPr="008F34CF">
              <w:rPr>
                <w:b w:val="0"/>
                <w:bCs w:val="0"/>
                <w:color w:val="333333"/>
                <w:sz w:val="22"/>
                <w:szCs w:val="22"/>
              </w:rPr>
              <w:t xml:space="preserve">. </w:t>
            </w:r>
            <w:proofErr w:type="gramStart"/>
            <w:r w:rsidR="009840AC" w:rsidRPr="008F34CF">
              <w:rPr>
                <w:b w:val="0"/>
                <w:bCs w:val="0"/>
                <w:color w:val="333333"/>
                <w:sz w:val="22"/>
                <w:szCs w:val="22"/>
              </w:rPr>
              <w:t>218/2010</w:t>
            </w:r>
            <w:proofErr w:type="gramEnd"/>
            <w:r w:rsidR="009840AC" w:rsidRPr="008F34CF">
              <w:rPr>
                <w:b w:val="0"/>
                <w:bCs w:val="0"/>
                <w:color w:val="333333"/>
                <w:sz w:val="22"/>
                <w:szCs w:val="22"/>
              </w:rPr>
              <w:t xml:space="preserve"> </w:t>
            </w:r>
            <w:proofErr w:type="spellStart"/>
            <w:r w:rsidR="009840AC" w:rsidRPr="008F34CF">
              <w:rPr>
                <w:rStyle w:val="Strong"/>
                <w:bCs/>
                <w:color w:val="333333"/>
                <w:sz w:val="22"/>
                <w:szCs w:val="22"/>
              </w:rPr>
              <w:t>privind</w:t>
            </w:r>
            <w:proofErr w:type="spellEnd"/>
            <w:r w:rsidR="009840AC" w:rsidRPr="008F34CF">
              <w:rPr>
                <w:rStyle w:val="Strong"/>
                <w:bCs/>
                <w:color w:val="333333"/>
                <w:sz w:val="22"/>
                <w:szCs w:val="22"/>
              </w:rPr>
              <w:t xml:space="preserve"> </w:t>
            </w:r>
            <w:proofErr w:type="spellStart"/>
            <w:r w:rsidR="009840AC" w:rsidRPr="008F34CF">
              <w:rPr>
                <w:rStyle w:val="Strong"/>
                <w:bCs/>
                <w:color w:val="333333"/>
                <w:sz w:val="22"/>
                <w:szCs w:val="22"/>
              </w:rPr>
              <w:t>protejarea</w:t>
            </w:r>
            <w:proofErr w:type="spellEnd"/>
            <w:r w:rsidR="009840AC" w:rsidRPr="008F34CF">
              <w:rPr>
                <w:rStyle w:val="Strong"/>
                <w:bCs/>
                <w:color w:val="333333"/>
                <w:sz w:val="22"/>
                <w:szCs w:val="22"/>
              </w:rPr>
              <w:t xml:space="preserve"> </w:t>
            </w:r>
            <w:proofErr w:type="spellStart"/>
            <w:r w:rsidR="009840AC" w:rsidRPr="008F34CF">
              <w:rPr>
                <w:rStyle w:val="Strong"/>
                <w:bCs/>
                <w:color w:val="333333"/>
                <w:sz w:val="22"/>
                <w:szCs w:val="22"/>
              </w:rPr>
              <w:t>patrimoniului</w:t>
            </w:r>
            <w:proofErr w:type="spellEnd"/>
            <w:r w:rsidR="009840AC" w:rsidRPr="008F34CF">
              <w:rPr>
                <w:rStyle w:val="Strong"/>
                <w:bCs/>
                <w:color w:val="333333"/>
                <w:sz w:val="22"/>
                <w:szCs w:val="22"/>
              </w:rPr>
              <w:t xml:space="preserve"> </w:t>
            </w:r>
            <w:r w:rsidR="008F34CF">
              <w:rPr>
                <w:rStyle w:val="Strong"/>
                <w:bCs/>
                <w:color w:val="333333"/>
                <w:sz w:val="22"/>
                <w:szCs w:val="22"/>
              </w:rPr>
              <w:t>archeologic.</w:t>
            </w:r>
          </w:p>
          <w:p w:rsidR="00B40AE6" w:rsidRPr="008F34CF" w:rsidRDefault="00B40AE6" w:rsidP="006355E5">
            <w:pPr>
              <w:jc w:val="both"/>
              <w:rPr>
                <w:rFonts w:ascii="Times New Roman" w:hAnsi="Times New Roman" w:cs="Times New Roman"/>
              </w:rPr>
            </w:pPr>
          </w:p>
        </w:tc>
        <w:tc>
          <w:tcPr>
            <w:tcW w:w="4678" w:type="dxa"/>
          </w:tcPr>
          <w:p w:rsidR="00B40AE6" w:rsidRPr="008F34CF" w:rsidRDefault="00B40AE6" w:rsidP="00A05E90">
            <w:pPr>
              <w:jc w:val="both"/>
              <w:rPr>
                <w:rFonts w:ascii="Times New Roman" w:hAnsi="Times New Roman" w:cs="Times New Roman"/>
                <w:lang w:val="ro-MD"/>
              </w:rPr>
            </w:pPr>
            <w:r w:rsidRPr="008F34CF">
              <w:rPr>
                <w:rFonts w:ascii="Times New Roman" w:hAnsi="Times New Roman" w:cs="Times New Roman"/>
                <w:lang w:val="ro-MD"/>
              </w:rPr>
              <w:lastRenderedPageBreak/>
              <w:t xml:space="preserve">cu textul „Legea nr. 161/2011”; </w:t>
            </w: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r w:rsidRPr="008F34CF">
              <w:rPr>
                <w:rFonts w:ascii="Times New Roman" w:hAnsi="Times New Roman" w:cs="Times New Roman"/>
                <w:lang w:val="ro-MD"/>
              </w:rPr>
              <w:t>cu textul „Hotărârea Guvernului  nr. 753/2016 p</w:t>
            </w:r>
            <w:r w:rsidRPr="008F34CF">
              <w:rPr>
                <w:rStyle w:val="Strong"/>
                <w:rFonts w:ascii="Times New Roman" w:hAnsi="Times New Roman" w:cs="Times New Roman"/>
                <w:b w:val="0"/>
                <w:lang w:val="ro-MD"/>
              </w:rPr>
              <w:t xml:space="preserve">entru aprobarea Conceptului mecanismului de </w:t>
            </w:r>
            <w:r w:rsidRPr="008F34CF">
              <w:rPr>
                <w:rStyle w:val="Strong"/>
                <w:rFonts w:ascii="Times New Roman" w:hAnsi="Times New Roman" w:cs="Times New Roman"/>
                <w:b w:val="0"/>
                <w:lang w:val="ro-MD"/>
              </w:rPr>
              <w:lastRenderedPageBreak/>
              <w:t xml:space="preserve">gestionare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eliberare a actelor permisive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a Planului de </w:t>
            </w:r>
            <w:proofErr w:type="spellStart"/>
            <w:r w:rsidRPr="008F34CF">
              <w:rPr>
                <w:rStyle w:val="Strong"/>
                <w:rFonts w:ascii="Times New Roman" w:hAnsi="Times New Roman" w:cs="Times New Roman"/>
                <w:b w:val="0"/>
                <w:lang w:val="ro-MD"/>
              </w:rPr>
              <w:t>acţiuni</w:t>
            </w:r>
            <w:proofErr w:type="spellEnd"/>
            <w:r w:rsidRPr="008F34CF">
              <w:rPr>
                <w:rStyle w:val="Strong"/>
                <w:rFonts w:ascii="Times New Roman" w:hAnsi="Times New Roman" w:cs="Times New Roman"/>
                <w:b w:val="0"/>
                <w:lang w:val="ro-MD"/>
              </w:rPr>
              <w:t xml:space="preserve"> privind implementarea </w:t>
            </w:r>
            <w:proofErr w:type="spellStart"/>
            <w:r w:rsidRPr="008F34CF">
              <w:rPr>
                <w:rStyle w:val="Strong"/>
                <w:rFonts w:ascii="Times New Roman" w:hAnsi="Times New Roman" w:cs="Times New Roman"/>
                <w:b w:val="0"/>
                <w:lang w:val="ro-MD"/>
              </w:rPr>
              <w:t>soluţiilor</w:t>
            </w:r>
            <w:proofErr w:type="spellEnd"/>
            <w:r w:rsidRPr="008F34CF">
              <w:rPr>
                <w:rStyle w:val="Strong"/>
                <w:rFonts w:ascii="Times New Roman" w:hAnsi="Times New Roman" w:cs="Times New Roman"/>
                <w:b w:val="0"/>
                <w:lang w:val="ro-MD"/>
              </w:rPr>
              <w:t xml:space="preserve"> de </w:t>
            </w:r>
            <w:proofErr w:type="spellStart"/>
            <w:r w:rsidRPr="008F34CF">
              <w:rPr>
                <w:rStyle w:val="Strong"/>
                <w:rFonts w:ascii="Times New Roman" w:hAnsi="Times New Roman" w:cs="Times New Roman"/>
                <w:b w:val="0"/>
                <w:lang w:val="ro-MD"/>
              </w:rPr>
              <w:t>ghişeu</w:t>
            </w:r>
            <w:proofErr w:type="spellEnd"/>
            <w:r w:rsidRPr="008F34CF">
              <w:rPr>
                <w:rStyle w:val="Strong"/>
                <w:rFonts w:ascii="Times New Roman" w:hAnsi="Times New Roman" w:cs="Times New Roman"/>
                <w:b w:val="0"/>
                <w:lang w:val="ro-MD"/>
              </w:rPr>
              <w:t xml:space="preserve"> unic”</w:t>
            </w:r>
            <w:r w:rsidR="008F34CF">
              <w:rPr>
                <w:rStyle w:val="Strong"/>
                <w:rFonts w:ascii="Times New Roman" w:hAnsi="Times New Roman" w:cs="Times New Roman"/>
                <w:b w:val="0"/>
                <w:lang w:val="ro-MD"/>
              </w:rPr>
              <w:t>.</w:t>
            </w:r>
            <w:r w:rsidRPr="008F34CF">
              <w:rPr>
                <w:rFonts w:ascii="Times New Roman" w:hAnsi="Times New Roman" w:cs="Times New Roman"/>
                <w:lang w:val="ro-MD"/>
              </w:rPr>
              <w:t xml:space="preserve"> </w:t>
            </w: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751A4E" w:rsidRPr="008F34CF" w:rsidRDefault="00B40AE6" w:rsidP="00B40AE6">
            <w:pPr>
              <w:jc w:val="both"/>
              <w:rPr>
                <w:rFonts w:ascii="Times New Roman" w:hAnsi="Times New Roman" w:cs="Times New Roman"/>
                <w:lang w:val="ro-MD"/>
              </w:rPr>
            </w:pPr>
            <w:r w:rsidRPr="008F34CF">
              <w:rPr>
                <w:rFonts w:ascii="Times New Roman" w:hAnsi="Times New Roman" w:cs="Times New Roman"/>
                <w:lang w:val="ro-MD"/>
              </w:rPr>
              <w:t>cu textul „Legea nr. 218/2010”.</w:t>
            </w:r>
          </w:p>
        </w:tc>
      </w:tr>
      <w:tr w:rsidR="009840AC" w:rsidRPr="008F34CF" w:rsidTr="009456D1">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lastRenderedPageBreak/>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E77047" w:rsidRPr="008F34CF" w:rsidRDefault="00E77047" w:rsidP="00E77047">
            <w:pPr>
              <w:jc w:val="both"/>
              <w:rPr>
                <w:rFonts w:ascii="Times New Roman" w:hAnsi="Times New Roman" w:cs="Times New Roman"/>
                <w:lang w:val="ro-MD"/>
              </w:rPr>
            </w:pPr>
            <w:r w:rsidRPr="008F34CF">
              <w:rPr>
                <w:rFonts w:ascii="Times New Roman" w:hAnsi="Times New Roman" w:cs="Times New Roman"/>
                <w:lang w:val="ro-MD"/>
              </w:rPr>
              <w:t>după textul „publice locale de nivelul întâii”</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p w:rsidR="00E77047" w:rsidRPr="008F34CF" w:rsidRDefault="00E77047" w:rsidP="00E77047">
            <w:pPr>
              <w:ind w:firstLine="567"/>
              <w:jc w:val="both"/>
              <w:rPr>
                <w:rFonts w:ascii="Times New Roman" w:hAnsi="Times New Roman" w:cs="Times New Roman"/>
                <w:lang w:val="ro-MD"/>
              </w:rPr>
            </w:pPr>
          </w:p>
          <w:p w:rsidR="00912255" w:rsidRPr="008F34CF" w:rsidRDefault="00912255" w:rsidP="00E77047">
            <w:pPr>
              <w:jc w:val="both"/>
              <w:rPr>
                <w:rFonts w:ascii="Times New Roman" w:hAnsi="Times New Roman" w:cs="Times New Roman"/>
                <w:lang w:val="ro-MD"/>
              </w:rPr>
            </w:pPr>
          </w:p>
          <w:p w:rsidR="00E77047" w:rsidRPr="008F34CF" w:rsidRDefault="00E77047" w:rsidP="00E77047">
            <w:pPr>
              <w:jc w:val="both"/>
              <w:rPr>
                <w:rFonts w:ascii="Times New Roman" w:hAnsi="Times New Roman" w:cs="Times New Roman"/>
                <w:lang w:val="ro-MD"/>
              </w:rPr>
            </w:pPr>
            <w:r w:rsidRPr="008F34CF">
              <w:rPr>
                <w:rFonts w:ascii="Times New Roman" w:hAnsi="Times New Roman" w:cs="Times New Roman"/>
                <w:lang w:val="ro-MD"/>
              </w:rPr>
              <w:t>textul „de nivelul întâi”</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p w:rsidR="009840AC" w:rsidRPr="008F34CF" w:rsidRDefault="009840AC" w:rsidP="009840AC">
            <w:pPr>
              <w:jc w:val="both"/>
              <w:rPr>
                <w:rFonts w:ascii="Times New Roman" w:hAnsi="Times New Roman" w:cs="Times New Roman"/>
                <w:lang w:val="ro-MD"/>
              </w:rPr>
            </w:pPr>
          </w:p>
        </w:tc>
        <w:tc>
          <w:tcPr>
            <w:tcW w:w="3505" w:type="dxa"/>
          </w:tcPr>
          <w:p w:rsidR="009840AC" w:rsidRPr="008F34CF" w:rsidRDefault="00E77047" w:rsidP="009840AC">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E77047" w:rsidRPr="008F34CF" w:rsidRDefault="00E77047" w:rsidP="009840AC">
            <w:pPr>
              <w:jc w:val="both"/>
              <w:rPr>
                <w:rFonts w:ascii="Times New Roman" w:hAnsi="Times New Roman" w:cs="Times New Roman"/>
                <w:lang w:val="ro-MD"/>
              </w:rPr>
            </w:pPr>
            <w:r w:rsidRPr="008F34CF">
              <w:rPr>
                <w:rFonts w:ascii="Times New Roman" w:hAnsi="Times New Roman" w:cs="Times New Roman"/>
                <w:lang w:val="ro-MD"/>
              </w:rPr>
              <w:t xml:space="preserve">cu textul „și nivelul doi”. </w:t>
            </w:r>
          </w:p>
          <w:p w:rsidR="00E77047" w:rsidRPr="008F34CF" w:rsidRDefault="00E77047" w:rsidP="009840AC">
            <w:pPr>
              <w:jc w:val="both"/>
              <w:rPr>
                <w:rFonts w:ascii="Times New Roman" w:hAnsi="Times New Roman" w:cs="Times New Roman"/>
                <w:lang w:val="ro-MD"/>
              </w:rPr>
            </w:pPr>
          </w:p>
          <w:p w:rsidR="009840AC" w:rsidRPr="008F34CF" w:rsidRDefault="00E77047" w:rsidP="009840AC">
            <w:pPr>
              <w:jc w:val="both"/>
              <w:rPr>
                <w:rFonts w:ascii="Times New Roman" w:hAnsi="Times New Roman" w:cs="Times New Roman"/>
                <w:lang w:val="ro-MD"/>
              </w:rPr>
            </w:pPr>
            <w:r w:rsidRPr="008F34CF">
              <w:rPr>
                <w:rFonts w:ascii="Times New Roman" w:hAnsi="Times New Roman" w:cs="Times New Roman"/>
                <w:lang w:val="ro-MD"/>
              </w:rPr>
              <w:t>se va completa cu textul „și nivelul doi, precum, și Instituția Publică Oficiul Amenajarea Teritoriului, Urbanism, Construcții și Locuințe”.</w:t>
            </w:r>
          </w:p>
        </w:tc>
      </w:tr>
      <w:tr w:rsidR="009840AC" w:rsidRPr="008F34CF" w:rsidTr="009456D1">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912255" w:rsidRPr="008F34CF" w:rsidRDefault="00912255" w:rsidP="00912255">
            <w:pPr>
              <w:jc w:val="both"/>
              <w:rPr>
                <w:rFonts w:ascii="Times New Roman" w:hAnsi="Times New Roman" w:cs="Times New Roman"/>
                <w:lang w:val="ro-MD"/>
              </w:rPr>
            </w:pPr>
            <w:r w:rsidRPr="008F34CF">
              <w:rPr>
                <w:rFonts w:ascii="Times New Roman" w:hAnsi="Times New Roman" w:cs="Times New Roman"/>
                <w:lang w:val="ro-MD"/>
              </w:rPr>
              <w:t>textul „Centrul Național  de Sănătate Publică/centrele teritoriale de sănătate publică, Inspectoratul Ecologic de Stat, Serviciul Protecției Civ</w:t>
            </w:r>
            <w:r w:rsidR="00DB2255" w:rsidRPr="008F34CF">
              <w:rPr>
                <w:rFonts w:ascii="Times New Roman" w:hAnsi="Times New Roman" w:cs="Times New Roman"/>
                <w:lang w:val="ro-MD"/>
              </w:rPr>
              <w:t>ile și Situațiilor Excepționale</w:t>
            </w:r>
            <w:r w:rsidR="008F34CF">
              <w:rPr>
                <w:rFonts w:ascii="Times New Roman" w:hAnsi="Times New Roman" w:cs="Times New Roman"/>
                <w:lang w:val="ro-MD"/>
              </w:rPr>
              <w:t>.</w:t>
            </w:r>
            <w:r w:rsidRPr="008F34CF">
              <w:rPr>
                <w:rFonts w:ascii="Times New Roman" w:hAnsi="Times New Roman" w:cs="Times New Roman"/>
                <w:lang w:val="ro-MD"/>
              </w:rPr>
              <w:t xml:space="preserve"> </w:t>
            </w:r>
          </w:p>
          <w:p w:rsidR="009840AC" w:rsidRPr="008F34CF" w:rsidRDefault="009840AC" w:rsidP="009840AC">
            <w:pPr>
              <w:jc w:val="both"/>
              <w:rPr>
                <w:rFonts w:ascii="Times New Roman" w:hAnsi="Times New Roman" w:cs="Times New Roman"/>
                <w:lang w:val="ro-MD"/>
              </w:rPr>
            </w:pPr>
          </w:p>
        </w:tc>
        <w:tc>
          <w:tcPr>
            <w:tcW w:w="3505" w:type="dxa"/>
          </w:tcPr>
          <w:p w:rsidR="009840AC" w:rsidRPr="008F34CF" w:rsidRDefault="00912255" w:rsidP="009840AC">
            <w:pPr>
              <w:jc w:val="both"/>
              <w:rPr>
                <w:rFonts w:ascii="Times New Roman" w:hAnsi="Times New Roman" w:cs="Times New Roman"/>
                <w:lang w:val="ro-MD"/>
              </w:rPr>
            </w:pPr>
            <w:r w:rsidRPr="008F34CF">
              <w:rPr>
                <w:rFonts w:ascii="Times New Roman" w:hAnsi="Times New Roman" w:cs="Times New Roman"/>
                <w:lang w:val="ro-MD"/>
              </w:rPr>
              <w:t xml:space="preserve">Temei </w:t>
            </w:r>
            <w:r w:rsidR="00367943" w:rsidRPr="008F34CF">
              <w:rPr>
                <w:rFonts w:ascii="Times New Roman" w:hAnsi="Times New Roman" w:cs="Times New Roman"/>
                <w:lang w:val="ro-MD"/>
              </w:rPr>
              <w:t xml:space="preserve"> </w:t>
            </w:r>
            <w:proofErr w:type="spellStart"/>
            <w:r w:rsidR="00367943" w:rsidRPr="008F34CF">
              <w:rPr>
                <w:rFonts w:ascii="Times New Roman" w:hAnsi="Times New Roman" w:cs="Times New Roman"/>
                <w:lang w:val="ro-MD"/>
              </w:rPr>
              <w:t>Hotărîrii</w:t>
            </w:r>
            <w:proofErr w:type="spellEnd"/>
            <w:r w:rsidR="00367943" w:rsidRPr="008F34CF">
              <w:rPr>
                <w:rFonts w:ascii="Times New Roman" w:hAnsi="Times New Roman" w:cs="Times New Roman"/>
                <w:lang w:val="ro-MD"/>
              </w:rPr>
              <w:t xml:space="preserve"> Guvernului nr. 740/2024 cu privire la reorganizarea prin fuziune (absorbție) a unei instituții publice din subordinea Ministerului Sănătății și modificarea unor hotărî ale Guvernului,  </w:t>
            </w:r>
            <w:proofErr w:type="spellStart"/>
            <w:r w:rsidR="00367943" w:rsidRPr="008F34CF">
              <w:rPr>
                <w:rFonts w:ascii="Times New Roman" w:hAnsi="Times New Roman" w:cs="Times New Roman"/>
                <w:lang w:val="ro-MD"/>
              </w:rPr>
              <w:t>Hotărîrii</w:t>
            </w:r>
            <w:proofErr w:type="spellEnd"/>
            <w:r w:rsidR="00367943" w:rsidRPr="008F34CF">
              <w:rPr>
                <w:rFonts w:ascii="Times New Roman" w:hAnsi="Times New Roman" w:cs="Times New Roman"/>
                <w:lang w:val="ro-MD"/>
              </w:rPr>
              <w:t xml:space="preserve"> Guvernului nr. 285/2024 pentru modificarea unor </w:t>
            </w:r>
            <w:proofErr w:type="spellStart"/>
            <w:r w:rsidR="00367943" w:rsidRPr="008F34CF">
              <w:rPr>
                <w:rFonts w:ascii="Times New Roman" w:hAnsi="Times New Roman" w:cs="Times New Roman"/>
                <w:lang w:val="ro-MD"/>
              </w:rPr>
              <w:t>hotărîri</w:t>
            </w:r>
            <w:proofErr w:type="spellEnd"/>
            <w:r w:rsidR="00367943" w:rsidRPr="008F34CF">
              <w:rPr>
                <w:rFonts w:ascii="Times New Roman" w:hAnsi="Times New Roman" w:cs="Times New Roman"/>
                <w:lang w:val="ro-MD"/>
              </w:rPr>
              <w:t xml:space="preserve"> ale Guvernului privind autoritățile administrative din subordinea Ministerului Mediului (modificarea cadrului normativ conex Legii nr. 47/2024) și  </w:t>
            </w:r>
            <w:proofErr w:type="spellStart"/>
            <w:r w:rsidR="00367943" w:rsidRPr="008F34CF">
              <w:rPr>
                <w:rFonts w:ascii="Times New Roman" w:hAnsi="Times New Roman" w:cs="Times New Roman"/>
                <w:lang w:val="ro-MD"/>
              </w:rPr>
              <w:t>Hotărîrii</w:t>
            </w:r>
            <w:proofErr w:type="spellEnd"/>
            <w:r w:rsidR="00367943" w:rsidRPr="008F34CF">
              <w:rPr>
                <w:rFonts w:ascii="Times New Roman" w:hAnsi="Times New Roman" w:cs="Times New Roman"/>
                <w:lang w:val="ro-MD"/>
              </w:rPr>
              <w:t xml:space="preserve"> Guvernului nr. 127/2025 cu privire la modificarea unor </w:t>
            </w:r>
            <w:proofErr w:type="spellStart"/>
            <w:r w:rsidR="00367943" w:rsidRPr="008F34CF">
              <w:rPr>
                <w:rFonts w:ascii="Times New Roman" w:hAnsi="Times New Roman" w:cs="Times New Roman"/>
                <w:lang w:val="ro-MD"/>
              </w:rPr>
              <w:t>hotărîrii</w:t>
            </w:r>
            <w:proofErr w:type="spellEnd"/>
            <w:r w:rsidR="00367943" w:rsidRPr="008F34CF">
              <w:rPr>
                <w:rFonts w:ascii="Times New Roman" w:hAnsi="Times New Roman" w:cs="Times New Roman"/>
                <w:lang w:val="ro-MD"/>
              </w:rPr>
              <w:t xml:space="preserve"> ale Guvernului (consolidarea și eficientizarea activității Ministerului Afacerilor Interne)</w:t>
            </w:r>
            <w:r w:rsidR="008F34CF">
              <w:rPr>
                <w:rFonts w:ascii="Times New Roman" w:hAnsi="Times New Roman" w:cs="Times New Roman"/>
                <w:lang w:val="ro-MD"/>
              </w:rPr>
              <w:t>.</w:t>
            </w:r>
          </w:p>
        </w:tc>
        <w:tc>
          <w:tcPr>
            <w:tcW w:w="4678" w:type="dxa"/>
          </w:tcPr>
          <w:p w:rsidR="009840AC" w:rsidRPr="008F34CF" w:rsidRDefault="00912255" w:rsidP="009840AC">
            <w:pPr>
              <w:jc w:val="both"/>
              <w:rPr>
                <w:rFonts w:ascii="Times New Roman" w:hAnsi="Times New Roman" w:cs="Times New Roman"/>
                <w:lang w:val="ro-MD"/>
              </w:rPr>
            </w:pPr>
            <w:r w:rsidRPr="008F34CF">
              <w:rPr>
                <w:rFonts w:ascii="Times New Roman" w:hAnsi="Times New Roman" w:cs="Times New Roman"/>
                <w:lang w:val="ro-MD"/>
              </w:rPr>
              <w:t>cu textul „Agenția Națională pentru Sănătate Publică/centrele de sănătate publică, Inspectoratul pentru Protecția Mediului, Inspectoratul Național pentru Situații de Urgență,”.</w:t>
            </w:r>
          </w:p>
        </w:tc>
      </w:tr>
      <w:tr w:rsidR="009840AC" w:rsidRPr="008F34CF" w:rsidTr="00B5743B">
        <w:trPr>
          <w:trHeight w:val="42"/>
        </w:trPr>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B5743B" w:rsidRPr="008F34CF" w:rsidRDefault="00B5743B" w:rsidP="00B5743B">
            <w:pPr>
              <w:jc w:val="both"/>
              <w:rPr>
                <w:rFonts w:ascii="Times New Roman" w:hAnsi="Times New Roman" w:cs="Times New Roman"/>
                <w:lang w:val="ro-MD"/>
              </w:rPr>
            </w:pPr>
            <w:r w:rsidRPr="008F34CF">
              <w:rPr>
                <w:rFonts w:ascii="Times New Roman" w:hAnsi="Times New Roman" w:cs="Times New Roman"/>
                <w:lang w:val="ro-MD"/>
              </w:rPr>
              <w:t xml:space="preserve">textul „lucrărilor care, conform art. 14 din Legea nr. 163 din 9 iulie 2010 privind autorizarea executării lucrărilor de construcție, se execută fără certificate de urbanism pentru proiectare și fără autorizației de construire”. </w:t>
            </w:r>
          </w:p>
          <w:p w:rsidR="009840AC" w:rsidRPr="008F34CF" w:rsidRDefault="009840AC" w:rsidP="009840AC">
            <w:pPr>
              <w:jc w:val="both"/>
              <w:rPr>
                <w:rFonts w:ascii="Times New Roman" w:hAnsi="Times New Roman" w:cs="Times New Roman"/>
                <w:lang w:val="ro-MD"/>
              </w:rPr>
            </w:pPr>
          </w:p>
        </w:tc>
        <w:tc>
          <w:tcPr>
            <w:tcW w:w="3505"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lastRenderedPageBreak/>
              <w:t>Temei Codul urbanismului și construcțiilor nr. 434/2023.</w:t>
            </w:r>
          </w:p>
        </w:tc>
        <w:tc>
          <w:tcPr>
            <w:tcW w:w="4678"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t>cu textul „lucrărilor care, conform art. 150 din Codul urbanismului și construcțiilor nr. 434/2023 pot fi executate fără certificat de urbanism pentru proiectare și fără autorizație de construire”.</w:t>
            </w:r>
          </w:p>
        </w:tc>
      </w:tr>
      <w:tr w:rsidR="009840AC" w:rsidRPr="008F34CF" w:rsidTr="009456D1">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9840AC" w:rsidRPr="008F34CF" w:rsidRDefault="00B5743B" w:rsidP="00B5743B">
            <w:pPr>
              <w:jc w:val="both"/>
              <w:rPr>
                <w:rFonts w:ascii="Times New Roman" w:hAnsi="Times New Roman" w:cs="Times New Roman"/>
                <w:lang w:val="ro-MD"/>
              </w:rPr>
            </w:pPr>
            <w:r w:rsidRPr="008F34CF">
              <w:rPr>
                <w:rFonts w:ascii="Times New Roman" w:hAnsi="Times New Roman" w:cs="Times New Roman"/>
                <w:lang w:val="ro-MD"/>
              </w:rPr>
              <w:t xml:space="preserve">noțiunea de </w:t>
            </w:r>
            <w:r w:rsidRPr="008F34CF">
              <w:rPr>
                <w:rFonts w:ascii="Times New Roman" w:hAnsi="Times New Roman" w:cs="Times New Roman"/>
                <w:i/>
                <w:lang w:val="ro-MD"/>
              </w:rPr>
              <w:t>entitate de avizare</w:t>
            </w:r>
            <w:r w:rsidRPr="008F34CF">
              <w:rPr>
                <w:rFonts w:ascii="Times New Roman" w:hAnsi="Times New Roman" w:cs="Times New Roman"/>
                <w:lang w:val="ro-MD"/>
              </w:rPr>
              <w:t>, cuvintele „autorizației de construire”</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tc>
        <w:tc>
          <w:tcPr>
            <w:tcW w:w="3505"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t>cu textul „autorizației de</w:t>
            </w:r>
            <w:r w:rsidRPr="008F34CF">
              <w:rPr>
                <w:rFonts w:ascii="Times New Roman" w:hAnsi="Times New Roman" w:cs="Times New Roman"/>
                <w:shd w:val="clear" w:color="auto" w:fill="FFFFFF"/>
                <w:lang w:val="ro-MD"/>
              </w:rPr>
              <w:t xml:space="preserve"> construire și/sau desființare”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1342B4" w:rsidRPr="008F34CF" w:rsidRDefault="001342B4" w:rsidP="001342B4">
            <w:pPr>
              <w:jc w:val="both"/>
              <w:rPr>
                <w:rFonts w:ascii="Times New Roman" w:hAnsi="Times New Roman" w:cs="Times New Roman"/>
                <w:color w:val="333333"/>
                <w:shd w:val="clear" w:color="auto" w:fill="FFFFFF"/>
                <w:lang w:val="ro-MD"/>
              </w:rPr>
            </w:pPr>
            <w:r w:rsidRPr="008F34CF">
              <w:rPr>
                <w:rFonts w:ascii="Times New Roman" w:hAnsi="Times New Roman" w:cs="Times New Roman"/>
                <w:lang w:val="ro-MD"/>
              </w:rPr>
              <w:t>textul „și IMP ”</w:t>
            </w:r>
            <w:proofErr w:type="spellStart"/>
            <w:r w:rsidRPr="008F34CF">
              <w:rPr>
                <w:rFonts w:ascii="Times New Roman" w:hAnsi="Times New Roman" w:cs="Times New Roman"/>
                <w:lang w:val="ro-MD"/>
              </w:rPr>
              <w:t>Chișinăuproiect</w:t>
            </w:r>
            <w:proofErr w:type="spellEnd"/>
            <w:r w:rsidRPr="008F34CF">
              <w:rPr>
                <w:rFonts w:ascii="Times New Roman" w:hAnsi="Times New Roman" w:cs="Times New Roman"/>
                <w:lang w:val="ro-MD"/>
              </w:rPr>
              <w:t>”.</w:t>
            </w:r>
          </w:p>
        </w:tc>
        <w:tc>
          <w:tcPr>
            <w:tcW w:w="3505"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cu textul „în cazul emiterii avizului general”.</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 xml:space="preserve">noțiunea de </w:t>
            </w:r>
            <w:r w:rsidRPr="008F34CF">
              <w:rPr>
                <w:rFonts w:ascii="Times New Roman" w:hAnsi="Times New Roman" w:cs="Times New Roman"/>
                <w:i/>
                <w:lang w:val="ro-MD"/>
              </w:rPr>
              <w:t xml:space="preserve">emitent, după textul „de nivelul </w:t>
            </w:r>
            <w:proofErr w:type="spellStart"/>
            <w:r w:rsidRPr="008F34CF">
              <w:rPr>
                <w:rFonts w:ascii="Times New Roman" w:hAnsi="Times New Roman" w:cs="Times New Roman"/>
                <w:i/>
                <w:lang w:val="ro-MD"/>
              </w:rPr>
              <w:t>întîi</w:t>
            </w:r>
            <w:proofErr w:type="spellEnd"/>
            <w:r w:rsidRPr="008F34CF">
              <w:rPr>
                <w:rFonts w:ascii="Times New Roman" w:hAnsi="Times New Roman" w:cs="Times New Roman"/>
                <w:i/>
                <w:lang w:val="ro-MD"/>
              </w:rPr>
              <w:t>”</w:t>
            </w:r>
            <w:r w:rsidR="00DB2255" w:rsidRPr="008F34CF">
              <w:rPr>
                <w:rFonts w:ascii="Times New Roman" w:hAnsi="Times New Roman" w:cs="Times New Roman"/>
                <w:i/>
                <w:lang w:val="ro-MD"/>
              </w:rPr>
              <w:t>.</w:t>
            </w:r>
            <w:r w:rsidRPr="008F34CF">
              <w:rPr>
                <w:rFonts w:ascii="Times New Roman" w:hAnsi="Times New Roman" w:cs="Times New Roman"/>
                <w:i/>
                <w:lang w:val="ro-MD"/>
              </w:rPr>
              <w:t xml:space="preserve">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i/>
                <w:lang w:val="ro-MD"/>
              </w:rPr>
              <w:t xml:space="preserve">cu textul „ de nivelul doi și </w:t>
            </w:r>
            <w:r w:rsidRPr="008F34CF">
              <w:rPr>
                <w:rFonts w:ascii="Times New Roman" w:hAnsi="Times New Roman" w:cs="Times New Roman"/>
                <w:lang w:val="ro-MD"/>
              </w:rPr>
              <w:t>Instituția Publică Oficiul Amenajarea Teritoriului, Urbanism, Construcții și Locuințe.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1342B4" w:rsidRPr="008F34CF" w:rsidRDefault="001342B4" w:rsidP="001342B4">
            <w:pPr>
              <w:jc w:val="both"/>
              <w:rPr>
                <w:rFonts w:ascii="Times New Roman" w:hAnsi="Times New Roman" w:cs="Times New Roman"/>
                <w:shd w:val="clear" w:color="auto" w:fill="FFFFFF"/>
                <w:lang w:val="ro-MD"/>
              </w:rPr>
            </w:pPr>
            <w:r w:rsidRPr="008F34CF">
              <w:rPr>
                <w:rFonts w:ascii="Times New Roman" w:hAnsi="Times New Roman" w:cs="Times New Roman"/>
                <w:lang w:val="ro-MD"/>
              </w:rPr>
              <w:t xml:space="preserve">noțiunea de </w:t>
            </w:r>
            <w:r w:rsidRPr="008F34CF">
              <w:rPr>
                <w:rFonts w:ascii="Times New Roman" w:hAnsi="Times New Roman" w:cs="Times New Roman"/>
                <w:i/>
                <w:lang w:val="ro-MD"/>
              </w:rPr>
              <w:t xml:space="preserve">expert tehnic atesta </w:t>
            </w:r>
            <w:r w:rsidR="00DB2255" w:rsidRPr="008F34CF">
              <w:rPr>
                <w:rFonts w:ascii="Times New Roman" w:hAnsi="Times New Roman" w:cs="Times New Roman"/>
                <w:i/>
                <w:lang w:val="ro-MD"/>
              </w:rPr>
              <w:t>.</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se exclude.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64358F" w:rsidRPr="008F34CF" w:rsidRDefault="0064358F" w:rsidP="0064358F">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cuvintele </w:t>
            </w:r>
            <w:r w:rsidRPr="008F34CF">
              <w:rPr>
                <w:rFonts w:ascii="Times New Roman" w:hAnsi="Times New Roman" w:cs="Times New Roman"/>
                <w:lang w:val="ro-MD"/>
              </w:rPr>
              <w:t>„autorizația de construire”</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64358F"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64358F" w:rsidP="001342B4">
            <w:pPr>
              <w:jc w:val="both"/>
              <w:rPr>
                <w:rFonts w:ascii="Times New Roman" w:hAnsi="Times New Roman" w:cs="Times New Roman"/>
                <w:lang w:val="ro-MD"/>
              </w:rPr>
            </w:pPr>
            <w:r w:rsidRPr="008F34CF">
              <w:rPr>
                <w:rFonts w:ascii="Times New Roman" w:hAnsi="Times New Roman" w:cs="Times New Roman"/>
                <w:lang w:val="ro-MD"/>
              </w:rPr>
              <w:t>cu textul „autorizația de</w:t>
            </w:r>
            <w:r w:rsidRPr="008F34CF">
              <w:rPr>
                <w:rFonts w:ascii="Times New Roman" w:hAnsi="Times New Roman" w:cs="Times New Roman"/>
                <w:shd w:val="clear" w:color="auto" w:fill="FFFFFF"/>
                <w:lang w:val="ro-MD"/>
              </w:rPr>
              <w:t xml:space="preserve"> construire și/sau desființare”.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B86CE7" w:rsidRPr="008F34CF" w:rsidRDefault="00B86CE7" w:rsidP="00B86CE7">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„proprietarul terenului” se va completa cu textul</w:t>
            </w:r>
            <w:r w:rsidR="00DB2255" w:rsidRPr="008F34CF">
              <w:rPr>
                <w:rFonts w:ascii="Times New Roman" w:hAnsi="Times New Roman" w:cs="Times New Roman"/>
                <w:shd w:val="clear" w:color="auto" w:fill="FFFFFF"/>
                <w:lang w:val="ro-MD"/>
              </w:rPr>
              <w:t>.</w:t>
            </w:r>
            <w:r w:rsidRPr="008F34CF">
              <w:rPr>
                <w:rFonts w:ascii="Times New Roman" w:hAnsi="Times New Roman" w:cs="Times New Roman"/>
                <w:shd w:val="clear" w:color="auto" w:fill="FFFFFF"/>
                <w:lang w:val="ro-MD"/>
              </w:rPr>
              <w:t xml:space="preserve">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B86CE7"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B86CE7"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„;superficiarul, cu acordul scris al proprietarului terenului; în cazul rețelelor edilitare (inginerești), inclusiv de comunicații electronice, și al elementelor de infrastructură asociată acestor rețele – investitorul/beneficiarul sau furnizorul de rețele publice de comunicații electronice; în cazul drumurilor – beneficiarul; în cazul certificatului de urbanism informativ – orice persoană fizică sau juridică”.</w:t>
            </w:r>
          </w:p>
        </w:tc>
      </w:tr>
      <w:tr w:rsidR="001342B4" w:rsidRPr="008F34CF" w:rsidTr="00874B1D">
        <w:trPr>
          <w:trHeight w:val="41"/>
        </w:trPr>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DB2255" w:rsidRPr="008F34CF" w:rsidRDefault="00DB2255" w:rsidP="00DB2255">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„modelului anexat la prezentul Regulament”.</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DB2255"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DB2255"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cu textul „modelul de cerere conform anexei nr. 1, anexei nr. 2, anexei nr. 5 și anexei nr. 7 la Codul urbanismului și construcțiilor nr. 434/2023”.</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DB2255" w:rsidRPr="008F34CF" w:rsidRDefault="00DB2255" w:rsidP="00DB2255">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textul „emitentul va refuza recepționarea cererii în momentul depunerii acesteia de către solicitant”.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DB2255" w:rsidP="00DB2255">
            <w:pPr>
              <w:pStyle w:val="Heading4"/>
              <w:shd w:val="clear" w:color="auto" w:fill="FFFFFF"/>
              <w:spacing w:before="165" w:beforeAutospacing="0" w:after="165" w:afterAutospacing="0"/>
              <w:jc w:val="both"/>
              <w:outlineLvl w:val="3"/>
              <w:rPr>
                <w:b w:val="0"/>
                <w:sz w:val="22"/>
                <w:szCs w:val="22"/>
                <w:lang w:val="ro-MD"/>
              </w:rPr>
            </w:pPr>
            <w:r w:rsidRPr="008F34CF">
              <w:rPr>
                <w:b w:val="0"/>
                <w:sz w:val="22"/>
                <w:szCs w:val="22"/>
                <w:lang w:val="ro-MD"/>
              </w:rPr>
              <w:t>Temei Codul urbanismului și construcțiilor nr. 434/2023.</w:t>
            </w:r>
          </w:p>
        </w:tc>
        <w:tc>
          <w:tcPr>
            <w:tcW w:w="4678" w:type="dxa"/>
          </w:tcPr>
          <w:p w:rsidR="001342B4" w:rsidRPr="008F34CF" w:rsidRDefault="00DB2255"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cu textul „emitentul refuză, în formă scrisă, recepționarea cererii la momentul depunerii de către solicitant”.</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FD1AFA" w:rsidRPr="008F34CF" w:rsidRDefault="00FD1AFA" w:rsidP="00FD1AFA">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„în termen de cel mult 5 zile lucrătoare de la data apariției condiției în temeiul căreia emitentul refuză eliberarea actului”</w:t>
            </w:r>
            <w:r w:rsidR="008F34CF">
              <w:rPr>
                <w:rFonts w:ascii="Times New Roman" w:hAnsi="Times New Roman" w:cs="Times New Roman"/>
                <w:shd w:val="clear" w:color="auto" w:fill="FFFFFF"/>
                <w:lang w:val="ro-MD"/>
              </w:rPr>
              <w:t>.</w:t>
            </w:r>
            <w:r w:rsidRPr="008F34CF">
              <w:rPr>
                <w:rFonts w:ascii="Times New Roman" w:hAnsi="Times New Roman" w:cs="Times New Roman"/>
                <w:shd w:val="clear" w:color="auto" w:fill="FFFFFF"/>
                <w:lang w:val="ro-MD"/>
              </w:rPr>
              <w:t xml:space="preserve"> </w:t>
            </w:r>
          </w:p>
          <w:p w:rsidR="001342B4" w:rsidRPr="008F34CF" w:rsidRDefault="001342B4" w:rsidP="00FD1AFA">
            <w:pPr>
              <w:pStyle w:val="NormalWeb"/>
              <w:shd w:val="clear" w:color="auto" w:fill="FFFFFF"/>
              <w:spacing w:before="0" w:beforeAutospacing="0" w:after="0" w:afterAutospacing="0"/>
              <w:ind w:firstLine="709"/>
              <w:rPr>
                <w:rStyle w:val="Strong"/>
                <w:color w:val="333333"/>
                <w:sz w:val="22"/>
                <w:szCs w:val="22"/>
                <w:lang w:val="ro-MD"/>
              </w:rPr>
            </w:pPr>
          </w:p>
        </w:tc>
        <w:tc>
          <w:tcPr>
            <w:tcW w:w="3505" w:type="dxa"/>
          </w:tcPr>
          <w:p w:rsidR="001342B4" w:rsidRPr="008F34CF" w:rsidRDefault="00FD1AFA"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FD1AFA"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cu textul „în termen de 30 de zile de la data recepționării cererii, în care se expun motivele argumentate cu referințe exprese la normele care au servit drept temei pentru refuz”.</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FD1AFA" w:rsidRPr="008F34CF" w:rsidRDefault="00FD1AFA" w:rsidP="00FD1AFA">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Secțiunea a 6-a „Aplicarea principiului aprobării tacite”. </w:t>
            </w:r>
          </w:p>
          <w:p w:rsidR="001342B4" w:rsidRPr="008F34CF" w:rsidRDefault="001342B4" w:rsidP="00FD1AFA">
            <w:pPr>
              <w:ind w:firstLine="567"/>
              <w:jc w:val="both"/>
              <w:rPr>
                <w:rFonts w:ascii="Times New Roman" w:hAnsi="Times New Roman" w:cs="Times New Roman"/>
                <w:lang w:val="ro-MD"/>
              </w:rPr>
            </w:pPr>
          </w:p>
        </w:tc>
        <w:tc>
          <w:tcPr>
            <w:tcW w:w="3505" w:type="dxa"/>
          </w:tcPr>
          <w:p w:rsidR="001342B4" w:rsidRPr="008F34CF" w:rsidRDefault="00FD1AFA" w:rsidP="00FD1AFA">
            <w:pPr>
              <w:jc w:val="both"/>
              <w:rPr>
                <w:rFonts w:ascii="Times New Roman" w:hAnsi="Times New Roman" w:cs="Times New Roman"/>
                <w:lang w:val="ro-MD"/>
              </w:rPr>
            </w:pPr>
            <w:r w:rsidRPr="008F34CF">
              <w:rPr>
                <w:rFonts w:ascii="Times New Roman" w:hAnsi="Times New Roman" w:cs="Times New Roman"/>
                <w:lang w:val="ro-MD"/>
              </w:rPr>
              <w:t xml:space="preserve">Temei Codul urbanismului și construcțiilor nr. 434/2023 și  Legea 235/2006 cu privire la principiile de </w:t>
            </w:r>
            <w:r w:rsidRPr="008F34CF">
              <w:rPr>
                <w:rFonts w:ascii="Times New Roman" w:hAnsi="Times New Roman" w:cs="Times New Roman"/>
                <w:lang w:val="ro-MD"/>
              </w:rPr>
              <w:lastRenderedPageBreak/>
              <w:t>bază de reglementare a activității de întreprinzător.</w:t>
            </w:r>
          </w:p>
        </w:tc>
        <w:tc>
          <w:tcPr>
            <w:tcW w:w="4678" w:type="dxa"/>
          </w:tcPr>
          <w:p w:rsidR="001342B4" w:rsidRPr="008F34CF" w:rsidRDefault="00FD1AFA"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lastRenderedPageBreak/>
              <w:t>se abrogă.</w:t>
            </w:r>
          </w:p>
        </w:tc>
      </w:tr>
      <w:tr w:rsidR="00FD1AFA" w:rsidRPr="008F34CF" w:rsidTr="009456D1">
        <w:tc>
          <w:tcPr>
            <w:tcW w:w="1413" w:type="dxa"/>
          </w:tcPr>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H.G. 1469/2016</w:t>
            </w:r>
          </w:p>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330930" w:rsidRPr="00330930" w:rsidRDefault="00330930" w:rsidP="00330930">
            <w:pPr>
              <w:shd w:val="clear" w:color="auto" w:fill="FFFFFF"/>
              <w:ind w:firstLine="709"/>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46. În vederea avizării cererii și documentației anexate, emitentul va executa, prin intermediul SIA GEAP sau prin interacțiunea directă între emitent și entitățile menționate mai jos, următoarele acțiuni:</w:t>
            </w:r>
          </w:p>
          <w:p w:rsidR="00330930" w:rsidRPr="00330930" w:rsidRDefault="00330930" w:rsidP="00330930">
            <w:pPr>
              <w:shd w:val="clear" w:color="auto" w:fill="FFFFFF"/>
              <w:ind w:firstLine="709"/>
              <w:jc w:val="both"/>
              <w:rPr>
                <w:rFonts w:ascii="Times New Roman" w:eastAsia="Times New Roman" w:hAnsi="Times New Roman" w:cs="Times New Roman"/>
                <w:color w:val="333333"/>
              </w:rPr>
            </w:pPr>
            <w:r w:rsidRPr="00330930">
              <w:rPr>
                <w:rFonts w:ascii="Times New Roman" w:eastAsia="Times New Roman" w:hAnsi="Times New Roman" w:cs="Times New Roman"/>
                <w:color w:val="333333"/>
              </w:rPr>
              <w:t xml:space="preserve">1) </w:t>
            </w:r>
            <w:proofErr w:type="spellStart"/>
            <w:r w:rsidRPr="00330930">
              <w:rPr>
                <w:rFonts w:ascii="Times New Roman" w:eastAsia="Times New Roman" w:hAnsi="Times New Roman" w:cs="Times New Roman"/>
                <w:color w:val="333333"/>
              </w:rPr>
              <w:t>cererea</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eliberare</w:t>
            </w:r>
            <w:proofErr w:type="spellEnd"/>
            <w:r w:rsidRPr="00330930">
              <w:rPr>
                <w:rFonts w:ascii="Times New Roman" w:eastAsia="Times New Roman" w:hAnsi="Times New Roman" w:cs="Times New Roman"/>
                <w:color w:val="333333"/>
              </w:rPr>
              <w:t xml:space="preserve"> a </w:t>
            </w:r>
            <w:proofErr w:type="spellStart"/>
            <w:r w:rsidRPr="00330930">
              <w:rPr>
                <w:rFonts w:ascii="Times New Roman" w:eastAsia="Times New Roman" w:hAnsi="Times New Roman" w:cs="Times New Roman"/>
                <w:color w:val="333333"/>
              </w:rPr>
              <w:t>certificatului</w:t>
            </w:r>
            <w:proofErr w:type="spellEnd"/>
            <w:r w:rsidRPr="00330930">
              <w:rPr>
                <w:rFonts w:ascii="Times New Roman" w:eastAsia="Times New Roman" w:hAnsi="Times New Roman" w:cs="Times New Roman"/>
                <w:color w:val="333333"/>
              </w:rPr>
              <w:t xml:space="preserve"> de urbanism, </w:t>
            </w:r>
            <w:proofErr w:type="spellStart"/>
            <w:r w:rsidRPr="00330930">
              <w:rPr>
                <w:rFonts w:ascii="Times New Roman" w:eastAsia="Times New Roman" w:hAnsi="Times New Roman" w:cs="Times New Roman"/>
                <w:color w:val="333333"/>
              </w:rPr>
              <w:t>depusă</w:t>
            </w:r>
            <w:proofErr w:type="spellEnd"/>
            <w:r w:rsidRPr="00330930">
              <w:rPr>
                <w:rFonts w:ascii="Times New Roman" w:eastAsia="Times New Roman" w:hAnsi="Times New Roman" w:cs="Times New Roman"/>
                <w:color w:val="333333"/>
              </w:rPr>
              <w:t xml:space="preserve"> de solicitant, se </w:t>
            </w:r>
            <w:proofErr w:type="spellStart"/>
            <w:r w:rsidRPr="00330930">
              <w:rPr>
                <w:rFonts w:ascii="Times New Roman" w:eastAsia="Times New Roman" w:hAnsi="Times New Roman" w:cs="Times New Roman"/>
                <w:color w:val="333333"/>
              </w:rPr>
              <w:t>remite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Agenției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Naționale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Arheologice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vederea</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emiterii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avizului</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expertiză</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arheologică</w:t>
            </w:r>
            <w:proofErr w:type="spellEnd"/>
            <w:r w:rsidRPr="00330930">
              <w:rPr>
                <w:rFonts w:ascii="Times New Roman" w:eastAsia="Times New Roman" w:hAnsi="Times New Roman" w:cs="Times New Roman"/>
                <w:color w:val="333333"/>
              </w:rPr>
              <w:t xml:space="preserve"> –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cazul</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lucrărilor</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construcție</w:t>
            </w:r>
            <w:proofErr w:type="spellEnd"/>
            <w:r w:rsidRPr="00330930">
              <w:rPr>
                <w:rFonts w:ascii="Times New Roman" w:eastAsia="Times New Roman" w:hAnsi="Times New Roman" w:cs="Times New Roman"/>
                <w:color w:val="333333"/>
              </w:rPr>
              <w:t xml:space="preserve"> care </w:t>
            </w:r>
            <w:proofErr w:type="spellStart"/>
            <w:r w:rsidRPr="00330930">
              <w:rPr>
                <w:rFonts w:ascii="Times New Roman" w:eastAsia="Times New Roman" w:hAnsi="Times New Roman" w:cs="Times New Roman"/>
                <w:color w:val="333333"/>
              </w:rPr>
              <w:t>presupun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intervenţii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asupra</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solului</w:t>
            </w:r>
            <w:proofErr w:type="spellEnd"/>
            <w:r w:rsidRPr="00330930">
              <w:rPr>
                <w:rFonts w:ascii="Times New Roman" w:eastAsia="Times New Roman" w:hAnsi="Times New Roman" w:cs="Times New Roman"/>
                <w:color w:val="333333"/>
              </w:rPr>
              <w:t>;</w:t>
            </w:r>
          </w:p>
          <w:p w:rsidR="00330930" w:rsidRPr="00330930" w:rsidRDefault="00330930" w:rsidP="00330930">
            <w:pPr>
              <w:shd w:val="clear" w:color="auto" w:fill="FFFFFF"/>
              <w:ind w:firstLine="709"/>
              <w:jc w:val="both"/>
              <w:rPr>
                <w:rFonts w:ascii="Times New Roman" w:eastAsia="Times New Roman" w:hAnsi="Times New Roman" w:cs="Times New Roman"/>
                <w:color w:val="333333"/>
              </w:rPr>
            </w:pPr>
            <w:r w:rsidRPr="00330930">
              <w:rPr>
                <w:rFonts w:ascii="Times New Roman" w:eastAsia="Times New Roman" w:hAnsi="Times New Roman" w:cs="Times New Roman"/>
                <w:color w:val="333333"/>
              </w:rPr>
              <w:t xml:space="preserve"> 2) </w:t>
            </w:r>
            <w:proofErr w:type="spellStart"/>
            <w:proofErr w:type="gramStart"/>
            <w:r w:rsidRPr="00330930">
              <w:rPr>
                <w:rFonts w:ascii="Times New Roman" w:eastAsia="Times New Roman" w:hAnsi="Times New Roman" w:cs="Times New Roman"/>
                <w:color w:val="333333"/>
              </w:rPr>
              <w:t>schița</w:t>
            </w:r>
            <w:proofErr w:type="spellEnd"/>
            <w:proofErr w:type="gram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proiect</w:t>
            </w:r>
            <w:proofErr w:type="spellEnd"/>
            <w:r w:rsidRPr="00330930">
              <w:rPr>
                <w:rFonts w:ascii="Times New Roman" w:eastAsia="Times New Roman" w:hAnsi="Times New Roman" w:cs="Times New Roman"/>
                <w:color w:val="333333"/>
              </w:rPr>
              <w:t xml:space="preserve"> se </w:t>
            </w:r>
            <w:proofErr w:type="spellStart"/>
            <w:r w:rsidRPr="00330930">
              <w:rPr>
                <w:rFonts w:ascii="Times New Roman" w:eastAsia="Times New Roman" w:hAnsi="Times New Roman" w:cs="Times New Roman"/>
                <w:color w:val="333333"/>
              </w:rPr>
              <w:t>remite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pentru</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avizare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Centrului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Național</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Sănătate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Publică</w:t>
            </w:r>
            <w:proofErr w:type="spellEnd"/>
            <w:r w:rsidRPr="00330930">
              <w:rPr>
                <w:rFonts w:ascii="Times New Roman" w:eastAsia="Times New Roman" w:hAnsi="Times New Roman" w:cs="Times New Roman"/>
                <w:color w:val="333333"/>
              </w:rPr>
              <w:t>/</w:t>
            </w:r>
            <w:proofErr w:type="spellStart"/>
            <w:r w:rsidRPr="00330930">
              <w:rPr>
                <w:rFonts w:ascii="Times New Roman" w:eastAsia="Times New Roman" w:hAnsi="Times New Roman" w:cs="Times New Roman"/>
                <w:color w:val="333333"/>
              </w:rPr>
              <w:t>centrului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teritorial</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sănătate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publică</w:t>
            </w:r>
            <w:proofErr w:type="spellEnd"/>
            <w:r w:rsidRPr="00330930">
              <w:rPr>
                <w:rFonts w:ascii="Times New Roman" w:eastAsia="Times New Roman" w:hAnsi="Times New Roman" w:cs="Times New Roman"/>
                <w:color w:val="333333"/>
              </w:rPr>
              <w:t xml:space="preserve"> –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cazul</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amplasării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construcției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zonă</w:t>
            </w:r>
            <w:proofErr w:type="spellEnd"/>
            <w:r w:rsidRPr="00330930">
              <w:rPr>
                <w:rFonts w:ascii="Times New Roman" w:eastAsia="Times New Roman" w:hAnsi="Times New Roman" w:cs="Times New Roman"/>
                <w:color w:val="333333"/>
              </w:rPr>
              <w:t xml:space="preserve"> cu </w:t>
            </w:r>
            <w:proofErr w:type="spellStart"/>
            <w:r w:rsidRPr="00330930">
              <w:rPr>
                <w:rFonts w:ascii="Times New Roman" w:eastAsia="Times New Roman" w:hAnsi="Times New Roman" w:cs="Times New Roman"/>
                <w:color w:val="333333"/>
              </w:rPr>
              <w:t>regim</w:t>
            </w:r>
            <w:proofErr w:type="spellEnd"/>
            <w:r w:rsidRPr="00330930">
              <w:rPr>
                <w:rFonts w:ascii="Times New Roman" w:eastAsia="Times New Roman" w:hAnsi="Times New Roman" w:cs="Times New Roman"/>
                <w:color w:val="333333"/>
              </w:rPr>
              <w:t xml:space="preserve"> special </w:t>
            </w:r>
            <w:proofErr w:type="spellStart"/>
            <w:r w:rsidRPr="00330930">
              <w:rPr>
                <w:rFonts w:ascii="Times New Roman" w:eastAsia="Times New Roman" w:hAnsi="Times New Roman" w:cs="Times New Roman"/>
                <w:color w:val="333333"/>
              </w:rPr>
              <w:t>stabilit</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prin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documentația</w:t>
            </w:r>
            <w:proofErr w:type="spellEnd"/>
            <w:r w:rsidRPr="00330930">
              <w:rPr>
                <w:rFonts w:ascii="Times New Roman" w:eastAsia="Times New Roman" w:hAnsi="Times New Roman" w:cs="Times New Roman"/>
                <w:color w:val="333333"/>
              </w:rPr>
              <w:t xml:space="preserve"> de urbanism </w:t>
            </w:r>
            <w:proofErr w:type="spellStart"/>
            <w:r w:rsidRPr="00330930">
              <w:rPr>
                <w:rFonts w:ascii="Times New Roman" w:eastAsia="Times New Roman" w:hAnsi="Times New Roman" w:cs="Times New Roman"/>
                <w:color w:val="333333"/>
              </w:rPr>
              <w:t>și</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amenajare</w:t>
            </w:r>
            <w:proofErr w:type="spellEnd"/>
            <w:r w:rsidRPr="00330930">
              <w:rPr>
                <w:rFonts w:ascii="Times New Roman" w:eastAsia="Times New Roman" w:hAnsi="Times New Roman" w:cs="Times New Roman"/>
                <w:color w:val="333333"/>
              </w:rPr>
              <w:t xml:space="preserve"> a </w:t>
            </w:r>
            <w:proofErr w:type="spellStart"/>
            <w:r w:rsidRPr="00330930">
              <w:rPr>
                <w:rFonts w:ascii="Times New Roman" w:eastAsia="Times New Roman" w:hAnsi="Times New Roman" w:cs="Times New Roman"/>
                <w:color w:val="333333"/>
              </w:rPr>
              <w:t>teritoriului</w:t>
            </w:r>
            <w:proofErr w:type="spellEnd"/>
            <w:r w:rsidRPr="00330930">
              <w:rPr>
                <w:rFonts w:ascii="Times New Roman" w:eastAsia="Times New Roman" w:hAnsi="Times New Roman" w:cs="Times New Roman"/>
                <w:color w:val="333333"/>
              </w:rPr>
              <w:t>.</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330930"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FD1AFA" w:rsidRPr="008F34CF" w:rsidRDefault="00330930" w:rsidP="001342B4">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va avea următorul cuprins: În vederea emiterii actului solicitat emitentul, prin SIA GEAP transmite solicitări către autoritățile  relevante responsabile de emiterea avizelor pentru obținerea avizelor, inclusiv cu indicarea datelor de contact ale solicitantului. La întocmirea avizelor respective, autoritățile în cauză pot solicita, direct de la solicitant sau prin intermediul emitentului, documentele tehnice necesare dacă acestea sunt stabilite expres de legislația în domeniul respectiv și nu au fost anexate la cerere.</w:t>
            </w:r>
          </w:p>
        </w:tc>
      </w:tr>
      <w:tr w:rsidR="00FD1AFA" w:rsidRPr="008F34CF" w:rsidTr="009456D1">
        <w:tc>
          <w:tcPr>
            <w:tcW w:w="1413" w:type="dxa"/>
          </w:tcPr>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H.G. 1469/2016</w:t>
            </w:r>
          </w:p>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330930" w:rsidRPr="008F34CF" w:rsidRDefault="00330930" w:rsidP="0033093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textul „ în termen de cel  mult 20 zile lucrătoare”. </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330930"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FD1AFA" w:rsidRPr="008F34CF" w:rsidRDefault="00330930" w:rsidP="001342B4">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cu textul „în termen de 30 zile”.</w:t>
            </w:r>
          </w:p>
        </w:tc>
      </w:tr>
      <w:tr w:rsidR="00FD1AFA" w:rsidRPr="008F34CF" w:rsidTr="009456D1">
        <w:tc>
          <w:tcPr>
            <w:tcW w:w="1413" w:type="dxa"/>
          </w:tcPr>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H.G. 1469/2016</w:t>
            </w:r>
          </w:p>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330930" w:rsidRPr="00330930" w:rsidRDefault="00330930" w:rsidP="003E2E7C">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Emitentul refuză emiterea certificatului de urbanism, dacă intervine cel puțin una din următoarele condiții:</w:t>
            </w:r>
          </w:p>
          <w:p w:rsidR="00330930" w:rsidRPr="00330930" w:rsidRDefault="00330930" w:rsidP="003E2E7C">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 xml:space="preserve">1) în urma verificărilor efectuate conform pct.44 se constată că datele incluse în cerere și/sau documentele anexate </w:t>
            </w:r>
            <w:proofErr w:type="spellStart"/>
            <w:r w:rsidRPr="00330930">
              <w:rPr>
                <w:rFonts w:ascii="Times New Roman" w:eastAsia="Times New Roman" w:hAnsi="Times New Roman" w:cs="Times New Roman"/>
                <w:color w:val="333333"/>
                <w:lang w:val="ro-MD"/>
              </w:rPr>
              <w:t>sînt</w:t>
            </w:r>
            <w:proofErr w:type="spellEnd"/>
            <w:r w:rsidRPr="00330930">
              <w:rPr>
                <w:rFonts w:ascii="Times New Roman" w:eastAsia="Times New Roman" w:hAnsi="Times New Roman" w:cs="Times New Roman"/>
                <w:color w:val="333333"/>
                <w:lang w:val="ro-MD"/>
              </w:rPr>
              <w:t xml:space="preserve"> eronate;</w:t>
            </w:r>
          </w:p>
          <w:p w:rsidR="00330930" w:rsidRPr="00330930" w:rsidRDefault="00330930" w:rsidP="00EF0A40">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2) lucrările de construcție preconizate contravin legislației privind executarea lucrărilor de construcție, urbanism și amenajare a teritoriului;</w:t>
            </w:r>
          </w:p>
          <w:p w:rsidR="00330930" w:rsidRPr="00330930" w:rsidRDefault="00330930" w:rsidP="00EF0A40">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3) lucrările de construcție preconizate contravin documentației de urbanism și de amenajare a teritoriului localității respective;</w:t>
            </w:r>
          </w:p>
          <w:p w:rsidR="00330930" w:rsidRPr="00330930" w:rsidRDefault="00330930" w:rsidP="00EF0A40">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4) cel puțin una din entitățile de avizare, stabilite la pct. 46 și 52 a emis aviz negativ.</w:t>
            </w:r>
          </w:p>
          <w:p w:rsidR="00FD1AFA" w:rsidRPr="008F34CF" w:rsidRDefault="00FD1AFA" w:rsidP="00FD1AFA">
            <w:pPr>
              <w:jc w:val="both"/>
              <w:rPr>
                <w:rFonts w:ascii="Times New Roman" w:hAnsi="Times New Roman" w:cs="Times New Roman"/>
                <w:shd w:val="clear" w:color="auto" w:fill="FFFFFF"/>
              </w:rPr>
            </w:pPr>
          </w:p>
        </w:tc>
        <w:tc>
          <w:tcPr>
            <w:tcW w:w="3505" w:type="dxa"/>
          </w:tcPr>
          <w:p w:rsidR="00FD1AFA" w:rsidRPr="008F34CF" w:rsidRDefault="00330930"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330930" w:rsidRPr="008F34CF" w:rsidRDefault="00330930" w:rsidP="0033093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pct. 62 va avea  următorul cuprins:  „ Emitentul refuză emiterea certificatului de urbanism, dacă nu sunt anexate următoarele documentele:</w:t>
            </w:r>
          </w:p>
          <w:p w:rsidR="00330930" w:rsidRPr="008F34CF" w:rsidRDefault="00330930" w:rsidP="0033093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 </w:t>
            </w:r>
            <w:r w:rsidRPr="008F34CF">
              <w:rPr>
                <w:rFonts w:ascii="Times New Roman" w:eastAsia="Times New Roman" w:hAnsi="Times New Roman" w:cs="Times New Roman"/>
                <w:lang w:val="ro-MD"/>
              </w:rPr>
              <w:t>raportul de expertiză tehnică, elaborat de către experți tehnici atestați – în cazul lucrărilor de reconstrucție, restaurare, modificare sau consolidare a construcției sau, după caz, a încăperilor acesteia;</w:t>
            </w:r>
          </w:p>
          <w:p w:rsidR="00330930" w:rsidRPr="008F34CF" w:rsidRDefault="00330930" w:rsidP="00330930">
            <w:pPr>
              <w:shd w:val="clear" w:color="auto" w:fill="FFFFFF"/>
              <w:jc w:val="both"/>
              <w:rPr>
                <w:rFonts w:ascii="Times New Roman" w:eastAsia="Times New Roman" w:hAnsi="Times New Roman" w:cs="Times New Roman"/>
                <w:lang w:val="ro-MD"/>
              </w:rPr>
            </w:pPr>
            <w:r w:rsidRPr="008F34CF">
              <w:rPr>
                <w:rFonts w:ascii="Times New Roman" w:eastAsia="Times New Roman" w:hAnsi="Times New Roman" w:cs="Times New Roman"/>
                <w:lang w:val="ro-MD"/>
              </w:rPr>
              <w:t xml:space="preserve">- acordul scris al proprietarului. Sunt exceptați de obligația de a deține și de a prezenta acordul scris al proprietarului administrația și rezidenții zonelor economice libere, care au înregistrat dreptul de superficie în Registrul bunurilor imobile – pentru lucrările de dezvoltare a infrastructurii de producție (construirea halelor industriale) și a infrastructurii </w:t>
            </w:r>
            <w:proofErr w:type="spellStart"/>
            <w:r w:rsidRPr="008F34CF">
              <w:rPr>
                <w:rFonts w:ascii="Times New Roman" w:eastAsia="Times New Roman" w:hAnsi="Times New Roman" w:cs="Times New Roman"/>
                <w:lang w:val="ro-MD"/>
              </w:rPr>
              <w:t>tehnico</w:t>
            </w:r>
            <w:proofErr w:type="spellEnd"/>
            <w:r w:rsidRPr="008F34CF">
              <w:rPr>
                <w:rFonts w:ascii="Times New Roman" w:eastAsia="Times New Roman" w:hAnsi="Times New Roman" w:cs="Times New Roman"/>
                <w:lang w:val="ro-MD"/>
              </w:rPr>
              <w:t xml:space="preserve">-edilitare în zonele economice libere, </w:t>
            </w:r>
            <w:r w:rsidRPr="008F34CF">
              <w:rPr>
                <w:rFonts w:ascii="Times New Roman" w:eastAsia="Times New Roman" w:hAnsi="Times New Roman" w:cs="Times New Roman"/>
                <w:lang w:val="ro-MD"/>
              </w:rPr>
              <w:lastRenderedPageBreak/>
              <w:t>necesare desfășurării activităților prevăzute de Legea nr. 440/2001 cu privire la zonele economice libere;</w:t>
            </w:r>
          </w:p>
          <w:p w:rsidR="00330930" w:rsidRPr="008F34CF" w:rsidRDefault="00330930" w:rsidP="00330930">
            <w:pPr>
              <w:shd w:val="clear" w:color="auto" w:fill="FFFFFF"/>
              <w:jc w:val="both"/>
              <w:rPr>
                <w:rFonts w:ascii="Times New Roman" w:eastAsia="Times New Roman" w:hAnsi="Times New Roman" w:cs="Times New Roman"/>
                <w:lang w:val="ro-MD"/>
              </w:rPr>
            </w:pPr>
            <w:r w:rsidRPr="008F34CF">
              <w:rPr>
                <w:rFonts w:ascii="Times New Roman" w:eastAsia="Times New Roman" w:hAnsi="Times New Roman" w:cs="Times New Roman"/>
                <w:lang w:val="ro-MD"/>
              </w:rPr>
              <w:t>- acordul de mediu emis în rezultatul evaluării impactului asupra mediului – pentru activitățile planificate prevăzute în anexa nr. 1 la Legea nr. 86/2014 privind evaluarea impactului asupra mediului sau pentru lucrările pentru care este stabilită necesitatea efectuării evaluării impactului asupra mediului conform anexei nr. 2 la legea menționată;</w:t>
            </w:r>
          </w:p>
          <w:p w:rsidR="00330930" w:rsidRPr="008F34CF" w:rsidRDefault="00330930" w:rsidP="00330930">
            <w:pPr>
              <w:shd w:val="clear" w:color="auto" w:fill="FFFFFF"/>
              <w:jc w:val="both"/>
              <w:rPr>
                <w:rFonts w:ascii="Times New Roman" w:eastAsia="Times New Roman" w:hAnsi="Times New Roman" w:cs="Times New Roman"/>
                <w:lang w:val="ro-MD"/>
              </w:rPr>
            </w:pPr>
            <w:r w:rsidRPr="008F34CF">
              <w:rPr>
                <w:rFonts w:ascii="Times New Roman" w:eastAsia="Times New Roman" w:hAnsi="Times New Roman" w:cs="Times New Roman"/>
                <w:lang w:val="ro-MD"/>
              </w:rPr>
              <w:t>- 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pe terenurile și în zonele de protecție ale acestora.</w:t>
            </w:r>
          </w:p>
          <w:p w:rsidR="00FD1AFA" w:rsidRPr="008F34CF" w:rsidRDefault="00FD1AFA" w:rsidP="001342B4">
            <w:pPr>
              <w:jc w:val="both"/>
              <w:rPr>
                <w:rFonts w:ascii="Times New Roman" w:hAnsi="Times New Roman" w:cs="Times New Roman"/>
                <w:shd w:val="clear" w:color="auto" w:fill="FFFFFF"/>
                <w:lang w:val="ro-MD"/>
              </w:rPr>
            </w:pPr>
          </w:p>
        </w:tc>
      </w:tr>
      <w:tr w:rsidR="00FD1AFA" w:rsidRPr="008F34CF" w:rsidTr="009456D1">
        <w:tc>
          <w:tcPr>
            <w:tcW w:w="1413" w:type="dxa"/>
          </w:tcPr>
          <w:p w:rsidR="00330930" w:rsidRPr="008F34CF" w:rsidRDefault="00330930" w:rsidP="00330930">
            <w:pPr>
              <w:rPr>
                <w:rFonts w:ascii="Times New Roman" w:hAnsi="Times New Roman" w:cs="Times New Roman"/>
                <w:lang w:val="ro-MD"/>
              </w:rPr>
            </w:pPr>
            <w:r w:rsidRPr="008F34CF">
              <w:rPr>
                <w:rFonts w:ascii="Times New Roman" w:hAnsi="Times New Roman" w:cs="Times New Roman"/>
                <w:lang w:val="ro-MD"/>
              </w:rPr>
              <w:lastRenderedPageBreak/>
              <w:t>H.G. 1469/2016</w:t>
            </w:r>
          </w:p>
          <w:p w:rsidR="00FD1AFA" w:rsidRPr="008F34CF" w:rsidRDefault="00330930" w:rsidP="00330930">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EF0A40" w:rsidRPr="008F34CF" w:rsidRDefault="00EF0A40" w:rsidP="00EF0A4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w:t>
            </w:r>
            <w:r w:rsidRPr="008F34CF">
              <w:rPr>
                <w:rFonts w:ascii="Times New Roman" w:eastAsia="Times New Roman" w:hAnsi="Times New Roman" w:cs="Times New Roman"/>
                <w:lang w:val="ro-MD"/>
              </w:rPr>
              <w:t xml:space="preserve">și se eliberează în termen de cel mult 20 de zile lucrătoare de la data depunerii cererii și este valabil 6 luni”. </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EF0A40"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FD1AFA" w:rsidRPr="008F34CF" w:rsidRDefault="00EF0A40" w:rsidP="001342B4">
            <w:pPr>
              <w:jc w:val="both"/>
              <w:rPr>
                <w:rFonts w:ascii="Times New Roman" w:hAnsi="Times New Roman" w:cs="Times New Roman"/>
                <w:shd w:val="clear" w:color="auto" w:fill="FFFFFF"/>
                <w:lang w:val="ro-MD"/>
              </w:rPr>
            </w:pPr>
            <w:r w:rsidRPr="008F34CF">
              <w:rPr>
                <w:rFonts w:ascii="Times New Roman" w:eastAsia="Times New Roman" w:hAnsi="Times New Roman" w:cs="Times New Roman"/>
                <w:lang w:val="ro-MD"/>
              </w:rPr>
              <w:t>cu textul „</w:t>
            </w:r>
            <w:r w:rsidRPr="008F34CF">
              <w:rPr>
                <w:rFonts w:ascii="Times New Roman" w:hAnsi="Times New Roman" w:cs="Times New Roman"/>
                <w:shd w:val="clear" w:color="auto" w:fill="FFFFFF"/>
                <w:lang w:val="ro-MD"/>
              </w:rPr>
              <w:t xml:space="preserve"> și se emite în cel mult 20 de zile lucrătoare de la data înregistrării cererii respective și este valabil 12 luni”.</w:t>
            </w:r>
          </w:p>
        </w:tc>
      </w:tr>
      <w:tr w:rsidR="00FD1AFA" w:rsidRPr="008F34CF" w:rsidTr="009456D1">
        <w:tc>
          <w:tcPr>
            <w:tcW w:w="1413" w:type="dxa"/>
          </w:tcPr>
          <w:p w:rsidR="00330930" w:rsidRPr="008F34CF" w:rsidRDefault="00330930" w:rsidP="00330930">
            <w:pPr>
              <w:rPr>
                <w:rFonts w:ascii="Times New Roman" w:hAnsi="Times New Roman" w:cs="Times New Roman"/>
                <w:lang w:val="ro-MD"/>
              </w:rPr>
            </w:pPr>
            <w:r w:rsidRPr="008F34CF">
              <w:rPr>
                <w:rFonts w:ascii="Times New Roman" w:hAnsi="Times New Roman" w:cs="Times New Roman"/>
                <w:lang w:val="ro-MD"/>
              </w:rPr>
              <w:t>H.G. 1469/2016</w:t>
            </w:r>
          </w:p>
          <w:p w:rsidR="00FD1AFA" w:rsidRPr="008F34CF" w:rsidRDefault="00330930" w:rsidP="00330930">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9E4068" w:rsidRPr="008F34CF" w:rsidRDefault="009E4068" w:rsidP="009E4068">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textul „ va conține </w:t>
            </w:r>
            <w:r w:rsidRPr="008F34CF">
              <w:rPr>
                <w:rFonts w:ascii="Times New Roman" w:eastAsia="Times New Roman" w:hAnsi="Times New Roman" w:cs="Times New Roman"/>
                <w:lang w:val="ro-MD"/>
              </w:rPr>
              <w:t xml:space="preserve">elementele stabilite la art.9 din Legea nr.163 din 9 iulie 2010 privind autorizarea executării lucrărilor de construcție”.  </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9E4068"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FD1AFA" w:rsidRPr="008F34CF" w:rsidRDefault="009E4068" w:rsidP="001342B4">
            <w:pPr>
              <w:jc w:val="both"/>
              <w:rPr>
                <w:rFonts w:ascii="Times New Roman" w:hAnsi="Times New Roman" w:cs="Times New Roman"/>
                <w:shd w:val="clear" w:color="auto" w:fill="FFFFFF"/>
                <w:lang w:val="ro-MD"/>
              </w:rPr>
            </w:pPr>
            <w:r w:rsidRPr="008F34CF">
              <w:rPr>
                <w:rFonts w:ascii="Times New Roman" w:eastAsia="Times New Roman" w:hAnsi="Times New Roman" w:cs="Times New Roman"/>
                <w:lang w:val="ro-MD"/>
              </w:rPr>
              <w:t xml:space="preserve">cu textul „va conține </w:t>
            </w:r>
            <w:r w:rsidRPr="008F34CF">
              <w:rPr>
                <w:rFonts w:ascii="Times New Roman" w:hAnsi="Times New Roman" w:cs="Times New Roman"/>
                <w:shd w:val="clear" w:color="auto" w:fill="FFFFFF"/>
                <w:lang w:val="ro-MD"/>
              </w:rPr>
              <w:t>prescripții și componente care caracterizează regimul juridic, tehnic și arhitectural-urbanistic al unei construcții/al unui teren, stabilite în documentația de amenajare a teritoriului și de urbanism”.</w:t>
            </w:r>
          </w:p>
        </w:tc>
      </w:tr>
      <w:tr w:rsidR="00EF0A40" w:rsidRPr="008F34CF" w:rsidTr="009456D1">
        <w:tc>
          <w:tcPr>
            <w:tcW w:w="1413" w:type="dxa"/>
          </w:tcPr>
          <w:p w:rsidR="00EF0A40" w:rsidRPr="008F34CF" w:rsidRDefault="00EF0A40" w:rsidP="00EF0A40">
            <w:pPr>
              <w:rPr>
                <w:rFonts w:ascii="Times New Roman" w:hAnsi="Times New Roman" w:cs="Times New Roman"/>
                <w:lang w:val="ro-MD"/>
              </w:rPr>
            </w:pPr>
            <w:r w:rsidRPr="008F34CF">
              <w:rPr>
                <w:rFonts w:ascii="Times New Roman" w:hAnsi="Times New Roman" w:cs="Times New Roman"/>
                <w:lang w:val="ro-MD"/>
              </w:rPr>
              <w:t>H.G. 1469/2016</w:t>
            </w:r>
          </w:p>
          <w:p w:rsidR="00EF0A40" w:rsidRPr="008F34CF" w:rsidRDefault="00EF0A40" w:rsidP="009E4068">
            <w:pPr>
              <w:rPr>
                <w:rFonts w:ascii="Times New Roman" w:hAnsi="Times New Roman" w:cs="Times New Roman"/>
                <w:lang w:val="ro-MD"/>
              </w:rPr>
            </w:pPr>
            <w:r w:rsidRPr="008F34CF">
              <w:rPr>
                <w:rFonts w:ascii="Times New Roman" w:hAnsi="Times New Roman" w:cs="Times New Roman"/>
                <w:lang w:val="ro-MD"/>
              </w:rPr>
              <w:t xml:space="preserve">Anexa. </w:t>
            </w:r>
            <w:r w:rsidR="009E4068" w:rsidRPr="008F34CF">
              <w:rPr>
                <w:rFonts w:ascii="Times New Roman" w:hAnsi="Times New Roman" w:cs="Times New Roman"/>
                <w:lang w:val="ro-MD"/>
              </w:rPr>
              <w:t>3</w:t>
            </w:r>
          </w:p>
        </w:tc>
        <w:tc>
          <w:tcPr>
            <w:tcW w:w="4149" w:type="dxa"/>
          </w:tcPr>
          <w:p w:rsidR="009E4068" w:rsidRPr="008F34CF" w:rsidRDefault="009E4068" w:rsidP="009E4068">
            <w:pPr>
              <w:jc w:val="both"/>
              <w:rPr>
                <w:rFonts w:ascii="Times New Roman" w:hAnsi="Times New Roman" w:cs="Times New Roman"/>
                <w:lang w:val="ro-MD"/>
              </w:rPr>
            </w:pPr>
            <w:r w:rsidRPr="008F34CF">
              <w:rPr>
                <w:rFonts w:ascii="Times New Roman" w:hAnsi="Times New Roman" w:cs="Times New Roman"/>
                <w:shd w:val="clear" w:color="auto" w:fill="FFFFFF"/>
                <w:lang w:val="ro-MD"/>
              </w:rPr>
              <w:t>textul „Serviciului de Supraveghere de Stat a Sănătății Publice” se substituie cu textul „</w:t>
            </w:r>
            <w:r w:rsidRPr="008F34CF">
              <w:rPr>
                <w:rFonts w:ascii="Times New Roman" w:hAnsi="Times New Roman" w:cs="Times New Roman"/>
                <w:lang w:val="ro-MD"/>
              </w:rPr>
              <w:t>Agenția Națională pentru Sănătate Publică”.</w:t>
            </w:r>
          </w:p>
          <w:p w:rsidR="00EF0A40" w:rsidRPr="008F34CF" w:rsidRDefault="00EF0A40" w:rsidP="00FD1AFA">
            <w:pPr>
              <w:jc w:val="both"/>
              <w:rPr>
                <w:rFonts w:ascii="Times New Roman" w:hAnsi="Times New Roman" w:cs="Times New Roman"/>
                <w:shd w:val="clear" w:color="auto" w:fill="FFFFFF"/>
                <w:lang w:val="ro-MD"/>
              </w:rPr>
            </w:pPr>
          </w:p>
        </w:tc>
        <w:tc>
          <w:tcPr>
            <w:tcW w:w="3505" w:type="dxa"/>
          </w:tcPr>
          <w:p w:rsidR="00EF0A40" w:rsidRPr="008F34CF" w:rsidRDefault="00EF0A40" w:rsidP="00FD1AFA">
            <w:pPr>
              <w:jc w:val="both"/>
              <w:rPr>
                <w:rFonts w:ascii="Times New Roman" w:hAnsi="Times New Roman" w:cs="Times New Roman"/>
                <w:lang w:val="ro-MD"/>
              </w:rPr>
            </w:pPr>
          </w:p>
        </w:tc>
        <w:tc>
          <w:tcPr>
            <w:tcW w:w="4678" w:type="dxa"/>
          </w:tcPr>
          <w:p w:rsidR="00EF0A40" w:rsidRPr="008F34CF" w:rsidRDefault="00EF0A40" w:rsidP="001342B4">
            <w:pPr>
              <w:jc w:val="both"/>
              <w:rPr>
                <w:rFonts w:ascii="Times New Roman" w:hAnsi="Times New Roman" w:cs="Times New Roman"/>
                <w:shd w:val="clear" w:color="auto" w:fill="FFFFFF"/>
                <w:lang w:val="ro-MD"/>
              </w:rPr>
            </w:pPr>
          </w:p>
        </w:tc>
      </w:tr>
    </w:tbl>
    <w:p w:rsidR="007A1262" w:rsidRPr="008F34CF" w:rsidRDefault="007A1262" w:rsidP="008F34CF">
      <w:pPr>
        <w:jc w:val="center"/>
        <w:rPr>
          <w:rFonts w:ascii="Times New Roman" w:hAnsi="Times New Roman" w:cs="Times New Roman"/>
          <w:b/>
          <w:lang w:val="ro-MD"/>
        </w:rPr>
      </w:pPr>
    </w:p>
    <w:sectPr w:rsidR="007A1262" w:rsidRPr="008F34CF"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67"/>
    <w:rsid w:val="00004F58"/>
    <w:rsid w:val="0000608A"/>
    <w:rsid w:val="00013A22"/>
    <w:rsid w:val="000249E3"/>
    <w:rsid w:val="00046E07"/>
    <w:rsid w:val="000542BD"/>
    <w:rsid w:val="000570FA"/>
    <w:rsid w:val="00057193"/>
    <w:rsid w:val="000665E9"/>
    <w:rsid w:val="00066EB9"/>
    <w:rsid w:val="00066FEF"/>
    <w:rsid w:val="000862A3"/>
    <w:rsid w:val="000A19BC"/>
    <w:rsid w:val="000B4E90"/>
    <w:rsid w:val="000D5FA5"/>
    <w:rsid w:val="000D789A"/>
    <w:rsid w:val="000E0E05"/>
    <w:rsid w:val="000F4EFD"/>
    <w:rsid w:val="00105F57"/>
    <w:rsid w:val="00111380"/>
    <w:rsid w:val="001142CB"/>
    <w:rsid w:val="00115AA6"/>
    <w:rsid w:val="001342B4"/>
    <w:rsid w:val="001408D0"/>
    <w:rsid w:val="00143B85"/>
    <w:rsid w:val="00146A0F"/>
    <w:rsid w:val="00184FB2"/>
    <w:rsid w:val="001A454A"/>
    <w:rsid w:val="001B6AC8"/>
    <w:rsid w:val="001C7FEC"/>
    <w:rsid w:val="001F6ABD"/>
    <w:rsid w:val="00223936"/>
    <w:rsid w:val="002270E6"/>
    <w:rsid w:val="00243F79"/>
    <w:rsid w:val="00257AE0"/>
    <w:rsid w:val="00257AE7"/>
    <w:rsid w:val="00266800"/>
    <w:rsid w:val="0026692D"/>
    <w:rsid w:val="00267988"/>
    <w:rsid w:val="00282EB2"/>
    <w:rsid w:val="002A4A9F"/>
    <w:rsid w:val="002B1681"/>
    <w:rsid w:val="002B4008"/>
    <w:rsid w:val="002C1606"/>
    <w:rsid w:val="002C69DC"/>
    <w:rsid w:val="002D6958"/>
    <w:rsid w:val="002F3D60"/>
    <w:rsid w:val="002F5E0C"/>
    <w:rsid w:val="0030067B"/>
    <w:rsid w:val="003017FA"/>
    <w:rsid w:val="00323CAB"/>
    <w:rsid w:val="00330930"/>
    <w:rsid w:val="00334735"/>
    <w:rsid w:val="0033735C"/>
    <w:rsid w:val="00341F37"/>
    <w:rsid w:val="00352EED"/>
    <w:rsid w:val="00355D7B"/>
    <w:rsid w:val="00364F67"/>
    <w:rsid w:val="00367943"/>
    <w:rsid w:val="00367F04"/>
    <w:rsid w:val="003718E9"/>
    <w:rsid w:val="003774A8"/>
    <w:rsid w:val="0038018E"/>
    <w:rsid w:val="00382FBE"/>
    <w:rsid w:val="003A5C83"/>
    <w:rsid w:val="003A7C9E"/>
    <w:rsid w:val="003C5869"/>
    <w:rsid w:val="003E2E7C"/>
    <w:rsid w:val="003E4658"/>
    <w:rsid w:val="003E7789"/>
    <w:rsid w:val="003F552C"/>
    <w:rsid w:val="00401F65"/>
    <w:rsid w:val="004046E6"/>
    <w:rsid w:val="00410815"/>
    <w:rsid w:val="0041331B"/>
    <w:rsid w:val="00427DB2"/>
    <w:rsid w:val="00434C32"/>
    <w:rsid w:val="00437816"/>
    <w:rsid w:val="0045359F"/>
    <w:rsid w:val="00465808"/>
    <w:rsid w:val="0047454E"/>
    <w:rsid w:val="0047538A"/>
    <w:rsid w:val="00475433"/>
    <w:rsid w:val="00481BAE"/>
    <w:rsid w:val="00492B0F"/>
    <w:rsid w:val="004970EC"/>
    <w:rsid w:val="004A759E"/>
    <w:rsid w:val="004D6E59"/>
    <w:rsid w:val="004E1B6F"/>
    <w:rsid w:val="00505472"/>
    <w:rsid w:val="005255EA"/>
    <w:rsid w:val="00533811"/>
    <w:rsid w:val="0055432F"/>
    <w:rsid w:val="00573A56"/>
    <w:rsid w:val="0059155C"/>
    <w:rsid w:val="00596228"/>
    <w:rsid w:val="005A4831"/>
    <w:rsid w:val="005B1323"/>
    <w:rsid w:val="005B312A"/>
    <w:rsid w:val="005D320D"/>
    <w:rsid w:val="005E3833"/>
    <w:rsid w:val="005E5AFE"/>
    <w:rsid w:val="0060092C"/>
    <w:rsid w:val="00604063"/>
    <w:rsid w:val="0063010A"/>
    <w:rsid w:val="006317B3"/>
    <w:rsid w:val="006343B1"/>
    <w:rsid w:val="006355E5"/>
    <w:rsid w:val="00636B4A"/>
    <w:rsid w:val="00642913"/>
    <w:rsid w:val="0064358F"/>
    <w:rsid w:val="00676D1D"/>
    <w:rsid w:val="00683A49"/>
    <w:rsid w:val="006A599F"/>
    <w:rsid w:val="006E13AF"/>
    <w:rsid w:val="006F1B15"/>
    <w:rsid w:val="006F31CD"/>
    <w:rsid w:val="00704FED"/>
    <w:rsid w:val="007056C5"/>
    <w:rsid w:val="00724CB5"/>
    <w:rsid w:val="00731CC5"/>
    <w:rsid w:val="00742696"/>
    <w:rsid w:val="00751A4E"/>
    <w:rsid w:val="00752267"/>
    <w:rsid w:val="00767DF4"/>
    <w:rsid w:val="00775052"/>
    <w:rsid w:val="00784908"/>
    <w:rsid w:val="0079147A"/>
    <w:rsid w:val="00796D16"/>
    <w:rsid w:val="007A1262"/>
    <w:rsid w:val="007A12C3"/>
    <w:rsid w:val="007B328D"/>
    <w:rsid w:val="007B5920"/>
    <w:rsid w:val="007C1BDE"/>
    <w:rsid w:val="007D01A6"/>
    <w:rsid w:val="008272DC"/>
    <w:rsid w:val="008276A8"/>
    <w:rsid w:val="00830156"/>
    <w:rsid w:val="00830729"/>
    <w:rsid w:val="00855AEE"/>
    <w:rsid w:val="00864EEF"/>
    <w:rsid w:val="00870B19"/>
    <w:rsid w:val="00874B1D"/>
    <w:rsid w:val="008A2AAF"/>
    <w:rsid w:val="008B18AA"/>
    <w:rsid w:val="008F2BCA"/>
    <w:rsid w:val="008F34CF"/>
    <w:rsid w:val="00905CC5"/>
    <w:rsid w:val="00906B51"/>
    <w:rsid w:val="009107E4"/>
    <w:rsid w:val="00912255"/>
    <w:rsid w:val="00923B70"/>
    <w:rsid w:val="00930BB2"/>
    <w:rsid w:val="009338E6"/>
    <w:rsid w:val="00937849"/>
    <w:rsid w:val="0094107F"/>
    <w:rsid w:val="009434BC"/>
    <w:rsid w:val="009456D1"/>
    <w:rsid w:val="00953C81"/>
    <w:rsid w:val="0095657B"/>
    <w:rsid w:val="0096579E"/>
    <w:rsid w:val="0097508A"/>
    <w:rsid w:val="009803DD"/>
    <w:rsid w:val="00981EB4"/>
    <w:rsid w:val="009840AC"/>
    <w:rsid w:val="00987D57"/>
    <w:rsid w:val="009A12E3"/>
    <w:rsid w:val="009A76C7"/>
    <w:rsid w:val="009C70F5"/>
    <w:rsid w:val="009E4068"/>
    <w:rsid w:val="009E5476"/>
    <w:rsid w:val="009E7487"/>
    <w:rsid w:val="00A05E90"/>
    <w:rsid w:val="00A13300"/>
    <w:rsid w:val="00A15F9C"/>
    <w:rsid w:val="00A220ED"/>
    <w:rsid w:val="00A31690"/>
    <w:rsid w:val="00A33EDA"/>
    <w:rsid w:val="00A4324E"/>
    <w:rsid w:val="00A50D6C"/>
    <w:rsid w:val="00A54297"/>
    <w:rsid w:val="00A5696D"/>
    <w:rsid w:val="00A6264B"/>
    <w:rsid w:val="00A62DB1"/>
    <w:rsid w:val="00A64135"/>
    <w:rsid w:val="00A648E9"/>
    <w:rsid w:val="00A65033"/>
    <w:rsid w:val="00A6589E"/>
    <w:rsid w:val="00A90F5A"/>
    <w:rsid w:val="00AA0F6A"/>
    <w:rsid w:val="00AA3721"/>
    <w:rsid w:val="00AA4CFE"/>
    <w:rsid w:val="00AC12B9"/>
    <w:rsid w:val="00AC185D"/>
    <w:rsid w:val="00AD7D4E"/>
    <w:rsid w:val="00B02A3A"/>
    <w:rsid w:val="00B17B5E"/>
    <w:rsid w:val="00B17F53"/>
    <w:rsid w:val="00B22E8D"/>
    <w:rsid w:val="00B25CF5"/>
    <w:rsid w:val="00B260F8"/>
    <w:rsid w:val="00B262F1"/>
    <w:rsid w:val="00B33715"/>
    <w:rsid w:val="00B40AE6"/>
    <w:rsid w:val="00B52016"/>
    <w:rsid w:val="00B5743B"/>
    <w:rsid w:val="00B86CE7"/>
    <w:rsid w:val="00B96A04"/>
    <w:rsid w:val="00BA13F4"/>
    <w:rsid w:val="00BC3BCB"/>
    <w:rsid w:val="00BD6F6F"/>
    <w:rsid w:val="00BE524E"/>
    <w:rsid w:val="00BF339F"/>
    <w:rsid w:val="00C01E7E"/>
    <w:rsid w:val="00C25889"/>
    <w:rsid w:val="00C25D7D"/>
    <w:rsid w:val="00C26020"/>
    <w:rsid w:val="00C34710"/>
    <w:rsid w:val="00C407B5"/>
    <w:rsid w:val="00C430AA"/>
    <w:rsid w:val="00C47383"/>
    <w:rsid w:val="00C52729"/>
    <w:rsid w:val="00C53736"/>
    <w:rsid w:val="00C8634E"/>
    <w:rsid w:val="00C86D03"/>
    <w:rsid w:val="00CD010B"/>
    <w:rsid w:val="00CD21CE"/>
    <w:rsid w:val="00CE2A6A"/>
    <w:rsid w:val="00CF19DF"/>
    <w:rsid w:val="00CF4887"/>
    <w:rsid w:val="00D019DB"/>
    <w:rsid w:val="00D02310"/>
    <w:rsid w:val="00D1580B"/>
    <w:rsid w:val="00D27836"/>
    <w:rsid w:val="00D30567"/>
    <w:rsid w:val="00D40084"/>
    <w:rsid w:val="00D410D0"/>
    <w:rsid w:val="00D51A8C"/>
    <w:rsid w:val="00D74D1D"/>
    <w:rsid w:val="00D80EBA"/>
    <w:rsid w:val="00D85B55"/>
    <w:rsid w:val="00D91973"/>
    <w:rsid w:val="00DB2255"/>
    <w:rsid w:val="00DC25EB"/>
    <w:rsid w:val="00DC715C"/>
    <w:rsid w:val="00DD1844"/>
    <w:rsid w:val="00DE124C"/>
    <w:rsid w:val="00DF2BA2"/>
    <w:rsid w:val="00DF7E6F"/>
    <w:rsid w:val="00E10D24"/>
    <w:rsid w:val="00E11DF7"/>
    <w:rsid w:val="00E12779"/>
    <w:rsid w:val="00E135DD"/>
    <w:rsid w:val="00E142D5"/>
    <w:rsid w:val="00E22116"/>
    <w:rsid w:val="00E22B3E"/>
    <w:rsid w:val="00E242EE"/>
    <w:rsid w:val="00E31825"/>
    <w:rsid w:val="00E37F00"/>
    <w:rsid w:val="00E47C16"/>
    <w:rsid w:val="00E55BD7"/>
    <w:rsid w:val="00E71F3C"/>
    <w:rsid w:val="00E76BA5"/>
    <w:rsid w:val="00E77047"/>
    <w:rsid w:val="00E92516"/>
    <w:rsid w:val="00E943BE"/>
    <w:rsid w:val="00EA1539"/>
    <w:rsid w:val="00EB1F88"/>
    <w:rsid w:val="00EB70FA"/>
    <w:rsid w:val="00EE6A67"/>
    <w:rsid w:val="00EF0A40"/>
    <w:rsid w:val="00EF42E6"/>
    <w:rsid w:val="00EF6AE6"/>
    <w:rsid w:val="00F13F1E"/>
    <w:rsid w:val="00F151A0"/>
    <w:rsid w:val="00F162B8"/>
    <w:rsid w:val="00F2187C"/>
    <w:rsid w:val="00F42F0D"/>
    <w:rsid w:val="00F5009B"/>
    <w:rsid w:val="00F707F6"/>
    <w:rsid w:val="00F72348"/>
    <w:rsid w:val="00F72778"/>
    <w:rsid w:val="00F83742"/>
    <w:rsid w:val="00F87216"/>
    <w:rsid w:val="00F95676"/>
    <w:rsid w:val="00FA17F7"/>
    <w:rsid w:val="00FA1871"/>
    <w:rsid w:val="00FA295A"/>
    <w:rsid w:val="00FB2F2D"/>
    <w:rsid w:val="00FD1AFA"/>
    <w:rsid w:val="00FD779F"/>
    <w:rsid w:val="00FE31B1"/>
    <w:rsid w:val="00FE5650"/>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F42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958"/>
    <w:pPr>
      <w:ind w:left="720"/>
      <w:contextualSpacing/>
    </w:pPr>
  </w:style>
  <w:style w:type="character" w:customStyle="1" w:styleId="Heading4Char">
    <w:name w:val="Heading 4 Char"/>
    <w:basedOn w:val="DefaultParagraphFont"/>
    <w:link w:val="Heading4"/>
    <w:uiPriority w:val="9"/>
    <w:rsid w:val="00EF42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17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0210">
      <w:bodyDiv w:val="1"/>
      <w:marLeft w:val="0"/>
      <w:marRight w:val="0"/>
      <w:marTop w:val="0"/>
      <w:marBottom w:val="0"/>
      <w:divBdr>
        <w:top w:val="none" w:sz="0" w:space="0" w:color="auto"/>
        <w:left w:val="none" w:sz="0" w:space="0" w:color="auto"/>
        <w:bottom w:val="none" w:sz="0" w:space="0" w:color="auto"/>
        <w:right w:val="none" w:sz="0" w:space="0" w:color="auto"/>
      </w:divBdr>
    </w:div>
    <w:div w:id="624048263">
      <w:bodyDiv w:val="1"/>
      <w:marLeft w:val="0"/>
      <w:marRight w:val="0"/>
      <w:marTop w:val="0"/>
      <w:marBottom w:val="0"/>
      <w:divBdr>
        <w:top w:val="none" w:sz="0" w:space="0" w:color="auto"/>
        <w:left w:val="none" w:sz="0" w:space="0" w:color="auto"/>
        <w:bottom w:val="none" w:sz="0" w:space="0" w:color="auto"/>
        <w:right w:val="none" w:sz="0" w:space="0" w:color="auto"/>
      </w:divBdr>
    </w:div>
    <w:div w:id="678656005">
      <w:bodyDiv w:val="1"/>
      <w:marLeft w:val="0"/>
      <w:marRight w:val="0"/>
      <w:marTop w:val="0"/>
      <w:marBottom w:val="0"/>
      <w:divBdr>
        <w:top w:val="none" w:sz="0" w:space="0" w:color="auto"/>
        <w:left w:val="none" w:sz="0" w:space="0" w:color="auto"/>
        <w:bottom w:val="none" w:sz="0" w:space="0" w:color="auto"/>
        <w:right w:val="none" w:sz="0" w:space="0" w:color="auto"/>
      </w:divBdr>
    </w:div>
    <w:div w:id="697782805">
      <w:bodyDiv w:val="1"/>
      <w:marLeft w:val="0"/>
      <w:marRight w:val="0"/>
      <w:marTop w:val="0"/>
      <w:marBottom w:val="0"/>
      <w:divBdr>
        <w:top w:val="none" w:sz="0" w:space="0" w:color="auto"/>
        <w:left w:val="none" w:sz="0" w:space="0" w:color="auto"/>
        <w:bottom w:val="none" w:sz="0" w:space="0" w:color="auto"/>
        <w:right w:val="none" w:sz="0" w:space="0" w:color="auto"/>
      </w:divBdr>
    </w:div>
    <w:div w:id="1335887287">
      <w:bodyDiv w:val="1"/>
      <w:marLeft w:val="0"/>
      <w:marRight w:val="0"/>
      <w:marTop w:val="0"/>
      <w:marBottom w:val="0"/>
      <w:divBdr>
        <w:top w:val="none" w:sz="0" w:space="0" w:color="auto"/>
        <w:left w:val="none" w:sz="0" w:space="0" w:color="auto"/>
        <w:bottom w:val="none" w:sz="0" w:space="0" w:color="auto"/>
        <w:right w:val="none" w:sz="0" w:space="0" w:color="auto"/>
      </w:divBdr>
    </w:div>
    <w:div w:id="1568565349">
      <w:bodyDiv w:val="1"/>
      <w:marLeft w:val="0"/>
      <w:marRight w:val="0"/>
      <w:marTop w:val="0"/>
      <w:marBottom w:val="0"/>
      <w:divBdr>
        <w:top w:val="none" w:sz="0" w:space="0" w:color="auto"/>
        <w:left w:val="none" w:sz="0" w:space="0" w:color="auto"/>
        <w:bottom w:val="none" w:sz="0" w:space="0" w:color="auto"/>
        <w:right w:val="none" w:sz="0" w:space="0" w:color="auto"/>
      </w:divBdr>
    </w:div>
    <w:div w:id="15915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1808</Words>
  <Characters>10309</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Marina Ciobanu</cp:lastModifiedBy>
  <cp:revision>2</cp:revision>
  <dcterms:created xsi:type="dcterms:W3CDTF">2025-09-01T12:17:00Z</dcterms:created>
  <dcterms:modified xsi:type="dcterms:W3CDTF">2025-09-01T12:17:00Z</dcterms:modified>
</cp:coreProperties>
</file>