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0E7B" w14:textId="77777777" w:rsidR="008B4BE6" w:rsidRPr="00DA0DE1" w:rsidRDefault="006933C3"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MD"/>
        </w:rPr>
      </w:pPr>
      <w:r w:rsidRPr="00DA0DE1">
        <w:rPr>
          <w:b/>
          <w:sz w:val="24"/>
          <w:szCs w:val="24"/>
          <w:lang w:val="ro-MD"/>
        </w:rPr>
        <w:t>NOTA</w:t>
      </w:r>
      <w:r w:rsidR="00032B46" w:rsidRPr="00DA0DE1">
        <w:rPr>
          <w:b/>
          <w:sz w:val="24"/>
          <w:szCs w:val="24"/>
          <w:lang w:val="ro-MD"/>
        </w:rPr>
        <w:t xml:space="preserve"> </w:t>
      </w:r>
      <w:r w:rsidRPr="00DA0DE1">
        <w:rPr>
          <w:b/>
          <w:sz w:val="24"/>
          <w:szCs w:val="24"/>
          <w:lang w:val="ro-MD"/>
        </w:rPr>
        <w:t>DE</w:t>
      </w:r>
      <w:r w:rsidR="00032B46" w:rsidRPr="00DA0DE1">
        <w:rPr>
          <w:b/>
          <w:sz w:val="24"/>
          <w:szCs w:val="24"/>
          <w:lang w:val="ro-MD"/>
        </w:rPr>
        <w:t xml:space="preserve"> </w:t>
      </w:r>
      <w:r w:rsidRPr="00DA0DE1">
        <w:rPr>
          <w:b/>
          <w:sz w:val="24"/>
          <w:szCs w:val="24"/>
          <w:lang w:val="ro-MD"/>
        </w:rPr>
        <w:t>FUNDAMENTARE</w:t>
      </w:r>
    </w:p>
    <w:p w14:paraId="472E30D1" w14:textId="66A15A49" w:rsidR="008B4BE6" w:rsidRPr="00DA0DE1" w:rsidRDefault="006933C3" w:rsidP="00801B8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MD"/>
        </w:rPr>
      </w:pPr>
      <w:r w:rsidRPr="00DA0DE1">
        <w:rPr>
          <w:b/>
          <w:sz w:val="24"/>
          <w:szCs w:val="24"/>
          <w:lang w:val="ro-MD"/>
        </w:rPr>
        <w:t>la</w:t>
      </w:r>
      <w:r w:rsidR="00032B46" w:rsidRPr="00DA0DE1">
        <w:rPr>
          <w:b/>
          <w:sz w:val="24"/>
          <w:szCs w:val="24"/>
          <w:lang w:val="ro-MD"/>
        </w:rPr>
        <w:t xml:space="preserve"> </w:t>
      </w:r>
      <w:r w:rsidRPr="00DA0DE1">
        <w:rPr>
          <w:b/>
          <w:sz w:val="24"/>
          <w:szCs w:val="24"/>
          <w:lang w:val="ro-MD"/>
        </w:rPr>
        <w:t>proiectul</w:t>
      </w:r>
      <w:r w:rsidR="00032B46" w:rsidRPr="00DA0DE1">
        <w:rPr>
          <w:b/>
          <w:sz w:val="24"/>
          <w:szCs w:val="24"/>
          <w:lang w:val="ro-MD"/>
        </w:rPr>
        <w:t xml:space="preserve"> </w:t>
      </w:r>
      <w:r w:rsidR="00207FDD" w:rsidRPr="00DA0DE1">
        <w:rPr>
          <w:b/>
          <w:sz w:val="24"/>
          <w:szCs w:val="24"/>
          <w:lang w:val="ro-MD"/>
        </w:rPr>
        <w:t>de o</w:t>
      </w:r>
      <w:r w:rsidR="002A5110" w:rsidRPr="00DA0DE1">
        <w:rPr>
          <w:b/>
          <w:sz w:val="24"/>
          <w:szCs w:val="24"/>
          <w:lang w:val="ro-MD"/>
        </w:rPr>
        <w:t xml:space="preserve">rdin </w:t>
      </w:r>
      <w:r w:rsidR="0006633C" w:rsidRPr="00DA0DE1">
        <w:rPr>
          <w:b/>
          <w:sz w:val="24"/>
          <w:szCs w:val="24"/>
          <w:lang w:val="ro-MD"/>
        </w:rPr>
        <w:t xml:space="preserve">cu privire la aprobarea categoriile funcționale de produse </w:t>
      </w:r>
      <w:r w:rsidR="00BE6840">
        <w:rPr>
          <w:b/>
          <w:sz w:val="24"/>
          <w:szCs w:val="24"/>
          <w:lang w:val="ro-MD"/>
        </w:rPr>
        <w:t xml:space="preserve">pentru produsele fertilizante UE </w:t>
      </w:r>
      <w:r w:rsidR="0006633C" w:rsidRPr="00DA0DE1">
        <w:rPr>
          <w:b/>
          <w:sz w:val="24"/>
          <w:szCs w:val="24"/>
          <w:lang w:val="ro-MD"/>
        </w:rPr>
        <w:t>și a categoriilor de materii componente</w:t>
      </w:r>
      <w:r w:rsidR="00BE6840">
        <w:rPr>
          <w:b/>
          <w:sz w:val="24"/>
          <w:szCs w:val="24"/>
          <w:lang w:val="ro-MD"/>
        </w:rPr>
        <w:t xml:space="preserve"> pentru produsele fertilizante UE</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tblGrid>
      <w:tr w:rsidR="00DA0DE1" w:rsidRPr="00DA0DE1" w14:paraId="553760C7" w14:textId="77777777" w:rsidTr="00876045">
        <w:tc>
          <w:tcPr>
            <w:tcW w:w="9109" w:type="dxa"/>
            <w:shd w:val="clear" w:color="BFBFBF" w:fill="BFBFBF"/>
            <w:tcMar>
              <w:top w:w="0" w:type="dxa"/>
              <w:left w:w="108" w:type="dxa"/>
              <w:bottom w:w="0" w:type="dxa"/>
              <w:right w:w="108" w:type="dxa"/>
            </w:tcMar>
          </w:tcPr>
          <w:p w14:paraId="52139B3D" w14:textId="3119B6B4" w:rsidR="00345CB9" w:rsidRPr="00B1114F" w:rsidRDefault="0036135C" w:rsidP="0006633C">
            <w:pPr>
              <w:spacing w:line="276" w:lineRule="auto"/>
              <w:rPr>
                <w:rFonts w:ascii="Times New Roman" w:hAnsi="Times New Roman"/>
                <w:b/>
                <w:bCs/>
                <w:sz w:val="24"/>
                <w:szCs w:val="24"/>
                <w:lang w:val="ro-MD"/>
              </w:rPr>
            </w:pPr>
            <w:r w:rsidRPr="00B1114F">
              <w:rPr>
                <w:rFonts w:ascii="Times New Roman" w:hAnsi="Times New Roman"/>
                <w:b/>
                <w:bCs/>
                <w:sz w:val="24"/>
                <w:szCs w:val="24"/>
                <w:lang w:val="ro-MD"/>
              </w:rPr>
              <w:t>1.</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Denumirea</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sau</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numele</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autorului</w:t>
            </w:r>
            <w:r w:rsidR="00032B46" w:rsidRPr="00B1114F">
              <w:rPr>
                <w:rFonts w:ascii="Times New Roman" w:hAnsi="Times New Roman"/>
                <w:b/>
                <w:bCs/>
                <w:sz w:val="24"/>
                <w:szCs w:val="24"/>
                <w:lang w:val="ro-MD"/>
              </w:rPr>
              <w:t xml:space="preserve"> </w:t>
            </w:r>
            <w:r w:rsidR="00863417" w:rsidRPr="00B1114F">
              <w:rPr>
                <w:rFonts w:ascii="Times New Roman" w:hAnsi="Times New Roman"/>
                <w:b/>
                <w:bCs/>
                <w:sz w:val="24"/>
                <w:szCs w:val="24"/>
                <w:lang w:val="ro-MD"/>
              </w:rPr>
              <w:t>ș</w:t>
            </w:r>
            <w:r w:rsidR="006933C3" w:rsidRPr="00B1114F">
              <w:rPr>
                <w:rFonts w:ascii="Times New Roman" w:hAnsi="Times New Roman"/>
                <w:b/>
                <w:bCs/>
                <w:sz w:val="24"/>
                <w:szCs w:val="24"/>
                <w:lang w:val="ro-MD"/>
              </w:rPr>
              <w:t>i,</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după</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caz,</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a</w:t>
            </w:r>
            <w:r w:rsidR="00E94FA8" w:rsidRPr="00B1114F">
              <w:rPr>
                <w:rFonts w:ascii="Times New Roman" w:hAnsi="Times New Roman"/>
                <w:b/>
                <w:bCs/>
                <w:sz w:val="24"/>
                <w:szCs w:val="24"/>
                <w:lang w:val="ro-MD"/>
              </w:rPr>
              <w:t>/al</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participan</w:t>
            </w:r>
            <w:r w:rsidR="00863417" w:rsidRPr="00B1114F">
              <w:rPr>
                <w:rFonts w:ascii="Times New Roman" w:hAnsi="Times New Roman"/>
                <w:b/>
                <w:bCs/>
                <w:sz w:val="24"/>
                <w:szCs w:val="24"/>
                <w:lang w:val="ro-MD"/>
              </w:rPr>
              <w:t>ț</w:t>
            </w:r>
            <w:r w:rsidR="006933C3" w:rsidRPr="00B1114F">
              <w:rPr>
                <w:rFonts w:ascii="Times New Roman" w:hAnsi="Times New Roman"/>
                <w:b/>
                <w:bCs/>
                <w:sz w:val="24"/>
                <w:szCs w:val="24"/>
                <w:lang w:val="ro-MD"/>
              </w:rPr>
              <w:t>ilor</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la</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elaborarea</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proiectului</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actului</w:t>
            </w:r>
            <w:r w:rsidR="00032B46" w:rsidRPr="00B1114F">
              <w:rPr>
                <w:rFonts w:ascii="Times New Roman" w:hAnsi="Times New Roman"/>
                <w:b/>
                <w:bCs/>
                <w:sz w:val="24"/>
                <w:szCs w:val="24"/>
                <w:lang w:val="ro-MD"/>
              </w:rPr>
              <w:t xml:space="preserve"> </w:t>
            </w:r>
            <w:r w:rsidR="006933C3" w:rsidRPr="00B1114F">
              <w:rPr>
                <w:rFonts w:ascii="Times New Roman" w:hAnsi="Times New Roman"/>
                <w:b/>
                <w:bCs/>
                <w:sz w:val="24"/>
                <w:szCs w:val="24"/>
                <w:lang w:val="ro-MD"/>
              </w:rPr>
              <w:t>normativ</w:t>
            </w:r>
          </w:p>
        </w:tc>
      </w:tr>
      <w:tr w:rsidR="00DA0DE1" w:rsidRPr="00DA0DE1" w14:paraId="5D8F3D4E" w14:textId="77777777" w:rsidTr="00876045">
        <w:tc>
          <w:tcPr>
            <w:tcW w:w="9109" w:type="dxa"/>
            <w:tcMar>
              <w:top w:w="0" w:type="dxa"/>
              <w:left w:w="108" w:type="dxa"/>
              <w:bottom w:w="0" w:type="dxa"/>
              <w:right w:w="108" w:type="dxa"/>
            </w:tcMar>
          </w:tcPr>
          <w:p w14:paraId="4888A888" w14:textId="145DFDA3" w:rsidR="008B4BE6" w:rsidRPr="00B1114F" w:rsidRDefault="00CB6208" w:rsidP="0010171D">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Proiect</w:t>
            </w:r>
            <w:r w:rsidR="00272099" w:rsidRPr="00B1114F">
              <w:rPr>
                <w:rFonts w:ascii="Times New Roman" w:hAnsi="Times New Roman"/>
                <w:sz w:val="24"/>
                <w:szCs w:val="24"/>
                <w:lang w:val="ro-MD"/>
              </w:rPr>
              <w:t>ul</w:t>
            </w:r>
            <w:r w:rsidRPr="00B1114F">
              <w:rPr>
                <w:rFonts w:ascii="Times New Roman" w:hAnsi="Times New Roman"/>
                <w:sz w:val="24"/>
                <w:szCs w:val="24"/>
                <w:lang w:val="ro-MD"/>
              </w:rPr>
              <w:t xml:space="preserve"> de </w:t>
            </w:r>
            <w:r w:rsidR="00303AF3" w:rsidRPr="00B1114F">
              <w:rPr>
                <w:rFonts w:ascii="Times New Roman" w:hAnsi="Times New Roman"/>
                <w:sz w:val="24"/>
                <w:szCs w:val="24"/>
                <w:lang w:val="ro-MD"/>
              </w:rPr>
              <w:t>o</w:t>
            </w:r>
            <w:r w:rsidR="00AE093A" w:rsidRPr="00B1114F">
              <w:rPr>
                <w:rFonts w:ascii="Times New Roman" w:hAnsi="Times New Roman"/>
                <w:sz w:val="24"/>
                <w:szCs w:val="24"/>
                <w:lang w:val="ro-MD"/>
              </w:rPr>
              <w:t>rdin</w:t>
            </w:r>
            <w:r w:rsidR="00371057" w:rsidRPr="00B1114F">
              <w:rPr>
                <w:rFonts w:ascii="Times New Roman" w:hAnsi="Times New Roman"/>
                <w:sz w:val="24"/>
                <w:szCs w:val="24"/>
                <w:lang w:val="ro-MD"/>
              </w:rPr>
              <w:t xml:space="preserve"> </w:t>
            </w:r>
            <w:r w:rsidR="0052058C" w:rsidRPr="00B1114F">
              <w:rPr>
                <w:rFonts w:ascii="Times New Roman" w:hAnsi="Times New Roman"/>
                <w:sz w:val="24"/>
                <w:szCs w:val="24"/>
                <w:lang w:val="ro-MD"/>
              </w:rPr>
              <w:t>cu privire la aprobarea categoriile funcționale de produse</w:t>
            </w:r>
            <w:r w:rsidR="00BE6840">
              <w:rPr>
                <w:rFonts w:ascii="Times New Roman" w:hAnsi="Times New Roman"/>
                <w:sz w:val="24"/>
                <w:szCs w:val="24"/>
                <w:lang w:val="ro-MD"/>
              </w:rPr>
              <w:t xml:space="preserve"> pentru produsele fertilizante UE</w:t>
            </w:r>
            <w:r w:rsidR="0052058C" w:rsidRPr="00B1114F">
              <w:rPr>
                <w:rFonts w:ascii="Times New Roman" w:hAnsi="Times New Roman"/>
                <w:sz w:val="24"/>
                <w:szCs w:val="24"/>
                <w:lang w:val="ro-MD"/>
              </w:rPr>
              <w:t xml:space="preserve"> și a categoriilor de materii componente</w:t>
            </w:r>
            <w:r w:rsidR="00BE6840">
              <w:rPr>
                <w:rFonts w:ascii="Times New Roman" w:hAnsi="Times New Roman"/>
                <w:sz w:val="24"/>
                <w:szCs w:val="24"/>
                <w:lang w:val="ro-MD"/>
              </w:rPr>
              <w:t xml:space="preserve"> </w:t>
            </w:r>
            <w:r w:rsidR="00BE6840" w:rsidRPr="00BE6840">
              <w:rPr>
                <w:rFonts w:ascii="Times New Roman" w:hAnsi="Times New Roman"/>
                <w:sz w:val="24"/>
                <w:szCs w:val="24"/>
                <w:lang w:val="ro-MD"/>
              </w:rPr>
              <w:t>pentru produsele fertilizante UE</w:t>
            </w:r>
            <w:r w:rsidR="00AE093A" w:rsidRPr="00B1114F">
              <w:rPr>
                <w:rFonts w:ascii="Times New Roman" w:hAnsi="Times New Roman"/>
                <w:sz w:val="24"/>
                <w:szCs w:val="24"/>
                <w:lang w:val="ro-MD"/>
              </w:rPr>
              <w:t xml:space="preserve"> </w:t>
            </w:r>
            <w:r w:rsidR="00303AF3" w:rsidRPr="00B1114F">
              <w:rPr>
                <w:rFonts w:ascii="Times New Roman" w:hAnsi="Times New Roman"/>
                <w:sz w:val="24"/>
                <w:szCs w:val="24"/>
                <w:lang w:val="ro-MD"/>
              </w:rPr>
              <w:t xml:space="preserve">(în continuare – Proiect de ordin) </w:t>
            </w:r>
            <w:r w:rsidR="00AE093A" w:rsidRPr="00B1114F">
              <w:rPr>
                <w:rFonts w:ascii="Times New Roman" w:hAnsi="Times New Roman"/>
                <w:sz w:val="24"/>
                <w:szCs w:val="24"/>
                <w:lang w:val="ro-MD"/>
              </w:rPr>
              <w:t xml:space="preserve">a fost </w:t>
            </w:r>
            <w:r w:rsidR="002A5110" w:rsidRPr="00B1114F">
              <w:rPr>
                <w:rFonts w:ascii="Times New Roman" w:hAnsi="Times New Roman"/>
                <w:sz w:val="24"/>
                <w:szCs w:val="24"/>
                <w:lang w:val="ro-MD"/>
              </w:rPr>
              <w:t>elaborat</w:t>
            </w:r>
            <w:r w:rsidR="00AE093A" w:rsidRPr="00B1114F">
              <w:rPr>
                <w:rFonts w:ascii="Times New Roman" w:hAnsi="Times New Roman"/>
                <w:sz w:val="24"/>
                <w:szCs w:val="24"/>
                <w:lang w:val="ro-MD"/>
              </w:rPr>
              <w:t xml:space="preserve"> de </w:t>
            </w:r>
            <w:r w:rsidRPr="00B1114F">
              <w:rPr>
                <w:rFonts w:ascii="Times New Roman" w:hAnsi="Times New Roman"/>
                <w:sz w:val="24"/>
                <w:szCs w:val="24"/>
                <w:lang w:val="ro-MD"/>
              </w:rPr>
              <w:t>Ministerul Agriculturii și Industriei Alimentare</w:t>
            </w:r>
            <w:r w:rsidR="00303AF3" w:rsidRPr="00B1114F">
              <w:rPr>
                <w:rFonts w:ascii="Times New Roman" w:hAnsi="Times New Roman"/>
                <w:sz w:val="24"/>
                <w:szCs w:val="24"/>
                <w:lang w:val="ro-MD"/>
              </w:rPr>
              <w:t>.</w:t>
            </w:r>
          </w:p>
          <w:p w14:paraId="66AB5C03" w14:textId="56F5DC85" w:rsidR="0006633C" w:rsidRPr="00B1114F" w:rsidRDefault="002029B0" w:rsidP="0006633C">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Subdiviziunea</w:t>
            </w:r>
            <w:r w:rsidR="00313629" w:rsidRPr="00B1114F">
              <w:rPr>
                <w:rFonts w:ascii="Times New Roman" w:hAnsi="Times New Roman"/>
                <w:sz w:val="24"/>
                <w:szCs w:val="24"/>
                <w:lang w:val="ro-MD"/>
              </w:rPr>
              <w:t xml:space="preserve">: Direcția protecția </w:t>
            </w:r>
            <w:r w:rsidR="0026389B" w:rsidRPr="00B1114F">
              <w:rPr>
                <w:rFonts w:ascii="Times New Roman" w:hAnsi="Times New Roman"/>
                <w:sz w:val="24"/>
                <w:szCs w:val="24"/>
                <w:lang w:val="ro-MD"/>
              </w:rPr>
              <w:t>și sănătatea plantelor</w:t>
            </w:r>
            <w:r w:rsidR="002C7AC2" w:rsidRPr="00B1114F">
              <w:rPr>
                <w:rFonts w:ascii="Times New Roman" w:hAnsi="Times New Roman"/>
                <w:sz w:val="24"/>
                <w:szCs w:val="24"/>
                <w:lang w:val="ro-MD"/>
              </w:rPr>
              <w:t>.</w:t>
            </w:r>
          </w:p>
          <w:p w14:paraId="342B48D2" w14:textId="77777777" w:rsidR="00E466EF" w:rsidRPr="00B1114F" w:rsidRDefault="00313629" w:rsidP="0010171D">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Persoana responsabil</w:t>
            </w:r>
            <w:r w:rsidR="00E01588" w:rsidRPr="00B1114F">
              <w:rPr>
                <w:rFonts w:ascii="Times New Roman" w:hAnsi="Times New Roman"/>
                <w:sz w:val="24"/>
                <w:szCs w:val="24"/>
                <w:lang w:val="ro-MD"/>
              </w:rPr>
              <w:t xml:space="preserve">ă </w:t>
            </w:r>
            <w:r w:rsidR="006717E3" w:rsidRPr="00B1114F">
              <w:rPr>
                <w:rFonts w:ascii="Times New Roman" w:hAnsi="Times New Roman"/>
                <w:sz w:val="24"/>
                <w:szCs w:val="24"/>
                <w:lang w:val="ro-MD"/>
              </w:rPr>
              <w:t>și datele de contact:</w:t>
            </w:r>
            <w:r w:rsidR="00E01588" w:rsidRPr="00B1114F">
              <w:rPr>
                <w:rFonts w:ascii="Times New Roman" w:hAnsi="Times New Roman"/>
                <w:sz w:val="24"/>
                <w:szCs w:val="24"/>
                <w:lang w:val="ro-MD"/>
              </w:rPr>
              <w:t xml:space="preserve"> </w:t>
            </w:r>
          </w:p>
          <w:p w14:paraId="6CDAE186" w14:textId="77777777" w:rsidR="00613ABB" w:rsidRDefault="006717E3" w:rsidP="0006633C">
            <w:pPr>
              <w:spacing w:line="276" w:lineRule="auto"/>
              <w:ind w:firstLine="284"/>
              <w:rPr>
                <w:rFonts w:ascii="Times New Roman" w:hAnsi="Times New Roman"/>
                <w:sz w:val="24"/>
                <w:szCs w:val="24"/>
                <w:lang w:val="ro-MD"/>
              </w:rPr>
            </w:pPr>
            <w:proofErr w:type="spellStart"/>
            <w:r w:rsidRPr="00B1114F">
              <w:rPr>
                <w:rFonts w:ascii="Times New Roman" w:hAnsi="Times New Roman"/>
                <w:sz w:val="24"/>
                <w:szCs w:val="24"/>
                <w:lang w:val="ro-MD"/>
              </w:rPr>
              <w:t>Bucor</w:t>
            </w:r>
            <w:proofErr w:type="spellEnd"/>
            <w:r w:rsidRPr="00B1114F">
              <w:rPr>
                <w:rFonts w:ascii="Times New Roman" w:hAnsi="Times New Roman"/>
                <w:sz w:val="24"/>
                <w:szCs w:val="24"/>
                <w:lang w:val="ro-MD"/>
              </w:rPr>
              <w:t xml:space="preserve"> Nicolae – consultant principal, tel. (+373) 022 204 528, e-mail: </w:t>
            </w:r>
            <w:hyperlink r:id="rId11" w:history="1">
              <w:r w:rsidRPr="00B1114F">
                <w:rPr>
                  <w:rStyle w:val="aff3"/>
                  <w:rFonts w:ascii="Times New Roman" w:hAnsi="Times New Roman"/>
                  <w:color w:val="auto"/>
                  <w:sz w:val="24"/>
                  <w:szCs w:val="24"/>
                  <w:lang w:val="ro-MD"/>
                </w:rPr>
                <w:t>nicolae.bucor@maia.gov.md</w:t>
              </w:r>
            </w:hyperlink>
            <w:r w:rsidRPr="00B1114F">
              <w:rPr>
                <w:rFonts w:ascii="Times New Roman" w:hAnsi="Times New Roman"/>
                <w:sz w:val="24"/>
                <w:szCs w:val="24"/>
                <w:lang w:val="ro-MD"/>
              </w:rPr>
              <w:t>.</w:t>
            </w:r>
          </w:p>
          <w:p w14:paraId="6853451C" w14:textId="597EB461" w:rsidR="007D5399" w:rsidRPr="007D5399" w:rsidRDefault="007D5399" w:rsidP="0006633C">
            <w:pPr>
              <w:spacing w:line="276" w:lineRule="auto"/>
              <w:ind w:firstLine="284"/>
              <w:rPr>
                <w:rFonts w:ascii="Times New Roman" w:hAnsi="Times New Roman"/>
                <w:sz w:val="18"/>
                <w:szCs w:val="24"/>
                <w:lang w:val="ro-MD"/>
              </w:rPr>
            </w:pPr>
          </w:p>
        </w:tc>
      </w:tr>
      <w:tr w:rsidR="00DA0DE1" w:rsidRPr="00DA0DE1" w14:paraId="5066D21B" w14:textId="77777777" w:rsidTr="00876045">
        <w:tc>
          <w:tcPr>
            <w:tcW w:w="9109" w:type="dxa"/>
            <w:shd w:val="clear" w:color="BFBFBF" w:fill="BFBFBF"/>
            <w:tcMar>
              <w:top w:w="0" w:type="dxa"/>
              <w:left w:w="108" w:type="dxa"/>
              <w:bottom w:w="0" w:type="dxa"/>
              <w:right w:w="108" w:type="dxa"/>
            </w:tcMar>
          </w:tcPr>
          <w:p w14:paraId="5B2FB605" w14:textId="4282EFCE" w:rsidR="00345CB9" w:rsidRPr="00B1114F" w:rsidRDefault="006933C3" w:rsidP="0006633C">
            <w:pPr>
              <w:spacing w:line="276" w:lineRule="auto"/>
              <w:rPr>
                <w:rFonts w:ascii="Times New Roman" w:hAnsi="Times New Roman"/>
                <w:b/>
                <w:bCs/>
                <w:sz w:val="24"/>
                <w:szCs w:val="24"/>
                <w:lang w:val="ro-MD"/>
              </w:rPr>
            </w:pPr>
            <w:r w:rsidRPr="00B1114F">
              <w:rPr>
                <w:rFonts w:ascii="Times New Roman" w:hAnsi="Times New Roman"/>
                <w:b/>
                <w:bCs/>
                <w:sz w:val="24"/>
                <w:szCs w:val="24"/>
                <w:lang w:val="ro-MD"/>
              </w:rPr>
              <w:t>2.</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Condi</w:t>
            </w:r>
            <w:r w:rsidR="00863417" w:rsidRPr="00B1114F">
              <w:rPr>
                <w:rFonts w:ascii="Times New Roman" w:hAnsi="Times New Roman"/>
                <w:b/>
                <w:bCs/>
                <w:sz w:val="24"/>
                <w:szCs w:val="24"/>
                <w:lang w:val="ro-MD"/>
              </w:rPr>
              <w:t>ț</w:t>
            </w:r>
            <w:r w:rsidRPr="00B1114F">
              <w:rPr>
                <w:rFonts w:ascii="Times New Roman" w:hAnsi="Times New Roman"/>
                <w:b/>
                <w:bCs/>
                <w:sz w:val="24"/>
                <w:szCs w:val="24"/>
                <w:lang w:val="ro-MD"/>
              </w:rPr>
              <w:t>iile</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ce</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au</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impus</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elaborarea</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proiectului</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actului</w:t>
            </w:r>
            <w:r w:rsidR="00032B46" w:rsidRPr="00B1114F">
              <w:rPr>
                <w:rFonts w:ascii="Times New Roman" w:hAnsi="Times New Roman"/>
                <w:b/>
                <w:bCs/>
                <w:sz w:val="24"/>
                <w:szCs w:val="24"/>
                <w:lang w:val="ro-MD"/>
              </w:rPr>
              <w:t xml:space="preserve"> </w:t>
            </w:r>
            <w:r w:rsidRPr="00B1114F">
              <w:rPr>
                <w:rFonts w:ascii="Times New Roman" w:hAnsi="Times New Roman"/>
                <w:b/>
                <w:bCs/>
                <w:sz w:val="24"/>
                <w:szCs w:val="24"/>
                <w:lang w:val="ro-MD"/>
              </w:rPr>
              <w:t>normativ</w:t>
            </w:r>
          </w:p>
        </w:tc>
      </w:tr>
      <w:tr w:rsidR="00DA0DE1" w:rsidRPr="00DA0DE1" w14:paraId="2981CB30" w14:textId="77777777" w:rsidTr="00876045">
        <w:tc>
          <w:tcPr>
            <w:tcW w:w="9109" w:type="dxa"/>
            <w:shd w:val="clear" w:color="EDEDED" w:fill="EDEDED"/>
            <w:tcMar>
              <w:top w:w="0" w:type="dxa"/>
              <w:left w:w="108" w:type="dxa"/>
              <w:bottom w:w="0" w:type="dxa"/>
              <w:right w:w="108" w:type="dxa"/>
            </w:tcMar>
          </w:tcPr>
          <w:p w14:paraId="13972C0E" w14:textId="34369890" w:rsidR="00345CB9" w:rsidRPr="00B1114F" w:rsidRDefault="006933C3" w:rsidP="0006633C">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2.1.</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Temeiul</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legal</w:t>
            </w:r>
            <w:r w:rsidR="00825DC9" w:rsidRPr="00B1114F">
              <w:rPr>
                <w:rFonts w:ascii="Times New Roman" w:hAnsi="Times New Roman"/>
                <w:sz w:val="24"/>
                <w:szCs w:val="24"/>
                <w:lang w:val="ro-MD"/>
              </w:rPr>
              <w:t xml:space="preserve"> sau</w:t>
            </w:r>
            <w:r w:rsidRPr="00B1114F">
              <w:rPr>
                <w:rFonts w:ascii="Times New Roman" w:hAnsi="Times New Roman"/>
                <w:sz w:val="24"/>
                <w:szCs w:val="24"/>
                <w:lang w:val="ro-MD"/>
              </w:rPr>
              <w:t>,</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după</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caz</w:t>
            </w:r>
            <w:r w:rsidR="00825DC9" w:rsidRPr="00B1114F">
              <w:rPr>
                <w:rFonts w:ascii="Times New Roman" w:hAnsi="Times New Roman"/>
                <w:sz w:val="24"/>
                <w:szCs w:val="24"/>
                <w:lang w:val="ro-MD"/>
              </w:rPr>
              <w:t>,</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sursa</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proiectului</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actului</w:t>
            </w:r>
            <w:r w:rsidR="00032B46" w:rsidRPr="00B1114F">
              <w:rPr>
                <w:rFonts w:ascii="Times New Roman" w:hAnsi="Times New Roman"/>
                <w:sz w:val="24"/>
                <w:szCs w:val="24"/>
                <w:lang w:val="ro-MD"/>
              </w:rPr>
              <w:t xml:space="preserve"> </w:t>
            </w:r>
            <w:r w:rsidRPr="00B1114F">
              <w:rPr>
                <w:rFonts w:ascii="Times New Roman" w:hAnsi="Times New Roman"/>
                <w:sz w:val="24"/>
                <w:szCs w:val="24"/>
                <w:lang w:val="ro-MD"/>
              </w:rPr>
              <w:t>normativ</w:t>
            </w:r>
          </w:p>
        </w:tc>
      </w:tr>
      <w:tr w:rsidR="00DA0DE1" w:rsidRPr="00DA0DE1" w14:paraId="0C859D83" w14:textId="77777777" w:rsidTr="00876045">
        <w:tc>
          <w:tcPr>
            <w:tcW w:w="9109" w:type="dxa"/>
            <w:tcMar>
              <w:top w:w="0" w:type="dxa"/>
              <w:left w:w="108" w:type="dxa"/>
              <w:bottom w:w="0" w:type="dxa"/>
              <w:right w:w="108" w:type="dxa"/>
            </w:tcMar>
          </w:tcPr>
          <w:p w14:paraId="735CA975" w14:textId="73DFAC64" w:rsidR="00313629" w:rsidRPr="00B1114F" w:rsidRDefault="00CB6208" w:rsidP="0014350D">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 xml:space="preserve">Proiectul de ordin este elaborat în temeiul art. </w:t>
            </w:r>
            <w:r w:rsidR="0052058C" w:rsidRPr="00B1114F">
              <w:rPr>
                <w:rFonts w:ascii="Times New Roman" w:hAnsi="Times New Roman"/>
                <w:sz w:val="24"/>
                <w:szCs w:val="24"/>
                <w:lang w:val="ro-MD"/>
              </w:rPr>
              <w:t>5</w:t>
            </w:r>
            <w:r w:rsidRPr="00B1114F">
              <w:rPr>
                <w:rFonts w:ascii="Times New Roman" w:hAnsi="Times New Roman"/>
                <w:sz w:val="24"/>
                <w:szCs w:val="24"/>
                <w:lang w:val="ro-MD"/>
              </w:rPr>
              <w:t xml:space="preserve"> alin. </w:t>
            </w:r>
            <w:r w:rsidR="00FE49FC" w:rsidRPr="00B1114F">
              <w:rPr>
                <w:rFonts w:ascii="Times New Roman" w:hAnsi="Times New Roman"/>
                <w:sz w:val="24"/>
                <w:szCs w:val="24"/>
                <w:lang w:val="ro-MD"/>
              </w:rPr>
              <w:t>(</w:t>
            </w:r>
            <w:r w:rsidRPr="00B1114F">
              <w:rPr>
                <w:rFonts w:ascii="Times New Roman" w:hAnsi="Times New Roman"/>
                <w:sz w:val="24"/>
                <w:szCs w:val="24"/>
                <w:lang w:val="ro-MD"/>
              </w:rPr>
              <w:t>1</w:t>
            </w:r>
            <w:r w:rsidR="00FE49FC" w:rsidRPr="00B1114F">
              <w:rPr>
                <w:rFonts w:ascii="Times New Roman" w:hAnsi="Times New Roman"/>
                <w:sz w:val="24"/>
                <w:szCs w:val="24"/>
                <w:lang w:val="ro-MD"/>
              </w:rPr>
              <w:t>)</w:t>
            </w:r>
            <w:r w:rsidRPr="00B1114F">
              <w:rPr>
                <w:rFonts w:ascii="Times New Roman" w:hAnsi="Times New Roman"/>
                <w:sz w:val="24"/>
                <w:szCs w:val="24"/>
                <w:lang w:val="ro-MD"/>
              </w:rPr>
              <w:t xml:space="preserve"> din Legea nr. </w:t>
            </w:r>
            <w:r w:rsidR="00E0759C" w:rsidRPr="00B1114F">
              <w:rPr>
                <w:rFonts w:ascii="Times New Roman" w:hAnsi="Times New Roman"/>
                <w:sz w:val="24"/>
                <w:szCs w:val="24"/>
                <w:lang w:val="ro-MD"/>
              </w:rPr>
              <w:t>21/2025 privind punerea la dispoziție pe piață a produselor fertilizante</w:t>
            </w:r>
            <w:r w:rsidR="003C1FCE" w:rsidRPr="00B1114F">
              <w:rPr>
                <w:rFonts w:ascii="Times New Roman" w:hAnsi="Times New Roman"/>
                <w:sz w:val="24"/>
                <w:szCs w:val="24"/>
                <w:lang w:val="ro-MD"/>
              </w:rPr>
              <w:t xml:space="preserve"> (în continuare – Legea nr. </w:t>
            </w:r>
            <w:r w:rsidR="00E0759C" w:rsidRPr="00B1114F">
              <w:rPr>
                <w:rFonts w:ascii="Times New Roman" w:hAnsi="Times New Roman"/>
                <w:sz w:val="24"/>
                <w:szCs w:val="24"/>
                <w:lang w:val="ro-MD"/>
              </w:rPr>
              <w:t>21/2025</w:t>
            </w:r>
            <w:r w:rsidR="003C1FCE" w:rsidRPr="00B1114F">
              <w:rPr>
                <w:rFonts w:ascii="Times New Roman" w:hAnsi="Times New Roman"/>
                <w:sz w:val="24"/>
                <w:szCs w:val="24"/>
                <w:lang w:val="ro-MD"/>
              </w:rPr>
              <w:t>),</w:t>
            </w:r>
            <w:r w:rsidRPr="00B1114F">
              <w:rPr>
                <w:rFonts w:ascii="Times New Roman" w:hAnsi="Times New Roman"/>
                <w:sz w:val="24"/>
                <w:szCs w:val="24"/>
                <w:lang w:val="ro-MD"/>
              </w:rPr>
              <w:t xml:space="preserve"> (Monitorul Oficial al Republicii Moldova, 202</w:t>
            </w:r>
            <w:r w:rsidR="00E0759C" w:rsidRPr="00B1114F">
              <w:rPr>
                <w:rFonts w:ascii="Times New Roman" w:hAnsi="Times New Roman"/>
                <w:sz w:val="24"/>
                <w:szCs w:val="24"/>
                <w:lang w:val="ro-MD"/>
              </w:rPr>
              <w:t>5</w:t>
            </w:r>
            <w:r w:rsidRPr="00B1114F">
              <w:rPr>
                <w:rFonts w:ascii="Times New Roman" w:hAnsi="Times New Roman"/>
                <w:sz w:val="24"/>
                <w:szCs w:val="24"/>
                <w:lang w:val="ro-MD"/>
              </w:rPr>
              <w:t xml:space="preserve">, nr. </w:t>
            </w:r>
            <w:r w:rsidR="00E0759C" w:rsidRPr="00B1114F">
              <w:rPr>
                <w:rFonts w:ascii="Times New Roman" w:hAnsi="Times New Roman"/>
                <w:sz w:val="24"/>
                <w:szCs w:val="24"/>
                <w:lang w:val="ro-MD"/>
              </w:rPr>
              <w:t>154-156</w:t>
            </w:r>
            <w:r w:rsidRPr="00B1114F">
              <w:rPr>
                <w:rFonts w:ascii="Times New Roman" w:hAnsi="Times New Roman"/>
                <w:sz w:val="24"/>
                <w:szCs w:val="24"/>
                <w:lang w:val="ro-MD"/>
              </w:rPr>
              <w:t xml:space="preserve"> art. </w:t>
            </w:r>
            <w:r w:rsidR="00E0759C" w:rsidRPr="00B1114F">
              <w:rPr>
                <w:rFonts w:ascii="Times New Roman" w:hAnsi="Times New Roman"/>
                <w:sz w:val="24"/>
                <w:szCs w:val="24"/>
                <w:lang w:val="ro-MD"/>
              </w:rPr>
              <w:t>155</w:t>
            </w:r>
            <w:r w:rsidRPr="00B1114F">
              <w:rPr>
                <w:rFonts w:ascii="Times New Roman" w:hAnsi="Times New Roman"/>
                <w:sz w:val="24"/>
                <w:szCs w:val="24"/>
                <w:lang w:val="ro-MD"/>
              </w:rPr>
              <w:t xml:space="preserve"> din </w:t>
            </w:r>
            <w:r w:rsidR="00E0759C" w:rsidRPr="00B1114F">
              <w:rPr>
                <w:rFonts w:ascii="Times New Roman" w:hAnsi="Times New Roman"/>
                <w:sz w:val="24"/>
                <w:szCs w:val="24"/>
                <w:lang w:val="ro-MD"/>
              </w:rPr>
              <w:t>27.03.2025</w:t>
            </w:r>
            <w:r w:rsidRPr="00B1114F">
              <w:rPr>
                <w:rFonts w:ascii="Times New Roman" w:hAnsi="Times New Roman"/>
                <w:sz w:val="24"/>
                <w:szCs w:val="24"/>
                <w:lang w:val="ro-MD"/>
              </w:rPr>
              <w:t>),</w:t>
            </w:r>
            <w:r w:rsidR="00611552" w:rsidRPr="00B1114F">
              <w:rPr>
                <w:rFonts w:ascii="Times New Roman" w:hAnsi="Times New Roman"/>
                <w:sz w:val="24"/>
                <w:szCs w:val="24"/>
                <w:lang w:val="ro-MD"/>
              </w:rPr>
              <w:t xml:space="preserve"> este elaborat la inițiativa </w:t>
            </w:r>
            <w:r w:rsidR="00AB6F87" w:rsidRPr="00B1114F">
              <w:rPr>
                <w:rFonts w:ascii="Times New Roman" w:hAnsi="Times New Roman"/>
                <w:sz w:val="24"/>
                <w:szCs w:val="24"/>
                <w:lang w:val="ro-MD"/>
              </w:rPr>
              <w:t xml:space="preserve">Ministerului Agriculturii și Industriei Alimentare. </w:t>
            </w:r>
          </w:p>
          <w:p w14:paraId="78567F92" w14:textId="2968FB8D" w:rsidR="00DF280D" w:rsidRPr="00B1114F" w:rsidRDefault="003D110C" w:rsidP="00DF280D">
            <w:pPr>
              <w:spacing w:line="276" w:lineRule="auto"/>
              <w:ind w:firstLine="284"/>
              <w:rPr>
                <w:rFonts w:ascii="Times New Roman" w:hAnsi="Times New Roman"/>
                <w:sz w:val="24"/>
                <w:szCs w:val="24"/>
                <w:lang w:val="ro-MD"/>
              </w:rPr>
            </w:pPr>
            <w:r w:rsidRPr="00B1114F">
              <w:rPr>
                <w:rFonts w:ascii="Times New Roman" w:hAnsi="Times New Roman"/>
                <w:sz w:val="24"/>
                <w:szCs w:val="24"/>
                <w:lang w:val="ro-MD"/>
              </w:rPr>
              <w:t>Totodată, întrucât Republica Moldova și-a asumat implementarea prevederilor Acordului de Asociere între Republica Moldova, pe de o parte și Uniunea Europeană și statele membre ale acestora pe de altă parte, ratificat prin Legea nr. 112/2014, prezentul proiect devine parte a obligațiunilor asumate și se propune aducerea în concordanță a cadrului normativ în vigoare în conformitate cu prevederile Comunitare, în mod concret cu Anexa nr. I și II la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w:t>
            </w:r>
          </w:p>
          <w:p w14:paraId="44DDD01C" w14:textId="50733A7E" w:rsidR="00765248" w:rsidRPr="007D5399" w:rsidRDefault="00765248" w:rsidP="0014350D">
            <w:pPr>
              <w:spacing w:line="276" w:lineRule="auto"/>
              <w:ind w:firstLine="284"/>
              <w:rPr>
                <w:rFonts w:ascii="Times New Roman" w:hAnsi="Times New Roman"/>
                <w:sz w:val="16"/>
                <w:szCs w:val="24"/>
                <w:lang w:val="ro-MD"/>
              </w:rPr>
            </w:pPr>
          </w:p>
        </w:tc>
      </w:tr>
      <w:tr w:rsidR="00DA0DE1" w:rsidRPr="00DA0DE1" w14:paraId="61A7880A" w14:textId="77777777" w:rsidTr="00876045">
        <w:tc>
          <w:tcPr>
            <w:tcW w:w="9109" w:type="dxa"/>
            <w:shd w:val="clear" w:color="EDEDED" w:fill="EDEDED"/>
            <w:tcMar>
              <w:top w:w="0" w:type="dxa"/>
              <w:left w:w="108" w:type="dxa"/>
              <w:bottom w:w="0" w:type="dxa"/>
              <w:right w:w="108" w:type="dxa"/>
            </w:tcMar>
          </w:tcPr>
          <w:p w14:paraId="7CF86E2C" w14:textId="2D87A747" w:rsidR="00345CB9" w:rsidRPr="00DA0DE1" w:rsidRDefault="006933C3" w:rsidP="0006633C">
            <w:pPr>
              <w:spacing w:line="276" w:lineRule="auto"/>
              <w:ind w:firstLine="284"/>
              <w:rPr>
                <w:rFonts w:ascii="Times New Roman" w:hAnsi="Times New Roman"/>
                <w:sz w:val="24"/>
                <w:szCs w:val="24"/>
                <w:lang w:val="ro-MD"/>
              </w:rPr>
            </w:pPr>
            <w:r w:rsidRPr="00DA3FAB">
              <w:rPr>
                <w:rFonts w:ascii="Times New Roman" w:hAnsi="Times New Roman"/>
                <w:sz w:val="24"/>
                <w:szCs w:val="24"/>
                <w:lang w:val="ro-MD"/>
              </w:rPr>
              <w:t>2.2.</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Descrierea</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situa</w:t>
            </w:r>
            <w:r w:rsidR="00863417" w:rsidRPr="00DA3FAB">
              <w:rPr>
                <w:rFonts w:ascii="Times New Roman" w:hAnsi="Times New Roman"/>
                <w:sz w:val="24"/>
                <w:szCs w:val="24"/>
                <w:lang w:val="ro-MD"/>
              </w:rPr>
              <w:t>ț</w:t>
            </w:r>
            <w:r w:rsidRPr="00DA3FAB">
              <w:rPr>
                <w:rFonts w:ascii="Times New Roman" w:hAnsi="Times New Roman"/>
                <w:sz w:val="24"/>
                <w:szCs w:val="24"/>
                <w:lang w:val="ro-MD"/>
              </w:rPr>
              <w:t>iei</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actuale</w:t>
            </w:r>
            <w:r w:rsidR="00032B46" w:rsidRPr="00DA3FAB">
              <w:rPr>
                <w:rFonts w:ascii="Times New Roman" w:hAnsi="Times New Roman"/>
                <w:sz w:val="24"/>
                <w:szCs w:val="24"/>
                <w:lang w:val="ro-MD"/>
              </w:rPr>
              <w:t xml:space="preserve"> </w:t>
            </w:r>
            <w:r w:rsidR="00863417" w:rsidRPr="00DA3FAB">
              <w:rPr>
                <w:rFonts w:ascii="Times New Roman" w:hAnsi="Times New Roman"/>
                <w:sz w:val="24"/>
                <w:szCs w:val="24"/>
                <w:lang w:val="ro-MD"/>
              </w:rPr>
              <w:t>ș</w:t>
            </w:r>
            <w:r w:rsidRPr="00DA3FAB">
              <w:rPr>
                <w:rFonts w:ascii="Times New Roman" w:hAnsi="Times New Roman"/>
                <w:sz w:val="24"/>
                <w:szCs w:val="24"/>
                <w:lang w:val="ro-MD"/>
              </w:rPr>
              <w:t>i</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a</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problemelor</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care</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impun</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interven</w:t>
            </w:r>
            <w:r w:rsidR="00863417" w:rsidRPr="00DA3FAB">
              <w:rPr>
                <w:rFonts w:ascii="Times New Roman" w:hAnsi="Times New Roman"/>
                <w:sz w:val="24"/>
                <w:szCs w:val="24"/>
                <w:lang w:val="ro-MD"/>
              </w:rPr>
              <w:t>ț</w:t>
            </w:r>
            <w:r w:rsidRPr="00DA3FAB">
              <w:rPr>
                <w:rFonts w:ascii="Times New Roman" w:hAnsi="Times New Roman"/>
                <w:sz w:val="24"/>
                <w:szCs w:val="24"/>
                <w:lang w:val="ro-MD"/>
              </w:rPr>
              <w:t>ia,</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inclusiv</w:t>
            </w:r>
            <w:r w:rsidR="00032B46" w:rsidRPr="00DA3FAB">
              <w:rPr>
                <w:rFonts w:ascii="Times New Roman" w:hAnsi="Times New Roman"/>
                <w:sz w:val="24"/>
                <w:szCs w:val="24"/>
                <w:lang w:val="ro-MD"/>
              </w:rPr>
              <w:t xml:space="preserve"> </w:t>
            </w:r>
            <w:r w:rsidR="005C7769" w:rsidRPr="00DA3FAB">
              <w:rPr>
                <w:rFonts w:ascii="Times New Roman" w:hAnsi="Times New Roman"/>
                <w:sz w:val="24"/>
                <w:szCs w:val="24"/>
                <w:lang w:val="ro-MD"/>
              </w:rPr>
              <w:t xml:space="preserve">a </w:t>
            </w:r>
            <w:r w:rsidRPr="00DA3FAB">
              <w:rPr>
                <w:rFonts w:ascii="Times New Roman" w:hAnsi="Times New Roman"/>
                <w:sz w:val="24"/>
                <w:szCs w:val="24"/>
                <w:lang w:val="ro-MD"/>
              </w:rPr>
              <w:t>cadrul</w:t>
            </w:r>
            <w:r w:rsidR="005C7769" w:rsidRPr="00DA3FAB">
              <w:rPr>
                <w:rFonts w:ascii="Times New Roman" w:hAnsi="Times New Roman"/>
                <w:sz w:val="24"/>
                <w:szCs w:val="24"/>
                <w:lang w:val="ro-MD"/>
              </w:rPr>
              <w:t>ui</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normativ</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aplicabil</w:t>
            </w:r>
            <w:r w:rsidR="00032B46" w:rsidRPr="00DA3FAB">
              <w:rPr>
                <w:rFonts w:ascii="Times New Roman" w:hAnsi="Times New Roman"/>
                <w:sz w:val="24"/>
                <w:szCs w:val="24"/>
                <w:lang w:val="ro-MD"/>
              </w:rPr>
              <w:t xml:space="preserve"> </w:t>
            </w:r>
            <w:r w:rsidR="00863417" w:rsidRPr="00DA3FAB">
              <w:rPr>
                <w:rFonts w:ascii="Times New Roman" w:hAnsi="Times New Roman"/>
                <w:sz w:val="24"/>
                <w:szCs w:val="24"/>
                <w:lang w:val="ro-MD"/>
              </w:rPr>
              <w:t>ș</w:t>
            </w:r>
            <w:r w:rsidRPr="00DA3FAB">
              <w:rPr>
                <w:rFonts w:ascii="Times New Roman" w:hAnsi="Times New Roman"/>
                <w:sz w:val="24"/>
                <w:szCs w:val="24"/>
                <w:lang w:val="ro-MD"/>
              </w:rPr>
              <w:t>i</w:t>
            </w:r>
            <w:r w:rsidR="00032B46" w:rsidRPr="00DA3FAB">
              <w:rPr>
                <w:rFonts w:ascii="Times New Roman" w:hAnsi="Times New Roman"/>
                <w:sz w:val="24"/>
                <w:szCs w:val="24"/>
                <w:lang w:val="ro-MD"/>
              </w:rPr>
              <w:t xml:space="preserve"> </w:t>
            </w:r>
            <w:r w:rsidR="005C7769" w:rsidRPr="00DA3FAB">
              <w:rPr>
                <w:rFonts w:ascii="Times New Roman" w:hAnsi="Times New Roman"/>
                <w:sz w:val="24"/>
                <w:szCs w:val="24"/>
                <w:lang w:val="ro-MD"/>
              </w:rPr>
              <w:t xml:space="preserve">a </w:t>
            </w:r>
            <w:r w:rsidRPr="00DA3FAB">
              <w:rPr>
                <w:rFonts w:ascii="Times New Roman" w:hAnsi="Times New Roman"/>
                <w:sz w:val="24"/>
                <w:szCs w:val="24"/>
                <w:lang w:val="ro-MD"/>
              </w:rPr>
              <w:t>deficien</w:t>
            </w:r>
            <w:r w:rsidR="00863417" w:rsidRPr="00DA3FAB">
              <w:rPr>
                <w:rFonts w:ascii="Times New Roman" w:hAnsi="Times New Roman"/>
                <w:sz w:val="24"/>
                <w:szCs w:val="24"/>
                <w:lang w:val="ro-MD"/>
              </w:rPr>
              <w:t>ț</w:t>
            </w:r>
            <w:r w:rsidRPr="00DA3FAB">
              <w:rPr>
                <w:rFonts w:ascii="Times New Roman" w:hAnsi="Times New Roman"/>
                <w:sz w:val="24"/>
                <w:szCs w:val="24"/>
                <w:lang w:val="ro-MD"/>
              </w:rPr>
              <w:t>el</w:t>
            </w:r>
            <w:r w:rsidR="005C7769" w:rsidRPr="00DA3FAB">
              <w:rPr>
                <w:rFonts w:ascii="Times New Roman" w:hAnsi="Times New Roman"/>
                <w:sz w:val="24"/>
                <w:szCs w:val="24"/>
                <w:lang w:val="ro-MD"/>
              </w:rPr>
              <w:t>or</w:t>
            </w:r>
            <w:r w:rsidRPr="00DA3FAB">
              <w:rPr>
                <w:rFonts w:ascii="Times New Roman" w:hAnsi="Times New Roman"/>
                <w:sz w:val="24"/>
                <w:szCs w:val="24"/>
                <w:lang w:val="ro-MD"/>
              </w:rPr>
              <w:t>/lacunel</w:t>
            </w:r>
            <w:r w:rsidR="005C7769" w:rsidRPr="00DA3FAB">
              <w:rPr>
                <w:rFonts w:ascii="Times New Roman" w:hAnsi="Times New Roman"/>
                <w:sz w:val="24"/>
                <w:szCs w:val="24"/>
                <w:lang w:val="ro-MD"/>
              </w:rPr>
              <w:t>or</w:t>
            </w:r>
            <w:r w:rsidR="00032B46" w:rsidRPr="00DA3FAB">
              <w:rPr>
                <w:rFonts w:ascii="Times New Roman" w:hAnsi="Times New Roman"/>
                <w:sz w:val="24"/>
                <w:szCs w:val="24"/>
                <w:lang w:val="ro-MD"/>
              </w:rPr>
              <w:t xml:space="preserve"> </w:t>
            </w:r>
            <w:r w:rsidRPr="00DA3FAB">
              <w:rPr>
                <w:rFonts w:ascii="Times New Roman" w:hAnsi="Times New Roman"/>
                <w:sz w:val="24"/>
                <w:szCs w:val="24"/>
                <w:lang w:val="ro-MD"/>
              </w:rPr>
              <w:t>normative</w:t>
            </w:r>
          </w:p>
        </w:tc>
      </w:tr>
      <w:tr w:rsidR="00DA0DE1" w:rsidRPr="00DA0DE1" w14:paraId="685779B2" w14:textId="77777777" w:rsidTr="00876045">
        <w:tc>
          <w:tcPr>
            <w:tcW w:w="9109" w:type="dxa"/>
            <w:tcMar>
              <w:top w:w="0" w:type="dxa"/>
              <w:left w:w="108" w:type="dxa"/>
              <w:bottom w:w="0" w:type="dxa"/>
              <w:right w:w="108" w:type="dxa"/>
            </w:tcMar>
          </w:tcPr>
          <w:p w14:paraId="5FBE7293" w14:textId="6CAD0B6A" w:rsidR="00AF3463" w:rsidRPr="00D03286" w:rsidRDefault="00C76F42" w:rsidP="00796B67">
            <w:pPr>
              <w:spacing w:line="276" w:lineRule="auto"/>
              <w:ind w:firstLine="284"/>
              <w:contextualSpacing/>
              <w:rPr>
                <w:rFonts w:ascii="Times New Roman" w:hAnsi="Times New Roman"/>
                <w:sz w:val="24"/>
                <w:szCs w:val="24"/>
                <w:lang w:val="ro-MD"/>
              </w:rPr>
            </w:pPr>
            <w:r w:rsidRPr="00D03286">
              <w:rPr>
                <w:rFonts w:ascii="Times New Roman" w:hAnsi="Times New Roman"/>
                <w:sz w:val="24"/>
                <w:szCs w:val="24"/>
                <w:lang w:val="ro-MD"/>
              </w:rPr>
              <w:t>Cadrul legal național care reglementează produsele fertilizante</w:t>
            </w:r>
            <w:r w:rsidR="00CA3D9B" w:rsidRPr="00D03286">
              <w:rPr>
                <w:rFonts w:ascii="Times New Roman" w:hAnsi="Times New Roman"/>
                <w:sz w:val="24"/>
                <w:szCs w:val="24"/>
                <w:lang w:val="ro-MD"/>
              </w:rPr>
              <w:t xml:space="preserve"> </w:t>
            </w:r>
            <w:r w:rsidRPr="00D03286">
              <w:rPr>
                <w:rFonts w:ascii="Times New Roman" w:hAnsi="Times New Roman"/>
                <w:sz w:val="24"/>
                <w:szCs w:val="24"/>
                <w:lang w:val="ro-MD"/>
              </w:rPr>
              <w:t xml:space="preserve">este Legea nr. 21/2025 </w:t>
            </w:r>
            <w:r w:rsidR="00CA3D9B" w:rsidRPr="00D03286">
              <w:rPr>
                <w:rFonts w:ascii="Times New Roman" w:hAnsi="Times New Roman"/>
                <w:sz w:val="24"/>
                <w:szCs w:val="24"/>
                <w:lang w:val="ro-MD"/>
              </w:rPr>
              <w:t>privind punerea la dispoziție pe piață a produselor fertilizante</w:t>
            </w:r>
            <w:r w:rsidR="00AF3463" w:rsidRPr="00D03286">
              <w:rPr>
                <w:rFonts w:ascii="Times New Roman" w:hAnsi="Times New Roman"/>
                <w:sz w:val="24"/>
                <w:szCs w:val="24"/>
                <w:lang w:val="ro-MD"/>
              </w:rPr>
              <w:t xml:space="preserve"> (în continuare – Legea nr. 21/2025)</w:t>
            </w:r>
            <w:r w:rsidR="00CA3D9B" w:rsidRPr="00D03286">
              <w:rPr>
                <w:rFonts w:ascii="Times New Roman" w:hAnsi="Times New Roman"/>
                <w:sz w:val="24"/>
                <w:szCs w:val="24"/>
                <w:lang w:val="ro-MD"/>
              </w:rPr>
              <w:t xml:space="preserve"> care transpune parțial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w:t>
            </w:r>
            <w:r w:rsidR="00AF3463" w:rsidRPr="00D03286">
              <w:rPr>
                <w:rFonts w:ascii="Times New Roman" w:hAnsi="Times New Roman"/>
                <w:sz w:val="24"/>
                <w:szCs w:val="24"/>
                <w:lang w:val="ro-MD"/>
              </w:rPr>
              <w:t xml:space="preserve">(în continuare – Regulamentul (UE) 2019/1009) </w:t>
            </w:r>
            <w:r w:rsidR="00CA3D9B" w:rsidRPr="00D03286">
              <w:rPr>
                <w:rFonts w:ascii="Times New Roman" w:hAnsi="Times New Roman"/>
                <w:sz w:val="24"/>
                <w:szCs w:val="24"/>
                <w:lang w:val="ro-MD"/>
              </w:rPr>
              <w:t xml:space="preserve">și intră în vigoare </w:t>
            </w:r>
            <w:r w:rsidR="00AF3463" w:rsidRPr="00D03286">
              <w:rPr>
                <w:rFonts w:ascii="Times New Roman" w:hAnsi="Times New Roman"/>
                <w:sz w:val="24"/>
                <w:szCs w:val="24"/>
                <w:lang w:val="ro-MD"/>
              </w:rPr>
              <w:t>la data de 27.09.2025.</w:t>
            </w:r>
          </w:p>
          <w:p w14:paraId="59F3567E" w14:textId="5928BBD5" w:rsidR="005C078C" w:rsidRPr="00D03286" w:rsidRDefault="00D4578C" w:rsidP="00796B67">
            <w:pPr>
              <w:spacing w:line="276" w:lineRule="auto"/>
              <w:ind w:firstLine="284"/>
              <w:contextualSpacing/>
              <w:rPr>
                <w:rFonts w:ascii="Times New Roman" w:hAnsi="Times New Roman"/>
                <w:sz w:val="24"/>
                <w:szCs w:val="24"/>
                <w:lang w:val="ro-MD"/>
              </w:rPr>
            </w:pPr>
            <w:r w:rsidRPr="00D03286">
              <w:rPr>
                <w:rFonts w:ascii="Times New Roman" w:hAnsi="Times New Roman"/>
                <w:sz w:val="24"/>
                <w:szCs w:val="24"/>
                <w:lang w:val="ro-MD"/>
              </w:rPr>
              <w:t>Domeniul produselor fertilizante la nivelul UE este variată și se clasifică în mai multe tipuri de îngrășăminte care sunt disponibile, pe piață</w:t>
            </w:r>
            <w:r w:rsidR="009437C3" w:rsidRPr="00D03286">
              <w:rPr>
                <w:rFonts w:ascii="Times New Roman" w:hAnsi="Times New Roman"/>
                <w:sz w:val="24"/>
                <w:szCs w:val="24"/>
                <w:lang w:val="ro-MD"/>
              </w:rPr>
              <w:t xml:space="preserve">, </w:t>
            </w:r>
            <w:r w:rsidRPr="00D03286">
              <w:rPr>
                <w:rFonts w:ascii="Times New Roman" w:hAnsi="Times New Roman"/>
                <w:sz w:val="24"/>
                <w:szCs w:val="24"/>
                <w:lang w:val="ro-MD"/>
              </w:rPr>
              <w:t xml:space="preserve">iar înțelegerea diferențelor dintre ele este esențială pentru a asigura o nutriție adecvată a plantelor pentru creștere și dezvoltarea optimă a culturii. </w:t>
            </w:r>
            <w:r w:rsidR="009437C3" w:rsidRPr="00D03286">
              <w:rPr>
                <w:rFonts w:ascii="Times New Roman" w:hAnsi="Times New Roman"/>
                <w:sz w:val="24"/>
                <w:szCs w:val="24"/>
                <w:lang w:val="ro-MD"/>
              </w:rPr>
              <w:t xml:space="preserve">La nivelul Uniunii Europene sunt stabilite categoriile funcționale </w:t>
            </w:r>
            <w:r w:rsidR="00173003">
              <w:rPr>
                <w:rFonts w:ascii="Times New Roman" w:hAnsi="Times New Roman"/>
                <w:sz w:val="24"/>
                <w:szCs w:val="24"/>
                <w:lang w:val="ro-MD"/>
              </w:rPr>
              <w:t>pentru</w:t>
            </w:r>
            <w:r w:rsidR="009437C3" w:rsidRPr="00D03286">
              <w:rPr>
                <w:rFonts w:ascii="Times New Roman" w:hAnsi="Times New Roman"/>
                <w:sz w:val="24"/>
                <w:szCs w:val="24"/>
                <w:lang w:val="ro-MD"/>
              </w:rPr>
              <w:t xml:space="preserve"> </w:t>
            </w:r>
            <w:r w:rsidR="009437C3" w:rsidRPr="00D03286">
              <w:rPr>
                <w:rFonts w:ascii="Times New Roman" w:hAnsi="Times New Roman"/>
                <w:sz w:val="24"/>
                <w:szCs w:val="24"/>
                <w:lang w:val="ro-MD"/>
              </w:rPr>
              <w:lastRenderedPageBreak/>
              <w:t>produse</w:t>
            </w:r>
            <w:r w:rsidR="00173003">
              <w:rPr>
                <w:rFonts w:ascii="Times New Roman" w:hAnsi="Times New Roman"/>
                <w:sz w:val="24"/>
                <w:szCs w:val="24"/>
                <w:lang w:val="ro-MD"/>
              </w:rPr>
              <w:t>le fertilizante UE</w:t>
            </w:r>
            <w:r w:rsidR="00AE31BF" w:rsidRPr="00D03286">
              <w:rPr>
                <w:rFonts w:ascii="Times New Roman" w:hAnsi="Times New Roman"/>
                <w:sz w:val="24"/>
                <w:szCs w:val="24"/>
                <w:lang w:val="ro-MD"/>
              </w:rPr>
              <w:t xml:space="preserve"> (fig. 1)</w:t>
            </w:r>
            <w:r w:rsidR="009437C3" w:rsidRPr="00D03286">
              <w:rPr>
                <w:rFonts w:ascii="Times New Roman" w:hAnsi="Times New Roman"/>
                <w:sz w:val="24"/>
                <w:szCs w:val="24"/>
                <w:lang w:val="ro-MD"/>
              </w:rPr>
              <w:t xml:space="preserve"> și </w:t>
            </w:r>
            <w:r w:rsidR="00173003">
              <w:rPr>
                <w:rFonts w:ascii="Times New Roman" w:hAnsi="Times New Roman"/>
                <w:sz w:val="24"/>
                <w:szCs w:val="24"/>
                <w:lang w:val="ro-MD"/>
              </w:rPr>
              <w:t>a categoriilor materii</w:t>
            </w:r>
            <w:r w:rsidR="00173003" w:rsidRPr="00D03286">
              <w:rPr>
                <w:rFonts w:ascii="Times New Roman" w:hAnsi="Times New Roman"/>
                <w:sz w:val="24"/>
                <w:szCs w:val="24"/>
                <w:lang w:val="ro-MD"/>
              </w:rPr>
              <w:t xml:space="preserve"> </w:t>
            </w:r>
            <w:r w:rsidR="009437C3" w:rsidRPr="00D03286">
              <w:rPr>
                <w:rFonts w:ascii="Times New Roman" w:hAnsi="Times New Roman"/>
                <w:sz w:val="24"/>
                <w:szCs w:val="24"/>
                <w:lang w:val="ro-MD"/>
              </w:rPr>
              <w:t xml:space="preserve">componente într-un produs fertilizant UE </w:t>
            </w:r>
            <w:r w:rsidR="005C078C" w:rsidRPr="00D03286">
              <w:rPr>
                <w:rFonts w:ascii="Times New Roman" w:hAnsi="Times New Roman"/>
                <w:sz w:val="24"/>
                <w:szCs w:val="24"/>
                <w:lang w:val="ro-MD"/>
              </w:rPr>
              <w:t xml:space="preserve">care reglementează </w:t>
            </w:r>
            <w:r w:rsidR="009437C3" w:rsidRPr="00D03286">
              <w:rPr>
                <w:rFonts w:ascii="Times New Roman" w:hAnsi="Times New Roman"/>
                <w:sz w:val="24"/>
                <w:szCs w:val="24"/>
                <w:lang w:val="ro-MD"/>
              </w:rPr>
              <w:t>anumite cerințe la calitate</w:t>
            </w:r>
            <w:r w:rsidR="005C078C" w:rsidRPr="00D03286">
              <w:rPr>
                <w:rFonts w:ascii="Times New Roman" w:hAnsi="Times New Roman"/>
                <w:sz w:val="24"/>
                <w:szCs w:val="24"/>
                <w:lang w:val="ro-MD"/>
              </w:rPr>
              <w:t xml:space="preserve"> a produselor fertilizante</w:t>
            </w:r>
            <w:r w:rsidR="00173003">
              <w:rPr>
                <w:rFonts w:ascii="Times New Roman" w:hAnsi="Times New Roman"/>
                <w:sz w:val="24"/>
                <w:szCs w:val="24"/>
                <w:lang w:val="ro-MD"/>
              </w:rPr>
              <w:t xml:space="preserve"> UE</w:t>
            </w:r>
            <w:r w:rsidR="009437C3" w:rsidRPr="00D03286">
              <w:rPr>
                <w:rFonts w:ascii="Times New Roman" w:hAnsi="Times New Roman"/>
                <w:sz w:val="24"/>
                <w:szCs w:val="24"/>
                <w:lang w:val="ro-MD"/>
              </w:rPr>
              <w:t xml:space="preserve"> pentru asigurarea sănătății </w:t>
            </w:r>
            <w:r w:rsidR="00925ADD" w:rsidRPr="00D03286">
              <w:rPr>
                <w:rFonts w:ascii="Times New Roman" w:hAnsi="Times New Roman"/>
                <w:sz w:val="24"/>
                <w:szCs w:val="24"/>
                <w:lang w:val="ro-MD"/>
              </w:rPr>
              <w:t>publice</w:t>
            </w:r>
            <w:r w:rsidR="009437C3" w:rsidRPr="00D03286">
              <w:rPr>
                <w:rFonts w:ascii="Times New Roman" w:hAnsi="Times New Roman"/>
                <w:sz w:val="24"/>
                <w:szCs w:val="24"/>
                <w:lang w:val="ro-MD"/>
              </w:rPr>
              <w:t>,</w:t>
            </w:r>
            <w:r w:rsidR="00925ADD" w:rsidRPr="00D03286">
              <w:rPr>
                <w:rFonts w:ascii="Times New Roman" w:hAnsi="Times New Roman"/>
                <w:sz w:val="24"/>
                <w:szCs w:val="24"/>
                <w:lang w:val="ro-MD"/>
              </w:rPr>
              <w:t xml:space="preserve"> a bunăstării animalelor și a mediului înconjurător </w:t>
            </w:r>
            <w:r w:rsidR="00C70807" w:rsidRPr="00D03286">
              <w:rPr>
                <w:rFonts w:ascii="Times New Roman" w:hAnsi="Times New Roman"/>
                <w:sz w:val="24"/>
                <w:szCs w:val="24"/>
                <w:lang w:val="ro-MD"/>
              </w:rPr>
              <w:t>care permite</w:t>
            </w:r>
            <w:r w:rsidR="009437C3" w:rsidRPr="00D03286">
              <w:rPr>
                <w:rFonts w:ascii="Times New Roman" w:hAnsi="Times New Roman"/>
                <w:sz w:val="24"/>
                <w:szCs w:val="24"/>
                <w:lang w:val="ro-MD"/>
              </w:rPr>
              <w:t xml:space="preserve"> accesul la piața internă și a liberei circulație </w:t>
            </w:r>
            <w:r w:rsidR="005C078C" w:rsidRPr="00D03286">
              <w:rPr>
                <w:rFonts w:ascii="Times New Roman" w:hAnsi="Times New Roman"/>
                <w:sz w:val="24"/>
                <w:szCs w:val="24"/>
                <w:lang w:val="ro-MD"/>
              </w:rPr>
              <w:t xml:space="preserve">în alte țări. </w:t>
            </w:r>
          </w:p>
          <w:p w14:paraId="1CAE9912" w14:textId="345CF43A" w:rsidR="00AE31BF" w:rsidRPr="00DA0DE1" w:rsidRDefault="00AE31BF" w:rsidP="00675B3E">
            <w:pPr>
              <w:spacing w:line="276" w:lineRule="auto"/>
              <w:ind w:firstLine="284"/>
              <w:contextualSpacing/>
              <w:rPr>
                <w:rFonts w:ascii="Times New Roman" w:hAnsi="Times New Roman"/>
                <w:sz w:val="24"/>
                <w:szCs w:val="24"/>
                <w:highlight w:val="green"/>
                <w:lang w:val="ro-MD"/>
              </w:rPr>
            </w:pPr>
            <w:r w:rsidRPr="00596092">
              <w:rPr>
                <w:noProof/>
                <w:sz w:val="24"/>
                <w:szCs w:val="24"/>
                <w:lang w:val="ro-MD"/>
              </w:rPr>
              <w:drawing>
                <wp:inline distT="0" distB="0" distL="0" distR="0" wp14:anchorId="60C2C6A6" wp14:editId="5FCFFAD1">
                  <wp:extent cx="5322570" cy="2238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981" cy="2274294"/>
                          </a:xfrm>
                          <a:prstGeom prst="rect">
                            <a:avLst/>
                          </a:prstGeom>
                          <a:noFill/>
                        </pic:spPr>
                      </pic:pic>
                    </a:graphicData>
                  </a:graphic>
                </wp:inline>
              </w:drawing>
            </w:r>
          </w:p>
          <w:p w14:paraId="6D121D86" w14:textId="245F6614" w:rsidR="00AE31BF" w:rsidRPr="00D03286" w:rsidRDefault="00AE31BF" w:rsidP="00994CE3">
            <w:pPr>
              <w:spacing w:before="240" w:line="276" w:lineRule="auto"/>
              <w:ind w:firstLine="284"/>
              <w:contextualSpacing/>
              <w:rPr>
                <w:rFonts w:ascii="Times New Roman" w:hAnsi="Times New Roman"/>
                <w:sz w:val="24"/>
                <w:szCs w:val="24"/>
                <w:lang w:val="ro-MD"/>
              </w:rPr>
            </w:pPr>
            <w:r w:rsidRPr="00D03286">
              <w:rPr>
                <w:rFonts w:ascii="Times New Roman" w:hAnsi="Times New Roman"/>
                <w:i/>
                <w:sz w:val="24"/>
                <w:szCs w:val="24"/>
                <w:lang w:val="ro-MD"/>
              </w:rPr>
              <w:t>Fig. 1</w:t>
            </w:r>
            <w:r w:rsidRPr="00D03286">
              <w:rPr>
                <w:rFonts w:ascii="Times New Roman" w:hAnsi="Times New Roman"/>
                <w:sz w:val="24"/>
                <w:szCs w:val="24"/>
                <w:lang w:val="ro-MD"/>
              </w:rPr>
              <w:t>.</w:t>
            </w:r>
            <w:r w:rsidRPr="00D03286">
              <w:rPr>
                <w:rFonts w:ascii="Times New Roman" w:hAnsi="Times New Roman"/>
                <w:i/>
                <w:sz w:val="24"/>
                <w:szCs w:val="24"/>
                <w:lang w:val="ro-RO"/>
              </w:rPr>
              <w:t xml:space="preserve"> Distribuția în UE a valorii de piață  pe categorie de produse fertilizante.</w:t>
            </w:r>
            <w:r w:rsidRPr="00D03286">
              <w:rPr>
                <w:rFonts w:ascii="Times New Roman" w:hAnsi="Times New Roman"/>
                <w:i/>
                <w:sz w:val="24"/>
                <w:szCs w:val="24"/>
                <w:lang w:val="ro-RO"/>
              </w:rPr>
              <w:br/>
              <w:t>(</w:t>
            </w:r>
            <w:proofErr w:type="spellStart"/>
            <w:r w:rsidRPr="00D03286">
              <w:rPr>
                <w:rFonts w:ascii="Times New Roman" w:hAnsi="Times New Roman"/>
                <w:i/>
                <w:sz w:val="24"/>
                <w:szCs w:val="24"/>
                <w:lang w:val="ro-RO"/>
              </w:rPr>
              <w:t>Source</w:t>
            </w:r>
            <w:proofErr w:type="spellEnd"/>
            <w:r w:rsidRPr="00D03286">
              <w:rPr>
                <w:rFonts w:ascii="Times New Roman" w:hAnsi="Times New Roman"/>
                <w:i/>
                <w:sz w:val="24"/>
                <w:szCs w:val="24"/>
                <w:lang w:val="ro-RO"/>
              </w:rPr>
              <w:t xml:space="preserve">: </w:t>
            </w:r>
            <w:proofErr w:type="spellStart"/>
            <w:r w:rsidRPr="00D03286">
              <w:rPr>
                <w:rFonts w:ascii="Times New Roman" w:hAnsi="Times New Roman"/>
                <w:i/>
                <w:sz w:val="24"/>
                <w:szCs w:val="24"/>
                <w:lang w:val="ro-RO"/>
              </w:rPr>
              <w:t>the</w:t>
            </w:r>
            <w:proofErr w:type="spellEnd"/>
            <w:r w:rsidRPr="00D03286">
              <w:rPr>
                <w:rFonts w:ascii="Times New Roman" w:hAnsi="Times New Roman"/>
                <w:i/>
                <w:sz w:val="24"/>
                <w:szCs w:val="24"/>
                <w:lang w:val="ro-RO"/>
              </w:rPr>
              <w:t xml:space="preserve"> </w:t>
            </w:r>
            <w:proofErr w:type="spellStart"/>
            <w:r w:rsidRPr="00D03286">
              <w:rPr>
                <w:rFonts w:ascii="Times New Roman" w:hAnsi="Times New Roman"/>
                <w:i/>
                <w:sz w:val="24"/>
                <w:szCs w:val="24"/>
                <w:lang w:val="ro-RO"/>
              </w:rPr>
              <w:t>Fertilisers</w:t>
            </w:r>
            <w:proofErr w:type="spellEnd"/>
            <w:r w:rsidRPr="00D03286">
              <w:rPr>
                <w:rFonts w:ascii="Times New Roman" w:hAnsi="Times New Roman"/>
                <w:i/>
                <w:sz w:val="24"/>
                <w:szCs w:val="24"/>
                <w:lang w:val="ro-RO"/>
              </w:rPr>
              <w:t xml:space="preserve"> </w:t>
            </w:r>
            <w:proofErr w:type="spellStart"/>
            <w:r w:rsidRPr="00D03286">
              <w:rPr>
                <w:rFonts w:ascii="Times New Roman" w:hAnsi="Times New Roman"/>
                <w:i/>
                <w:sz w:val="24"/>
                <w:szCs w:val="24"/>
                <w:lang w:val="ro-RO"/>
              </w:rPr>
              <w:t>Study</w:t>
            </w:r>
            <w:proofErr w:type="spellEnd"/>
            <w:r w:rsidRPr="00D03286">
              <w:rPr>
                <w:rFonts w:ascii="Times New Roman" w:hAnsi="Times New Roman"/>
                <w:i/>
                <w:sz w:val="24"/>
                <w:szCs w:val="24"/>
                <w:lang w:val="ro-RO"/>
              </w:rPr>
              <w:t>- 2018)</w:t>
            </w:r>
          </w:p>
          <w:p w14:paraId="4B396D2C" w14:textId="69209E64" w:rsidR="00C70807" w:rsidRDefault="00C70807" w:rsidP="00E00128">
            <w:pPr>
              <w:spacing w:before="240" w:after="240" w:line="276" w:lineRule="auto"/>
              <w:ind w:firstLine="284"/>
              <w:contextualSpacing/>
              <w:rPr>
                <w:rFonts w:ascii="Times New Roman" w:hAnsi="Times New Roman"/>
                <w:sz w:val="24"/>
                <w:szCs w:val="24"/>
                <w:lang w:val="ro-MD"/>
              </w:rPr>
            </w:pPr>
            <w:r w:rsidRPr="00D03286">
              <w:rPr>
                <w:rFonts w:ascii="Times New Roman" w:hAnsi="Times New Roman"/>
                <w:sz w:val="24"/>
                <w:szCs w:val="24"/>
                <w:lang w:val="ro-MD"/>
              </w:rPr>
              <w:t>Categoriile funcționale de produse</w:t>
            </w:r>
            <w:r w:rsidR="00173003">
              <w:rPr>
                <w:rFonts w:ascii="Times New Roman" w:hAnsi="Times New Roman"/>
                <w:sz w:val="24"/>
                <w:szCs w:val="24"/>
                <w:lang w:val="ro-MD"/>
              </w:rPr>
              <w:t xml:space="preserve"> pentru produsele fertilizante UE</w:t>
            </w:r>
            <w:r w:rsidRPr="00D03286">
              <w:rPr>
                <w:rFonts w:ascii="Times New Roman" w:hAnsi="Times New Roman"/>
                <w:sz w:val="24"/>
                <w:szCs w:val="24"/>
                <w:lang w:val="ro-MD"/>
              </w:rPr>
              <w:t xml:space="preserve"> și </w:t>
            </w:r>
            <w:r w:rsidR="00173003">
              <w:rPr>
                <w:rFonts w:ascii="Times New Roman" w:hAnsi="Times New Roman"/>
                <w:sz w:val="24"/>
                <w:szCs w:val="24"/>
                <w:lang w:val="ro-MD"/>
              </w:rPr>
              <w:t>a categoriil</w:t>
            </w:r>
            <w:r w:rsidR="00FC0BED">
              <w:rPr>
                <w:rFonts w:ascii="Times New Roman" w:hAnsi="Times New Roman"/>
                <w:sz w:val="24"/>
                <w:szCs w:val="24"/>
                <w:lang w:val="ro-MD"/>
              </w:rPr>
              <w:t>or</w:t>
            </w:r>
            <w:r w:rsidR="00173003">
              <w:rPr>
                <w:rFonts w:ascii="Times New Roman" w:hAnsi="Times New Roman"/>
                <w:sz w:val="24"/>
                <w:szCs w:val="24"/>
                <w:lang w:val="ro-MD"/>
              </w:rPr>
              <w:t xml:space="preserve"> materii componente pentru produsele fertilizante UE</w:t>
            </w:r>
            <w:r w:rsidR="00A53BDA" w:rsidRPr="00D03286">
              <w:rPr>
                <w:rFonts w:ascii="Times New Roman" w:hAnsi="Times New Roman"/>
                <w:sz w:val="24"/>
                <w:szCs w:val="24"/>
                <w:lang w:val="ro-MD"/>
              </w:rPr>
              <w:t xml:space="preserve"> </w:t>
            </w:r>
            <w:r w:rsidRPr="00D03286">
              <w:rPr>
                <w:rFonts w:ascii="Times New Roman" w:hAnsi="Times New Roman"/>
                <w:sz w:val="24"/>
                <w:szCs w:val="24"/>
                <w:lang w:val="ro-MD"/>
              </w:rPr>
              <w:t xml:space="preserve">la nivelul Uniunii </w:t>
            </w:r>
            <w:r w:rsidR="00A53BDA" w:rsidRPr="00D03286">
              <w:rPr>
                <w:rFonts w:ascii="Times New Roman" w:hAnsi="Times New Roman"/>
                <w:sz w:val="24"/>
                <w:szCs w:val="24"/>
                <w:lang w:val="ro-MD"/>
              </w:rPr>
              <w:t>E</w:t>
            </w:r>
            <w:r w:rsidRPr="00D03286">
              <w:rPr>
                <w:rFonts w:ascii="Times New Roman" w:hAnsi="Times New Roman"/>
                <w:sz w:val="24"/>
                <w:szCs w:val="24"/>
                <w:lang w:val="ro-MD"/>
              </w:rPr>
              <w:t xml:space="preserve">uropene sunt </w:t>
            </w:r>
            <w:r w:rsidR="005C078C" w:rsidRPr="00D03286">
              <w:rPr>
                <w:rFonts w:ascii="Times New Roman" w:hAnsi="Times New Roman"/>
                <w:sz w:val="24"/>
                <w:szCs w:val="24"/>
                <w:lang w:val="ro-MD"/>
              </w:rPr>
              <w:t xml:space="preserve">prevăzute </w:t>
            </w:r>
            <w:r w:rsidRPr="00D03286">
              <w:rPr>
                <w:rFonts w:ascii="Times New Roman" w:hAnsi="Times New Roman"/>
                <w:sz w:val="24"/>
                <w:szCs w:val="24"/>
                <w:lang w:val="ro-MD"/>
              </w:rPr>
              <w:t xml:space="preserve">în </w:t>
            </w:r>
            <w:r w:rsidR="009437C3" w:rsidRPr="00D03286">
              <w:rPr>
                <w:rFonts w:ascii="Times New Roman" w:hAnsi="Times New Roman"/>
                <w:sz w:val="24"/>
                <w:szCs w:val="24"/>
                <w:lang w:val="ro-MD"/>
              </w:rPr>
              <w:t>anexa nr. I și II din Regulamentul (UE) 2019/1009</w:t>
            </w:r>
            <w:r w:rsidR="00173003">
              <w:rPr>
                <w:rFonts w:ascii="Times New Roman" w:hAnsi="Times New Roman"/>
                <w:sz w:val="24"/>
                <w:szCs w:val="24"/>
                <w:lang w:val="ro-MD"/>
              </w:rPr>
              <w:t>.</w:t>
            </w:r>
          </w:p>
          <w:p w14:paraId="22DCD381" w14:textId="23694B3B" w:rsidR="00FC0BED" w:rsidRPr="00D03286" w:rsidRDefault="00FC0BED" w:rsidP="00FC0BED">
            <w:pPr>
              <w:spacing w:line="276" w:lineRule="auto"/>
              <w:ind w:firstLine="284"/>
              <w:contextualSpacing/>
              <w:rPr>
                <w:rFonts w:ascii="Times New Roman" w:hAnsi="Times New Roman"/>
                <w:sz w:val="24"/>
                <w:szCs w:val="24"/>
                <w:lang w:val="ro-MD"/>
              </w:rPr>
            </w:pPr>
            <w:r w:rsidRPr="00D03286">
              <w:rPr>
                <w:rFonts w:ascii="Times New Roman" w:hAnsi="Times New Roman"/>
                <w:sz w:val="24"/>
                <w:szCs w:val="24"/>
                <w:lang w:val="ro-MD"/>
              </w:rPr>
              <w:t xml:space="preserve">La nivel național prevederi referitor la calitatea </w:t>
            </w:r>
            <w:r>
              <w:rPr>
                <w:rFonts w:ascii="Times New Roman" w:hAnsi="Times New Roman"/>
                <w:sz w:val="24"/>
                <w:szCs w:val="24"/>
                <w:lang w:val="ro-MD"/>
              </w:rPr>
              <w:t>și cerințele unui produs fertilizant UE</w:t>
            </w:r>
            <w:r w:rsidRPr="00D03286">
              <w:rPr>
                <w:rFonts w:ascii="Times New Roman" w:hAnsi="Times New Roman"/>
                <w:sz w:val="24"/>
                <w:szCs w:val="24"/>
                <w:lang w:val="ro-MD"/>
              </w:rPr>
              <w:t xml:space="preserve"> anorganic și organic </w:t>
            </w:r>
            <w:r>
              <w:rPr>
                <w:rFonts w:ascii="Times New Roman" w:hAnsi="Times New Roman"/>
                <w:sz w:val="24"/>
                <w:szCs w:val="24"/>
                <w:lang w:val="ro-MD"/>
              </w:rPr>
              <w:t>nu este reglementat</w:t>
            </w:r>
            <w:r w:rsidRPr="00D03286">
              <w:rPr>
                <w:rFonts w:ascii="Times New Roman" w:hAnsi="Times New Roman"/>
                <w:sz w:val="24"/>
                <w:szCs w:val="24"/>
                <w:lang w:val="ro-MD"/>
              </w:rPr>
              <w:t xml:space="preserve">. </w:t>
            </w:r>
          </w:p>
          <w:p w14:paraId="614A8ECF" w14:textId="0EEF7102" w:rsidR="00E940B2" w:rsidRPr="00D03286" w:rsidRDefault="00FC0BED" w:rsidP="00C70807">
            <w:pPr>
              <w:spacing w:line="276" w:lineRule="auto"/>
              <w:ind w:firstLine="284"/>
              <w:contextualSpacing/>
              <w:rPr>
                <w:rFonts w:ascii="Times New Roman" w:hAnsi="Times New Roman"/>
                <w:sz w:val="24"/>
                <w:szCs w:val="24"/>
                <w:lang w:val="ro-MD"/>
              </w:rPr>
            </w:pPr>
            <w:r>
              <w:rPr>
                <w:rFonts w:ascii="Times New Roman" w:hAnsi="Times New Roman"/>
                <w:sz w:val="24"/>
                <w:szCs w:val="24"/>
                <w:lang w:val="ro-MD"/>
              </w:rPr>
              <w:t xml:space="preserve">Prin urmare, </w:t>
            </w:r>
            <w:r w:rsidR="00FD1A94" w:rsidRPr="00D03286">
              <w:rPr>
                <w:rFonts w:ascii="Times New Roman" w:hAnsi="Times New Roman"/>
                <w:sz w:val="24"/>
                <w:szCs w:val="24"/>
                <w:lang w:val="ro-MD"/>
              </w:rPr>
              <w:t>Proiectul de ordin</w:t>
            </w:r>
            <w:r w:rsidR="00BB6BDD" w:rsidRPr="00D03286">
              <w:rPr>
                <w:rFonts w:ascii="Times New Roman" w:hAnsi="Times New Roman"/>
                <w:sz w:val="24"/>
                <w:szCs w:val="24"/>
                <w:lang w:val="ro-MD"/>
              </w:rPr>
              <w:t xml:space="preserve"> vizează implementarea Legii nr. 21/2025</w:t>
            </w:r>
            <w:r w:rsidR="00AE31BF" w:rsidRPr="00D03286">
              <w:rPr>
                <w:rFonts w:ascii="Times New Roman" w:hAnsi="Times New Roman"/>
                <w:sz w:val="24"/>
                <w:szCs w:val="24"/>
                <w:lang w:val="ro-MD"/>
              </w:rPr>
              <w:t xml:space="preserve"> care</w:t>
            </w:r>
            <w:r w:rsidR="00925ADD" w:rsidRPr="00D03286">
              <w:rPr>
                <w:rFonts w:ascii="Times New Roman" w:hAnsi="Times New Roman"/>
                <w:sz w:val="24"/>
                <w:szCs w:val="24"/>
                <w:lang w:val="ro-MD"/>
              </w:rPr>
              <w:t xml:space="preserve"> vine să alinieze</w:t>
            </w:r>
            <w:r w:rsidR="00BB6BDD" w:rsidRPr="00D03286">
              <w:rPr>
                <w:rFonts w:ascii="Times New Roman" w:hAnsi="Times New Roman"/>
                <w:sz w:val="24"/>
                <w:szCs w:val="24"/>
                <w:lang w:val="ro-MD"/>
              </w:rPr>
              <w:t xml:space="preserve"> </w:t>
            </w:r>
            <w:r w:rsidR="00D4578C" w:rsidRPr="00D03286">
              <w:rPr>
                <w:rFonts w:ascii="Times New Roman" w:hAnsi="Times New Roman"/>
                <w:sz w:val="24"/>
                <w:szCs w:val="24"/>
                <w:lang w:val="ro-MD"/>
              </w:rPr>
              <w:t xml:space="preserve">reglementări ce vor permite producerea unor produse </w:t>
            </w:r>
            <w:r w:rsidR="00BB6BDD" w:rsidRPr="00D03286">
              <w:rPr>
                <w:rFonts w:ascii="Times New Roman" w:hAnsi="Times New Roman"/>
                <w:sz w:val="24"/>
                <w:szCs w:val="24"/>
                <w:lang w:val="ro-MD"/>
              </w:rPr>
              <w:t xml:space="preserve">fertilizante UE </w:t>
            </w:r>
            <w:r w:rsidR="00D4578C" w:rsidRPr="00D03286">
              <w:rPr>
                <w:rFonts w:ascii="Times New Roman" w:hAnsi="Times New Roman"/>
                <w:sz w:val="24"/>
                <w:szCs w:val="24"/>
                <w:lang w:val="ro-MD"/>
              </w:rPr>
              <w:t>după Categoriile funcționale de produse</w:t>
            </w:r>
            <w:r w:rsidR="00BB6BDD" w:rsidRPr="00D03286">
              <w:rPr>
                <w:rFonts w:ascii="Times New Roman" w:hAnsi="Times New Roman"/>
                <w:sz w:val="24"/>
                <w:szCs w:val="24"/>
                <w:lang w:val="ro-MD"/>
              </w:rPr>
              <w:t xml:space="preserve"> și </w:t>
            </w:r>
            <w:r w:rsidR="002C73F8">
              <w:rPr>
                <w:rFonts w:ascii="Times New Roman" w:hAnsi="Times New Roman"/>
                <w:sz w:val="24"/>
                <w:szCs w:val="24"/>
                <w:lang w:val="ro-MD"/>
              </w:rPr>
              <w:t xml:space="preserve">a categoriilor </w:t>
            </w:r>
            <w:r w:rsidR="00BB6BDD" w:rsidRPr="00D03286">
              <w:rPr>
                <w:rFonts w:ascii="Times New Roman" w:hAnsi="Times New Roman"/>
                <w:sz w:val="24"/>
                <w:szCs w:val="24"/>
                <w:lang w:val="ro-MD"/>
              </w:rPr>
              <w:t>mate</w:t>
            </w:r>
            <w:r w:rsidR="00AE31BF" w:rsidRPr="00D03286">
              <w:rPr>
                <w:rFonts w:ascii="Times New Roman" w:hAnsi="Times New Roman"/>
                <w:sz w:val="24"/>
                <w:szCs w:val="24"/>
                <w:lang w:val="ro-MD"/>
              </w:rPr>
              <w:t>rii componente</w:t>
            </w:r>
            <w:r w:rsidR="00905BA8">
              <w:rPr>
                <w:rFonts w:ascii="Times New Roman" w:hAnsi="Times New Roman"/>
                <w:sz w:val="24"/>
                <w:szCs w:val="24"/>
                <w:lang w:val="ro-MD"/>
              </w:rPr>
              <w:t xml:space="preserve"> stipulate la nivelul Uniunii Europene</w:t>
            </w:r>
            <w:r w:rsidR="00D4578C" w:rsidRPr="00D03286">
              <w:rPr>
                <w:rFonts w:ascii="Times New Roman" w:hAnsi="Times New Roman"/>
                <w:sz w:val="24"/>
                <w:szCs w:val="24"/>
                <w:lang w:val="ro-MD"/>
              </w:rPr>
              <w:t xml:space="preserve">. Totodată, funcționalitatea </w:t>
            </w:r>
            <w:r w:rsidR="00BB6BDD" w:rsidRPr="00D03286">
              <w:rPr>
                <w:rFonts w:ascii="Times New Roman" w:hAnsi="Times New Roman"/>
                <w:sz w:val="24"/>
                <w:szCs w:val="24"/>
                <w:lang w:val="ro-MD"/>
              </w:rPr>
              <w:t>extinsă</w:t>
            </w:r>
            <w:r w:rsidR="00D4578C" w:rsidRPr="00D03286">
              <w:rPr>
                <w:rFonts w:ascii="Times New Roman" w:hAnsi="Times New Roman"/>
                <w:sz w:val="24"/>
                <w:szCs w:val="24"/>
                <w:lang w:val="ro-MD"/>
              </w:rPr>
              <w:t xml:space="preserve"> va permite utilizatorilor să </w:t>
            </w:r>
            <w:r w:rsidR="00AE31BF" w:rsidRPr="00D03286">
              <w:rPr>
                <w:rFonts w:ascii="Times New Roman" w:hAnsi="Times New Roman"/>
                <w:sz w:val="24"/>
                <w:szCs w:val="24"/>
                <w:lang w:val="ro-MD"/>
              </w:rPr>
              <w:t>aplice produse fertilizante</w:t>
            </w:r>
            <w:r w:rsidR="00A53BDA" w:rsidRPr="00D03286">
              <w:rPr>
                <w:rFonts w:ascii="Times New Roman" w:hAnsi="Times New Roman"/>
                <w:sz w:val="24"/>
                <w:szCs w:val="24"/>
                <w:lang w:val="ro-MD"/>
              </w:rPr>
              <w:t xml:space="preserve"> UE</w:t>
            </w:r>
            <w:r w:rsidR="00AE31BF" w:rsidRPr="00D03286">
              <w:rPr>
                <w:rFonts w:ascii="Times New Roman" w:hAnsi="Times New Roman"/>
                <w:sz w:val="24"/>
                <w:szCs w:val="24"/>
                <w:lang w:val="ro-MD"/>
              </w:rPr>
              <w:t xml:space="preserve"> în scop mult mai larg care </w:t>
            </w:r>
            <w:r w:rsidR="00D4578C" w:rsidRPr="00D03286">
              <w:rPr>
                <w:rFonts w:ascii="Times New Roman" w:hAnsi="Times New Roman"/>
                <w:sz w:val="24"/>
                <w:szCs w:val="24"/>
                <w:lang w:val="ro-MD"/>
              </w:rPr>
              <w:t>vor ameliora și influența nu doar nutriția plantelor (recoltele scontate) dar și dezvoltare durabilă a solurilor.</w:t>
            </w:r>
            <w:r w:rsidR="00E940B2" w:rsidRPr="00D03286">
              <w:rPr>
                <w:rFonts w:ascii="Times New Roman" w:hAnsi="Times New Roman"/>
                <w:sz w:val="24"/>
                <w:szCs w:val="24"/>
                <w:lang w:val="ro-MD"/>
              </w:rPr>
              <w:t xml:space="preserve"> </w:t>
            </w:r>
          </w:p>
          <w:p w14:paraId="672EE03D" w14:textId="77777777" w:rsidR="00E00128" w:rsidRDefault="00796B67" w:rsidP="00C70807">
            <w:pPr>
              <w:spacing w:line="276" w:lineRule="auto"/>
              <w:ind w:firstLine="284"/>
              <w:contextualSpacing/>
              <w:rPr>
                <w:rFonts w:ascii="Times New Roman" w:hAnsi="Times New Roman"/>
                <w:sz w:val="24"/>
                <w:szCs w:val="24"/>
                <w:lang w:val="ro-MD"/>
              </w:rPr>
            </w:pPr>
            <w:r w:rsidRPr="00D03286">
              <w:rPr>
                <w:rFonts w:ascii="Times New Roman" w:hAnsi="Times New Roman"/>
                <w:sz w:val="24"/>
                <w:szCs w:val="24"/>
                <w:lang w:val="ro-MD"/>
              </w:rPr>
              <w:t xml:space="preserve">La fel, </w:t>
            </w:r>
            <w:r w:rsidR="00C70807" w:rsidRPr="00D03286">
              <w:rPr>
                <w:rFonts w:ascii="Times New Roman" w:hAnsi="Times New Roman"/>
                <w:sz w:val="24"/>
                <w:szCs w:val="24"/>
                <w:lang w:val="ro-MD"/>
              </w:rPr>
              <w:t xml:space="preserve">va permite </w:t>
            </w:r>
            <w:r w:rsidR="00905BA8">
              <w:rPr>
                <w:rFonts w:ascii="Times New Roman" w:hAnsi="Times New Roman"/>
                <w:sz w:val="24"/>
                <w:szCs w:val="24"/>
                <w:lang w:val="ro-MD"/>
              </w:rPr>
              <w:t>producerea produselor fertilizante UE în Republica Moldova</w:t>
            </w:r>
            <w:r w:rsidR="00E00128">
              <w:rPr>
                <w:rFonts w:ascii="Times New Roman" w:hAnsi="Times New Roman"/>
                <w:sz w:val="24"/>
                <w:szCs w:val="24"/>
                <w:lang w:val="ro-MD"/>
              </w:rPr>
              <w:t xml:space="preserve"> după prevederile reglementărilor internaționale</w:t>
            </w:r>
            <w:r w:rsidR="00905BA8">
              <w:rPr>
                <w:rFonts w:ascii="Times New Roman" w:hAnsi="Times New Roman"/>
                <w:sz w:val="24"/>
                <w:szCs w:val="24"/>
                <w:lang w:val="ro-MD"/>
              </w:rPr>
              <w:t xml:space="preserve"> și totodată </w:t>
            </w:r>
            <w:r w:rsidRPr="00D03286">
              <w:rPr>
                <w:rFonts w:ascii="Times New Roman" w:hAnsi="Times New Roman"/>
                <w:sz w:val="24"/>
                <w:szCs w:val="24"/>
                <w:lang w:val="ro-MD"/>
              </w:rPr>
              <w:t>libera circulație pe piața internă</w:t>
            </w:r>
            <w:r w:rsidR="00905BA8">
              <w:rPr>
                <w:rFonts w:ascii="Times New Roman" w:hAnsi="Times New Roman"/>
                <w:sz w:val="24"/>
                <w:szCs w:val="24"/>
                <w:lang w:val="ro-MD"/>
              </w:rPr>
              <w:t xml:space="preserve"> și</w:t>
            </w:r>
            <w:r w:rsidR="001F2734">
              <w:rPr>
                <w:rFonts w:ascii="Times New Roman" w:hAnsi="Times New Roman"/>
                <w:sz w:val="24"/>
                <w:szCs w:val="24"/>
                <w:lang w:val="ro-MD"/>
              </w:rPr>
              <w:t xml:space="preserve"> externă</w:t>
            </w:r>
            <w:r w:rsidR="00E00128">
              <w:rPr>
                <w:rFonts w:ascii="Times New Roman" w:hAnsi="Times New Roman"/>
                <w:sz w:val="24"/>
                <w:szCs w:val="24"/>
                <w:lang w:val="ro-MD"/>
              </w:rPr>
              <w:t>.</w:t>
            </w:r>
          </w:p>
          <w:p w14:paraId="7C65CC31" w14:textId="4FA6A413" w:rsidR="00796B67" w:rsidRPr="007D5399" w:rsidRDefault="00796B67" w:rsidP="00E00128">
            <w:pPr>
              <w:spacing w:line="276" w:lineRule="auto"/>
              <w:ind w:firstLine="284"/>
              <w:contextualSpacing/>
              <w:rPr>
                <w:rFonts w:ascii="Times New Roman" w:hAnsi="Times New Roman"/>
                <w:sz w:val="16"/>
                <w:szCs w:val="24"/>
                <w:highlight w:val="green"/>
                <w:lang w:val="ro-MD"/>
              </w:rPr>
            </w:pPr>
          </w:p>
        </w:tc>
      </w:tr>
      <w:tr w:rsidR="00DA0DE1" w:rsidRPr="00DA0DE1" w14:paraId="21CCAE39" w14:textId="77777777" w:rsidTr="00876045">
        <w:tc>
          <w:tcPr>
            <w:tcW w:w="9109" w:type="dxa"/>
            <w:shd w:val="clear" w:color="BFBFBF" w:fill="BFBFBF"/>
            <w:tcMar>
              <w:top w:w="0" w:type="dxa"/>
              <w:left w:w="108" w:type="dxa"/>
              <w:bottom w:w="0" w:type="dxa"/>
              <w:right w:w="108" w:type="dxa"/>
            </w:tcMar>
          </w:tcPr>
          <w:p w14:paraId="7EE49247" w14:textId="482915E6" w:rsidR="00345CB9" w:rsidRPr="00DA0DE1" w:rsidRDefault="006933C3" w:rsidP="0006633C">
            <w:pPr>
              <w:spacing w:line="276" w:lineRule="auto"/>
              <w:rPr>
                <w:rFonts w:ascii="Times New Roman" w:hAnsi="Times New Roman"/>
                <w:b/>
                <w:bCs/>
                <w:sz w:val="24"/>
                <w:szCs w:val="24"/>
                <w:lang w:val="ro-MD"/>
              </w:rPr>
            </w:pPr>
            <w:r w:rsidRPr="00DA0DE1">
              <w:rPr>
                <w:rFonts w:ascii="Times New Roman" w:hAnsi="Times New Roman"/>
                <w:b/>
                <w:bCs/>
                <w:sz w:val="24"/>
                <w:szCs w:val="24"/>
                <w:lang w:val="ro-MD"/>
              </w:rPr>
              <w:lastRenderedPageBreak/>
              <w:t>3.</w:t>
            </w:r>
            <w:r w:rsidR="00032B46" w:rsidRPr="00DA0DE1">
              <w:rPr>
                <w:rFonts w:ascii="Times New Roman" w:hAnsi="Times New Roman"/>
                <w:b/>
                <w:bCs/>
                <w:sz w:val="24"/>
                <w:szCs w:val="24"/>
                <w:lang w:val="ro-MD"/>
              </w:rPr>
              <w:t xml:space="preserve"> </w:t>
            </w:r>
            <w:r w:rsidRPr="00DA0DE1">
              <w:rPr>
                <w:rFonts w:ascii="Times New Roman" w:hAnsi="Times New Roman"/>
                <w:b/>
                <w:bCs/>
                <w:sz w:val="24"/>
                <w:szCs w:val="24"/>
                <w:lang w:val="ro-MD"/>
              </w:rPr>
              <w:t>Obiectivele</w:t>
            </w:r>
            <w:r w:rsidR="00032B46" w:rsidRPr="00DA0DE1">
              <w:rPr>
                <w:rFonts w:ascii="Times New Roman" w:hAnsi="Times New Roman"/>
                <w:b/>
                <w:bCs/>
                <w:sz w:val="24"/>
                <w:szCs w:val="24"/>
                <w:lang w:val="ro-MD"/>
              </w:rPr>
              <w:t xml:space="preserve"> </w:t>
            </w:r>
            <w:r w:rsidRPr="00DA0DE1">
              <w:rPr>
                <w:rFonts w:ascii="Times New Roman" w:hAnsi="Times New Roman"/>
                <w:b/>
                <w:bCs/>
                <w:sz w:val="24"/>
                <w:szCs w:val="24"/>
                <w:lang w:val="ro-MD"/>
              </w:rPr>
              <w:t>urmărite</w:t>
            </w:r>
            <w:r w:rsidR="00032B46" w:rsidRPr="00DA0DE1">
              <w:rPr>
                <w:rFonts w:ascii="Times New Roman" w:hAnsi="Times New Roman"/>
                <w:b/>
                <w:bCs/>
                <w:sz w:val="24"/>
                <w:szCs w:val="24"/>
                <w:lang w:val="ro-MD"/>
              </w:rPr>
              <w:t xml:space="preserve"> </w:t>
            </w:r>
            <w:r w:rsidR="00863417" w:rsidRPr="00DA0DE1">
              <w:rPr>
                <w:rFonts w:ascii="Times New Roman" w:hAnsi="Times New Roman"/>
                <w:b/>
                <w:bCs/>
                <w:sz w:val="24"/>
                <w:szCs w:val="24"/>
                <w:lang w:val="ro-MD"/>
              </w:rPr>
              <w:t>ș</w:t>
            </w:r>
            <w:r w:rsidRPr="00DA0DE1">
              <w:rPr>
                <w:rFonts w:ascii="Times New Roman" w:hAnsi="Times New Roman"/>
                <w:b/>
                <w:bCs/>
                <w:sz w:val="24"/>
                <w:szCs w:val="24"/>
                <w:lang w:val="ro-MD"/>
              </w:rPr>
              <w:t>i</w:t>
            </w:r>
            <w:r w:rsidR="00032B46" w:rsidRPr="00DA0DE1">
              <w:rPr>
                <w:rFonts w:ascii="Times New Roman" w:hAnsi="Times New Roman"/>
                <w:b/>
                <w:bCs/>
                <w:sz w:val="24"/>
                <w:szCs w:val="24"/>
                <w:lang w:val="ro-MD"/>
              </w:rPr>
              <w:t xml:space="preserve"> </w:t>
            </w:r>
            <w:r w:rsidRPr="00DA0DE1">
              <w:rPr>
                <w:rFonts w:ascii="Times New Roman" w:hAnsi="Times New Roman"/>
                <w:b/>
                <w:bCs/>
                <w:sz w:val="24"/>
                <w:szCs w:val="24"/>
                <w:lang w:val="ro-MD"/>
              </w:rPr>
              <w:t>solu</w:t>
            </w:r>
            <w:r w:rsidR="00863417" w:rsidRPr="00DA0DE1">
              <w:rPr>
                <w:rFonts w:ascii="Times New Roman" w:hAnsi="Times New Roman"/>
                <w:b/>
                <w:bCs/>
                <w:sz w:val="24"/>
                <w:szCs w:val="24"/>
                <w:lang w:val="ro-MD"/>
              </w:rPr>
              <w:t>ț</w:t>
            </w:r>
            <w:r w:rsidRPr="00DA0DE1">
              <w:rPr>
                <w:rFonts w:ascii="Times New Roman" w:hAnsi="Times New Roman"/>
                <w:b/>
                <w:bCs/>
                <w:sz w:val="24"/>
                <w:szCs w:val="24"/>
                <w:lang w:val="ro-MD"/>
              </w:rPr>
              <w:t>iile</w:t>
            </w:r>
            <w:r w:rsidR="00032B46" w:rsidRPr="00DA0DE1">
              <w:rPr>
                <w:rFonts w:ascii="Times New Roman" w:hAnsi="Times New Roman"/>
                <w:b/>
                <w:bCs/>
                <w:sz w:val="24"/>
                <w:szCs w:val="24"/>
                <w:lang w:val="ro-MD"/>
              </w:rPr>
              <w:t xml:space="preserve"> </w:t>
            </w:r>
            <w:r w:rsidRPr="00DA0DE1">
              <w:rPr>
                <w:rFonts w:ascii="Times New Roman" w:hAnsi="Times New Roman"/>
                <w:b/>
                <w:bCs/>
                <w:sz w:val="24"/>
                <w:szCs w:val="24"/>
                <w:lang w:val="ro-MD"/>
              </w:rPr>
              <w:t>propuse</w:t>
            </w:r>
          </w:p>
        </w:tc>
      </w:tr>
      <w:tr w:rsidR="00DA0DE1" w:rsidRPr="00DA0DE1" w14:paraId="13186A81" w14:textId="77777777" w:rsidTr="00876045">
        <w:tc>
          <w:tcPr>
            <w:tcW w:w="9109" w:type="dxa"/>
            <w:shd w:val="clear" w:color="auto" w:fill="F2F2F2" w:themeFill="background1" w:themeFillShade="F2"/>
            <w:tcMar>
              <w:top w:w="0" w:type="dxa"/>
              <w:left w:w="108" w:type="dxa"/>
              <w:bottom w:w="0" w:type="dxa"/>
              <w:right w:w="108" w:type="dxa"/>
            </w:tcMar>
          </w:tcPr>
          <w:p w14:paraId="44448112" w14:textId="6B3A00DA" w:rsidR="008E74E3" w:rsidRPr="00DA0DE1" w:rsidRDefault="00D927DB"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t>3.1.</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Principalele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prevederi</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ale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proiectului</w:t>
            </w:r>
            <w:r w:rsidR="00032B46" w:rsidRPr="00DA0DE1">
              <w:rPr>
                <w:rFonts w:ascii="Times New Roman" w:hAnsi="Times New Roman"/>
                <w:sz w:val="24"/>
                <w:szCs w:val="24"/>
                <w:lang w:val="ro-MD"/>
              </w:rPr>
              <w:t xml:space="preserve"> </w:t>
            </w:r>
            <w:r w:rsidR="00863417" w:rsidRPr="00DA0DE1">
              <w:rPr>
                <w:rFonts w:ascii="Times New Roman" w:hAnsi="Times New Roman"/>
                <w:sz w:val="24"/>
                <w:szCs w:val="24"/>
                <w:lang w:val="ro-MD"/>
              </w:rPr>
              <w:t>ș</w:t>
            </w:r>
            <w:r w:rsidRPr="00DA0DE1">
              <w:rPr>
                <w:rFonts w:ascii="Times New Roman" w:hAnsi="Times New Roman"/>
                <w:sz w:val="24"/>
                <w:szCs w:val="24"/>
                <w:lang w:val="ro-MD"/>
              </w:rPr>
              <w:t>i</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eviden</w:t>
            </w:r>
            <w:r w:rsidR="00863417" w:rsidRPr="00DA0DE1">
              <w:rPr>
                <w:rFonts w:ascii="Times New Roman" w:hAnsi="Times New Roman"/>
                <w:sz w:val="24"/>
                <w:szCs w:val="24"/>
                <w:lang w:val="ro-MD"/>
              </w:rPr>
              <w:t>ț</w:t>
            </w:r>
            <w:r w:rsidRPr="00DA0DE1">
              <w:rPr>
                <w:rFonts w:ascii="Times New Roman" w:hAnsi="Times New Roman"/>
                <w:sz w:val="24"/>
                <w:szCs w:val="24"/>
                <w:lang w:val="ro-MD"/>
              </w:rPr>
              <w:t>ierea</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elementelor</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noi</w:t>
            </w:r>
          </w:p>
        </w:tc>
      </w:tr>
      <w:tr w:rsidR="00DA0DE1" w:rsidRPr="00DA0DE1" w14:paraId="42675C2C" w14:textId="77777777" w:rsidTr="00876045">
        <w:tc>
          <w:tcPr>
            <w:tcW w:w="9109" w:type="dxa"/>
            <w:shd w:val="clear" w:color="auto" w:fill="FFFFFF" w:themeFill="background1"/>
            <w:tcMar>
              <w:top w:w="0" w:type="dxa"/>
              <w:left w:w="108" w:type="dxa"/>
              <w:bottom w:w="0" w:type="dxa"/>
              <w:right w:w="108" w:type="dxa"/>
            </w:tcMar>
          </w:tcPr>
          <w:p w14:paraId="2ABA9DF9" w14:textId="1853C1DD" w:rsidR="006440EE" w:rsidRPr="00BE6840" w:rsidRDefault="006440EE" w:rsidP="0014350D">
            <w:pPr>
              <w:spacing w:line="276" w:lineRule="auto"/>
              <w:ind w:firstLine="284"/>
              <w:rPr>
                <w:rFonts w:ascii="Times New Roman" w:hAnsi="Times New Roman"/>
                <w:sz w:val="24"/>
                <w:szCs w:val="24"/>
                <w:lang w:val="ro-MD"/>
              </w:rPr>
            </w:pPr>
            <w:r w:rsidRPr="00BE6840">
              <w:rPr>
                <w:rFonts w:ascii="Times New Roman" w:hAnsi="Times New Roman"/>
                <w:sz w:val="24"/>
                <w:szCs w:val="24"/>
                <w:lang w:val="ro-MD"/>
              </w:rPr>
              <w:t>Principalele prevederi ale Proiectului de ordin sunt:</w:t>
            </w:r>
          </w:p>
          <w:p w14:paraId="7C42B687" w14:textId="39FDEDCA" w:rsidR="0012174F" w:rsidRPr="00BE6840" w:rsidRDefault="0012174F" w:rsidP="004D5D55">
            <w:pPr>
              <w:pStyle w:val="afb"/>
              <w:numPr>
                <w:ilvl w:val="0"/>
                <w:numId w:val="2"/>
              </w:numPr>
              <w:spacing w:line="276" w:lineRule="auto"/>
              <w:rPr>
                <w:rFonts w:ascii="Times New Roman" w:hAnsi="Times New Roman"/>
                <w:sz w:val="24"/>
                <w:szCs w:val="24"/>
                <w:lang w:val="ro-MD"/>
              </w:rPr>
            </w:pPr>
            <w:r w:rsidRPr="00BE6840">
              <w:rPr>
                <w:rFonts w:ascii="Times New Roman" w:hAnsi="Times New Roman"/>
                <w:sz w:val="24"/>
                <w:szCs w:val="24"/>
                <w:lang w:val="ro-MD"/>
              </w:rPr>
              <w:t>Aprobarea Categoriilor funcționale de produse</w:t>
            </w:r>
            <w:r w:rsidR="00D300C1" w:rsidRPr="00BE6840">
              <w:rPr>
                <w:rFonts w:ascii="Times New Roman" w:hAnsi="Times New Roman"/>
                <w:sz w:val="24"/>
                <w:szCs w:val="24"/>
                <w:lang w:val="ro-MD"/>
              </w:rPr>
              <w:t xml:space="preserve"> </w:t>
            </w:r>
            <w:r w:rsidR="00596092" w:rsidRPr="00BE6840">
              <w:rPr>
                <w:rFonts w:ascii="Times New Roman" w:hAnsi="Times New Roman"/>
                <w:sz w:val="24"/>
                <w:szCs w:val="24"/>
                <w:lang w:val="ro-MD"/>
              </w:rPr>
              <w:t>pentru produsele fertilizante UE</w:t>
            </w:r>
            <w:r w:rsidRPr="00BE6840">
              <w:rPr>
                <w:rFonts w:ascii="Times New Roman" w:hAnsi="Times New Roman"/>
                <w:sz w:val="24"/>
                <w:szCs w:val="24"/>
                <w:lang w:val="ro-MD"/>
              </w:rPr>
              <w:t xml:space="preserve">, care includ îngrășăminte (organice, </w:t>
            </w:r>
            <w:proofErr w:type="spellStart"/>
            <w:r w:rsidRPr="00BE6840">
              <w:rPr>
                <w:rFonts w:ascii="Times New Roman" w:hAnsi="Times New Roman"/>
                <w:sz w:val="24"/>
                <w:szCs w:val="24"/>
                <w:lang w:val="ro-MD"/>
              </w:rPr>
              <w:t>organo</w:t>
            </w:r>
            <w:proofErr w:type="spellEnd"/>
            <w:r w:rsidRPr="00BE6840">
              <w:rPr>
                <w:rFonts w:ascii="Times New Roman" w:hAnsi="Times New Roman"/>
                <w:sz w:val="24"/>
                <w:szCs w:val="24"/>
                <w:lang w:val="ro-MD"/>
              </w:rPr>
              <w:t xml:space="preserve">-minerale, anorganice cu macroelemente și oligoelemente), amendamente minerale bazice, amelioratori de sol, </w:t>
            </w:r>
            <w:proofErr w:type="spellStart"/>
            <w:r w:rsidRPr="00BE6840">
              <w:rPr>
                <w:rFonts w:ascii="Times New Roman" w:hAnsi="Times New Roman"/>
                <w:sz w:val="24"/>
                <w:szCs w:val="24"/>
                <w:lang w:val="ro-MD"/>
              </w:rPr>
              <w:t>substrate</w:t>
            </w:r>
            <w:proofErr w:type="spellEnd"/>
            <w:r w:rsidRPr="00BE6840">
              <w:rPr>
                <w:rFonts w:ascii="Times New Roman" w:hAnsi="Times New Roman"/>
                <w:sz w:val="24"/>
                <w:szCs w:val="24"/>
                <w:lang w:val="ro-MD"/>
              </w:rPr>
              <w:t xml:space="preserve"> de cultură, inhibitori (de nitrificare, denitrificare, urează), biostimulatori ai plantelor și amestecuri de produse fertilizante.</w:t>
            </w:r>
          </w:p>
          <w:p w14:paraId="7D597245" w14:textId="6EF4A229" w:rsidR="0012174F" w:rsidRPr="00BE6840" w:rsidRDefault="0012174F" w:rsidP="004D5D55">
            <w:pPr>
              <w:pStyle w:val="afb"/>
              <w:numPr>
                <w:ilvl w:val="0"/>
                <w:numId w:val="2"/>
              </w:numPr>
              <w:spacing w:line="276" w:lineRule="auto"/>
              <w:rPr>
                <w:rFonts w:ascii="Times New Roman" w:hAnsi="Times New Roman"/>
                <w:sz w:val="24"/>
                <w:szCs w:val="24"/>
                <w:lang w:val="ro-MD"/>
              </w:rPr>
            </w:pPr>
            <w:r w:rsidRPr="00BE6840">
              <w:rPr>
                <w:rFonts w:ascii="Times New Roman" w:hAnsi="Times New Roman"/>
                <w:sz w:val="24"/>
                <w:szCs w:val="24"/>
                <w:lang w:val="ro-MD"/>
              </w:rPr>
              <w:t>Stabilirea cerințelor specifice pentru fiecare categorie funcțională de produse</w:t>
            </w:r>
            <w:r w:rsidR="00596092" w:rsidRPr="00BE6840">
              <w:rPr>
                <w:rFonts w:ascii="Times New Roman" w:hAnsi="Times New Roman"/>
                <w:sz w:val="24"/>
                <w:szCs w:val="24"/>
                <w:lang w:val="ro-MD"/>
              </w:rPr>
              <w:t xml:space="preserve"> pentru produsele fertilizante UE</w:t>
            </w:r>
            <w:r w:rsidRPr="00BE6840">
              <w:rPr>
                <w:rFonts w:ascii="Times New Roman" w:hAnsi="Times New Roman"/>
                <w:sz w:val="24"/>
                <w:szCs w:val="24"/>
                <w:lang w:val="ro-MD"/>
              </w:rPr>
              <w:t>, incluzând limite pentru anumiți contaminanți (</w:t>
            </w:r>
            <w:r w:rsidR="000319AE" w:rsidRPr="00BE6840">
              <w:rPr>
                <w:rFonts w:ascii="Times New Roman" w:hAnsi="Times New Roman"/>
                <w:sz w:val="24"/>
                <w:szCs w:val="24"/>
                <w:lang w:val="ro-MD"/>
              </w:rPr>
              <w:t xml:space="preserve">de </w:t>
            </w:r>
            <w:r w:rsidRPr="00BE6840">
              <w:rPr>
                <w:rFonts w:ascii="Times New Roman" w:hAnsi="Times New Roman"/>
                <w:sz w:val="24"/>
                <w:szCs w:val="24"/>
                <w:lang w:val="ro-MD"/>
              </w:rPr>
              <w:t>ex</w:t>
            </w:r>
            <w:r w:rsidR="000319AE" w:rsidRPr="00BE6840">
              <w:rPr>
                <w:rFonts w:ascii="Times New Roman" w:hAnsi="Times New Roman"/>
                <w:sz w:val="24"/>
                <w:szCs w:val="24"/>
                <w:lang w:val="ro-MD"/>
              </w:rPr>
              <w:t>emplu</w:t>
            </w:r>
            <w:r w:rsidRPr="00BE6840">
              <w:rPr>
                <w:rFonts w:ascii="Times New Roman" w:hAnsi="Times New Roman"/>
                <w:sz w:val="24"/>
                <w:szCs w:val="24"/>
                <w:lang w:val="ro-MD"/>
              </w:rPr>
              <w:t xml:space="preserve">: cadmiu, crom hexavalent, mercur, nichel, plumb, arsen anorganic) și agenți patogeni </w:t>
            </w:r>
            <w:r w:rsidRPr="00BE6840">
              <w:rPr>
                <w:rFonts w:ascii="Times New Roman" w:hAnsi="Times New Roman"/>
                <w:sz w:val="24"/>
                <w:szCs w:val="24"/>
                <w:lang w:val="ro-MD"/>
              </w:rPr>
              <w:lastRenderedPageBreak/>
              <w:t>(</w:t>
            </w:r>
            <w:r w:rsidRPr="00BE6840">
              <w:rPr>
                <w:rFonts w:ascii="Times New Roman" w:hAnsi="Times New Roman"/>
                <w:i/>
                <w:sz w:val="24"/>
                <w:szCs w:val="24"/>
                <w:lang w:val="ro-MD"/>
              </w:rPr>
              <w:t>Salmonella</w:t>
            </w:r>
            <w:r w:rsidRPr="00BE6840">
              <w:rPr>
                <w:rFonts w:ascii="Times New Roman" w:hAnsi="Times New Roman"/>
                <w:sz w:val="24"/>
                <w:szCs w:val="24"/>
                <w:lang w:val="ro-MD"/>
              </w:rPr>
              <w:t xml:space="preserve"> </w:t>
            </w:r>
            <w:proofErr w:type="spellStart"/>
            <w:r w:rsidRPr="00BE6840">
              <w:rPr>
                <w:rFonts w:ascii="Times New Roman" w:hAnsi="Times New Roman"/>
                <w:sz w:val="24"/>
                <w:szCs w:val="24"/>
                <w:lang w:val="ro-MD"/>
              </w:rPr>
              <w:t>spp</w:t>
            </w:r>
            <w:proofErr w:type="spellEnd"/>
            <w:r w:rsidRPr="00BE6840">
              <w:rPr>
                <w:rFonts w:ascii="Times New Roman" w:hAnsi="Times New Roman"/>
                <w:sz w:val="24"/>
                <w:szCs w:val="24"/>
                <w:lang w:val="ro-MD"/>
              </w:rPr>
              <w:t xml:space="preserve">., </w:t>
            </w:r>
            <w:proofErr w:type="spellStart"/>
            <w:r w:rsidRPr="00BE6840">
              <w:rPr>
                <w:rFonts w:ascii="Times New Roman" w:hAnsi="Times New Roman"/>
                <w:i/>
                <w:sz w:val="24"/>
                <w:szCs w:val="24"/>
                <w:lang w:val="ro-MD"/>
              </w:rPr>
              <w:t>Escherichia</w:t>
            </w:r>
            <w:proofErr w:type="spellEnd"/>
            <w:r w:rsidRPr="00BE6840">
              <w:rPr>
                <w:rFonts w:ascii="Times New Roman" w:hAnsi="Times New Roman"/>
                <w:i/>
                <w:sz w:val="24"/>
                <w:szCs w:val="24"/>
                <w:lang w:val="ro-MD"/>
              </w:rPr>
              <w:t xml:space="preserve"> coli</w:t>
            </w:r>
            <w:r w:rsidRPr="00BE6840">
              <w:rPr>
                <w:rFonts w:ascii="Times New Roman" w:hAnsi="Times New Roman"/>
                <w:sz w:val="24"/>
                <w:szCs w:val="24"/>
                <w:lang w:val="ro-MD"/>
              </w:rPr>
              <w:t xml:space="preserve">, enterococi), precum și cerințe privind concentrația de </w:t>
            </w:r>
            <w:proofErr w:type="spellStart"/>
            <w:r w:rsidRPr="00BE6840">
              <w:rPr>
                <w:rFonts w:ascii="Times New Roman" w:hAnsi="Times New Roman"/>
                <w:sz w:val="24"/>
                <w:szCs w:val="24"/>
                <w:lang w:val="ro-MD"/>
              </w:rPr>
              <w:t>nutrienți</w:t>
            </w:r>
            <w:proofErr w:type="spellEnd"/>
            <w:r w:rsidRPr="00BE6840">
              <w:rPr>
                <w:rFonts w:ascii="Times New Roman" w:hAnsi="Times New Roman"/>
                <w:sz w:val="24"/>
                <w:szCs w:val="24"/>
                <w:lang w:val="ro-MD"/>
              </w:rPr>
              <w:t xml:space="preserve"> și carbon organic.</w:t>
            </w:r>
          </w:p>
          <w:p w14:paraId="6D9811F3" w14:textId="0BDEE508" w:rsidR="0012174F" w:rsidRPr="00BE6840" w:rsidRDefault="0012174F" w:rsidP="004D5D55">
            <w:pPr>
              <w:pStyle w:val="afb"/>
              <w:numPr>
                <w:ilvl w:val="0"/>
                <w:numId w:val="2"/>
              </w:numPr>
              <w:spacing w:line="276" w:lineRule="auto"/>
              <w:rPr>
                <w:rFonts w:ascii="Times New Roman" w:hAnsi="Times New Roman"/>
                <w:sz w:val="24"/>
                <w:szCs w:val="24"/>
                <w:lang w:val="ro-MD"/>
              </w:rPr>
            </w:pPr>
            <w:r w:rsidRPr="00BE6840">
              <w:rPr>
                <w:rFonts w:ascii="Times New Roman" w:hAnsi="Times New Roman"/>
                <w:sz w:val="24"/>
                <w:szCs w:val="24"/>
                <w:lang w:val="ro-MD"/>
              </w:rPr>
              <w:t>Aprobarea Categoriilor de materii componente</w:t>
            </w:r>
            <w:r w:rsidR="00BE6840" w:rsidRPr="00BE6840">
              <w:rPr>
                <w:rFonts w:ascii="Times New Roman" w:hAnsi="Times New Roman"/>
                <w:sz w:val="24"/>
                <w:szCs w:val="24"/>
                <w:lang w:val="ro-MD"/>
              </w:rPr>
              <w:t xml:space="preserve"> pentru produsele fertilizante UE</w:t>
            </w:r>
            <w:r w:rsidRPr="00BE6840">
              <w:rPr>
                <w:rFonts w:ascii="Times New Roman" w:hAnsi="Times New Roman"/>
                <w:sz w:val="24"/>
                <w:szCs w:val="24"/>
                <w:lang w:val="ro-MD"/>
              </w:rPr>
              <w:t xml:space="preserve">, care includ substanțe și amestecuri din materiale virgine, plante, compost, </w:t>
            </w:r>
            <w:proofErr w:type="spellStart"/>
            <w:r w:rsidRPr="00BE6840">
              <w:rPr>
                <w:rFonts w:ascii="Times New Roman" w:hAnsi="Times New Roman"/>
                <w:sz w:val="24"/>
                <w:szCs w:val="24"/>
                <w:lang w:val="ro-MD"/>
              </w:rPr>
              <w:t>digestat</w:t>
            </w:r>
            <w:proofErr w:type="spellEnd"/>
            <w:r w:rsidRPr="00BE6840">
              <w:rPr>
                <w:rFonts w:ascii="Times New Roman" w:hAnsi="Times New Roman"/>
                <w:sz w:val="24"/>
                <w:szCs w:val="24"/>
                <w:lang w:val="ro-MD"/>
              </w:rPr>
              <w:t xml:space="preserve">, subproduse ale industriei alimentare, microorganisme, </w:t>
            </w:r>
            <w:proofErr w:type="spellStart"/>
            <w:r w:rsidRPr="00BE6840">
              <w:rPr>
                <w:rFonts w:ascii="Times New Roman" w:hAnsi="Times New Roman"/>
                <w:sz w:val="24"/>
                <w:szCs w:val="24"/>
                <w:lang w:val="ro-MD"/>
              </w:rPr>
              <w:t>nutrienți</w:t>
            </w:r>
            <w:proofErr w:type="spellEnd"/>
            <w:r w:rsidRPr="00BE6840">
              <w:rPr>
                <w:rFonts w:ascii="Times New Roman" w:hAnsi="Times New Roman"/>
                <w:sz w:val="24"/>
                <w:szCs w:val="24"/>
                <w:lang w:val="ro-MD"/>
              </w:rPr>
              <w:t xml:space="preserve"> </w:t>
            </w:r>
            <w:proofErr w:type="spellStart"/>
            <w:r w:rsidRPr="00BE6840">
              <w:rPr>
                <w:rFonts w:ascii="Times New Roman" w:hAnsi="Times New Roman"/>
                <w:sz w:val="24"/>
                <w:szCs w:val="24"/>
                <w:lang w:val="ro-MD"/>
              </w:rPr>
              <w:t>polimerici</w:t>
            </w:r>
            <w:proofErr w:type="spellEnd"/>
            <w:r w:rsidRPr="00BE6840">
              <w:rPr>
                <w:rFonts w:ascii="Times New Roman" w:hAnsi="Times New Roman"/>
                <w:sz w:val="24"/>
                <w:szCs w:val="24"/>
                <w:lang w:val="ro-MD"/>
              </w:rPr>
              <w:t>, polimeri, produse derivate de origine animală, subproduse din deșeuri, săruri de fosfat precipitat, materii obținute prin oxidare termică și piroliză, și materii recuperate cu un grad mare de puritate.</w:t>
            </w:r>
          </w:p>
          <w:p w14:paraId="4F31B8EB" w14:textId="5F2BED44" w:rsidR="0012174F" w:rsidRPr="00BE6840" w:rsidRDefault="0012174F" w:rsidP="004D5D55">
            <w:pPr>
              <w:pStyle w:val="afb"/>
              <w:numPr>
                <w:ilvl w:val="0"/>
                <w:numId w:val="2"/>
              </w:numPr>
              <w:spacing w:line="276" w:lineRule="auto"/>
              <w:rPr>
                <w:rFonts w:ascii="Times New Roman" w:hAnsi="Times New Roman"/>
                <w:sz w:val="24"/>
                <w:szCs w:val="24"/>
                <w:lang w:val="ro-MD"/>
              </w:rPr>
            </w:pPr>
            <w:r w:rsidRPr="00BE6840">
              <w:rPr>
                <w:rFonts w:ascii="Times New Roman" w:hAnsi="Times New Roman"/>
                <w:sz w:val="24"/>
                <w:szCs w:val="24"/>
                <w:lang w:val="ro-MD"/>
              </w:rPr>
              <w:t>Stabilirea cerințelor detaliate pentru fiecare Categorie de materii componente</w:t>
            </w:r>
            <w:r w:rsidR="00BE6840" w:rsidRPr="00BE6840">
              <w:rPr>
                <w:rFonts w:ascii="Times New Roman" w:hAnsi="Times New Roman"/>
                <w:sz w:val="24"/>
                <w:szCs w:val="24"/>
                <w:lang w:val="ro-MD"/>
              </w:rPr>
              <w:t xml:space="preserve"> pentru produsele fertilizante UE</w:t>
            </w:r>
            <w:r w:rsidRPr="00BE6840">
              <w:rPr>
                <w:rFonts w:ascii="Times New Roman" w:hAnsi="Times New Roman"/>
                <w:sz w:val="24"/>
                <w:szCs w:val="24"/>
                <w:lang w:val="ro-MD"/>
              </w:rPr>
              <w:t>, inclusiv excluderi specifice și condiții de procesare.</w:t>
            </w:r>
          </w:p>
          <w:p w14:paraId="2070650A" w14:textId="47B4DBD3" w:rsidR="005852CD" w:rsidRPr="00BE6840" w:rsidRDefault="005852CD" w:rsidP="005852CD">
            <w:pPr>
              <w:pStyle w:val="afb"/>
              <w:numPr>
                <w:ilvl w:val="0"/>
                <w:numId w:val="2"/>
              </w:numPr>
              <w:spacing w:line="276" w:lineRule="auto"/>
              <w:rPr>
                <w:rFonts w:ascii="Times New Roman" w:hAnsi="Times New Roman"/>
                <w:sz w:val="24"/>
                <w:szCs w:val="24"/>
                <w:lang w:val="ro-MD"/>
              </w:rPr>
            </w:pPr>
            <w:r w:rsidRPr="00BE6840">
              <w:rPr>
                <w:rFonts w:ascii="Times New Roman" w:hAnsi="Times New Roman"/>
                <w:sz w:val="24"/>
                <w:szCs w:val="24"/>
                <w:lang w:val="ro-MD"/>
              </w:rPr>
              <w:t>Prezentul proiect de ordin întră în vigoare la</w:t>
            </w:r>
            <w:r w:rsidR="00DB0048" w:rsidRPr="00BE6840">
              <w:rPr>
                <w:rFonts w:ascii="Times New Roman" w:hAnsi="Times New Roman"/>
                <w:sz w:val="24"/>
                <w:szCs w:val="24"/>
                <w:lang w:val="ro-MD"/>
              </w:rPr>
              <w:t xml:space="preserve"> d</w:t>
            </w:r>
            <w:r w:rsidR="00675B3E">
              <w:rPr>
                <w:rFonts w:ascii="Times New Roman" w:hAnsi="Times New Roman"/>
                <w:sz w:val="24"/>
                <w:szCs w:val="24"/>
                <w:lang w:val="ro-MD"/>
              </w:rPr>
              <w:t>ata de 27.09.2025.</w:t>
            </w:r>
          </w:p>
          <w:p w14:paraId="2803936B" w14:textId="4572BFE3" w:rsidR="00BB23D9" w:rsidRPr="00BE6840" w:rsidRDefault="00207FDD" w:rsidP="0014350D">
            <w:pPr>
              <w:spacing w:line="276" w:lineRule="auto"/>
              <w:ind w:firstLine="284"/>
              <w:rPr>
                <w:rFonts w:ascii="Times New Roman" w:hAnsi="Times New Roman"/>
                <w:sz w:val="24"/>
                <w:szCs w:val="24"/>
                <w:lang w:val="ro-MD"/>
              </w:rPr>
            </w:pPr>
            <w:r w:rsidRPr="00BE6840">
              <w:rPr>
                <w:rFonts w:ascii="Times New Roman" w:hAnsi="Times New Roman"/>
                <w:sz w:val="24"/>
                <w:szCs w:val="24"/>
                <w:lang w:val="ro-MD"/>
              </w:rPr>
              <w:t xml:space="preserve">Elementul principal al Proiectului de ordin este alinierea legislației naționale cu </w:t>
            </w:r>
            <w:r w:rsidR="00BB23D9" w:rsidRPr="00BE6840">
              <w:rPr>
                <w:rFonts w:ascii="Times New Roman" w:hAnsi="Times New Roman"/>
                <w:sz w:val="24"/>
                <w:szCs w:val="24"/>
                <w:lang w:val="ro-MD"/>
              </w:rPr>
              <w:t>Anexa nr. I și nr. II la Regulamentul (UE) 2019/1009</w:t>
            </w:r>
            <w:r w:rsidR="00834725" w:rsidRPr="00BE6840">
              <w:rPr>
                <w:rFonts w:ascii="Times New Roman" w:hAnsi="Times New Roman"/>
                <w:sz w:val="24"/>
                <w:szCs w:val="24"/>
                <w:lang w:val="ro-MD"/>
              </w:rPr>
              <w:t>.</w:t>
            </w:r>
          </w:p>
          <w:p w14:paraId="053D5399" w14:textId="07FE29FD" w:rsidR="00174E76" w:rsidRPr="00BE6840" w:rsidRDefault="00174E76" w:rsidP="00174E76">
            <w:pPr>
              <w:spacing w:line="276" w:lineRule="auto"/>
              <w:ind w:firstLine="284"/>
              <w:rPr>
                <w:rFonts w:ascii="Times New Roman" w:hAnsi="Times New Roman"/>
                <w:sz w:val="24"/>
                <w:szCs w:val="24"/>
                <w:lang w:val="ro-MD"/>
              </w:rPr>
            </w:pPr>
            <w:r w:rsidRPr="00BE6840">
              <w:rPr>
                <w:rFonts w:ascii="Times New Roman" w:hAnsi="Times New Roman"/>
                <w:sz w:val="24"/>
                <w:szCs w:val="24"/>
                <w:lang w:val="ro-MD"/>
              </w:rPr>
              <w:t xml:space="preserve">Astfel, în calitate de obiectiv general de politici, este liberalizarea pieței cu produse fertilizante </w:t>
            </w:r>
            <w:r w:rsidR="009C347C" w:rsidRPr="00BE6840">
              <w:rPr>
                <w:rFonts w:ascii="Times New Roman" w:hAnsi="Times New Roman"/>
                <w:sz w:val="24"/>
                <w:szCs w:val="24"/>
                <w:lang w:val="ro-MD"/>
              </w:rPr>
              <w:t xml:space="preserve">UE </w:t>
            </w:r>
            <w:r w:rsidRPr="00BE6840">
              <w:rPr>
                <w:rFonts w:ascii="Times New Roman" w:hAnsi="Times New Roman"/>
                <w:sz w:val="24"/>
                <w:szCs w:val="24"/>
                <w:lang w:val="ro-MD"/>
              </w:rPr>
              <w:t>pe piața autohtonă, dar și oferirea posibilității producerii pe teritoriul Republicii Moldova a astfel de produse și integrarea prin recunoaștere a Republicii Moldova și politicile de supraveghere a pieței pentru produsele fertilizante.</w:t>
            </w:r>
          </w:p>
          <w:p w14:paraId="6399452C" w14:textId="77777777" w:rsidR="002D67FC" w:rsidRDefault="00D12FCA" w:rsidP="0014350D">
            <w:pPr>
              <w:spacing w:line="276" w:lineRule="auto"/>
              <w:ind w:firstLine="284"/>
              <w:rPr>
                <w:rFonts w:ascii="Times New Roman" w:hAnsi="Times New Roman"/>
                <w:sz w:val="24"/>
                <w:szCs w:val="24"/>
                <w:lang w:val="ro-MD"/>
              </w:rPr>
            </w:pPr>
            <w:r w:rsidRPr="00BE6840">
              <w:rPr>
                <w:rFonts w:ascii="Times New Roman" w:hAnsi="Times New Roman"/>
                <w:sz w:val="24"/>
                <w:szCs w:val="24"/>
                <w:lang w:val="ro-MD"/>
              </w:rPr>
              <w:t>Adoptarea proiectului</w:t>
            </w:r>
            <w:r w:rsidR="00EC0817">
              <w:rPr>
                <w:rFonts w:ascii="Times New Roman" w:hAnsi="Times New Roman"/>
                <w:sz w:val="24"/>
                <w:szCs w:val="24"/>
                <w:lang w:val="ro-MD"/>
              </w:rPr>
              <w:t xml:space="preserve"> de</w:t>
            </w:r>
            <w:r w:rsidR="003D7F6B" w:rsidRPr="00BE6840">
              <w:rPr>
                <w:rFonts w:ascii="Times New Roman" w:hAnsi="Times New Roman"/>
                <w:sz w:val="24"/>
                <w:szCs w:val="24"/>
                <w:lang w:val="ro-MD"/>
              </w:rPr>
              <w:t xml:space="preserve"> ordin</w:t>
            </w:r>
            <w:r w:rsidRPr="00BE6840">
              <w:rPr>
                <w:rFonts w:ascii="Times New Roman" w:hAnsi="Times New Roman"/>
                <w:sz w:val="24"/>
                <w:szCs w:val="24"/>
                <w:lang w:val="ro-MD"/>
              </w:rPr>
              <w:t xml:space="preserve"> va asigura conformitatea cu reglementările UE și va facilita comerțul cu produsele </w:t>
            </w:r>
            <w:r w:rsidR="00BB23D9" w:rsidRPr="00BE6840">
              <w:rPr>
                <w:rFonts w:ascii="Times New Roman" w:hAnsi="Times New Roman"/>
                <w:sz w:val="24"/>
                <w:szCs w:val="24"/>
                <w:lang w:val="ro-MD"/>
              </w:rPr>
              <w:t>fertilizante</w:t>
            </w:r>
            <w:r w:rsidRPr="00BE6840">
              <w:rPr>
                <w:rFonts w:ascii="Times New Roman" w:hAnsi="Times New Roman"/>
                <w:sz w:val="24"/>
                <w:szCs w:val="24"/>
                <w:lang w:val="ro-MD"/>
              </w:rPr>
              <w:t>, care vor putea fi comercializate în toate statele membre, fără bariere tehnice</w:t>
            </w:r>
            <w:r w:rsidR="00062EE1" w:rsidRPr="00BE6840">
              <w:rPr>
                <w:rFonts w:ascii="Times New Roman" w:hAnsi="Times New Roman"/>
                <w:sz w:val="24"/>
                <w:szCs w:val="24"/>
                <w:lang w:val="ro-MD"/>
              </w:rPr>
              <w:t>.</w:t>
            </w:r>
          </w:p>
          <w:p w14:paraId="58795965" w14:textId="73B4366F"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67ABB521" w14:textId="77777777" w:rsidTr="00876045">
        <w:tc>
          <w:tcPr>
            <w:tcW w:w="9109" w:type="dxa"/>
            <w:shd w:val="clear" w:color="auto" w:fill="F2F2F2" w:themeFill="background1" w:themeFillShade="F2"/>
            <w:tcMar>
              <w:top w:w="0" w:type="dxa"/>
              <w:left w:w="108" w:type="dxa"/>
              <w:bottom w:w="0" w:type="dxa"/>
              <w:right w:w="108" w:type="dxa"/>
            </w:tcMar>
          </w:tcPr>
          <w:p w14:paraId="1247CDB8" w14:textId="2B3FA568" w:rsidR="008E74E3" w:rsidRPr="00DA0DE1" w:rsidRDefault="00D927DB"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3.2.</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Op</w:t>
            </w:r>
            <w:r w:rsidR="00863417" w:rsidRPr="00DA0DE1">
              <w:rPr>
                <w:rFonts w:ascii="Times New Roman" w:hAnsi="Times New Roman"/>
                <w:sz w:val="24"/>
                <w:szCs w:val="24"/>
                <w:lang w:val="ro-MD"/>
              </w:rPr>
              <w:t>ț</w:t>
            </w:r>
            <w:r w:rsidRPr="00DA0DE1">
              <w:rPr>
                <w:rFonts w:ascii="Times New Roman" w:hAnsi="Times New Roman"/>
                <w:sz w:val="24"/>
                <w:szCs w:val="24"/>
                <w:lang w:val="ro-MD"/>
              </w:rPr>
              <w:t>iunile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alternative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analizate</w:t>
            </w:r>
            <w:r w:rsidR="00032B46" w:rsidRPr="00DA0DE1">
              <w:rPr>
                <w:rFonts w:ascii="Times New Roman" w:hAnsi="Times New Roman"/>
                <w:sz w:val="24"/>
                <w:szCs w:val="24"/>
                <w:lang w:val="ro-MD"/>
              </w:rPr>
              <w:t xml:space="preserve"> </w:t>
            </w:r>
            <w:r w:rsidR="00863417" w:rsidRPr="00DA0DE1">
              <w:rPr>
                <w:rFonts w:ascii="Times New Roman" w:hAnsi="Times New Roman"/>
                <w:sz w:val="24"/>
                <w:szCs w:val="24"/>
                <w:lang w:val="ro-MD"/>
              </w:rPr>
              <w:t>ș</w:t>
            </w:r>
            <w:r w:rsidRPr="00DA0DE1">
              <w:rPr>
                <w:rFonts w:ascii="Times New Roman" w:hAnsi="Times New Roman"/>
                <w:sz w:val="24"/>
                <w:szCs w:val="24"/>
                <w:lang w:val="ro-MD"/>
              </w:rPr>
              <w:t>i</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motivele</w:t>
            </w:r>
            <w:r w:rsidR="00032B46" w:rsidRPr="00DA0DE1">
              <w:rPr>
                <w:rFonts w:ascii="Times New Roman" w:hAnsi="Times New Roman"/>
                <w:sz w:val="24"/>
                <w:szCs w:val="24"/>
                <w:lang w:val="ro-MD"/>
              </w:rPr>
              <w:t xml:space="preserve"> </w:t>
            </w:r>
            <w:r w:rsidR="00E44F7F" w:rsidRPr="00DA0DE1">
              <w:rPr>
                <w:rFonts w:ascii="Times New Roman" w:hAnsi="Times New Roman"/>
                <w:sz w:val="24"/>
                <w:szCs w:val="24"/>
                <w:lang w:val="ro-MD"/>
              </w:rPr>
              <w:t>pentru</w:t>
            </w:r>
            <w:r w:rsidR="00032B46" w:rsidRPr="00DA0DE1">
              <w:rPr>
                <w:rFonts w:ascii="Times New Roman" w:hAnsi="Times New Roman"/>
                <w:sz w:val="24"/>
                <w:szCs w:val="24"/>
                <w:lang w:val="ro-MD"/>
              </w:rPr>
              <w:t xml:space="preserve"> </w:t>
            </w:r>
            <w:r w:rsidR="00E44F7F" w:rsidRPr="00DA0DE1">
              <w:rPr>
                <w:rFonts w:ascii="Times New Roman" w:hAnsi="Times New Roman"/>
                <w:sz w:val="24"/>
                <w:szCs w:val="24"/>
                <w:lang w:val="ro-MD"/>
              </w:rPr>
              <w:t>care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acestea</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nu</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au</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fost</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luate</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în</w:t>
            </w:r>
            <w:r w:rsidR="00032B46" w:rsidRPr="00DA0DE1">
              <w:rPr>
                <w:rFonts w:ascii="Times New Roman" w:hAnsi="Times New Roman"/>
                <w:sz w:val="24"/>
                <w:szCs w:val="24"/>
                <w:lang w:val="ro-MD"/>
              </w:rPr>
              <w:t xml:space="preserve"> </w:t>
            </w:r>
            <w:r w:rsidRPr="00DA0DE1">
              <w:rPr>
                <w:rFonts w:ascii="Times New Roman" w:hAnsi="Times New Roman"/>
                <w:sz w:val="24"/>
                <w:szCs w:val="24"/>
                <w:lang w:val="ro-MD"/>
              </w:rPr>
              <w:t>considerare</w:t>
            </w:r>
          </w:p>
        </w:tc>
      </w:tr>
      <w:tr w:rsidR="00DA0DE1" w:rsidRPr="00DA0DE1" w14:paraId="319F4240" w14:textId="77777777" w:rsidTr="00876045">
        <w:trPr>
          <w:trHeight w:val="835"/>
        </w:trPr>
        <w:tc>
          <w:tcPr>
            <w:tcW w:w="9109" w:type="dxa"/>
            <w:tcMar>
              <w:top w:w="0" w:type="dxa"/>
              <w:left w:w="108" w:type="dxa"/>
              <w:bottom w:w="0" w:type="dxa"/>
              <w:right w:w="108" w:type="dxa"/>
            </w:tcMar>
          </w:tcPr>
          <w:p w14:paraId="2A9566F7" w14:textId="77777777" w:rsidR="008B0672" w:rsidRDefault="002A4A3F" w:rsidP="007517E4">
            <w:pPr>
              <w:spacing w:line="276" w:lineRule="auto"/>
              <w:ind w:firstLine="426"/>
              <w:rPr>
                <w:rFonts w:ascii="Times New Roman" w:hAnsi="Times New Roman"/>
                <w:sz w:val="24"/>
                <w:szCs w:val="24"/>
                <w:lang w:val="ro-MD"/>
              </w:rPr>
            </w:pPr>
            <w:proofErr w:type="spellStart"/>
            <w:r w:rsidRPr="00D92966">
              <w:rPr>
                <w:rFonts w:ascii="Times New Roman" w:hAnsi="Times New Roman"/>
                <w:sz w:val="24"/>
                <w:szCs w:val="24"/>
              </w:rPr>
              <w:t>Opțiuni</w:t>
            </w:r>
            <w:proofErr w:type="spellEnd"/>
            <w:r w:rsidRPr="00D92966">
              <w:rPr>
                <w:rFonts w:ascii="Times New Roman" w:hAnsi="Times New Roman"/>
                <w:sz w:val="24"/>
                <w:szCs w:val="24"/>
              </w:rPr>
              <w:t xml:space="preserve"> alternative nu au </w:t>
            </w:r>
            <w:proofErr w:type="spellStart"/>
            <w:r w:rsidRPr="00D92966">
              <w:rPr>
                <w:rFonts w:ascii="Times New Roman" w:hAnsi="Times New Roman"/>
                <w:sz w:val="24"/>
                <w:szCs w:val="24"/>
              </w:rPr>
              <w:t>fost</w:t>
            </w:r>
            <w:proofErr w:type="spellEnd"/>
            <w:r w:rsidRPr="00D92966">
              <w:rPr>
                <w:rFonts w:ascii="Times New Roman" w:hAnsi="Times New Roman"/>
                <w:sz w:val="24"/>
                <w:szCs w:val="24"/>
              </w:rPr>
              <w:t xml:space="preserve"> </w:t>
            </w:r>
            <w:proofErr w:type="spellStart"/>
            <w:r w:rsidRPr="00D92966">
              <w:rPr>
                <w:rFonts w:ascii="Times New Roman" w:hAnsi="Times New Roman"/>
                <w:sz w:val="24"/>
                <w:szCs w:val="24"/>
              </w:rPr>
              <w:t>analizate</w:t>
            </w:r>
            <w:proofErr w:type="spellEnd"/>
            <w:r w:rsidRPr="00D92966">
              <w:rPr>
                <w:rFonts w:ascii="Times New Roman" w:hAnsi="Times New Roman"/>
                <w:sz w:val="24"/>
                <w:szCs w:val="24"/>
              </w:rPr>
              <w:t xml:space="preserve"> </w:t>
            </w:r>
            <w:proofErr w:type="spellStart"/>
            <w:r w:rsidRPr="00D92966">
              <w:rPr>
                <w:rFonts w:ascii="Times New Roman" w:hAnsi="Times New Roman"/>
                <w:sz w:val="24"/>
                <w:szCs w:val="24"/>
              </w:rPr>
              <w:t>deoarece</w:t>
            </w:r>
            <w:proofErr w:type="spellEnd"/>
            <w:r w:rsidRPr="00D92966">
              <w:rPr>
                <w:rFonts w:ascii="Times New Roman" w:hAnsi="Times New Roman"/>
                <w:sz w:val="24"/>
                <w:szCs w:val="24"/>
              </w:rPr>
              <w:t xml:space="preserve"> </w:t>
            </w:r>
            <w:proofErr w:type="spellStart"/>
            <w:r w:rsidRPr="00D92966">
              <w:rPr>
                <w:rFonts w:ascii="Times New Roman" w:hAnsi="Times New Roman"/>
                <w:sz w:val="24"/>
                <w:szCs w:val="24"/>
              </w:rPr>
              <w:t>Republica</w:t>
            </w:r>
            <w:proofErr w:type="spellEnd"/>
            <w:r w:rsidRPr="00D92966">
              <w:rPr>
                <w:rFonts w:ascii="Times New Roman" w:hAnsi="Times New Roman"/>
                <w:sz w:val="24"/>
                <w:szCs w:val="24"/>
              </w:rPr>
              <w:t xml:space="preserve"> Moldova nu are un </w:t>
            </w:r>
            <w:proofErr w:type="spellStart"/>
            <w:r w:rsidRPr="00D92966">
              <w:rPr>
                <w:rFonts w:ascii="Times New Roman" w:hAnsi="Times New Roman"/>
                <w:sz w:val="24"/>
                <w:szCs w:val="24"/>
              </w:rPr>
              <w:t>cadrul</w:t>
            </w:r>
            <w:proofErr w:type="spellEnd"/>
            <w:r w:rsidR="00D92966" w:rsidRPr="00D92966">
              <w:rPr>
                <w:rFonts w:ascii="Times New Roman" w:hAnsi="Times New Roman"/>
                <w:sz w:val="24"/>
                <w:szCs w:val="24"/>
              </w:rPr>
              <w:t xml:space="preserve"> </w:t>
            </w:r>
            <w:proofErr w:type="spellStart"/>
            <w:r w:rsidR="00D92966" w:rsidRPr="00D92966">
              <w:rPr>
                <w:rFonts w:ascii="Times New Roman" w:hAnsi="Times New Roman"/>
                <w:sz w:val="24"/>
                <w:szCs w:val="24"/>
              </w:rPr>
              <w:t>legislativ</w:t>
            </w:r>
            <w:proofErr w:type="spellEnd"/>
            <w:r w:rsidRPr="00D92966">
              <w:rPr>
                <w:rFonts w:ascii="Times New Roman" w:hAnsi="Times New Roman"/>
                <w:sz w:val="24"/>
                <w:szCs w:val="24"/>
              </w:rPr>
              <w:t xml:space="preserve"> de </w:t>
            </w:r>
            <w:proofErr w:type="spellStart"/>
            <w:r w:rsidRPr="00D92966">
              <w:rPr>
                <w:rFonts w:ascii="Times New Roman" w:hAnsi="Times New Roman"/>
                <w:sz w:val="24"/>
                <w:szCs w:val="24"/>
              </w:rPr>
              <w:t>reglementare</w:t>
            </w:r>
            <w:proofErr w:type="spellEnd"/>
            <w:r w:rsidRPr="00D92966">
              <w:rPr>
                <w:rFonts w:ascii="Times New Roman" w:hAnsi="Times New Roman"/>
                <w:sz w:val="24"/>
                <w:szCs w:val="24"/>
              </w:rPr>
              <w:t xml:space="preserve"> a </w:t>
            </w:r>
            <w:proofErr w:type="spellStart"/>
            <w:r w:rsidRPr="00D92966">
              <w:rPr>
                <w:rFonts w:ascii="Times New Roman" w:hAnsi="Times New Roman"/>
                <w:sz w:val="24"/>
                <w:szCs w:val="24"/>
              </w:rPr>
              <w:t>produselor</w:t>
            </w:r>
            <w:proofErr w:type="spellEnd"/>
            <w:r w:rsidRPr="00D92966">
              <w:rPr>
                <w:rFonts w:ascii="Times New Roman" w:hAnsi="Times New Roman"/>
                <w:sz w:val="24"/>
                <w:szCs w:val="24"/>
              </w:rPr>
              <w:t xml:space="preserve"> </w:t>
            </w:r>
            <w:proofErr w:type="spellStart"/>
            <w:r w:rsidRPr="00D92966">
              <w:rPr>
                <w:rFonts w:ascii="Times New Roman" w:hAnsi="Times New Roman"/>
                <w:sz w:val="24"/>
                <w:szCs w:val="24"/>
              </w:rPr>
              <w:t>fertilizante</w:t>
            </w:r>
            <w:proofErr w:type="spellEnd"/>
            <w:r w:rsidRPr="00D92966">
              <w:rPr>
                <w:rFonts w:ascii="Times New Roman" w:hAnsi="Times New Roman"/>
                <w:sz w:val="24"/>
                <w:szCs w:val="24"/>
              </w:rPr>
              <w:t xml:space="preserve"> UE, î</w:t>
            </w:r>
            <w:r w:rsidR="001F101F" w:rsidRPr="00D92966">
              <w:rPr>
                <w:rFonts w:ascii="Times New Roman" w:hAnsi="Times New Roman"/>
                <w:sz w:val="24"/>
                <w:szCs w:val="24"/>
                <w:lang w:val="ro-MD"/>
              </w:rPr>
              <w:t xml:space="preserve">n cele din urmă, alinierea legislației naționale cu reglementările Uniunii Europene, </w:t>
            </w:r>
            <w:r w:rsidR="00A1403C" w:rsidRPr="00D92966">
              <w:rPr>
                <w:rFonts w:ascii="Times New Roman" w:hAnsi="Times New Roman"/>
                <w:sz w:val="24"/>
                <w:szCs w:val="24"/>
                <w:lang w:val="ro-MD"/>
              </w:rPr>
              <w:t>este considerat cel mai eficient</w:t>
            </w:r>
            <w:r w:rsidR="001F101F" w:rsidRPr="00D92966">
              <w:rPr>
                <w:rFonts w:ascii="Times New Roman" w:hAnsi="Times New Roman"/>
                <w:sz w:val="24"/>
                <w:szCs w:val="24"/>
                <w:lang w:val="ro-MD"/>
              </w:rPr>
              <w:t xml:space="preserve">. Aceasta asigură o protecție mai mare a sănătății publice și a mediului, armonizează cadrul legislativ cu normele internaționale și oferă un cadru legal clar pentru evaluarea și monitorizarea </w:t>
            </w:r>
            <w:r w:rsidR="001049F8" w:rsidRPr="00D92966">
              <w:rPr>
                <w:rFonts w:ascii="Times New Roman" w:hAnsi="Times New Roman"/>
                <w:sz w:val="24"/>
                <w:szCs w:val="24"/>
                <w:lang w:val="ro-MD"/>
              </w:rPr>
              <w:t>produselor fertilizante</w:t>
            </w:r>
            <w:r w:rsidRPr="00D92966">
              <w:rPr>
                <w:rFonts w:ascii="Times New Roman" w:hAnsi="Times New Roman"/>
                <w:sz w:val="24"/>
                <w:szCs w:val="24"/>
                <w:lang w:val="ro-MD"/>
              </w:rPr>
              <w:t xml:space="preserve"> UE</w:t>
            </w:r>
            <w:r w:rsidR="001F101F" w:rsidRPr="00D92966">
              <w:rPr>
                <w:rFonts w:ascii="Times New Roman" w:hAnsi="Times New Roman"/>
                <w:sz w:val="24"/>
                <w:szCs w:val="24"/>
                <w:lang w:val="ro-MD"/>
              </w:rPr>
              <w:t>.</w:t>
            </w:r>
          </w:p>
          <w:p w14:paraId="5D44C0A4" w14:textId="09FF84C6" w:rsidR="007D5399" w:rsidRPr="007D5399" w:rsidRDefault="007D5399" w:rsidP="007517E4">
            <w:pPr>
              <w:spacing w:line="276" w:lineRule="auto"/>
              <w:ind w:firstLine="426"/>
              <w:rPr>
                <w:rFonts w:ascii="Times New Roman" w:hAnsi="Times New Roman"/>
                <w:sz w:val="16"/>
                <w:szCs w:val="24"/>
                <w:lang w:val="ro-MD"/>
              </w:rPr>
            </w:pPr>
          </w:p>
        </w:tc>
      </w:tr>
      <w:tr w:rsidR="00DA0DE1" w:rsidRPr="00DA0DE1" w14:paraId="0AA3327E" w14:textId="77777777" w:rsidTr="00876045">
        <w:trPr>
          <w:trHeight w:val="381"/>
        </w:trPr>
        <w:tc>
          <w:tcPr>
            <w:tcW w:w="9109" w:type="dxa"/>
            <w:shd w:val="clear" w:color="BFBFBF" w:fill="BFBFBF"/>
            <w:tcMar>
              <w:top w:w="0" w:type="dxa"/>
              <w:left w:w="108" w:type="dxa"/>
              <w:bottom w:w="0" w:type="dxa"/>
              <w:right w:w="108" w:type="dxa"/>
            </w:tcMar>
          </w:tcPr>
          <w:p w14:paraId="45BD4F97" w14:textId="43B94426" w:rsidR="008E74E3" w:rsidRPr="00DA0DE1" w:rsidRDefault="006933C3" w:rsidP="0006633C">
            <w:pPr>
              <w:spacing w:line="276" w:lineRule="auto"/>
              <w:rPr>
                <w:rFonts w:ascii="Times New Roman" w:hAnsi="Times New Roman"/>
                <w:b/>
                <w:bCs/>
                <w:sz w:val="24"/>
                <w:szCs w:val="24"/>
                <w:highlight w:val="yellow"/>
                <w:lang w:val="ro-MD"/>
              </w:rPr>
            </w:pPr>
            <w:r w:rsidRPr="0043683E">
              <w:rPr>
                <w:rFonts w:ascii="Times New Roman" w:hAnsi="Times New Roman"/>
                <w:b/>
                <w:bCs/>
                <w:sz w:val="24"/>
                <w:szCs w:val="24"/>
                <w:lang w:val="ro-MD"/>
              </w:rPr>
              <w:t>4.</w:t>
            </w:r>
            <w:r w:rsidR="00032B46" w:rsidRPr="0043683E">
              <w:rPr>
                <w:rFonts w:ascii="Times New Roman" w:hAnsi="Times New Roman"/>
                <w:b/>
                <w:bCs/>
                <w:sz w:val="24"/>
                <w:szCs w:val="24"/>
                <w:lang w:val="ro-MD"/>
              </w:rPr>
              <w:t xml:space="preserve"> </w:t>
            </w:r>
            <w:r w:rsidRPr="0043683E">
              <w:rPr>
                <w:rFonts w:ascii="Times New Roman" w:hAnsi="Times New Roman"/>
                <w:b/>
                <w:bCs/>
                <w:sz w:val="24"/>
                <w:szCs w:val="24"/>
                <w:lang w:val="ro-MD"/>
              </w:rPr>
              <w:t>Analiza</w:t>
            </w:r>
            <w:r w:rsidR="00032B46" w:rsidRPr="0043683E">
              <w:rPr>
                <w:rFonts w:ascii="Times New Roman" w:hAnsi="Times New Roman"/>
                <w:b/>
                <w:bCs/>
                <w:sz w:val="24"/>
                <w:szCs w:val="24"/>
                <w:lang w:val="ro-MD"/>
              </w:rPr>
              <w:t xml:space="preserve"> </w:t>
            </w:r>
            <w:r w:rsidRPr="0043683E">
              <w:rPr>
                <w:rFonts w:ascii="Times New Roman" w:hAnsi="Times New Roman"/>
                <w:b/>
                <w:bCs/>
                <w:sz w:val="24"/>
                <w:szCs w:val="24"/>
                <w:lang w:val="ro-MD"/>
              </w:rPr>
              <w:t>impactului</w:t>
            </w:r>
            <w:r w:rsidR="00032B46" w:rsidRPr="0043683E">
              <w:rPr>
                <w:rFonts w:ascii="Times New Roman" w:hAnsi="Times New Roman"/>
                <w:b/>
                <w:bCs/>
                <w:sz w:val="24"/>
                <w:szCs w:val="24"/>
                <w:lang w:val="ro-MD"/>
              </w:rPr>
              <w:t xml:space="preserve"> </w:t>
            </w:r>
            <w:r w:rsidRPr="0043683E">
              <w:rPr>
                <w:rFonts w:ascii="Times New Roman" w:hAnsi="Times New Roman"/>
                <w:b/>
                <w:bCs/>
                <w:sz w:val="24"/>
                <w:szCs w:val="24"/>
                <w:lang w:val="ro-MD"/>
              </w:rPr>
              <w:t>de</w:t>
            </w:r>
            <w:r w:rsidR="00032B46" w:rsidRPr="0043683E">
              <w:rPr>
                <w:rFonts w:ascii="Times New Roman" w:hAnsi="Times New Roman"/>
                <w:b/>
                <w:bCs/>
                <w:sz w:val="24"/>
                <w:szCs w:val="24"/>
                <w:lang w:val="ro-MD"/>
              </w:rPr>
              <w:t xml:space="preserve"> </w:t>
            </w:r>
            <w:r w:rsidRPr="0043683E">
              <w:rPr>
                <w:rFonts w:ascii="Times New Roman" w:hAnsi="Times New Roman"/>
                <w:b/>
                <w:bCs/>
                <w:sz w:val="24"/>
                <w:szCs w:val="24"/>
                <w:lang w:val="ro-MD"/>
              </w:rPr>
              <w:t>reglementare</w:t>
            </w:r>
            <w:r w:rsidR="00032B46" w:rsidRPr="0043683E">
              <w:rPr>
                <w:rFonts w:ascii="Times New Roman" w:hAnsi="Times New Roman"/>
                <w:b/>
                <w:bCs/>
                <w:sz w:val="24"/>
                <w:szCs w:val="24"/>
                <w:lang w:val="ro-MD"/>
              </w:rPr>
              <w:t xml:space="preserve"> </w:t>
            </w:r>
          </w:p>
        </w:tc>
      </w:tr>
      <w:tr w:rsidR="00DA0DE1" w:rsidRPr="00DA0DE1" w14:paraId="4C1850A2" w14:textId="77777777" w:rsidTr="00876045">
        <w:tc>
          <w:tcPr>
            <w:tcW w:w="9109" w:type="dxa"/>
            <w:shd w:val="clear" w:color="EDEDED" w:fill="EDEDED"/>
            <w:tcMar>
              <w:top w:w="0" w:type="dxa"/>
              <w:left w:w="108" w:type="dxa"/>
              <w:bottom w:w="0" w:type="dxa"/>
              <w:right w:w="108" w:type="dxa"/>
            </w:tcMar>
          </w:tcPr>
          <w:p w14:paraId="31D4CF0F" w14:textId="35783694" w:rsidR="008E74E3" w:rsidRPr="00DD448A" w:rsidRDefault="006933C3" w:rsidP="0006633C">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t>4.1.</w:t>
            </w:r>
            <w:r w:rsidR="00032B46" w:rsidRPr="00DD448A">
              <w:rPr>
                <w:rFonts w:ascii="Times New Roman" w:hAnsi="Times New Roman"/>
                <w:sz w:val="24"/>
                <w:szCs w:val="24"/>
                <w:lang w:val="ro-MD"/>
              </w:rPr>
              <w:t xml:space="preserve"> </w:t>
            </w:r>
            <w:r w:rsidR="00CA2822" w:rsidRPr="00DD448A">
              <w:rPr>
                <w:rFonts w:ascii="Times New Roman" w:hAnsi="Times New Roman"/>
                <w:sz w:val="24"/>
                <w:szCs w:val="24"/>
                <w:lang w:val="ro-MD"/>
              </w:rPr>
              <w:t>Impactul</w:t>
            </w:r>
            <w:r w:rsidR="00032B46" w:rsidRPr="00DD448A">
              <w:rPr>
                <w:rFonts w:ascii="Times New Roman" w:hAnsi="Times New Roman"/>
                <w:sz w:val="24"/>
                <w:szCs w:val="24"/>
                <w:lang w:val="ro-MD"/>
              </w:rPr>
              <w:t xml:space="preserve"> </w:t>
            </w:r>
            <w:r w:rsidR="00CA2822" w:rsidRPr="00DD448A">
              <w:rPr>
                <w:rFonts w:ascii="Times New Roman" w:hAnsi="Times New Roman"/>
                <w:sz w:val="24"/>
                <w:szCs w:val="24"/>
                <w:lang w:val="ro-MD"/>
              </w:rPr>
              <w:t>asupra</w:t>
            </w:r>
            <w:r w:rsidR="00032B46" w:rsidRPr="00DD448A">
              <w:rPr>
                <w:rFonts w:ascii="Times New Roman" w:hAnsi="Times New Roman"/>
                <w:sz w:val="24"/>
                <w:szCs w:val="24"/>
                <w:lang w:val="ro-MD"/>
              </w:rPr>
              <w:t xml:space="preserve"> </w:t>
            </w:r>
            <w:r w:rsidR="00CA2822" w:rsidRPr="00DD448A">
              <w:rPr>
                <w:rFonts w:ascii="Times New Roman" w:hAnsi="Times New Roman"/>
                <w:sz w:val="24"/>
                <w:szCs w:val="24"/>
                <w:lang w:val="ro-MD"/>
              </w:rPr>
              <w:t>sectorului</w:t>
            </w:r>
            <w:r w:rsidR="00032B46" w:rsidRPr="00DD448A">
              <w:rPr>
                <w:rFonts w:ascii="Times New Roman" w:hAnsi="Times New Roman"/>
                <w:sz w:val="24"/>
                <w:szCs w:val="24"/>
                <w:lang w:val="ro-MD"/>
              </w:rPr>
              <w:t xml:space="preserve"> </w:t>
            </w:r>
            <w:r w:rsidR="00CA2822" w:rsidRPr="00DD448A">
              <w:rPr>
                <w:rFonts w:ascii="Times New Roman" w:hAnsi="Times New Roman"/>
                <w:sz w:val="24"/>
                <w:szCs w:val="24"/>
                <w:lang w:val="ro-MD"/>
              </w:rPr>
              <w:t>public</w:t>
            </w:r>
          </w:p>
        </w:tc>
      </w:tr>
      <w:tr w:rsidR="00DA0DE1" w:rsidRPr="00DA0DE1" w14:paraId="18067305" w14:textId="77777777" w:rsidTr="00876045">
        <w:tc>
          <w:tcPr>
            <w:tcW w:w="9109" w:type="dxa"/>
            <w:tcMar>
              <w:top w:w="0" w:type="dxa"/>
              <w:left w:w="108" w:type="dxa"/>
              <w:bottom w:w="0" w:type="dxa"/>
              <w:right w:w="108" w:type="dxa"/>
            </w:tcMar>
          </w:tcPr>
          <w:p w14:paraId="5BDA3D0D" w14:textId="0642B859" w:rsidR="009F58CA" w:rsidRPr="00DD448A" w:rsidRDefault="00137277" w:rsidP="0014350D">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t>Aprobarea proiectului</w:t>
            </w:r>
            <w:r w:rsidR="00643739" w:rsidRPr="00DD448A">
              <w:rPr>
                <w:rFonts w:ascii="Times New Roman" w:hAnsi="Times New Roman"/>
                <w:sz w:val="24"/>
                <w:szCs w:val="24"/>
                <w:lang w:val="ro-MD"/>
              </w:rPr>
              <w:t xml:space="preserve"> de ordin</w:t>
            </w:r>
            <w:r w:rsidRPr="00DD448A">
              <w:rPr>
                <w:rFonts w:ascii="Times New Roman" w:hAnsi="Times New Roman"/>
                <w:sz w:val="24"/>
                <w:szCs w:val="24"/>
                <w:lang w:val="ro-MD"/>
              </w:rPr>
              <w:t xml:space="preserve"> va avea un impact pozitiv asupra sectorului public, contribuind la asigurarea unui cadru </w:t>
            </w:r>
            <w:r w:rsidR="009930C6" w:rsidRPr="00DD448A">
              <w:rPr>
                <w:rFonts w:ascii="Times New Roman" w:hAnsi="Times New Roman"/>
                <w:sz w:val="24"/>
                <w:szCs w:val="24"/>
                <w:lang w:val="ro-MD"/>
              </w:rPr>
              <w:t>legislativ</w:t>
            </w:r>
            <w:r w:rsidRPr="00DD448A">
              <w:rPr>
                <w:rFonts w:ascii="Times New Roman" w:hAnsi="Times New Roman"/>
                <w:sz w:val="24"/>
                <w:szCs w:val="24"/>
                <w:lang w:val="ro-MD"/>
              </w:rPr>
              <w:t xml:space="preserve"> eficient pentru gestionarea </w:t>
            </w:r>
            <w:r w:rsidR="00443031" w:rsidRPr="00DD448A">
              <w:rPr>
                <w:rFonts w:ascii="Times New Roman" w:hAnsi="Times New Roman"/>
                <w:sz w:val="24"/>
                <w:szCs w:val="24"/>
                <w:lang w:val="ro-MD"/>
              </w:rPr>
              <w:t xml:space="preserve">și monitorizarea a </w:t>
            </w:r>
            <w:r w:rsidRPr="00DD448A">
              <w:rPr>
                <w:rFonts w:ascii="Times New Roman" w:hAnsi="Times New Roman"/>
                <w:sz w:val="24"/>
                <w:szCs w:val="24"/>
                <w:lang w:val="ro-MD"/>
              </w:rPr>
              <w:t xml:space="preserve">produselor </w:t>
            </w:r>
            <w:r w:rsidR="009F7C44" w:rsidRPr="00DD448A">
              <w:rPr>
                <w:rFonts w:ascii="Times New Roman" w:hAnsi="Times New Roman"/>
                <w:sz w:val="24"/>
                <w:szCs w:val="24"/>
                <w:lang w:val="ro-MD"/>
              </w:rPr>
              <w:t>fertilizante</w:t>
            </w:r>
            <w:r w:rsidR="000B7B9A" w:rsidRPr="00DD448A">
              <w:rPr>
                <w:rFonts w:ascii="Times New Roman" w:hAnsi="Times New Roman"/>
                <w:sz w:val="24"/>
                <w:szCs w:val="24"/>
                <w:lang w:val="ro-MD"/>
              </w:rPr>
              <w:t xml:space="preserve"> UE</w:t>
            </w:r>
            <w:r w:rsidR="00373158" w:rsidRPr="00DD448A">
              <w:rPr>
                <w:rFonts w:ascii="Times New Roman" w:hAnsi="Times New Roman"/>
                <w:sz w:val="24"/>
                <w:szCs w:val="24"/>
                <w:lang w:val="ro-MD"/>
              </w:rPr>
              <w:t>.</w:t>
            </w:r>
          </w:p>
          <w:p w14:paraId="258D2884" w14:textId="4DF264A2" w:rsidR="00452756" w:rsidRPr="00DD448A" w:rsidRDefault="009016BA" w:rsidP="007517E4">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t xml:space="preserve">Alinierea </w:t>
            </w:r>
            <w:r w:rsidR="00373158" w:rsidRPr="00DD448A">
              <w:rPr>
                <w:rFonts w:ascii="Times New Roman" w:hAnsi="Times New Roman"/>
                <w:sz w:val="24"/>
                <w:szCs w:val="24"/>
                <w:lang w:val="ro-MD"/>
              </w:rPr>
              <w:t>categoriil</w:t>
            </w:r>
            <w:r w:rsidRPr="00DD448A">
              <w:rPr>
                <w:rFonts w:ascii="Times New Roman" w:hAnsi="Times New Roman"/>
                <w:sz w:val="24"/>
                <w:szCs w:val="24"/>
                <w:lang w:val="ro-MD"/>
              </w:rPr>
              <w:t>or</w:t>
            </w:r>
            <w:r w:rsidR="00373158" w:rsidRPr="00DD448A">
              <w:rPr>
                <w:rFonts w:ascii="Times New Roman" w:hAnsi="Times New Roman"/>
                <w:sz w:val="24"/>
                <w:szCs w:val="24"/>
                <w:lang w:val="ro-MD"/>
              </w:rPr>
              <w:t xml:space="preserve"> funcționale de produse</w:t>
            </w:r>
            <w:r w:rsidR="00D92966" w:rsidRPr="00DD448A">
              <w:rPr>
                <w:rFonts w:ascii="Times New Roman" w:hAnsi="Times New Roman"/>
                <w:sz w:val="24"/>
                <w:szCs w:val="24"/>
                <w:lang w:val="ro-MD"/>
              </w:rPr>
              <w:t xml:space="preserve"> pentru produsele fertilizante UE</w:t>
            </w:r>
            <w:r w:rsidR="00373158" w:rsidRPr="00DD448A">
              <w:rPr>
                <w:rFonts w:ascii="Times New Roman" w:hAnsi="Times New Roman"/>
                <w:sz w:val="24"/>
                <w:szCs w:val="24"/>
                <w:lang w:val="ro-MD"/>
              </w:rPr>
              <w:t xml:space="preserve"> și</w:t>
            </w:r>
            <w:r w:rsidR="00D92966" w:rsidRPr="00DD448A">
              <w:rPr>
                <w:rFonts w:ascii="Times New Roman" w:hAnsi="Times New Roman"/>
                <w:sz w:val="24"/>
                <w:szCs w:val="24"/>
                <w:lang w:val="ro-MD"/>
              </w:rPr>
              <w:t xml:space="preserve"> a categoriilor</w:t>
            </w:r>
            <w:r w:rsidR="00373158" w:rsidRPr="00DD448A">
              <w:rPr>
                <w:rFonts w:ascii="Times New Roman" w:hAnsi="Times New Roman"/>
                <w:sz w:val="24"/>
                <w:szCs w:val="24"/>
                <w:lang w:val="ro-MD"/>
              </w:rPr>
              <w:t xml:space="preserve"> materii componente a produselor fertilizante </w:t>
            </w:r>
            <w:r w:rsidRPr="00DD448A">
              <w:rPr>
                <w:rFonts w:ascii="Times New Roman" w:hAnsi="Times New Roman"/>
                <w:sz w:val="24"/>
                <w:szCs w:val="24"/>
                <w:lang w:val="ro-MD"/>
              </w:rPr>
              <w:t xml:space="preserve">UE la nivel național </w:t>
            </w:r>
            <w:r w:rsidR="00137277" w:rsidRPr="00DD448A">
              <w:rPr>
                <w:rFonts w:ascii="Times New Roman" w:hAnsi="Times New Roman"/>
                <w:sz w:val="24"/>
                <w:szCs w:val="24"/>
                <w:lang w:val="ro-MD"/>
              </w:rPr>
              <w:t>v</w:t>
            </w:r>
            <w:r w:rsidR="005C79D7" w:rsidRPr="00DD448A">
              <w:rPr>
                <w:rFonts w:ascii="Times New Roman" w:hAnsi="Times New Roman"/>
                <w:sz w:val="24"/>
                <w:szCs w:val="24"/>
                <w:lang w:val="ro-MD"/>
              </w:rPr>
              <w:t>a</w:t>
            </w:r>
            <w:r w:rsidR="00137277" w:rsidRPr="00DD448A">
              <w:rPr>
                <w:rFonts w:ascii="Times New Roman" w:hAnsi="Times New Roman"/>
                <w:sz w:val="24"/>
                <w:szCs w:val="24"/>
                <w:lang w:val="ro-MD"/>
              </w:rPr>
              <w:t xml:space="preserve"> sprijini autorit</w:t>
            </w:r>
            <w:r w:rsidR="00452756" w:rsidRPr="00DD448A">
              <w:rPr>
                <w:rFonts w:ascii="Times New Roman" w:hAnsi="Times New Roman"/>
                <w:sz w:val="24"/>
                <w:szCs w:val="24"/>
                <w:lang w:val="ro-MD"/>
              </w:rPr>
              <w:t>atea</w:t>
            </w:r>
            <w:r w:rsidR="00137277" w:rsidRPr="00DD448A">
              <w:rPr>
                <w:rFonts w:ascii="Times New Roman" w:hAnsi="Times New Roman"/>
                <w:sz w:val="24"/>
                <w:szCs w:val="24"/>
                <w:lang w:val="ro-MD"/>
              </w:rPr>
              <w:t xml:space="preserve"> competent</w:t>
            </w:r>
            <w:r w:rsidR="00452756" w:rsidRPr="00DD448A">
              <w:rPr>
                <w:rFonts w:ascii="Times New Roman" w:hAnsi="Times New Roman"/>
                <w:sz w:val="24"/>
                <w:szCs w:val="24"/>
                <w:lang w:val="ro-MD"/>
              </w:rPr>
              <w:t>ă</w:t>
            </w:r>
            <w:r w:rsidR="005C79D7" w:rsidRPr="00DD448A">
              <w:rPr>
                <w:rFonts w:ascii="Times New Roman" w:hAnsi="Times New Roman"/>
                <w:sz w:val="24"/>
                <w:szCs w:val="24"/>
                <w:lang w:val="ro-MD"/>
              </w:rPr>
              <w:t xml:space="preserve"> de implementare a politicilor</w:t>
            </w:r>
            <w:r w:rsidRPr="00DD448A">
              <w:rPr>
                <w:rFonts w:ascii="Times New Roman" w:hAnsi="Times New Roman"/>
                <w:sz w:val="24"/>
                <w:szCs w:val="24"/>
                <w:lang w:val="ro-MD"/>
              </w:rPr>
              <w:t xml:space="preserve"> la</w:t>
            </w:r>
            <w:r w:rsidR="00137277" w:rsidRPr="00DD448A">
              <w:rPr>
                <w:rFonts w:ascii="Times New Roman" w:hAnsi="Times New Roman"/>
                <w:sz w:val="24"/>
                <w:szCs w:val="24"/>
                <w:lang w:val="ro-MD"/>
              </w:rPr>
              <w:t xml:space="preserve"> </w:t>
            </w:r>
            <w:r w:rsidRPr="00DD448A">
              <w:rPr>
                <w:rFonts w:ascii="Times New Roman" w:hAnsi="Times New Roman"/>
                <w:sz w:val="24"/>
                <w:szCs w:val="24"/>
                <w:lang w:val="ro-MD"/>
              </w:rPr>
              <w:t xml:space="preserve">monitorizarea </w:t>
            </w:r>
            <w:r w:rsidR="00137277" w:rsidRPr="00DD448A">
              <w:rPr>
                <w:rFonts w:ascii="Times New Roman" w:hAnsi="Times New Roman"/>
                <w:sz w:val="24"/>
                <w:szCs w:val="24"/>
                <w:lang w:val="ro-MD"/>
              </w:rPr>
              <w:t>și control</w:t>
            </w:r>
            <w:r w:rsidRPr="00DD448A">
              <w:rPr>
                <w:rFonts w:ascii="Times New Roman" w:hAnsi="Times New Roman"/>
                <w:sz w:val="24"/>
                <w:szCs w:val="24"/>
                <w:lang w:val="ro-MD"/>
              </w:rPr>
              <w:t xml:space="preserve">ul în </w:t>
            </w:r>
            <w:r w:rsidR="00137277" w:rsidRPr="00DD448A">
              <w:rPr>
                <w:rFonts w:ascii="Times New Roman" w:hAnsi="Times New Roman"/>
                <w:sz w:val="24"/>
                <w:szCs w:val="24"/>
                <w:lang w:val="ro-MD"/>
              </w:rPr>
              <w:t>siguranț</w:t>
            </w:r>
            <w:r w:rsidRPr="00DD448A">
              <w:rPr>
                <w:rFonts w:ascii="Times New Roman" w:hAnsi="Times New Roman"/>
                <w:sz w:val="24"/>
                <w:szCs w:val="24"/>
                <w:lang w:val="ro-MD"/>
              </w:rPr>
              <w:t>ă a</w:t>
            </w:r>
            <w:r w:rsidR="00137277" w:rsidRPr="00DD448A">
              <w:rPr>
                <w:rFonts w:ascii="Times New Roman" w:hAnsi="Times New Roman"/>
                <w:sz w:val="24"/>
                <w:szCs w:val="24"/>
                <w:lang w:val="ro-MD"/>
              </w:rPr>
              <w:t xml:space="preserve"> produselor </w:t>
            </w:r>
            <w:r w:rsidR="003E7609" w:rsidRPr="00DD448A">
              <w:rPr>
                <w:rFonts w:ascii="Times New Roman" w:hAnsi="Times New Roman"/>
                <w:sz w:val="24"/>
                <w:szCs w:val="24"/>
                <w:lang w:val="ro-MD"/>
              </w:rPr>
              <w:t>f</w:t>
            </w:r>
            <w:r w:rsidR="00373158" w:rsidRPr="00DD448A">
              <w:rPr>
                <w:rFonts w:ascii="Times New Roman" w:hAnsi="Times New Roman"/>
                <w:sz w:val="24"/>
                <w:szCs w:val="24"/>
                <w:lang w:val="ro-MD"/>
              </w:rPr>
              <w:t>ertilizante</w:t>
            </w:r>
            <w:r w:rsidRPr="00DD448A">
              <w:rPr>
                <w:rFonts w:ascii="Times New Roman" w:hAnsi="Times New Roman"/>
                <w:sz w:val="24"/>
                <w:szCs w:val="24"/>
                <w:lang w:val="ro-MD"/>
              </w:rPr>
              <w:t xml:space="preserve"> UE</w:t>
            </w:r>
            <w:r w:rsidR="003E7609" w:rsidRPr="00DD448A">
              <w:rPr>
                <w:rFonts w:ascii="Times New Roman" w:hAnsi="Times New Roman"/>
                <w:sz w:val="24"/>
                <w:szCs w:val="24"/>
                <w:lang w:val="ro-MD"/>
              </w:rPr>
              <w:t xml:space="preserve">. </w:t>
            </w:r>
            <w:r w:rsidR="00137277" w:rsidRPr="00DD448A">
              <w:rPr>
                <w:rFonts w:ascii="Times New Roman" w:hAnsi="Times New Roman"/>
                <w:sz w:val="24"/>
                <w:szCs w:val="24"/>
                <w:lang w:val="ro-MD"/>
              </w:rPr>
              <w:t xml:space="preserve">În plus, </w:t>
            </w:r>
            <w:r w:rsidR="00452756" w:rsidRPr="00DD448A">
              <w:rPr>
                <w:rFonts w:ascii="Times New Roman" w:hAnsi="Times New Roman"/>
                <w:sz w:val="24"/>
                <w:szCs w:val="24"/>
                <w:lang w:val="ro-MD"/>
              </w:rPr>
              <w:t xml:space="preserve">cerințele </w:t>
            </w:r>
            <w:r w:rsidR="00137277" w:rsidRPr="00DD448A">
              <w:rPr>
                <w:rFonts w:ascii="Times New Roman" w:hAnsi="Times New Roman"/>
                <w:sz w:val="24"/>
                <w:szCs w:val="24"/>
                <w:lang w:val="ro-MD"/>
              </w:rPr>
              <w:t xml:space="preserve">prevăzute în </w:t>
            </w:r>
            <w:r w:rsidR="00452756" w:rsidRPr="00DD448A">
              <w:rPr>
                <w:rFonts w:ascii="Times New Roman" w:hAnsi="Times New Roman"/>
                <w:sz w:val="24"/>
                <w:szCs w:val="24"/>
                <w:lang w:val="ro-MD"/>
              </w:rPr>
              <w:t>proiectul</w:t>
            </w:r>
            <w:r w:rsidR="000F08DC" w:rsidRPr="00DD448A">
              <w:rPr>
                <w:rFonts w:ascii="Times New Roman" w:hAnsi="Times New Roman"/>
                <w:sz w:val="24"/>
                <w:szCs w:val="24"/>
                <w:lang w:val="ro-MD"/>
              </w:rPr>
              <w:t xml:space="preserve"> de </w:t>
            </w:r>
            <w:r w:rsidR="00137277" w:rsidRPr="00DD448A">
              <w:rPr>
                <w:rFonts w:ascii="Times New Roman" w:hAnsi="Times New Roman"/>
                <w:sz w:val="24"/>
                <w:szCs w:val="24"/>
                <w:lang w:val="ro-MD"/>
              </w:rPr>
              <w:t>ordin v</w:t>
            </w:r>
            <w:r w:rsidR="000F08DC" w:rsidRPr="00DD448A">
              <w:rPr>
                <w:rFonts w:ascii="Times New Roman" w:hAnsi="Times New Roman"/>
                <w:sz w:val="24"/>
                <w:szCs w:val="24"/>
                <w:lang w:val="ro-MD"/>
              </w:rPr>
              <w:t xml:space="preserve">a </w:t>
            </w:r>
            <w:r w:rsidR="00137277" w:rsidRPr="00DD448A">
              <w:rPr>
                <w:rFonts w:ascii="Times New Roman" w:hAnsi="Times New Roman"/>
                <w:sz w:val="24"/>
                <w:szCs w:val="24"/>
                <w:lang w:val="ro-MD"/>
              </w:rPr>
              <w:t xml:space="preserve">facilita o mai bună coordonare între instituțiile implicate în supravegherea acestui sector, asigurându-se astfel o gestionare riguroasă și transparentă a </w:t>
            </w:r>
            <w:r w:rsidR="00DD448A" w:rsidRPr="00DD448A">
              <w:rPr>
                <w:rFonts w:ascii="Times New Roman" w:hAnsi="Times New Roman"/>
                <w:sz w:val="24"/>
                <w:szCs w:val="24"/>
                <w:lang w:val="ro-MD"/>
              </w:rPr>
              <w:t>categorii materii</w:t>
            </w:r>
            <w:r w:rsidRPr="00DD448A">
              <w:rPr>
                <w:rFonts w:ascii="Times New Roman" w:hAnsi="Times New Roman"/>
                <w:sz w:val="24"/>
                <w:szCs w:val="24"/>
                <w:lang w:val="ro-MD"/>
              </w:rPr>
              <w:t xml:space="preserve"> componente </w:t>
            </w:r>
            <w:r w:rsidR="00DD448A" w:rsidRPr="00DD448A">
              <w:rPr>
                <w:rFonts w:ascii="Times New Roman" w:hAnsi="Times New Roman"/>
                <w:sz w:val="24"/>
                <w:szCs w:val="24"/>
                <w:lang w:val="ro-MD"/>
              </w:rPr>
              <w:t>pentru</w:t>
            </w:r>
            <w:r w:rsidRPr="00DD448A">
              <w:rPr>
                <w:rFonts w:ascii="Times New Roman" w:hAnsi="Times New Roman"/>
                <w:sz w:val="24"/>
                <w:szCs w:val="24"/>
                <w:lang w:val="ro-MD"/>
              </w:rPr>
              <w:t xml:space="preserve"> produsele fertilizante UE</w:t>
            </w:r>
            <w:r w:rsidR="000B7B9A" w:rsidRPr="00DD448A">
              <w:rPr>
                <w:rFonts w:ascii="Times New Roman" w:hAnsi="Times New Roman"/>
                <w:sz w:val="24"/>
                <w:szCs w:val="24"/>
                <w:lang w:val="ro-MD"/>
              </w:rPr>
              <w:t xml:space="preserve"> și evaluarea conformității</w:t>
            </w:r>
            <w:r w:rsidRPr="00DD448A">
              <w:rPr>
                <w:rFonts w:ascii="Times New Roman" w:hAnsi="Times New Roman"/>
                <w:sz w:val="24"/>
                <w:szCs w:val="24"/>
                <w:lang w:val="ro-MD"/>
              </w:rPr>
              <w:t>.</w:t>
            </w:r>
            <w:r w:rsidR="007517E4" w:rsidRPr="00DD448A">
              <w:rPr>
                <w:rFonts w:ascii="Times New Roman" w:hAnsi="Times New Roman"/>
                <w:sz w:val="24"/>
                <w:szCs w:val="24"/>
                <w:lang w:val="ro-MD"/>
              </w:rPr>
              <w:t xml:space="preserve"> </w:t>
            </w:r>
            <w:r w:rsidR="00137277" w:rsidRPr="00DD448A">
              <w:rPr>
                <w:rFonts w:ascii="Times New Roman" w:hAnsi="Times New Roman"/>
                <w:sz w:val="24"/>
                <w:szCs w:val="24"/>
                <w:lang w:val="ro-MD"/>
              </w:rPr>
              <w:t xml:space="preserve">Aceste </w:t>
            </w:r>
            <w:r w:rsidR="005C79D7" w:rsidRPr="00DD448A">
              <w:rPr>
                <w:rFonts w:ascii="Times New Roman" w:hAnsi="Times New Roman"/>
                <w:sz w:val="24"/>
                <w:szCs w:val="24"/>
                <w:lang w:val="ro-MD"/>
              </w:rPr>
              <w:t>decizii va</w:t>
            </w:r>
            <w:r w:rsidR="00137277" w:rsidRPr="00DD448A">
              <w:rPr>
                <w:rFonts w:ascii="Times New Roman" w:hAnsi="Times New Roman"/>
                <w:sz w:val="24"/>
                <w:szCs w:val="24"/>
                <w:lang w:val="ro-MD"/>
              </w:rPr>
              <w:t xml:space="preserve"> permite un control mai eficient asupra produselor</w:t>
            </w:r>
            <w:r w:rsidRPr="00DD448A">
              <w:rPr>
                <w:rFonts w:ascii="Times New Roman" w:hAnsi="Times New Roman"/>
                <w:sz w:val="24"/>
                <w:szCs w:val="24"/>
                <w:lang w:val="ro-MD"/>
              </w:rPr>
              <w:t xml:space="preserve"> fertilizante UE</w:t>
            </w:r>
            <w:r w:rsidR="00137277" w:rsidRPr="00DD448A">
              <w:rPr>
                <w:rFonts w:ascii="Times New Roman" w:hAnsi="Times New Roman"/>
                <w:sz w:val="24"/>
                <w:szCs w:val="24"/>
                <w:lang w:val="ro-MD"/>
              </w:rPr>
              <w:t xml:space="preserve"> aflate pe piață, contribuind la protejarea sănătății publice și a mediului. </w:t>
            </w:r>
          </w:p>
          <w:p w14:paraId="33581616" w14:textId="7B04206B" w:rsidR="00406A7B" w:rsidRPr="00DD448A" w:rsidRDefault="00137277" w:rsidP="0014350D">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lastRenderedPageBreak/>
              <w:t>Implementarea acestor măsuri va sprijini, de asemenea, autoritățile în îndeplinirea obiectivelor naționale și europene în domeniul protec</w:t>
            </w:r>
            <w:r w:rsidR="009016BA" w:rsidRPr="00DD448A">
              <w:rPr>
                <w:rFonts w:ascii="Times New Roman" w:hAnsi="Times New Roman"/>
                <w:sz w:val="24"/>
                <w:szCs w:val="24"/>
                <w:lang w:val="ro-MD"/>
              </w:rPr>
              <w:t>ției și sănătății plantelor</w:t>
            </w:r>
            <w:r w:rsidR="006901A6" w:rsidRPr="00DD448A">
              <w:rPr>
                <w:rFonts w:ascii="Times New Roman" w:hAnsi="Times New Roman"/>
                <w:sz w:val="24"/>
                <w:szCs w:val="24"/>
                <w:lang w:val="ro-MD"/>
              </w:rPr>
              <w:t>.</w:t>
            </w:r>
          </w:p>
          <w:p w14:paraId="3408C6FF" w14:textId="77777777" w:rsidR="00925948" w:rsidRDefault="00925948" w:rsidP="0014350D">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t xml:space="preserve">Autoritățile vor avea mai multe responsabilități în ceea ce privește monitorizarea și controlul produselor </w:t>
            </w:r>
            <w:r w:rsidR="009F7C44" w:rsidRPr="00DD448A">
              <w:rPr>
                <w:rFonts w:ascii="Times New Roman" w:hAnsi="Times New Roman"/>
                <w:sz w:val="24"/>
                <w:szCs w:val="24"/>
                <w:lang w:val="ro-MD"/>
              </w:rPr>
              <w:t>fertilizante</w:t>
            </w:r>
            <w:r w:rsidR="009C347C" w:rsidRPr="00DD448A">
              <w:rPr>
                <w:rFonts w:ascii="Times New Roman" w:hAnsi="Times New Roman"/>
                <w:sz w:val="24"/>
                <w:szCs w:val="24"/>
                <w:lang w:val="ro-MD"/>
              </w:rPr>
              <w:t xml:space="preserve"> UE</w:t>
            </w:r>
            <w:r w:rsidRPr="00DD448A">
              <w:rPr>
                <w:rFonts w:ascii="Times New Roman" w:hAnsi="Times New Roman"/>
                <w:sz w:val="24"/>
                <w:szCs w:val="24"/>
                <w:lang w:val="ro-MD"/>
              </w:rPr>
              <w:t xml:space="preserve">. Aceste măsuri vor implica o alocare mai eficientă a resurselor, iar autoritățile vor trebui să dezvolte și să pună în aplicare noi mecanisme de verificare </w:t>
            </w:r>
            <w:r w:rsidR="00DD448A" w:rsidRPr="00DD448A">
              <w:rPr>
                <w:rFonts w:ascii="Times New Roman" w:hAnsi="Times New Roman"/>
                <w:sz w:val="24"/>
                <w:szCs w:val="24"/>
                <w:lang w:val="ro-MD"/>
              </w:rPr>
              <w:t xml:space="preserve">a conformității </w:t>
            </w:r>
            <w:r w:rsidRPr="00DD448A">
              <w:rPr>
                <w:rFonts w:ascii="Times New Roman" w:hAnsi="Times New Roman"/>
                <w:sz w:val="24"/>
                <w:szCs w:val="24"/>
                <w:lang w:val="ro-MD"/>
              </w:rPr>
              <w:t>și raportare.</w:t>
            </w:r>
            <w:r w:rsidR="00D30273" w:rsidRPr="00DD448A">
              <w:rPr>
                <w:rFonts w:ascii="Times New Roman" w:hAnsi="Times New Roman"/>
                <w:sz w:val="24"/>
                <w:szCs w:val="24"/>
                <w:lang w:val="ro-MD"/>
              </w:rPr>
              <w:t xml:space="preserve"> </w:t>
            </w:r>
          </w:p>
          <w:p w14:paraId="5554246E" w14:textId="409BCCB3"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5BC1D862" w14:textId="77777777" w:rsidTr="00876045">
        <w:tc>
          <w:tcPr>
            <w:tcW w:w="9109" w:type="dxa"/>
            <w:shd w:val="clear" w:color="EDEDED" w:fill="EDEDED"/>
            <w:tcMar>
              <w:top w:w="0" w:type="dxa"/>
              <w:left w:w="108" w:type="dxa"/>
              <w:bottom w:w="0" w:type="dxa"/>
              <w:right w:w="108" w:type="dxa"/>
            </w:tcMar>
          </w:tcPr>
          <w:p w14:paraId="4A773F3D" w14:textId="5FD29E43" w:rsidR="0016331B" w:rsidRPr="00DA0DE1" w:rsidRDefault="006933C3"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4.2.</w:t>
            </w:r>
            <w:r w:rsidR="00032B46" w:rsidRPr="00DA0DE1">
              <w:rPr>
                <w:rFonts w:ascii="Times New Roman" w:hAnsi="Times New Roman"/>
                <w:sz w:val="24"/>
                <w:szCs w:val="24"/>
                <w:lang w:val="ro-MD"/>
              </w:rPr>
              <w:t xml:space="preserve"> </w:t>
            </w:r>
            <w:r w:rsidR="00CA2822" w:rsidRPr="00DA0DE1">
              <w:rPr>
                <w:rFonts w:ascii="Times New Roman" w:hAnsi="Times New Roman"/>
                <w:sz w:val="24"/>
                <w:szCs w:val="24"/>
                <w:lang w:val="ro-MD"/>
              </w:rPr>
              <w:t>Impactul</w:t>
            </w:r>
            <w:r w:rsidR="00032B46" w:rsidRPr="00DA0DE1">
              <w:rPr>
                <w:rFonts w:ascii="Times New Roman" w:hAnsi="Times New Roman"/>
                <w:sz w:val="24"/>
                <w:szCs w:val="24"/>
                <w:lang w:val="ro-MD"/>
              </w:rPr>
              <w:t xml:space="preserve"> </w:t>
            </w:r>
            <w:r w:rsidR="00CA2822" w:rsidRPr="00DA0DE1">
              <w:rPr>
                <w:rFonts w:ascii="Times New Roman" w:hAnsi="Times New Roman"/>
                <w:sz w:val="24"/>
                <w:szCs w:val="24"/>
                <w:lang w:val="ro-MD"/>
              </w:rPr>
              <w:t>financiar</w:t>
            </w:r>
            <w:r w:rsidR="00032B46" w:rsidRPr="00DA0DE1">
              <w:rPr>
                <w:rFonts w:ascii="Times New Roman" w:hAnsi="Times New Roman"/>
                <w:sz w:val="24"/>
                <w:szCs w:val="24"/>
                <w:lang w:val="ro-MD"/>
              </w:rPr>
              <w:t xml:space="preserve"> </w:t>
            </w:r>
            <w:r w:rsidR="00863417" w:rsidRPr="00DA0DE1">
              <w:rPr>
                <w:rFonts w:ascii="Times New Roman" w:hAnsi="Times New Roman"/>
                <w:sz w:val="24"/>
                <w:szCs w:val="24"/>
                <w:lang w:val="ro-MD"/>
              </w:rPr>
              <w:t>ș</w:t>
            </w:r>
            <w:r w:rsidR="00CA2822" w:rsidRPr="00DA0DE1">
              <w:rPr>
                <w:rFonts w:ascii="Times New Roman" w:hAnsi="Times New Roman"/>
                <w:sz w:val="24"/>
                <w:szCs w:val="24"/>
                <w:lang w:val="ro-MD"/>
              </w:rPr>
              <w:t>i</w:t>
            </w:r>
            <w:r w:rsidR="00032B46" w:rsidRPr="00DA0DE1">
              <w:rPr>
                <w:rFonts w:ascii="Times New Roman" w:hAnsi="Times New Roman"/>
                <w:sz w:val="24"/>
                <w:szCs w:val="24"/>
                <w:lang w:val="ro-MD"/>
              </w:rPr>
              <w:t xml:space="preserve"> </w:t>
            </w:r>
            <w:r w:rsidR="00CA2822" w:rsidRPr="00DA0DE1">
              <w:rPr>
                <w:rFonts w:ascii="Times New Roman" w:hAnsi="Times New Roman"/>
                <w:sz w:val="24"/>
                <w:szCs w:val="24"/>
                <w:lang w:val="ro-MD"/>
              </w:rPr>
              <w:t>argumentarea</w:t>
            </w:r>
            <w:r w:rsidR="00032B46" w:rsidRPr="00DA0DE1">
              <w:rPr>
                <w:rFonts w:ascii="Times New Roman" w:hAnsi="Times New Roman"/>
                <w:sz w:val="24"/>
                <w:szCs w:val="24"/>
                <w:lang w:val="ro-MD"/>
              </w:rPr>
              <w:t xml:space="preserve"> </w:t>
            </w:r>
            <w:r w:rsidR="00CA2822" w:rsidRPr="00DA0DE1">
              <w:rPr>
                <w:rFonts w:ascii="Times New Roman" w:hAnsi="Times New Roman"/>
                <w:sz w:val="24"/>
                <w:szCs w:val="24"/>
                <w:lang w:val="ro-MD"/>
              </w:rPr>
              <w:t>costurilor</w:t>
            </w:r>
            <w:r w:rsidR="00032B46" w:rsidRPr="00DA0DE1">
              <w:rPr>
                <w:rFonts w:ascii="Times New Roman" w:hAnsi="Times New Roman"/>
                <w:sz w:val="24"/>
                <w:szCs w:val="24"/>
                <w:lang w:val="ro-MD"/>
              </w:rPr>
              <w:t xml:space="preserve"> </w:t>
            </w:r>
            <w:r w:rsidR="00CA2822" w:rsidRPr="00DA0DE1">
              <w:rPr>
                <w:rFonts w:ascii="Times New Roman" w:hAnsi="Times New Roman"/>
                <w:sz w:val="24"/>
                <w:szCs w:val="24"/>
                <w:lang w:val="ro-MD"/>
              </w:rPr>
              <w:t>estimative</w:t>
            </w:r>
          </w:p>
        </w:tc>
      </w:tr>
      <w:tr w:rsidR="00DA0DE1" w:rsidRPr="00DA0DE1" w14:paraId="5989A472" w14:textId="77777777" w:rsidTr="00876045">
        <w:tc>
          <w:tcPr>
            <w:tcW w:w="9109" w:type="dxa"/>
            <w:tcMar>
              <w:top w:w="0" w:type="dxa"/>
              <w:left w:w="108" w:type="dxa"/>
              <w:bottom w:w="0" w:type="dxa"/>
              <w:right w:w="108" w:type="dxa"/>
            </w:tcMar>
          </w:tcPr>
          <w:p w14:paraId="1BC7D1EA" w14:textId="77777777" w:rsidR="00295F60" w:rsidRDefault="00710308" w:rsidP="0014350D">
            <w:pPr>
              <w:spacing w:line="276" w:lineRule="auto"/>
              <w:ind w:firstLine="284"/>
              <w:rPr>
                <w:rFonts w:ascii="Times New Roman" w:hAnsi="Times New Roman"/>
                <w:sz w:val="24"/>
                <w:szCs w:val="24"/>
                <w:lang w:val="ro-MD"/>
              </w:rPr>
            </w:pPr>
            <w:r w:rsidRPr="00DD448A">
              <w:rPr>
                <w:rFonts w:ascii="Times New Roman" w:hAnsi="Times New Roman"/>
                <w:sz w:val="24"/>
                <w:szCs w:val="24"/>
                <w:lang w:val="ro-MD"/>
              </w:rPr>
              <w:t>Implementarea proiectului de lege nu implică cheltuieli financiare și alocarea de mijloace financiare suplimentare din bugetul de stat.</w:t>
            </w:r>
          </w:p>
          <w:p w14:paraId="3696FD8C" w14:textId="4FC6E18E"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30E34044" w14:textId="77777777" w:rsidTr="00876045">
        <w:tc>
          <w:tcPr>
            <w:tcW w:w="9109" w:type="dxa"/>
            <w:shd w:val="clear" w:color="EDEDED" w:fill="EDEDED"/>
            <w:tcMar>
              <w:top w:w="0" w:type="dxa"/>
              <w:left w:w="108" w:type="dxa"/>
              <w:bottom w:w="0" w:type="dxa"/>
              <w:right w:w="108" w:type="dxa"/>
            </w:tcMar>
          </w:tcPr>
          <w:p w14:paraId="10769949" w14:textId="2E0E49A8" w:rsidR="0016331B" w:rsidRPr="00DA0DE1" w:rsidRDefault="006933C3" w:rsidP="0006633C">
            <w:pPr>
              <w:spacing w:line="276" w:lineRule="auto"/>
              <w:ind w:firstLine="284"/>
              <w:rPr>
                <w:rFonts w:ascii="Times New Roman" w:hAnsi="Times New Roman"/>
                <w:sz w:val="24"/>
                <w:szCs w:val="24"/>
                <w:lang w:val="ro-MD"/>
              </w:rPr>
            </w:pPr>
            <w:r w:rsidRPr="00BA5113">
              <w:rPr>
                <w:rFonts w:ascii="Times New Roman" w:hAnsi="Times New Roman"/>
                <w:sz w:val="24"/>
                <w:szCs w:val="24"/>
                <w:lang w:val="ro-MD"/>
              </w:rPr>
              <w:t>4.3.</w:t>
            </w:r>
            <w:r w:rsidR="00032B46" w:rsidRPr="00BA5113">
              <w:rPr>
                <w:rFonts w:ascii="Times New Roman" w:hAnsi="Times New Roman"/>
                <w:sz w:val="24"/>
                <w:szCs w:val="24"/>
                <w:lang w:val="ro-MD"/>
              </w:rPr>
              <w:t xml:space="preserve"> </w:t>
            </w:r>
            <w:r w:rsidRPr="00BA5113">
              <w:rPr>
                <w:rFonts w:ascii="Times New Roman" w:hAnsi="Times New Roman"/>
                <w:sz w:val="24"/>
                <w:szCs w:val="24"/>
                <w:lang w:val="ro-MD"/>
              </w:rPr>
              <w:t>Impactul</w:t>
            </w:r>
            <w:r w:rsidR="00032B46" w:rsidRPr="00BA5113">
              <w:rPr>
                <w:rFonts w:ascii="Times New Roman" w:hAnsi="Times New Roman"/>
                <w:sz w:val="24"/>
                <w:szCs w:val="24"/>
                <w:lang w:val="ro-MD"/>
              </w:rPr>
              <w:t xml:space="preserve"> </w:t>
            </w:r>
            <w:r w:rsidR="00CA2822" w:rsidRPr="00BA5113">
              <w:rPr>
                <w:rFonts w:ascii="Times New Roman" w:hAnsi="Times New Roman"/>
                <w:sz w:val="24"/>
                <w:szCs w:val="24"/>
                <w:lang w:val="ro-MD"/>
              </w:rPr>
              <w:t>asupra</w:t>
            </w:r>
            <w:r w:rsidR="00032B46" w:rsidRPr="00BA5113">
              <w:rPr>
                <w:rFonts w:ascii="Times New Roman" w:hAnsi="Times New Roman"/>
                <w:sz w:val="24"/>
                <w:szCs w:val="24"/>
                <w:lang w:val="ro-MD"/>
              </w:rPr>
              <w:t xml:space="preserve"> </w:t>
            </w:r>
            <w:r w:rsidR="00CA2822" w:rsidRPr="00BA5113">
              <w:rPr>
                <w:rFonts w:ascii="Times New Roman" w:hAnsi="Times New Roman"/>
                <w:sz w:val="24"/>
                <w:szCs w:val="24"/>
                <w:lang w:val="ro-MD"/>
              </w:rPr>
              <w:t>sectorului</w:t>
            </w:r>
            <w:r w:rsidR="00032B46" w:rsidRPr="00BA5113">
              <w:rPr>
                <w:rFonts w:ascii="Times New Roman" w:hAnsi="Times New Roman"/>
                <w:sz w:val="24"/>
                <w:szCs w:val="24"/>
                <w:lang w:val="ro-MD"/>
              </w:rPr>
              <w:t xml:space="preserve"> </w:t>
            </w:r>
            <w:r w:rsidR="00CA2822" w:rsidRPr="00BA5113">
              <w:rPr>
                <w:rFonts w:ascii="Times New Roman" w:hAnsi="Times New Roman"/>
                <w:sz w:val="24"/>
                <w:szCs w:val="24"/>
                <w:lang w:val="ro-MD"/>
              </w:rPr>
              <w:t>privat</w:t>
            </w:r>
          </w:p>
        </w:tc>
      </w:tr>
      <w:tr w:rsidR="00DA0DE1" w:rsidRPr="00DA0DE1" w14:paraId="429B1E80" w14:textId="77777777" w:rsidTr="00876045">
        <w:tc>
          <w:tcPr>
            <w:tcW w:w="9109" w:type="dxa"/>
            <w:tcMar>
              <w:top w:w="0" w:type="dxa"/>
              <w:left w:w="108" w:type="dxa"/>
              <w:bottom w:w="0" w:type="dxa"/>
              <w:right w:w="108" w:type="dxa"/>
            </w:tcMar>
          </w:tcPr>
          <w:p w14:paraId="74AD7440" w14:textId="0FE8B3D7" w:rsidR="00B136B6" w:rsidRPr="00DA0DE1" w:rsidRDefault="00804372" w:rsidP="00BC116A">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t xml:space="preserve">Anual Republica Moldova </w:t>
            </w:r>
            <w:r w:rsidR="00600F50" w:rsidRPr="00DA0DE1">
              <w:rPr>
                <w:rFonts w:ascii="Times New Roman" w:hAnsi="Times New Roman"/>
                <w:sz w:val="24"/>
                <w:szCs w:val="24"/>
                <w:lang w:val="ro-MD"/>
              </w:rPr>
              <w:t xml:space="preserve">conform datelor Biroului Național de Statistică importă îngrășăminte minerale </w:t>
            </w:r>
            <w:r w:rsidR="00621FE0" w:rsidRPr="00DA0DE1">
              <w:rPr>
                <w:rFonts w:ascii="Times New Roman" w:hAnsi="Times New Roman"/>
                <w:sz w:val="24"/>
                <w:szCs w:val="24"/>
                <w:lang w:val="ro-MD"/>
              </w:rPr>
              <w:t xml:space="preserve">de cca 120,8 mil USD și nu există platforme </w:t>
            </w:r>
            <w:r w:rsidR="00876045" w:rsidRPr="00DA0DE1">
              <w:rPr>
                <w:rFonts w:ascii="Times New Roman" w:hAnsi="Times New Roman"/>
                <w:sz w:val="24"/>
                <w:szCs w:val="24"/>
                <w:lang w:val="ro-MD"/>
              </w:rPr>
              <w:t xml:space="preserve">de </w:t>
            </w:r>
            <w:r w:rsidR="00621FE0" w:rsidRPr="00DA0DE1">
              <w:rPr>
                <w:rFonts w:ascii="Times New Roman" w:hAnsi="Times New Roman"/>
                <w:sz w:val="24"/>
                <w:szCs w:val="24"/>
                <w:lang w:val="ro-MD"/>
              </w:rPr>
              <w:t xml:space="preserve">producere ale acestora autohton. </w:t>
            </w:r>
          </w:p>
          <w:p w14:paraId="3931121B" w14:textId="7B1BC787" w:rsidR="00B136B6" w:rsidRPr="00DA0DE1" w:rsidRDefault="00E45651" w:rsidP="00E45651">
            <w:pPr>
              <w:spacing w:line="276" w:lineRule="auto"/>
              <w:ind w:firstLine="0"/>
              <w:jc w:val="center"/>
              <w:rPr>
                <w:rFonts w:ascii="Times New Roman" w:hAnsi="Times New Roman"/>
                <w:sz w:val="24"/>
                <w:szCs w:val="24"/>
                <w:lang w:val="ro-MD"/>
              </w:rPr>
            </w:pPr>
            <w:r w:rsidRPr="00DA0DE1">
              <w:rPr>
                <w:rFonts w:ascii="Times New Roman" w:hAnsi="Times New Roman"/>
                <w:sz w:val="24"/>
                <w:szCs w:val="24"/>
                <w:lang w:val="ro-MD"/>
              </w:rPr>
              <w:t xml:space="preserve">Tabelul nr. 2. </w:t>
            </w:r>
            <w:r w:rsidRPr="00DA0DE1">
              <w:rPr>
                <w:rFonts w:ascii="Times New Roman" w:hAnsi="Times New Roman"/>
                <w:i/>
                <w:sz w:val="24"/>
                <w:szCs w:val="24"/>
                <w:lang w:val="ro-MD"/>
              </w:rPr>
              <w:t>Importurile de îngrășăminte în Republica Moldova în anii 2021 - 2023, kg.</w:t>
            </w:r>
          </w:p>
          <w:tbl>
            <w:tblPr>
              <w:tblW w:w="8500" w:type="dxa"/>
              <w:jc w:val="center"/>
              <w:tblLayout w:type="fixed"/>
              <w:tblLook w:val="04A0" w:firstRow="1" w:lastRow="0" w:firstColumn="1" w:lastColumn="0" w:noHBand="0" w:noVBand="1"/>
            </w:tblPr>
            <w:tblGrid>
              <w:gridCol w:w="563"/>
              <w:gridCol w:w="850"/>
              <w:gridCol w:w="850"/>
              <w:gridCol w:w="997"/>
              <w:gridCol w:w="934"/>
              <w:gridCol w:w="1046"/>
              <w:gridCol w:w="999"/>
              <w:gridCol w:w="1269"/>
              <w:gridCol w:w="992"/>
            </w:tblGrid>
            <w:tr w:rsidR="00DA0DE1" w:rsidRPr="00DA0DE1" w14:paraId="051AA493" w14:textId="77777777" w:rsidTr="00E45651">
              <w:trPr>
                <w:trHeight w:val="288"/>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73F4355E"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Cod NCM</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AB05134" w14:textId="77777777" w:rsidR="00906ABC" w:rsidRPr="00DA0DE1" w:rsidRDefault="00906ABC" w:rsidP="00906ABC">
                  <w:pPr>
                    <w:shd w:val="clear" w:color="auto" w:fill="FFFFFF" w:themeFill="background1"/>
                    <w:ind w:firstLine="0"/>
                    <w:contextualSpacing/>
                    <w:rPr>
                      <w:rFonts w:eastAsia="Calibri"/>
                      <w:bCs/>
                      <w:sz w:val="14"/>
                      <w:szCs w:val="18"/>
                      <w:lang w:val="ro-RO"/>
                    </w:rPr>
                  </w:pPr>
                  <w:r w:rsidRPr="00DA0DE1">
                    <w:rPr>
                      <w:rFonts w:eastAsia="Calibri"/>
                      <w:bCs/>
                      <w:sz w:val="14"/>
                      <w:szCs w:val="18"/>
                      <w:lang w:val="ro-RO"/>
                    </w:rPr>
                    <w:t>Denumirea mărfii</w:t>
                  </w:r>
                </w:p>
              </w:tc>
              <w:tc>
                <w:tcPr>
                  <w:tcW w:w="850" w:type="dxa"/>
                  <w:vMerge w:val="restart"/>
                  <w:tcBorders>
                    <w:top w:val="single" w:sz="4" w:space="0" w:color="auto"/>
                    <w:left w:val="nil"/>
                    <w:right w:val="single" w:sz="4" w:space="0" w:color="auto"/>
                  </w:tcBorders>
                  <w:hideMark/>
                </w:tcPr>
                <w:p w14:paraId="0CBFBF46" w14:textId="77777777" w:rsidR="00E45651" w:rsidRPr="00DA0DE1" w:rsidRDefault="00E45651" w:rsidP="00E45651">
                  <w:pPr>
                    <w:shd w:val="clear" w:color="auto" w:fill="FFFFFF" w:themeFill="background1"/>
                    <w:ind w:firstLine="0"/>
                    <w:contextualSpacing/>
                    <w:jc w:val="center"/>
                    <w:rPr>
                      <w:rFonts w:eastAsia="Calibri"/>
                      <w:bCs/>
                      <w:sz w:val="16"/>
                      <w:szCs w:val="18"/>
                      <w:lang w:val="ro-RO"/>
                    </w:rPr>
                  </w:pPr>
                </w:p>
                <w:p w14:paraId="112F6DCB" w14:textId="77777777" w:rsidR="00E45651" w:rsidRPr="00DA0DE1" w:rsidRDefault="00E45651" w:rsidP="00E45651">
                  <w:pPr>
                    <w:shd w:val="clear" w:color="auto" w:fill="FFFFFF" w:themeFill="background1"/>
                    <w:ind w:firstLine="0"/>
                    <w:contextualSpacing/>
                    <w:jc w:val="center"/>
                    <w:rPr>
                      <w:rFonts w:eastAsia="Calibri"/>
                      <w:bCs/>
                      <w:sz w:val="10"/>
                      <w:szCs w:val="18"/>
                      <w:lang w:val="ro-RO"/>
                    </w:rPr>
                  </w:pPr>
                </w:p>
                <w:p w14:paraId="5928340C" w14:textId="470B224B" w:rsidR="00906ABC" w:rsidRPr="00DA0DE1" w:rsidRDefault="00906ABC" w:rsidP="00E45651">
                  <w:pPr>
                    <w:shd w:val="clear" w:color="auto" w:fill="FFFFFF" w:themeFill="background1"/>
                    <w:ind w:firstLine="0"/>
                    <w:contextualSpacing/>
                    <w:jc w:val="center"/>
                    <w:rPr>
                      <w:rFonts w:eastAsia="Calibri"/>
                      <w:bCs/>
                      <w:sz w:val="16"/>
                      <w:szCs w:val="18"/>
                      <w:lang w:val="ro-RO"/>
                    </w:rPr>
                  </w:pPr>
                  <w:r w:rsidRPr="00DA0DE1">
                    <w:rPr>
                      <w:rFonts w:eastAsia="Calibri"/>
                      <w:bCs/>
                      <w:sz w:val="16"/>
                      <w:szCs w:val="18"/>
                      <w:lang w:val="ro-RO"/>
                    </w:rPr>
                    <w:t xml:space="preserve">Unitatea </w:t>
                  </w:r>
                  <w:proofErr w:type="spellStart"/>
                  <w:r w:rsidRPr="00DA0DE1">
                    <w:rPr>
                      <w:rFonts w:eastAsia="Calibri"/>
                      <w:bCs/>
                      <w:sz w:val="16"/>
                      <w:szCs w:val="18"/>
                      <w:lang w:val="ro-RO"/>
                    </w:rPr>
                    <w:t>demăsură</w:t>
                  </w:r>
                  <w:proofErr w:type="spellEnd"/>
                </w:p>
              </w:tc>
              <w:tc>
                <w:tcPr>
                  <w:tcW w:w="1931" w:type="dxa"/>
                  <w:gridSpan w:val="2"/>
                  <w:tcBorders>
                    <w:top w:val="single" w:sz="4" w:space="0" w:color="auto"/>
                    <w:left w:val="nil"/>
                    <w:bottom w:val="single" w:sz="4" w:space="0" w:color="auto"/>
                    <w:right w:val="single" w:sz="4" w:space="0" w:color="auto"/>
                  </w:tcBorders>
                  <w:noWrap/>
                  <w:vAlign w:val="center"/>
                  <w:hideMark/>
                </w:tcPr>
                <w:p w14:paraId="76618972" w14:textId="77777777" w:rsidR="00906ABC" w:rsidRPr="00DA0DE1" w:rsidRDefault="00906ABC" w:rsidP="00E45651">
                  <w:pPr>
                    <w:shd w:val="clear" w:color="auto" w:fill="FFFFFF" w:themeFill="background1"/>
                    <w:ind w:firstLine="0"/>
                    <w:contextualSpacing/>
                    <w:jc w:val="center"/>
                    <w:rPr>
                      <w:rFonts w:eastAsia="Calibri"/>
                      <w:bCs/>
                      <w:sz w:val="18"/>
                      <w:szCs w:val="18"/>
                      <w:lang w:val="ro-RO"/>
                    </w:rPr>
                  </w:pPr>
                  <w:r w:rsidRPr="00DA0DE1">
                    <w:rPr>
                      <w:rFonts w:eastAsia="Calibri"/>
                      <w:bCs/>
                      <w:sz w:val="18"/>
                      <w:szCs w:val="18"/>
                      <w:lang w:val="ro-RO"/>
                    </w:rPr>
                    <w:t>2021</w:t>
                  </w:r>
                </w:p>
              </w:tc>
              <w:tc>
                <w:tcPr>
                  <w:tcW w:w="2045" w:type="dxa"/>
                  <w:gridSpan w:val="2"/>
                  <w:tcBorders>
                    <w:top w:val="single" w:sz="4" w:space="0" w:color="auto"/>
                    <w:left w:val="nil"/>
                    <w:bottom w:val="single" w:sz="4" w:space="0" w:color="auto"/>
                    <w:right w:val="single" w:sz="4" w:space="0" w:color="auto"/>
                  </w:tcBorders>
                  <w:noWrap/>
                  <w:vAlign w:val="center"/>
                  <w:hideMark/>
                </w:tcPr>
                <w:p w14:paraId="16E2D97F" w14:textId="77777777" w:rsidR="00906ABC" w:rsidRPr="00DA0DE1" w:rsidRDefault="00906ABC" w:rsidP="00E45651">
                  <w:pPr>
                    <w:shd w:val="clear" w:color="auto" w:fill="FFFFFF" w:themeFill="background1"/>
                    <w:ind w:firstLine="0"/>
                    <w:contextualSpacing/>
                    <w:jc w:val="center"/>
                    <w:rPr>
                      <w:rFonts w:eastAsia="Calibri"/>
                      <w:bCs/>
                      <w:sz w:val="18"/>
                      <w:szCs w:val="18"/>
                      <w:lang w:val="ro-RO"/>
                    </w:rPr>
                  </w:pPr>
                  <w:r w:rsidRPr="00DA0DE1">
                    <w:rPr>
                      <w:rFonts w:eastAsia="Calibri"/>
                      <w:bCs/>
                      <w:sz w:val="18"/>
                      <w:szCs w:val="18"/>
                      <w:lang w:val="ro-RO"/>
                    </w:rPr>
                    <w:t>2022</w:t>
                  </w:r>
                </w:p>
              </w:tc>
              <w:tc>
                <w:tcPr>
                  <w:tcW w:w="2261" w:type="dxa"/>
                  <w:gridSpan w:val="2"/>
                  <w:tcBorders>
                    <w:top w:val="single" w:sz="4" w:space="0" w:color="auto"/>
                    <w:left w:val="nil"/>
                    <w:bottom w:val="single" w:sz="4" w:space="0" w:color="auto"/>
                    <w:right w:val="single" w:sz="4" w:space="0" w:color="auto"/>
                  </w:tcBorders>
                  <w:noWrap/>
                  <w:vAlign w:val="center"/>
                  <w:hideMark/>
                </w:tcPr>
                <w:p w14:paraId="17BE9303" w14:textId="77777777" w:rsidR="00906ABC" w:rsidRPr="00DA0DE1" w:rsidRDefault="00906ABC" w:rsidP="00E45651">
                  <w:pPr>
                    <w:shd w:val="clear" w:color="auto" w:fill="FFFFFF" w:themeFill="background1"/>
                    <w:ind w:firstLine="0"/>
                    <w:contextualSpacing/>
                    <w:jc w:val="center"/>
                    <w:rPr>
                      <w:rFonts w:eastAsia="Calibri"/>
                      <w:bCs/>
                      <w:sz w:val="18"/>
                      <w:szCs w:val="18"/>
                      <w:lang w:val="ro-RO"/>
                    </w:rPr>
                  </w:pPr>
                  <w:r w:rsidRPr="00DA0DE1">
                    <w:rPr>
                      <w:rFonts w:eastAsia="Calibri"/>
                      <w:bCs/>
                      <w:sz w:val="18"/>
                      <w:szCs w:val="18"/>
                      <w:lang w:val="ro-RO"/>
                    </w:rPr>
                    <w:t>2023</w:t>
                  </w:r>
                </w:p>
              </w:tc>
            </w:tr>
            <w:tr w:rsidR="00DA0DE1" w:rsidRPr="00DA0DE1" w14:paraId="58CA2C9A" w14:textId="77777777" w:rsidTr="00E45651">
              <w:trPr>
                <w:trHeight w:val="586"/>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A283DA4" w14:textId="77777777" w:rsidR="00E45651" w:rsidRPr="00DA0DE1" w:rsidRDefault="00E45651" w:rsidP="00906ABC">
                  <w:pPr>
                    <w:shd w:val="clear" w:color="auto" w:fill="FFFFFF" w:themeFill="background1"/>
                    <w:ind w:firstLine="0"/>
                    <w:contextualSpacing/>
                    <w:rPr>
                      <w:rFonts w:eastAsia="Calibri"/>
                      <w:bCs/>
                      <w:sz w:val="18"/>
                      <w:szCs w:val="18"/>
                      <w:lang w:val="ro-R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D1BD28" w14:textId="77777777" w:rsidR="00E45651" w:rsidRPr="00DA0DE1" w:rsidRDefault="00E45651" w:rsidP="00906ABC">
                  <w:pPr>
                    <w:shd w:val="clear" w:color="auto" w:fill="FFFFFF" w:themeFill="background1"/>
                    <w:ind w:firstLine="0"/>
                    <w:contextualSpacing/>
                    <w:rPr>
                      <w:rFonts w:eastAsia="Calibri"/>
                      <w:bCs/>
                      <w:sz w:val="14"/>
                      <w:szCs w:val="18"/>
                      <w:lang w:val="ro-RO"/>
                    </w:rPr>
                  </w:pPr>
                </w:p>
              </w:tc>
              <w:tc>
                <w:tcPr>
                  <w:tcW w:w="850" w:type="dxa"/>
                  <w:vMerge/>
                  <w:tcBorders>
                    <w:left w:val="nil"/>
                    <w:right w:val="single" w:sz="4" w:space="0" w:color="auto"/>
                  </w:tcBorders>
                  <w:hideMark/>
                </w:tcPr>
                <w:p w14:paraId="1D5275AF" w14:textId="77777777" w:rsidR="00E45651" w:rsidRPr="00DA0DE1" w:rsidRDefault="00E45651" w:rsidP="00906ABC">
                  <w:pPr>
                    <w:shd w:val="clear" w:color="auto" w:fill="FFFFFF" w:themeFill="background1"/>
                    <w:ind w:firstLine="0"/>
                    <w:contextualSpacing/>
                    <w:rPr>
                      <w:rFonts w:eastAsia="Calibri"/>
                      <w:bCs/>
                      <w:sz w:val="16"/>
                      <w:szCs w:val="18"/>
                      <w:lang w:val="ro-RO"/>
                    </w:rPr>
                  </w:pPr>
                </w:p>
              </w:tc>
              <w:tc>
                <w:tcPr>
                  <w:tcW w:w="997" w:type="dxa"/>
                  <w:tcBorders>
                    <w:top w:val="nil"/>
                    <w:left w:val="single" w:sz="4" w:space="0" w:color="auto"/>
                    <w:bottom w:val="single" w:sz="4" w:space="0" w:color="auto"/>
                    <w:right w:val="single" w:sz="4" w:space="0" w:color="auto"/>
                  </w:tcBorders>
                  <w:vAlign w:val="center"/>
                  <w:hideMark/>
                </w:tcPr>
                <w:p w14:paraId="7F797F5B" w14:textId="77777777"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Cantitatea</w:t>
                  </w:r>
                </w:p>
              </w:tc>
              <w:tc>
                <w:tcPr>
                  <w:tcW w:w="934" w:type="dxa"/>
                  <w:tcBorders>
                    <w:top w:val="nil"/>
                    <w:left w:val="nil"/>
                    <w:right w:val="single" w:sz="4" w:space="0" w:color="auto"/>
                  </w:tcBorders>
                  <w:vAlign w:val="center"/>
                  <w:hideMark/>
                </w:tcPr>
                <w:p w14:paraId="7317BC84" w14:textId="62FABFE7"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mii dolari SUA</w:t>
                  </w:r>
                </w:p>
              </w:tc>
              <w:tc>
                <w:tcPr>
                  <w:tcW w:w="1046" w:type="dxa"/>
                  <w:tcBorders>
                    <w:top w:val="nil"/>
                    <w:left w:val="single" w:sz="4" w:space="0" w:color="auto"/>
                    <w:bottom w:val="single" w:sz="4" w:space="0" w:color="auto"/>
                    <w:right w:val="single" w:sz="4" w:space="0" w:color="auto"/>
                  </w:tcBorders>
                  <w:vAlign w:val="center"/>
                  <w:hideMark/>
                </w:tcPr>
                <w:p w14:paraId="70A81AE5" w14:textId="77777777"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Cantitatea</w:t>
                  </w:r>
                </w:p>
              </w:tc>
              <w:tc>
                <w:tcPr>
                  <w:tcW w:w="999" w:type="dxa"/>
                  <w:tcBorders>
                    <w:top w:val="nil"/>
                    <w:left w:val="nil"/>
                    <w:right w:val="single" w:sz="4" w:space="0" w:color="auto"/>
                  </w:tcBorders>
                  <w:vAlign w:val="center"/>
                  <w:hideMark/>
                </w:tcPr>
                <w:p w14:paraId="7C1CC8A3" w14:textId="5A533753"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mii dolari SUA</w:t>
                  </w:r>
                </w:p>
              </w:tc>
              <w:tc>
                <w:tcPr>
                  <w:tcW w:w="1269" w:type="dxa"/>
                  <w:tcBorders>
                    <w:top w:val="nil"/>
                    <w:left w:val="single" w:sz="4" w:space="0" w:color="auto"/>
                    <w:bottom w:val="single" w:sz="4" w:space="0" w:color="auto"/>
                    <w:right w:val="single" w:sz="4" w:space="0" w:color="auto"/>
                  </w:tcBorders>
                  <w:vAlign w:val="center"/>
                  <w:hideMark/>
                </w:tcPr>
                <w:p w14:paraId="774A0262" w14:textId="77777777"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Cantitatea</w:t>
                  </w:r>
                </w:p>
              </w:tc>
              <w:tc>
                <w:tcPr>
                  <w:tcW w:w="992" w:type="dxa"/>
                  <w:tcBorders>
                    <w:top w:val="nil"/>
                    <w:left w:val="nil"/>
                    <w:right w:val="single" w:sz="4" w:space="0" w:color="auto"/>
                  </w:tcBorders>
                  <w:vAlign w:val="center"/>
                  <w:hideMark/>
                </w:tcPr>
                <w:p w14:paraId="6D4A5C77" w14:textId="5E1A43E4" w:rsidR="00E45651" w:rsidRPr="00DA0DE1" w:rsidRDefault="00E45651"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mii dolari SUA</w:t>
                  </w:r>
                </w:p>
              </w:tc>
            </w:tr>
            <w:tr w:rsidR="00DA0DE1" w:rsidRPr="00DA0DE1" w14:paraId="7B4E6D96" w14:textId="77777777" w:rsidTr="00E45651">
              <w:trPr>
                <w:trHeight w:val="288"/>
                <w:jc w:val="center"/>
              </w:trPr>
              <w:tc>
                <w:tcPr>
                  <w:tcW w:w="563" w:type="dxa"/>
                  <w:tcBorders>
                    <w:top w:val="nil"/>
                    <w:left w:val="single" w:sz="4" w:space="0" w:color="auto"/>
                    <w:bottom w:val="single" w:sz="4" w:space="0" w:color="auto"/>
                    <w:right w:val="single" w:sz="4" w:space="0" w:color="auto"/>
                  </w:tcBorders>
                  <w:hideMark/>
                </w:tcPr>
                <w:p w14:paraId="3EB2987F"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3101</w:t>
                  </w:r>
                </w:p>
              </w:tc>
              <w:tc>
                <w:tcPr>
                  <w:tcW w:w="850" w:type="dxa"/>
                  <w:tcBorders>
                    <w:top w:val="nil"/>
                    <w:left w:val="nil"/>
                    <w:bottom w:val="single" w:sz="4" w:space="0" w:color="auto"/>
                    <w:right w:val="single" w:sz="4" w:space="0" w:color="auto"/>
                  </w:tcBorders>
                  <w:hideMark/>
                </w:tcPr>
                <w:p w14:paraId="64911A6C" w14:textId="5276BE32" w:rsidR="00906ABC" w:rsidRPr="00DA0DE1" w:rsidRDefault="000A5B98" w:rsidP="00906ABC">
                  <w:pPr>
                    <w:shd w:val="clear" w:color="auto" w:fill="FFFFFF" w:themeFill="background1"/>
                    <w:ind w:firstLine="0"/>
                    <w:contextualSpacing/>
                    <w:rPr>
                      <w:rFonts w:eastAsia="Calibri"/>
                      <w:bCs/>
                      <w:sz w:val="14"/>
                      <w:szCs w:val="18"/>
                      <w:lang w:val="ro-RO"/>
                    </w:rPr>
                  </w:pPr>
                  <w:r>
                    <w:rPr>
                      <w:rFonts w:eastAsia="Calibri"/>
                      <w:bCs/>
                      <w:sz w:val="14"/>
                      <w:szCs w:val="18"/>
                      <w:lang w:val="ro-RO"/>
                    </w:rPr>
                    <w:t>Îngrășăminte</w:t>
                  </w:r>
                  <w:r w:rsidR="00906ABC" w:rsidRPr="00DA0DE1">
                    <w:rPr>
                      <w:rFonts w:eastAsia="Calibri"/>
                      <w:bCs/>
                      <w:sz w:val="14"/>
                      <w:szCs w:val="18"/>
                      <w:lang w:val="ro-RO"/>
                    </w:rPr>
                    <w:t xml:space="preserve"> de origine animal</w:t>
                  </w:r>
                  <w:r>
                    <w:rPr>
                      <w:rFonts w:eastAsia="Calibri"/>
                      <w:bCs/>
                      <w:sz w:val="14"/>
                      <w:szCs w:val="18"/>
                      <w:lang w:val="ro-RO"/>
                    </w:rPr>
                    <w:t>ă</w:t>
                  </w:r>
                  <w:r w:rsidR="00906ABC" w:rsidRPr="00DA0DE1">
                    <w:rPr>
                      <w:rFonts w:eastAsia="Calibri"/>
                      <w:bCs/>
                      <w:sz w:val="14"/>
                      <w:szCs w:val="18"/>
                      <w:lang w:val="ro-RO"/>
                    </w:rPr>
                    <w:t xml:space="preserve"> sau vegetal</w:t>
                  </w:r>
                  <w:r>
                    <w:rPr>
                      <w:rFonts w:eastAsia="Calibri"/>
                      <w:bCs/>
                      <w:sz w:val="14"/>
                      <w:szCs w:val="18"/>
                      <w:lang w:val="ro-RO"/>
                    </w:rPr>
                    <w:t>ă</w:t>
                  </w:r>
                </w:p>
              </w:tc>
              <w:tc>
                <w:tcPr>
                  <w:tcW w:w="850" w:type="dxa"/>
                  <w:tcBorders>
                    <w:top w:val="nil"/>
                    <w:left w:val="nil"/>
                    <w:bottom w:val="single" w:sz="4" w:space="0" w:color="auto"/>
                    <w:right w:val="single" w:sz="4" w:space="0" w:color="auto"/>
                  </w:tcBorders>
                  <w:hideMark/>
                </w:tcPr>
                <w:p w14:paraId="2DAF9CB8"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kg</w:t>
                  </w:r>
                </w:p>
              </w:tc>
              <w:tc>
                <w:tcPr>
                  <w:tcW w:w="997" w:type="dxa"/>
                  <w:tcBorders>
                    <w:top w:val="nil"/>
                    <w:left w:val="nil"/>
                    <w:bottom w:val="single" w:sz="4" w:space="0" w:color="auto"/>
                    <w:right w:val="single" w:sz="4" w:space="0" w:color="auto"/>
                  </w:tcBorders>
                  <w:hideMark/>
                </w:tcPr>
                <w:p w14:paraId="451BFF82"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473.915,79</w:t>
                  </w:r>
                </w:p>
              </w:tc>
              <w:tc>
                <w:tcPr>
                  <w:tcW w:w="934" w:type="dxa"/>
                  <w:tcBorders>
                    <w:top w:val="nil"/>
                    <w:left w:val="nil"/>
                    <w:bottom w:val="single" w:sz="4" w:space="0" w:color="auto"/>
                    <w:right w:val="single" w:sz="4" w:space="0" w:color="auto"/>
                  </w:tcBorders>
                  <w:hideMark/>
                </w:tcPr>
                <w:p w14:paraId="5E25EEB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1.148,09</w:t>
                  </w:r>
                </w:p>
              </w:tc>
              <w:tc>
                <w:tcPr>
                  <w:tcW w:w="1046" w:type="dxa"/>
                  <w:tcBorders>
                    <w:top w:val="nil"/>
                    <w:left w:val="nil"/>
                    <w:bottom w:val="single" w:sz="4" w:space="0" w:color="auto"/>
                    <w:right w:val="single" w:sz="4" w:space="0" w:color="auto"/>
                  </w:tcBorders>
                  <w:hideMark/>
                </w:tcPr>
                <w:p w14:paraId="7043260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448.939,46</w:t>
                  </w:r>
                </w:p>
              </w:tc>
              <w:tc>
                <w:tcPr>
                  <w:tcW w:w="999" w:type="dxa"/>
                  <w:tcBorders>
                    <w:top w:val="nil"/>
                    <w:left w:val="nil"/>
                    <w:bottom w:val="single" w:sz="4" w:space="0" w:color="auto"/>
                    <w:right w:val="single" w:sz="4" w:space="0" w:color="auto"/>
                  </w:tcBorders>
                  <w:hideMark/>
                </w:tcPr>
                <w:p w14:paraId="5B162AE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1.169,37</w:t>
                  </w:r>
                </w:p>
              </w:tc>
              <w:tc>
                <w:tcPr>
                  <w:tcW w:w="1269" w:type="dxa"/>
                  <w:tcBorders>
                    <w:top w:val="nil"/>
                    <w:left w:val="nil"/>
                    <w:bottom w:val="single" w:sz="4" w:space="0" w:color="auto"/>
                    <w:right w:val="single" w:sz="4" w:space="0" w:color="auto"/>
                  </w:tcBorders>
                  <w:hideMark/>
                </w:tcPr>
                <w:p w14:paraId="7C783295"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716.736,92</w:t>
                  </w:r>
                </w:p>
              </w:tc>
              <w:tc>
                <w:tcPr>
                  <w:tcW w:w="992" w:type="dxa"/>
                  <w:tcBorders>
                    <w:top w:val="nil"/>
                    <w:left w:val="nil"/>
                    <w:bottom w:val="single" w:sz="4" w:space="0" w:color="auto"/>
                    <w:right w:val="single" w:sz="4" w:space="0" w:color="auto"/>
                  </w:tcBorders>
                  <w:hideMark/>
                </w:tcPr>
                <w:p w14:paraId="2A398274"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888,50</w:t>
                  </w:r>
                </w:p>
              </w:tc>
            </w:tr>
            <w:tr w:rsidR="00DA0DE1" w:rsidRPr="00DA0DE1" w14:paraId="4AA69E79" w14:textId="77777777" w:rsidTr="00E45651">
              <w:trPr>
                <w:trHeight w:val="531"/>
                <w:jc w:val="center"/>
              </w:trPr>
              <w:tc>
                <w:tcPr>
                  <w:tcW w:w="563" w:type="dxa"/>
                  <w:tcBorders>
                    <w:top w:val="nil"/>
                    <w:left w:val="single" w:sz="4" w:space="0" w:color="auto"/>
                    <w:bottom w:val="single" w:sz="4" w:space="0" w:color="auto"/>
                    <w:right w:val="single" w:sz="4" w:space="0" w:color="auto"/>
                  </w:tcBorders>
                  <w:hideMark/>
                </w:tcPr>
                <w:p w14:paraId="0ACEFE58"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3102</w:t>
                  </w:r>
                </w:p>
              </w:tc>
              <w:tc>
                <w:tcPr>
                  <w:tcW w:w="850" w:type="dxa"/>
                  <w:tcBorders>
                    <w:top w:val="nil"/>
                    <w:left w:val="nil"/>
                    <w:bottom w:val="single" w:sz="4" w:space="0" w:color="auto"/>
                    <w:right w:val="single" w:sz="4" w:space="0" w:color="auto"/>
                  </w:tcBorders>
                  <w:hideMark/>
                </w:tcPr>
                <w:p w14:paraId="42002A58" w14:textId="5D5803A3" w:rsidR="00906ABC" w:rsidRPr="00DA0DE1" w:rsidRDefault="000A5B98" w:rsidP="00906ABC">
                  <w:pPr>
                    <w:shd w:val="clear" w:color="auto" w:fill="FFFFFF" w:themeFill="background1"/>
                    <w:ind w:firstLine="0"/>
                    <w:contextualSpacing/>
                    <w:rPr>
                      <w:rFonts w:eastAsia="Calibri"/>
                      <w:bCs/>
                      <w:sz w:val="14"/>
                      <w:szCs w:val="18"/>
                      <w:lang w:val="ro-RO"/>
                    </w:rPr>
                  </w:pPr>
                  <w:r>
                    <w:rPr>
                      <w:rFonts w:eastAsia="Calibri"/>
                      <w:bCs/>
                      <w:sz w:val="14"/>
                      <w:szCs w:val="18"/>
                      <w:lang w:val="ro-RO"/>
                    </w:rPr>
                    <w:t>Îngrășăminte</w:t>
                  </w:r>
                  <w:r w:rsidR="00906ABC" w:rsidRPr="00DA0DE1">
                    <w:rPr>
                      <w:rFonts w:eastAsia="Calibri"/>
                      <w:bCs/>
                      <w:sz w:val="14"/>
                      <w:szCs w:val="18"/>
                      <w:lang w:val="ro-RO"/>
                    </w:rPr>
                    <w:t xml:space="preserve"> minerale sau chimice azotate:</w:t>
                  </w:r>
                </w:p>
              </w:tc>
              <w:tc>
                <w:tcPr>
                  <w:tcW w:w="850" w:type="dxa"/>
                  <w:tcBorders>
                    <w:top w:val="nil"/>
                    <w:left w:val="nil"/>
                    <w:bottom w:val="single" w:sz="4" w:space="0" w:color="auto"/>
                    <w:right w:val="single" w:sz="4" w:space="0" w:color="auto"/>
                  </w:tcBorders>
                  <w:hideMark/>
                </w:tcPr>
                <w:p w14:paraId="1B654A89"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kg azot</w:t>
                  </w:r>
                </w:p>
              </w:tc>
              <w:tc>
                <w:tcPr>
                  <w:tcW w:w="997" w:type="dxa"/>
                  <w:tcBorders>
                    <w:top w:val="nil"/>
                    <w:left w:val="nil"/>
                    <w:bottom w:val="single" w:sz="4" w:space="0" w:color="auto"/>
                    <w:right w:val="single" w:sz="4" w:space="0" w:color="auto"/>
                  </w:tcBorders>
                  <w:hideMark/>
                </w:tcPr>
                <w:p w14:paraId="17E9381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39.628.106,13</w:t>
                  </w:r>
                </w:p>
              </w:tc>
              <w:tc>
                <w:tcPr>
                  <w:tcW w:w="934" w:type="dxa"/>
                  <w:tcBorders>
                    <w:top w:val="nil"/>
                    <w:left w:val="nil"/>
                    <w:bottom w:val="single" w:sz="4" w:space="0" w:color="auto"/>
                    <w:right w:val="single" w:sz="4" w:space="0" w:color="auto"/>
                  </w:tcBorders>
                  <w:hideMark/>
                </w:tcPr>
                <w:p w14:paraId="6918DD42"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34.335,83</w:t>
                  </w:r>
                </w:p>
              </w:tc>
              <w:tc>
                <w:tcPr>
                  <w:tcW w:w="1046" w:type="dxa"/>
                  <w:tcBorders>
                    <w:top w:val="nil"/>
                    <w:left w:val="nil"/>
                    <w:bottom w:val="single" w:sz="4" w:space="0" w:color="auto"/>
                    <w:right w:val="single" w:sz="4" w:space="0" w:color="auto"/>
                  </w:tcBorders>
                  <w:hideMark/>
                </w:tcPr>
                <w:p w14:paraId="79ED1B31"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35.048.276,02</w:t>
                  </w:r>
                </w:p>
              </w:tc>
              <w:tc>
                <w:tcPr>
                  <w:tcW w:w="999" w:type="dxa"/>
                  <w:tcBorders>
                    <w:top w:val="nil"/>
                    <w:left w:val="nil"/>
                    <w:bottom w:val="single" w:sz="4" w:space="0" w:color="auto"/>
                    <w:right w:val="single" w:sz="4" w:space="0" w:color="auto"/>
                  </w:tcBorders>
                  <w:hideMark/>
                </w:tcPr>
                <w:p w14:paraId="18392E6C"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70.564,23</w:t>
                  </w:r>
                </w:p>
              </w:tc>
              <w:tc>
                <w:tcPr>
                  <w:tcW w:w="1269" w:type="dxa"/>
                  <w:tcBorders>
                    <w:top w:val="nil"/>
                    <w:left w:val="nil"/>
                    <w:bottom w:val="single" w:sz="4" w:space="0" w:color="auto"/>
                    <w:right w:val="single" w:sz="4" w:space="0" w:color="auto"/>
                  </w:tcBorders>
                  <w:hideMark/>
                </w:tcPr>
                <w:p w14:paraId="64B6B661"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54.918.357,98</w:t>
                  </w:r>
                </w:p>
              </w:tc>
              <w:tc>
                <w:tcPr>
                  <w:tcW w:w="992" w:type="dxa"/>
                  <w:tcBorders>
                    <w:top w:val="nil"/>
                    <w:left w:val="nil"/>
                    <w:bottom w:val="single" w:sz="4" w:space="0" w:color="auto"/>
                    <w:right w:val="single" w:sz="4" w:space="0" w:color="auto"/>
                  </w:tcBorders>
                  <w:hideMark/>
                </w:tcPr>
                <w:p w14:paraId="507F9C9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74.934,65</w:t>
                  </w:r>
                </w:p>
              </w:tc>
            </w:tr>
            <w:tr w:rsidR="00DA0DE1" w:rsidRPr="00DA0DE1" w14:paraId="643DC5E2" w14:textId="77777777" w:rsidTr="00E45651">
              <w:trPr>
                <w:trHeight w:val="641"/>
                <w:jc w:val="center"/>
              </w:trPr>
              <w:tc>
                <w:tcPr>
                  <w:tcW w:w="563" w:type="dxa"/>
                  <w:tcBorders>
                    <w:top w:val="nil"/>
                    <w:left w:val="single" w:sz="4" w:space="0" w:color="auto"/>
                    <w:bottom w:val="single" w:sz="4" w:space="0" w:color="auto"/>
                    <w:right w:val="single" w:sz="4" w:space="0" w:color="auto"/>
                  </w:tcBorders>
                  <w:hideMark/>
                </w:tcPr>
                <w:p w14:paraId="751A777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3103</w:t>
                  </w:r>
                </w:p>
              </w:tc>
              <w:tc>
                <w:tcPr>
                  <w:tcW w:w="850" w:type="dxa"/>
                  <w:tcBorders>
                    <w:top w:val="nil"/>
                    <w:left w:val="nil"/>
                    <w:bottom w:val="single" w:sz="4" w:space="0" w:color="auto"/>
                    <w:right w:val="single" w:sz="4" w:space="0" w:color="auto"/>
                  </w:tcBorders>
                  <w:hideMark/>
                </w:tcPr>
                <w:p w14:paraId="13655B69" w14:textId="052C85F4" w:rsidR="00906ABC" w:rsidRPr="00DA0DE1" w:rsidRDefault="000A5B98" w:rsidP="00906ABC">
                  <w:pPr>
                    <w:shd w:val="clear" w:color="auto" w:fill="FFFFFF" w:themeFill="background1"/>
                    <w:ind w:firstLine="0"/>
                    <w:contextualSpacing/>
                    <w:rPr>
                      <w:rFonts w:eastAsia="Calibri"/>
                      <w:bCs/>
                      <w:sz w:val="14"/>
                      <w:szCs w:val="18"/>
                      <w:lang w:val="ro-RO"/>
                    </w:rPr>
                  </w:pPr>
                  <w:r>
                    <w:rPr>
                      <w:rFonts w:eastAsia="Calibri"/>
                      <w:bCs/>
                      <w:sz w:val="14"/>
                      <w:szCs w:val="18"/>
                      <w:lang w:val="ro-RO"/>
                    </w:rPr>
                    <w:t>Îngrășăminte</w:t>
                  </w:r>
                  <w:r w:rsidR="00906ABC" w:rsidRPr="00DA0DE1">
                    <w:rPr>
                      <w:rFonts w:eastAsia="Calibri"/>
                      <w:bCs/>
                      <w:sz w:val="14"/>
                      <w:szCs w:val="18"/>
                      <w:lang w:val="ro-RO"/>
                    </w:rPr>
                    <w:t xml:space="preserve"> minerale sau chimice fosfatice:</w:t>
                  </w:r>
                </w:p>
              </w:tc>
              <w:tc>
                <w:tcPr>
                  <w:tcW w:w="850" w:type="dxa"/>
                  <w:tcBorders>
                    <w:top w:val="nil"/>
                    <w:left w:val="nil"/>
                    <w:bottom w:val="single" w:sz="4" w:space="0" w:color="auto"/>
                    <w:right w:val="single" w:sz="4" w:space="0" w:color="auto"/>
                  </w:tcBorders>
                  <w:hideMark/>
                </w:tcPr>
                <w:p w14:paraId="32707C86"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kg pentoxid de fosfor</w:t>
                  </w:r>
                </w:p>
              </w:tc>
              <w:tc>
                <w:tcPr>
                  <w:tcW w:w="997" w:type="dxa"/>
                  <w:tcBorders>
                    <w:top w:val="nil"/>
                    <w:left w:val="nil"/>
                    <w:bottom w:val="single" w:sz="4" w:space="0" w:color="auto"/>
                    <w:right w:val="single" w:sz="4" w:space="0" w:color="auto"/>
                  </w:tcBorders>
                  <w:hideMark/>
                </w:tcPr>
                <w:p w14:paraId="2065EF0F"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13.578,80</w:t>
                  </w:r>
                </w:p>
              </w:tc>
              <w:tc>
                <w:tcPr>
                  <w:tcW w:w="934" w:type="dxa"/>
                  <w:tcBorders>
                    <w:top w:val="nil"/>
                    <w:left w:val="nil"/>
                    <w:bottom w:val="single" w:sz="4" w:space="0" w:color="auto"/>
                    <w:right w:val="single" w:sz="4" w:space="0" w:color="auto"/>
                  </w:tcBorders>
                  <w:hideMark/>
                </w:tcPr>
                <w:p w14:paraId="0190C5C7"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39,96</w:t>
                  </w:r>
                </w:p>
              </w:tc>
              <w:tc>
                <w:tcPr>
                  <w:tcW w:w="1046" w:type="dxa"/>
                  <w:tcBorders>
                    <w:top w:val="nil"/>
                    <w:left w:val="nil"/>
                    <w:bottom w:val="single" w:sz="4" w:space="0" w:color="auto"/>
                    <w:right w:val="single" w:sz="4" w:space="0" w:color="auto"/>
                  </w:tcBorders>
                  <w:hideMark/>
                </w:tcPr>
                <w:p w14:paraId="2A002708"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182.418,30</w:t>
                  </w:r>
                </w:p>
              </w:tc>
              <w:tc>
                <w:tcPr>
                  <w:tcW w:w="999" w:type="dxa"/>
                  <w:tcBorders>
                    <w:top w:val="nil"/>
                    <w:left w:val="nil"/>
                    <w:bottom w:val="single" w:sz="4" w:space="0" w:color="auto"/>
                    <w:right w:val="single" w:sz="4" w:space="0" w:color="auto"/>
                  </w:tcBorders>
                  <w:hideMark/>
                </w:tcPr>
                <w:p w14:paraId="62E6192D"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599,35</w:t>
                  </w:r>
                </w:p>
              </w:tc>
              <w:tc>
                <w:tcPr>
                  <w:tcW w:w="1269" w:type="dxa"/>
                  <w:tcBorders>
                    <w:top w:val="nil"/>
                    <w:left w:val="nil"/>
                    <w:bottom w:val="single" w:sz="4" w:space="0" w:color="auto"/>
                    <w:right w:val="single" w:sz="4" w:space="0" w:color="auto"/>
                  </w:tcBorders>
                  <w:hideMark/>
                </w:tcPr>
                <w:p w14:paraId="3060AC54"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556.739,53</w:t>
                  </w:r>
                </w:p>
              </w:tc>
              <w:tc>
                <w:tcPr>
                  <w:tcW w:w="992" w:type="dxa"/>
                  <w:tcBorders>
                    <w:top w:val="nil"/>
                    <w:left w:val="nil"/>
                    <w:bottom w:val="single" w:sz="4" w:space="0" w:color="auto"/>
                    <w:right w:val="single" w:sz="4" w:space="0" w:color="auto"/>
                  </w:tcBorders>
                  <w:hideMark/>
                </w:tcPr>
                <w:p w14:paraId="07BFCD90"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711,73</w:t>
                  </w:r>
                </w:p>
              </w:tc>
            </w:tr>
            <w:tr w:rsidR="00DA0DE1" w:rsidRPr="00DA0DE1" w14:paraId="41CBD75A" w14:textId="77777777" w:rsidTr="00E45651">
              <w:trPr>
                <w:trHeight w:val="614"/>
                <w:jc w:val="center"/>
              </w:trPr>
              <w:tc>
                <w:tcPr>
                  <w:tcW w:w="563" w:type="dxa"/>
                  <w:tcBorders>
                    <w:top w:val="nil"/>
                    <w:left w:val="single" w:sz="4" w:space="0" w:color="auto"/>
                    <w:bottom w:val="single" w:sz="4" w:space="0" w:color="auto"/>
                    <w:right w:val="single" w:sz="4" w:space="0" w:color="auto"/>
                  </w:tcBorders>
                  <w:hideMark/>
                </w:tcPr>
                <w:p w14:paraId="30DD4E4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3104</w:t>
                  </w:r>
                </w:p>
              </w:tc>
              <w:tc>
                <w:tcPr>
                  <w:tcW w:w="850" w:type="dxa"/>
                  <w:tcBorders>
                    <w:top w:val="nil"/>
                    <w:left w:val="nil"/>
                    <w:bottom w:val="single" w:sz="4" w:space="0" w:color="auto"/>
                    <w:right w:val="single" w:sz="4" w:space="0" w:color="auto"/>
                  </w:tcBorders>
                  <w:hideMark/>
                </w:tcPr>
                <w:p w14:paraId="35102E0B" w14:textId="2ABF3144" w:rsidR="00906ABC" w:rsidRPr="00DA0DE1" w:rsidRDefault="000A5B98" w:rsidP="00906ABC">
                  <w:pPr>
                    <w:shd w:val="clear" w:color="auto" w:fill="FFFFFF" w:themeFill="background1"/>
                    <w:ind w:firstLine="0"/>
                    <w:contextualSpacing/>
                    <w:rPr>
                      <w:rFonts w:eastAsia="Calibri"/>
                      <w:bCs/>
                      <w:sz w:val="14"/>
                      <w:szCs w:val="18"/>
                      <w:lang w:val="ro-RO"/>
                    </w:rPr>
                  </w:pPr>
                  <w:r>
                    <w:rPr>
                      <w:rFonts w:eastAsia="Calibri"/>
                      <w:bCs/>
                      <w:sz w:val="14"/>
                      <w:szCs w:val="18"/>
                      <w:lang w:val="ro-RO"/>
                    </w:rPr>
                    <w:t>Îngrășăminte</w:t>
                  </w:r>
                  <w:r w:rsidRPr="00DA0DE1">
                    <w:rPr>
                      <w:rFonts w:eastAsia="Calibri"/>
                      <w:bCs/>
                      <w:sz w:val="14"/>
                      <w:szCs w:val="18"/>
                      <w:lang w:val="ro-RO"/>
                    </w:rPr>
                    <w:t xml:space="preserve"> </w:t>
                  </w:r>
                  <w:r w:rsidR="00906ABC" w:rsidRPr="00DA0DE1">
                    <w:rPr>
                      <w:rFonts w:eastAsia="Calibri"/>
                      <w:bCs/>
                      <w:sz w:val="14"/>
                      <w:szCs w:val="18"/>
                      <w:lang w:val="ro-RO"/>
                    </w:rPr>
                    <w:t>minerale sau chimice potasice:</w:t>
                  </w:r>
                </w:p>
              </w:tc>
              <w:tc>
                <w:tcPr>
                  <w:tcW w:w="850" w:type="dxa"/>
                  <w:tcBorders>
                    <w:top w:val="nil"/>
                    <w:left w:val="nil"/>
                    <w:bottom w:val="single" w:sz="4" w:space="0" w:color="auto"/>
                    <w:right w:val="single" w:sz="4" w:space="0" w:color="auto"/>
                  </w:tcBorders>
                  <w:hideMark/>
                </w:tcPr>
                <w:p w14:paraId="48C31D55"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kg oxid potasiu</w:t>
                  </w:r>
                </w:p>
              </w:tc>
              <w:tc>
                <w:tcPr>
                  <w:tcW w:w="997" w:type="dxa"/>
                  <w:tcBorders>
                    <w:top w:val="nil"/>
                    <w:left w:val="nil"/>
                    <w:bottom w:val="single" w:sz="4" w:space="0" w:color="auto"/>
                    <w:right w:val="single" w:sz="4" w:space="0" w:color="auto"/>
                  </w:tcBorders>
                  <w:hideMark/>
                </w:tcPr>
                <w:p w14:paraId="00492EB5"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415.227,23</w:t>
                  </w:r>
                </w:p>
              </w:tc>
              <w:tc>
                <w:tcPr>
                  <w:tcW w:w="934" w:type="dxa"/>
                  <w:tcBorders>
                    <w:top w:val="nil"/>
                    <w:left w:val="nil"/>
                    <w:bottom w:val="single" w:sz="4" w:space="0" w:color="auto"/>
                    <w:right w:val="single" w:sz="4" w:space="0" w:color="auto"/>
                  </w:tcBorders>
                  <w:hideMark/>
                </w:tcPr>
                <w:p w14:paraId="12918DA7"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338,51</w:t>
                  </w:r>
                </w:p>
              </w:tc>
              <w:tc>
                <w:tcPr>
                  <w:tcW w:w="1046" w:type="dxa"/>
                  <w:tcBorders>
                    <w:top w:val="nil"/>
                    <w:left w:val="nil"/>
                    <w:bottom w:val="single" w:sz="4" w:space="0" w:color="auto"/>
                    <w:right w:val="single" w:sz="4" w:space="0" w:color="auto"/>
                  </w:tcBorders>
                  <w:hideMark/>
                </w:tcPr>
                <w:p w14:paraId="74F40679"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96.583,29</w:t>
                  </w:r>
                </w:p>
              </w:tc>
              <w:tc>
                <w:tcPr>
                  <w:tcW w:w="999" w:type="dxa"/>
                  <w:tcBorders>
                    <w:top w:val="nil"/>
                    <w:left w:val="nil"/>
                    <w:bottom w:val="single" w:sz="4" w:space="0" w:color="auto"/>
                    <w:right w:val="single" w:sz="4" w:space="0" w:color="auto"/>
                  </w:tcBorders>
                  <w:hideMark/>
                </w:tcPr>
                <w:p w14:paraId="50A9511D"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285,51</w:t>
                  </w:r>
                </w:p>
              </w:tc>
              <w:tc>
                <w:tcPr>
                  <w:tcW w:w="1269" w:type="dxa"/>
                  <w:tcBorders>
                    <w:top w:val="nil"/>
                    <w:left w:val="nil"/>
                    <w:bottom w:val="single" w:sz="4" w:space="0" w:color="auto"/>
                    <w:right w:val="single" w:sz="4" w:space="0" w:color="auto"/>
                  </w:tcBorders>
                  <w:hideMark/>
                </w:tcPr>
                <w:p w14:paraId="0A99AD04"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114.772,82</w:t>
                  </w:r>
                </w:p>
              </w:tc>
              <w:tc>
                <w:tcPr>
                  <w:tcW w:w="992" w:type="dxa"/>
                  <w:tcBorders>
                    <w:top w:val="nil"/>
                    <w:left w:val="nil"/>
                    <w:bottom w:val="single" w:sz="4" w:space="0" w:color="auto"/>
                    <w:right w:val="single" w:sz="4" w:space="0" w:color="auto"/>
                  </w:tcBorders>
                  <w:hideMark/>
                </w:tcPr>
                <w:p w14:paraId="448F2002"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309,39</w:t>
                  </w:r>
                </w:p>
              </w:tc>
            </w:tr>
            <w:tr w:rsidR="00DA0DE1" w:rsidRPr="00DA0DE1" w14:paraId="20B940B0" w14:textId="77777777" w:rsidTr="00E45651">
              <w:trPr>
                <w:trHeight w:val="288"/>
                <w:jc w:val="center"/>
              </w:trPr>
              <w:tc>
                <w:tcPr>
                  <w:tcW w:w="563" w:type="dxa"/>
                  <w:tcBorders>
                    <w:top w:val="nil"/>
                    <w:left w:val="single" w:sz="4" w:space="0" w:color="auto"/>
                    <w:bottom w:val="single" w:sz="4" w:space="0" w:color="auto"/>
                    <w:right w:val="single" w:sz="4" w:space="0" w:color="auto"/>
                  </w:tcBorders>
                  <w:hideMark/>
                </w:tcPr>
                <w:p w14:paraId="44115D61"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3105</w:t>
                  </w:r>
                </w:p>
              </w:tc>
              <w:tc>
                <w:tcPr>
                  <w:tcW w:w="850" w:type="dxa"/>
                  <w:tcBorders>
                    <w:top w:val="nil"/>
                    <w:left w:val="nil"/>
                    <w:bottom w:val="single" w:sz="4" w:space="0" w:color="auto"/>
                    <w:right w:val="single" w:sz="4" w:space="0" w:color="auto"/>
                  </w:tcBorders>
                  <w:hideMark/>
                </w:tcPr>
                <w:p w14:paraId="6938293A" w14:textId="17C57AB8" w:rsidR="00906ABC" w:rsidRPr="00DA0DE1" w:rsidRDefault="000A5B98" w:rsidP="00906ABC">
                  <w:pPr>
                    <w:shd w:val="clear" w:color="auto" w:fill="FFFFFF" w:themeFill="background1"/>
                    <w:ind w:firstLine="0"/>
                    <w:contextualSpacing/>
                    <w:rPr>
                      <w:rFonts w:eastAsia="Calibri"/>
                      <w:bCs/>
                      <w:sz w:val="14"/>
                      <w:szCs w:val="18"/>
                      <w:lang w:val="ro-RO"/>
                    </w:rPr>
                  </w:pPr>
                  <w:r>
                    <w:rPr>
                      <w:rFonts w:eastAsia="Calibri"/>
                      <w:bCs/>
                      <w:sz w:val="14"/>
                      <w:szCs w:val="18"/>
                      <w:lang w:val="ro-RO"/>
                    </w:rPr>
                    <w:t>Îngrășăminte</w:t>
                  </w:r>
                  <w:r w:rsidR="00906ABC" w:rsidRPr="00DA0DE1">
                    <w:rPr>
                      <w:rFonts w:eastAsia="Calibri"/>
                      <w:bCs/>
                      <w:sz w:val="14"/>
                      <w:szCs w:val="18"/>
                      <w:lang w:val="ro-RO"/>
                    </w:rPr>
                    <w:t xml:space="preserve"> minerale sau chimice, care con</w:t>
                  </w:r>
                  <w:r>
                    <w:rPr>
                      <w:rFonts w:eastAsia="Calibri"/>
                      <w:bCs/>
                      <w:sz w:val="14"/>
                      <w:szCs w:val="18"/>
                      <w:lang w:val="ro-RO"/>
                    </w:rPr>
                    <w:t>ț</w:t>
                  </w:r>
                  <w:r w:rsidR="00906ABC" w:rsidRPr="00DA0DE1">
                    <w:rPr>
                      <w:rFonts w:eastAsia="Calibri"/>
                      <w:bCs/>
                      <w:sz w:val="14"/>
                      <w:szCs w:val="18"/>
                      <w:lang w:val="ro-RO"/>
                    </w:rPr>
                    <w:t xml:space="preserve">in doua sau trei dintre elemente fertilizante </w:t>
                  </w:r>
                </w:p>
              </w:tc>
              <w:tc>
                <w:tcPr>
                  <w:tcW w:w="850" w:type="dxa"/>
                  <w:tcBorders>
                    <w:top w:val="nil"/>
                    <w:left w:val="nil"/>
                    <w:bottom w:val="single" w:sz="4" w:space="0" w:color="auto"/>
                    <w:right w:val="single" w:sz="4" w:space="0" w:color="auto"/>
                  </w:tcBorders>
                  <w:hideMark/>
                </w:tcPr>
                <w:p w14:paraId="2A9291DA"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kg</w:t>
                  </w:r>
                </w:p>
              </w:tc>
              <w:tc>
                <w:tcPr>
                  <w:tcW w:w="997" w:type="dxa"/>
                  <w:tcBorders>
                    <w:top w:val="nil"/>
                    <w:left w:val="nil"/>
                    <w:bottom w:val="single" w:sz="4" w:space="0" w:color="auto"/>
                    <w:right w:val="single" w:sz="4" w:space="0" w:color="auto"/>
                  </w:tcBorders>
                  <w:hideMark/>
                </w:tcPr>
                <w:p w14:paraId="53F234BB"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106.264.606,55</w:t>
                  </w:r>
                </w:p>
              </w:tc>
              <w:tc>
                <w:tcPr>
                  <w:tcW w:w="934" w:type="dxa"/>
                  <w:tcBorders>
                    <w:top w:val="nil"/>
                    <w:left w:val="nil"/>
                    <w:bottom w:val="single" w:sz="4" w:space="0" w:color="auto"/>
                    <w:right w:val="single" w:sz="4" w:space="0" w:color="auto"/>
                  </w:tcBorders>
                  <w:hideMark/>
                </w:tcPr>
                <w:p w14:paraId="0DDDD04A"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53.408,88</w:t>
                  </w:r>
                </w:p>
              </w:tc>
              <w:tc>
                <w:tcPr>
                  <w:tcW w:w="1046" w:type="dxa"/>
                  <w:tcBorders>
                    <w:top w:val="nil"/>
                    <w:left w:val="nil"/>
                    <w:bottom w:val="single" w:sz="4" w:space="0" w:color="auto"/>
                    <w:right w:val="single" w:sz="4" w:space="0" w:color="auto"/>
                  </w:tcBorders>
                  <w:hideMark/>
                </w:tcPr>
                <w:p w14:paraId="118C5F02"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82.692.656,15</w:t>
                  </w:r>
                </w:p>
              </w:tc>
              <w:tc>
                <w:tcPr>
                  <w:tcW w:w="999" w:type="dxa"/>
                  <w:tcBorders>
                    <w:top w:val="nil"/>
                    <w:left w:val="nil"/>
                    <w:bottom w:val="single" w:sz="4" w:space="0" w:color="auto"/>
                    <w:right w:val="single" w:sz="4" w:space="0" w:color="auto"/>
                  </w:tcBorders>
                  <w:hideMark/>
                </w:tcPr>
                <w:p w14:paraId="51258513"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66.382,91</w:t>
                  </w:r>
                </w:p>
              </w:tc>
              <w:tc>
                <w:tcPr>
                  <w:tcW w:w="1269" w:type="dxa"/>
                  <w:tcBorders>
                    <w:top w:val="nil"/>
                    <w:left w:val="nil"/>
                    <w:bottom w:val="single" w:sz="4" w:space="0" w:color="auto"/>
                    <w:right w:val="single" w:sz="4" w:space="0" w:color="auto"/>
                  </w:tcBorders>
                  <w:hideMark/>
                </w:tcPr>
                <w:p w14:paraId="276F1055"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93.493.929,10</w:t>
                  </w:r>
                </w:p>
              </w:tc>
              <w:tc>
                <w:tcPr>
                  <w:tcW w:w="992" w:type="dxa"/>
                  <w:tcBorders>
                    <w:top w:val="nil"/>
                    <w:left w:val="nil"/>
                    <w:bottom w:val="single" w:sz="4" w:space="0" w:color="auto"/>
                    <w:right w:val="single" w:sz="4" w:space="0" w:color="auto"/>
                  </w:tcBorders>
                  <w:hideMark/>
                </w:tcPr>
                <w:p w14:paraId="6AD24BF7" w14:textId="77777777" w:rsidR="00906ABC" w:rsidRPr="00DA0DE1" w:rsidRDefault="00906ABC" w:rsidP="00906ABC">
                  <w:pPr>
                    <w:shd w:val="clear" w:color="auto" w:fill="FFFFFF" w:themeFill="background1"/>
                    <w:ind w:firstLine="0"/>
                    <w:contextualSpacing/>
                    <w:rPr>
                      <w:rFonts w:eastAsia="Calibri"/>
                      <w:bCs/>
                      <w:sz w:val="18"/>
                      <w:szCs w:val="18"/>
                      <w:lang w:val="ro-RO"/>
                    </w:rPr>
                  </w:pPr>
                  <w:r w:rsidRPr="00DA0DE1">
                    <w:rPr>
                      <w:rFonts w:eastAsia="Calibri"/>
                      <w:bCs/>
                      <w:sz w:val="18"/>
                      <w:szCs w:val="18"/>
                      <w:lang w:val="ro-RO"/>
                    </w:rPr>
                    <w:t>57.439,80</w:t>
                  </w:r>
                </w:p>
              </w:tc>
            </w:tr>
            <w:tr w:rsidR="00DA0DE1" w:rsidRPr="00DA0DE1" w14:paraId="44490A96" w14:textId="77777777" w:rsidTr="00E45651">
              <w:trPr>
                <w:trHeight w:val="288"/>
                <w:jc w:val="center"/>
              </w:trPr>
              <w:tc>
                <w:tcPr>
                  <w:tcW w:w="563" w:type="dxa"/>
                  <w:tcBorders>
                    <w:top w:val="nil"/>
                    <w:left w:val="single" w:sz="4" w:space="0" w:color="auto"/>
                    <w:bottom w:val="single" w:sz="4" w:space="0" w:color="auto"/>
                    <w:right w:val="single" w:sz="4" w:space="0" w:color="auto"/>
                  </w:tcBorders>
                  <w:hideMark/>
                </w:tcPr>
                <w:p w14:paraId="7DF36073" w14:textId="77777777" w:rsidR="00906ABC" w:rsidRPr="00DA0DE1" w:rsidRDefault="00906ABC" w:rsidP="00906ABC">
                  <w:pPr>
                    <w:shd w:val="clear" w:color="auto" w:fill="FFFFFF" w:themeFill="background1"/>
                    <w:ind w:firstLine="0"/>
                    <w:contextualSpacing/>
                    <w:rPr>
                      <w:rFonts w:eastAsia="Calibri"/>
                      <w:bCs/>
                      <w:sz w:val="16"/>
                      <w:szCs w:val="18"/>
                      <w:lang w:val="ro-RO"/>
                    </w:rPr>
                  </w:pPr>
                  <w:r w:rsidRPr="00DA0DE1">
                    <w:rPr>
                      <w:rFonts w:eastAsia="Calibri"/>
                      <w:bCs/>
                      <w:sz w:val="16"/>
                      <w:szCs w:val="18"/>
                      <w:lang w:val="ro-RO"/>
                    </w:rPr>
                    <w:t>Total</w:t>
                  </w:r>
                </w:p>
              </w:tc>
              <w:tc>
                <w:tcPr>
                  <w:tcW w:w="850" w:type="dxa"/>
                  <w:tcBorders>
                    <w:top w:val="nil"/>
                    <w:left w:val="nil"/>
                    <w:bottom w:val="single" w:sz="4" w:space="0" w:color="auto"/>
                    <w:right w:val="single" w:sz="4" w:space="0" w:color="auto"/>
                  </w:tcBorders>
                  <w:vAlign w:val="bottom"/>
                  <w:hideMark/>
                </w:tcPr>
                <w:p w14:paraId="7CC804AC"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 </w:t>
                  </w:r>
                </w:p>
              </w:tc>
              <w:tc>
                <w:tcPr>
                  <w:tcW w:w="850" w:type="dxa"/>
                  <w:tcBorders>
                    <w:top w:val="nil"/>
                    <w:left w:val="nil"/>
                    <w:bottom w:val="single" w:sz="4" w:space="0" w:color="auto"/>
                    <w:right w:val="single" w:sz="4" w:space="0" w:color="auto"/>
                  </w:tcBorders>
                  <w:noWrap/>
                  <w:vAlign w:val="bottom"/>
                  <w:hideMark/>
                </w:tcPr>
                <w:p w14:paraId="20684614"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 </w:t>
                  </w:r>
                </w:p>
              </w:tc>
              <w:tc>
                <w:tcPr>
                  <w:tcW w:w="997" w:type="dxa"/>
                  <w:tcBorders>
                    <w:top w:val="nil"/>
                    <w:left w:val="nil"/>
                    <w:bottom w:val="single" w:sz="4" w:space="0" w:color="auto"/>
                    <w:right w:val="single" w:sz="4" w:space="0" w:color="auto"/>
                  </w:tcBorders>
                  <w:noWrap/>
                  <w:vAlign w:val="bottom"/>
                  <w:hideMark/>
                </w:tcPr>
                <w:p w14:paraId="5B553007"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146.795.434,50</w:t>
                  </w:r>
                </w:p>
              </w:tc>
              <w:tc>
                <w:tcPr>
                  <w:tcW w:w="934" w:type="dxa"/>
                  <w:tcBorders>
                    <w:top w:val="nil"/>
                    <w:left w:val="nil"/>
                    <w:bottom w:val="single" w:sz="4" w:space="0" w:color="auto"/>
                    <w:right w:val="single" w:sz="4" w:space="0" w:color="auto"/>
                  </w:tcBorders>
                  <w:noWrap/>
                  <w:vAlign w:val="bottom"/>
                  <w:hideMark/>
                </w:tcPr>
                <w:p w14:paraId="6E20504F"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89.271,27</w:t>
                  </w:r>
                </w:p>
              </w:tc>
              <w:tc>
                <w:tcPr>
                  <w:tcW w:w="1046" w:type="dxa"/>
                  <w:tcBorders>
                    <w:top w:val="nil"/>
                    <w:left w:val="nil"/>
                    <w:bottom w:val="single" w:sz="4" w:space="0" w:color="auto"/>
                    <w:right w:val="single" w:sz="4" w:space="0" w:color="auto"/>
                  </w:tcBorders>
                  <w:noWrap/>
                  <w:vAlign w:val="bottom"/>
                  <w:hideMark/>
                </w:tcPr>
                <w:p w14:paraId="68B5E9BF"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118.468.873,22</w:t>
                  </w:r>
                </w:p>
              </w:tc>
              <w:tc>
                <w:tcPr>
                  <w:tcW w:w="999" w:type="dxa"/>
                  <w:tcBorders>
                    <w:top w:val="nil"/>
                    <w:left w:val="nil"/>
                    <w:bottom w:val="single" w:sz="4" w:space="0" w:color="auto"/>
                    <w:right w:val="single" w:sz="4" w:space="0" w:color="auto"/>
                  </w:tcBorders>
                  <w:noWrap/>
                  <w:vAlign w:val="bottom"/>
                  <w:hideMark/>
                </w:tcPr>
                <w:p w14:paraId="25D538C1"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139.001,37</w:t>
                  </w:r>
                </w:p>
              </w:tc>
              <w:tc>
                <w:tcPr>
                  <w:tcW w:w="1269" w:type="dxa"/>
                  <w:tcBorders>
                    <w:top w:val="nil"/>
                    <w:left w:val="nil"/>
                    <w:bottom w:val="single" w:sz="4" w:space="0" w:color="auto"/>
                    <w:right w:val="single" w:sz="4" w:space="0" w:color="auto"/>
                  </w:tcBorders>
                  <w:noWrap/>
                  <w:vAlign w:val="bottom"/>
                  <w:hideMark/>
                </w:tcPr>
                <w:p w14:paraId="7FEEFAF5"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149.800.536,35</w:t>
                  </w:r>
                </w:p>
              </w:tc>
              <w:tc>
                <w:tcPr>
                  <w:tcW w:w="992" w:type="dxa"/>
                  <w:tcBorders>
                    <w:top w:val="nil"/>
                    <w:left w:val="nil"/>
                    <w:bottom w:val="single" w:sz="4" w:space="0" w:color="auto"/>
                    <w:right w:val="single" w:sz="4" w:space="0" w:color="auto"/>
                  </w:tcBorders>
                  <w:noWrap/>
                  <w:vAlign w:val="bottom"/>
                  <w:hideMark/>
                </w:tcPr>
                <w:p w14:paraId="0E1E87B6" w14:textId="77777777" w:rsidR="00906ABC" w:rsidRPr="00DA0DE1" w:rsidRDefault="00906ABC" w:rsidP="00906ABC">
                  <w:pPr>
                    <w:shd w:val="clear" w:color="auto" w:fill="FFFFFF" w:themeFill="background1"/>
                    <w:ind w:firstLine="0"/>
                    <w:contextualSpacing/>
                    <w:rPr>
                      <w:rFonts w:eastAsia="Calibri"/>
                      <w:sz w:val="16"/>
                      <w:szCs w:val="18"/>
                      <w:lang w:val="ro-RO"/>
                    </w:rPr>
                  </w:pPr>
                  <w:r w:rsidRPr="00DA0DE1">
                    <w:rPr>
                      <w:rFonts w:eastAsia="Calibri"/>
                      <w:sz w:val="16"/>
                      <w:szCs w:val="18"/>
                      <w:lang w:val="ro-RO"/>
                    </w:rPr>
                    <w:t>134.284,07</w:t>
                  </w:r>
                </w:p>
              </w:tc>
            </w:tr>
          </w:tbl>
          <w:p w14:paraId="300F2D9B" w14:textId="4128028B" w:rsidR="00876045" w:rsidRPr="00DA0DE1" w:rsidRDefault="00876045" w:rsidP="00876045">
            <w:pPr>
              <w:spacing w:line="276" w:lineRule="auto"/>
              <w:ind w:firstLine="0"/>
              <w:rPr>
                <w:rFonts w:ascii="Times New Roman" w:hAnsi="Times New Roman"/>
                <w:sz w:val="10"/>
                <w:szCs w:val="24"/>
                <w:lang w:val="ro-MD"/>
              </w:rPr>
            </w:pPr>
          </w:p>
          <w:p w14:paraId="36F67779" w14:textId="6D480A2E" w:rsidR="00906ABC" w:rsidRPr="00DA0DE1" w:rsidRDefault="00F619E3" w:rsidP="00F619E3">
            <w:pPr>
              <w:spacing w:line="276" w:lineRule="auto"/>
              <w:ind w:firstLine="426"/>
              <w:rPr>
                <w:rFonts w:ascii="Times New Roman" w:hAnsi="Times New Roman"/>
                <w:sz w:val="24"/>
                <w:szCs w:val="24"/>
                <w:lang w:val="ro-MD"/>
              </w:rPr>
            </w:pPr>
            <w:r w:rsidRPr="00DA0DE1">
              <w:rPr>
                <w:rFonts w:ascii="Times New Roman" w:hAnsi="Times New Roman"/>
                <w:sz w:val="24"/>
                <w:szCs w:val="24"/>
                <w:lang w:val="ro-RO"/>
              </w:rPr>
              <w:t>Pe de altă parte, Republica Moldova continuă să fie țara cu cele mai mici rate de utilizare a fertilizanților la unitatea de suprafață de teren prelucrat în scopuri agricole. Acești factori fac ca producția agricolă să fie expusă riscului, iar fermierii să depindă de prețurile fertilizanților disponibile regional. În acest sens, impactul disponibilității produselor fertilizante și prețurile la aceste produse pe piața locală are un impact semnificativ asupra rentabilității antreprenorialului în domeniul cultivării agricole. Ori reglementarea cu aceleași condiții ca și pe teritoriul UE ar permite investirea în facilități de producere a produselor fertilizante, permițând diversificarea de aprovizionare.</w:t>
            </w:r>
          </w:p>
          <w:p w14:paraId="494BD4E3" w14:textId="17C87D82" w:rsidR="009D2B72" w:rsidRPr="00DA0DE1" w:rsidRDefault="00DB1C4C" w:rsidP="00BC116A">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 xml:space="preserve">Totodată, </w:t>
            </w:r>
            <w:r w:rsidR="005F7E80" w:rsidRPr="00DA0DE1">
              <w:rPr>
                <w:rFonts w:ascii="Times New Roman" w:hAnsi="Times New Roman"/>
                <w:sz w:val="24"/>
                <w:szCs w:val="24"/>
                <w:lang w:val="ro-MD"/>
              </w:rPr>
              <w:t xml:space="preserve">conform </w:t>
            </w:r>
            <w:r w:rsidRPr="00DA0DE1">
              <w:rPr>
                <w:rFonts w:ascii="Times New Roman" w:hAnsi="Times New Roman"/>
                <w:sz w:val="24"/>
                <w:szCs w:val="24"/>
                <w:lang w:val="ro-MD"/>
              </w:rPr>
              <w:t xml:space="preserve">Registrului de stat al produselor de uz fitosanitar și al fertilizanților au fost autorizate/omologate </w:t>
            </w:r>
            <w:r w:rsidR="005F7E80" w:rsidRPr="00DA0DE1">
              <w:rPr>
                <w:rFonts w:ascii="Times New Roman" w:hAnsi="Times New Roman"/>
                <w:sz w:val="24"/>
                <w:szCs w:val="24"/>
                <w:lang w:val="ro-MD"/>
              </w:rPr>
              <w:t xml:space="preserve">prin procedura de recunoaștere 201 produse fertilizante minerale în perioada de anilor 2021-2024 </w:t>
            </w:r>
            <w:r w:rsidR="00D569DF" w:rsidRPr="00DA0DE1">
              <w:rPr>
                <w:rFonts w:ascii="Times New Roman" w:hAnsi="Times New Roman"/>
                <w:sz w:val="24"/>
                <w:szCs w:val="24"/>
                <w:lang w:val="ro-MD"/>
              </w:rPr>
              <w:t>în Republica Moldova</w:t>
            </w:r>
            <w:r w:rsidR="00DF7446" w:rsidRPr="00DA0DE1">
              <w:rPr>
                <w:rFonts w:ascii="Times New Roman" w:hAnsi="Times New Roman"/>
                <w:sz w:val="24"/>
                <w:szCs w:val="24"/>
                <w:lang w:val="ro-MD"/>
              </w:rPr>
              <w:t xml:space="preserve">, </w:t>
            </w:r>
            <w:r w:rsidR="00DC6746">
              <w:rPr>
                <w:rFonts w:ascii="Times New Roman" w:hAnsi="Times New Roman"/>
                <w:sz w:val="24"/>
                <w:szCs w:val="24"/>
                <w:lang w:val="ro-MD"/>
              </w:rPr>
              <w:t>prevederi de autorizare/omologare a îngrășămintelor organice la nivel național nu sunt</w:t>
            </w:r>
            <w:r w:rsidR="00BA5113">
              <w:rPr>
                <w:rFonts w:ascii="Times New Roman" w:hAnsi="Times New Roman"/>
                <w:sz w:val="24"/>
                <w:szCs w:val="24"/>
                <w:lang w:val="ro-MD"/>
              </w:rPr>
              <w:t>.</w:t>
            </w:r>
          </w:p>
          <w:p w14:paraId="171378C8" w14:textId="2EEA9A93" w:rsidR="00D569DF" w:rsidRPr="00DA0DE1" w:rsidRDefault="00F46752" w:rsidP="00BC116A">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t xml:space="preserve">Tabelul nr. 3. </w:t>
            </w:r>
            <w:r w:rsidRPr="00DA0DE1">
              <w:rPr>
                <w:rFonts w:ascii="Times New Roman" w:hAnsi="Times New Roman"/>
                <w:i/>
                <w:sz w:val="24"/>
                <w:szCs w:val="24"/>
                <w:lang w:val="ro-MD"/>
              </w:rPr>
              <w:t>Produse fertilizante autorizate/omologate în Republica Moldova în perioada anilor 2021 - 2024</w:t>
            </w:r>
          </w:p>
          <w:tbl>
            <w:tblPr>
              <w:tblW w:w="7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494"/>
              <w:gridCol w:w="1066"/>
              <w:gridCol w:w="1066"/>
              <w:gridCol w:w="1067"/>
            </w:tblGrid>
            <w:tr w:rsidR="00BA5113" w:rsidRPr="005F7E80" w14:paraId="6C62E54F" w14:textId="77777777" w:rsidTr="0043683E">
              <w:trPr>
                <w:trHeight w:val="188"/>
                <w:jc w:val="center"/>
              </w:trPr>
              <w:tc>
                <w:tcPr>
                  <w:tcW w:w="2991" w:type="dxa"/>
                  <w:vMerge w:val="restart"/>
                  <w:noWrap/>
                  <w:vAlign w:val="center"/>
                  <w:hideMark/>
                </w:tcPr>
                <w:p w14:paraId="75BF3A8D" w14:textId="77777777" w:rsidR="00BA5113" w:rsidRPr="005F7E80" w:rsidRDefault="00BA5113" w:rsidP="005F7E80">
                  <w:pPr>
                    <w:ind w:firstLine="0"/>
                    <w:jc w:val="center"/>
                    <w:rPr>
                      <w:b/>
                      <w:sz w:val="22"/>
                      <w:szCs w:val="22"/>
                      <w:lang w:eastAsia="ru-RU"/>
                    </w:rPr>
                  </w:pPr>
                  <w:proofErr w:type="spellStart"/>
                  <w:r w:rsidRPr="005F7E80">
                    <w:rPr>
                      <w:b/>
                      <w:sz w:val="22"/>
                      <w:szCs w:val="22"/>
                      <w:lang w:eastAsia="ru-RU"/>
                    </w:rPr>
                    <w:t>Denumirea</w:t>
                  </w:r>
                  <w:proofErr w:type="spellEnd"/>
                  <w:r w:rsidRPr="005F7E80">
                    <w:rPr>
                      <w:b/>
                      <w:sz w:val="22"/>
                      <w:szCs w:val="22"/>
                      <w:lang w:eastAsia="ru-RU"/>
                    </w:rPr>
                    <w:t xml:space="preserve"> </w:t>
                  </w:r>
                </w:p>
              </w:tc>
              <w:tc>
                <w:tcPr>
                  <w:tcW w:w="4693" w:type="dxa"/>
                  <w:gridSpan w:val="4"/>
                  <w:noWrap/>
                  <w:vAlign w:val="center"/>
                  <w:hideMark/>
                </w:tcPr>
                <w:p w14:paraId="4436262A" w14:textId="48CF5865" w:rsidR="00BA5113" w:rsidRPr="005F7E80" w:rsidRDefault="00BA5113" w:rsidP="005F7E80">
                  <w:pPr>
                    <w:ind w:firstLine="0"/>
                    <w:jc w:val="center"/>
                    <w:rPr>
                      <w:b/>
                      <w:sz w:val="22"/>
                      <w:szCs w:val="22"/>
                      <w:lang w:eastAsia="ru-RU"/>
                    </w:rPr>
                  </w:pPr>
                  <w:r w:rsidRPr="005F7E80">
                    <w:rPr>
                      <w:b/>
                      <w:sz w:val="22"/>
                      <w:szCs w:val="22"/>
                      <w:lang w:eastAsia="ru-RU"/>
                    </w:rPr>
                    <w:t>An</w:t>
                  </w:r>
                  <w:r w:rsidRPr="00DA0DE1">
                    <w:rPr>
                      <w:b/>
                      <w:sz w:val="22"/>
                      <w:szCs w:val="22"/>
                      <w:lang w:eastAsia="ru-RU"/>
                    </w:rPr>
                    <w:t>ul</w:t>
                  </w:r>
                  <w:r w:rsidRPr="005F7E80">
                    <w:rPr>
                      <w:b/>
                      <w:sz w:val="22"/>
                      <w:szCs w:val="22"/>
                      <w:lang w:eastAsia="ru-RU"/>
                    </w:rPr>
                    <w:t xml:space="preserve"> </w:t>
                  </w:r>
                </w:p>
              </w:tc>
            </w:tr>
            <w:tr w:rsidR="00BA5113" w:rsidRPr="005F7E80" w14:paraId="60617B4F" w14:textId="77777777" w:rsidTr="0043683E">
              <w:trPr>
                <w:trHeight w:val="188"/>
                <w:jc w:val="center"/>
              </w:trPr>
              <w:tc>
                <w:tcPr>
                  <w:tcW w:w="2991" w:type="dxa"/>
                  <w:vMerge/>
                  <w:vAlign w:val="center"/>
                  <w:hideMark/>
                </w:tcPr>
                <w:p w14:paraId="1709C4C6" w14:textId="77777777" w:rsidR="00BA5113" w:rsidRPr="005F7E80" w:rsidRDefault="00BA5113" w:rsidP="005F7E80">
                  <w:pPr>
                    <w:ind w:firstLine="0"/>
                    <w:jc w:val="left"/>
                    <w:rPr>
                      <w:b/>
                      <w:sz w:val="22"/>
                      <w:szCs w:val="22"/>
                      <w:lang w:eastAsia="ru-RU"/>
                    </w:rPr>
                  </w:pPr>
                </w:p>
              </w:tc>
              <w:tc>
                <w:tcPr>
                  <w:tcW w:w="1494" w:type="dxa"/>
                  <w:noWrap/>
                  <w:vAlign w:val="center"/>
                  <w:hideMark/>
                </w:tcPr>
                <w:p w14:paraId="6CCE9D85" w14:textId="77777777" w:rsidR="00BA5113" w:rsidRPr="005F7E80" w:rsidRDefault="00BA5113" w:rsidP="005F7E80">
                  <w:pPr>
                    <w:ind w:firstLine="0"/>
                    <w:jc w:val="center"/>
                    <w:rPr>
                      <w:b/>
                      <w:sz w:val="22"/>
                      <w:szCs w:val="22"/>
                      <w:lang w:eastAsia="ru-RU"/>
                    </w:rPr>
                  </w:pPr>
                  <w:r w:rsidRPr="005F7E80">
                    <w:rPr>
                      <w:b/>
                      <w:sz w:val="22"/>
                      <w:szCs w:val="22"/>
                      <w:lang w:eastAsia="ru-RU"/>
                    </w:rPr>
                    <w:t>2021</w:t>
                  </w:r>
                </w:p>
              </w:tc>
              <w:tc>
                <w:tcPr>
                  <w:tcW w:w="1066" w:type="dxa"/>
                  <w:noWrap/>
                  <w:vAlign w:val="center"/>
                  <w:hideMark/>
                </w:tcPr>
                <w:p w14:paraId="4D7DDCFE" w14:textId="77777777" w:rsidR="00BA5113" w:rsidRPr="005F7E80" w:rsidRDefault="00BA5113" w:rsidP="005F7E80">
                  <w:pPr>
                    <w:ind w:firstLine="0"/>
                    <w:jc w:val="center"/>
                    <w:rPr>
                      <w:b/>
                      <w:sz w:val="22"/>
                      <w:szCs w:val="22"/>
                      <w:lang w:eastAsia="ru-RU"/>
                    </w:rPr>
                  </w:pPr>
                  <w:r w:rsidRPr="005F7E80">
                    <w:rPr>
                      <w:b/>
                      <w:sz w:val="22"/>
                      <w:szCs w:val="22"/>
                      <w:lang w:eastAsia="ru-RU"/>
                    </w:rPr>
                    <w:t>2022</w:t>
                  </w:r>
                </w:p>
              </w:tc>
              <w:tc>
                <w:tcPr>
                  <w:tcW w:w="1066" w:type="dxa"/>
                  <w:noWrap/>
                  <w:vAlign w:val="center"/>
                  <w:hideMark/>
                </w:tcPr>
                <w:p w14:paraId="7093E8D8" w14:textId="77777777" w:rsidR="00BA5113" w:rsidRPr="005F7E80" w:rsidRDefault="00BA5113" w:rsidP="005F7E80">
                  <w:pPr>
                    <w:ind w:firstLine="0"/>
                    <w:jc w:val="center"/>
                    <w:rPr>
                      <w:b/>
                      <w:sz w:val="22"/>
                      <w:szCs w:val="22"/>
                      <w:lang w:eastAsia="ru-RU"/>
                    </w:rPr>
                  </w:pPr>
                  <w:r w:rsidRPr="005F7E80">
                    <w:rPr>
                      <w:b/>
                      <w:sz w:val="22"/>
                      <w:szCs w:val="22"/>
                      <w:lang w:eastAsia="ru-RU"/>
                    </w:rPr>
                    <w:t>2023</w:t>
                  </w:r>
                </w:p>
              </w:tc>
              <w:tc>
                <w:tcPr>
                  <w:tcW w:w="1066" w:type="dxa"/>
                  <w:noWrap/>
                  <w:vAlign w:val="center"/>
                  <w:hideMark/>
                </w:tcPr>
                <w:p w14:paraId="755887DF" w14:textId="77777777" w:rsidR="00BA5113" w:rsidRPr="005F7E80" w:rsidRDefault="00BA5113" w:rsidP="005F7E80">
                  <w:pPr>
                    <w:ind w:firstLine="0"/>
                    <w:jc w:val="center"/>
                    <w:rPr>
                      <w:b/>
                      <w:sz w:val="22"/>
                      <w:szCs w:val="22"/>
                      <w:lang w:eastAsia="ru-RU"/>
                    </w:rPr>
                  </w:pPr>
                  <w:r w:rsidRPr="005F7E80">
                    <w:rPr>
                      <w:b/>
                      <w:sz w:val="22"/>
                      <w:szCs w:val="22"/>
                      <w:lang w:eastAsia="ru-RU"/>
                    </w:rPr>
                    <w:t>2024</w:t>
                  </w:r>
                </w:p>
              </w:tc>
            </w:tr>
            <w:tr w:rsidR="00BA5113" w:rsidRPr="005F7E80" w14:paraId="2B2887D8" w14:textId="77777777" w:rsidTr="0043683E">
              <w:trPr>
                <w:trHeight w:val="489"/>
                <w:jc w:val="center"/>
              </w:trPr>
              <w:tc>
                <w:tcPr>
                  <w:tcW w:w="2991" w:type="dxa"/>
                  <w:vAlign w:val="bottom"/>
                  <w:hideMark/>
                </w:tcPr>
                <w:p w14:paraId="0760F97F" w14:textId="09BEAC97" w:rsidR="00BA5113" w:rsidRPr="005F7E80" w:rsidRDefault="00BA5113" w:rsidP="005F7E80">
                  <w:pPr>
                    <w:ind w:firstLine="0"/>
                    <w:rPr>
                      <w:sz w:val="22"/>
                      <w:szCs w:val="22"/>
                      <w:lang w:eastAsia="ru-RU"/>
                    </w:rPr>
                  </w:pPr>
                  <w:proofErr w:type="spellStart"/>
                  <w:r w:rsidRPr="005F7E80">
                    <w:rPr>
                      <w:sz w:val="22"/>
                      <w:szCs w:val="22"/>
                      <w:lang w:eastAsia="ru-RU"/>
                    </w:rPr>
                    <w:t>Omologarea</w:t>
                  </w:r>
                  <w:proofErr w:type="spellEnd"/>
                  <w:r w:rsidRPr="005F7E80">
                    <w:rPr>
                      <w:sz w:val="22"/>
                      <w:szCs w:val="22"/>
                      <w:lang w:eastAsia="ru-RU"/>
                    </w:rPr>
                    <w:t xml:space="preserve"> </w:t>
                  </w:r>
                  <w:proofErr w:type="spellStart"/>
                  <w:r w:rsidRPr="005F7E80">
                    <w:rPr>
                      <w:sz w:val="22"/>
                      <w:szCs w:val="22"/>
                      <w:lang w:eastAsia="ru-RU"/>
                    </w:rPr>
                    <w:t>fertilizanților</w:t>
                  </w:r>
                  <w:proofErr w:type="spellEnd"/>
                  <w:r w:rsidRPr="005F7E80">
                    <w:rPr>
                      <w:sz w:val="22"/>
                      <w:szCs w:val="22"/>
                      <w:lang w:eastAsia="ru-RU"/>
                    </w:rPr>
                    <w:t xml:space="preserve"> </w:t>
                  </w:r>
                  <w:proofErr w:type="spellStart"/>
                  <w:r w:rsidRPr="005F7E80">
                    <w:rPr>
                      <w:sz w:val="22"/>
                      <w:szCs w:val="22"/>
                      <w:lang w:eastAsia="ru-RU"/>
                    </w:rPr>
                    <w:t>prin</w:t>
                  </w:r>
                  <w:proofErr w:type="spellEnd"/>
                  <w:r w:rsidRPr="005F7E80">
                    <w:rPr>
                      <w:sz w:val="22"/>
                      <w:szCs w:val="22"/>
                      <w:lang w:eastAsia="ru-RU"/>
                    </w:rPr>
                    <w:t xml:space="preserve"> </w:t>
                  </w:r>
                  <w:proofErr w:type="spellStart"/>
                  <w:r w:rsidRPr="005F7E80">
                    <w:rPr>
                      <w:sz w:val="22"/>
                      <w:szCs w:val="22"/>
                      <w:lang w:eastAsia="ru-RU"/>
                    </w:rPr>
                    <w:t>procedura</w:t>
                  </w:r>
                  <w:proofErr w:type="spellEnd"/>
                  <w:r w:rsidRPr="005F7E80">
                    <w:rPr>
                      <w:sz w:val="22"/>
                      <w:szCs w:val="22"/>
                      <w:lang w:eastAsia="ru-RU"/>
                    </w:rPr>
                    <w:t xml:space="preserve"> de </w:t>
                  </w:r>
                  <w:proofErr w:type="spellStart"/>
                  <w:r w:rsidRPr="005F7E80">
                    <w:rPr>
                      <w:sz w:val="22"/>
                      <w:szCs w:val="22"/>
                      <w:lang w:eastAsia="ru-RU"/>
                    </w:rPr>
                    <w:t>recunoa</w:t>
                  </w:r>
                  <w:r w:rsidRPr="00DA0DE1">
                    <w:rPr>
                      <w:sz w:val="22"/>
                      <w:szCs w:val="22"/>
                      <w:lang w:eastAsia="ru-RU"/>
                    </w:rPr>
                    <w:t>ș</w:t>
                  </w:r>
                  <w:r w:rsidRPr="005F7E80">
                    <w:rPr>
                      <w:sz w:val="22"/>
                      <w:szCs w:val="22"/>
                      <w:lang w:eastAsia="ru-RU"/>
                    </w:rPr>
                    <w:t>tere</w:t>
                  </w:r>
                  <w:proofErr w:type="spellEnd"/>
                </w:p>
              </w:tc>
              <w:tc>
                <w:tcPr>
                  <w:tcW w:w="1494" w:type="dxa"/>
                  <w:noWrap/>
                  <w:vAlign w:val="center"/>
                  <w:hideMark/>
                </w:tcPr>
                <w:p w14:paraId="2E503A5B" w14:textId="77777777" w:rsidR="00BA5113" w:rsidRPr="005F7E80" w:rsidRDefault="00BA5113" w:rsidP="005F7E80">
                  <w:pPr>
                    <w:ind w:firstLine="0"/>
                    <w:jc w:val="center"/>
                    <w:rPr>
                      <w:sz w:val="22"/>
                      <w:szCs w:val="22"/>
                      <w:lang w:eastAsia="ru-RU"/>
                    </w:rPr>
                  </w:pPr>
                  <w:r w:rsidRPr="005F7E80">
                    <w:rPr>
                      <w:sz w:val="22"/>
                      <w:szCs w:val="22"/>
                      <w:lang w:eastAsia="ru-RU"/>
                    </w:rPr>
                    <w:t>33</w:t>
                  </w:r>
                </w:p>
              </w:tc>
              <w:tc>
                <w:tcPr>
                  <w:tcW w:w="1066" w:type="dxa"/>
                  <w:noWrap/>
                  <w:vAlign w:val="center"/>
                  <w:hideMark/>
                </w:tcPr>
                <w:p w14:paraId="56DB77E5" w14:textId="77777777" w:rsidR="00BA5113" w:rsidRPr="005F7E80" w:rsidRDefault="00BA5113" w:rsidP="005F7E80">
                  <w:pPr>
                    <w:ind w:firstLine="0"/>
                    <w:jc w:val="center"/>
                    <w:rPr>
                      <w:sz w:val="22"/>
                      <w:szCs w:val="22"/>
                      <w:lang w:eastAsia="ru-RU"/>
                    </w:rPr>
                  </w:pPr>
                  <w:r w:rsidRPr="005F7E80">
                    <w:rPr>
                      <w:sz w:val="22"/>
                      <w:szCs w:val="22"/>
                      <w:lang w:eastAsia="ru-RU"/>
                    </w:rPr>
                    <w:t>66</w:t>
                  </w:r>
                </w:p>
              </w:tc>
              <w:tc>
                <w:tcPr>
                  <w:tcW w:w="1066" w:type="dxa"/>
                  <w:noWrap/>
                  <w:vAlign w:val="center"/>
                  <w:hideMark/>
                </w:tcPr>
                <w:p w14:paraId="3C9366EE" w14:textId="77777777" w:rsidR="00BA5113" w:rsidRPr="005F7E80" w:rsidRDefault="00BA5113" w:rsidP="005F7E80">
                  <w:pPr>
                    <w:ind w:firstLine="0"/>
                    <w:jc w:val="center"/>
                    <w:rPr>
                      <w:sz w:val="22"/>
                      <w:szCs w:val="22"/>
                      <w:lang w:eastAsia="ru-RU"/>
                    </w:rPr>
                  </w:pPr>
                  <w:r w:rsidRPr="005F7E80">
                    <w:rPr>
                      <w:sz w:val="22"/>
                      <w:szCs w:val="22"/>
                      <w:lang w:eastAsia="ru-RU"/>
                    </w:rPr>
                    <w:t>53</w:t>
                  </w:r>
                </w:p>
              </w:tc>
              <w:tc>
                <w:tcPr>
                  <w:tcW w:w="1066" w:type="dxa"/>
                  <w:noWrap/>
                  <w:vAlign w:val="center"/>
                  <w:hideMark/>
                </w:tcPr>
                <w:p w14:paraId="7DE09106" w14:textId="77777777" w:rsidR="00BA5113" w:rsidRPr="005F7E80" w:rsidRDefault="00BA5113" w:rsidP="005F7E80">
                  <w:pPr>
                    <w:ind w:firstLine="0"/>
                    <w:jc w:val="center"/>
                    <w:rPr>
                      <w:sz w:val="22"/>
                      <w:szCs w:val="22"/>
                      <w:lang w:eastAsia="ru-RU"/>
                    </w:rPr>
                  </w:pPr>
                  <w:r w:rsidRPr="005F7E80">
                    <w:rPr>
                      <w:sz w:val="22"/>
                      <w:szCs w:val="22"/>
                      <w:lang w:eastAsia="ru-RU"/>
                    </w:rPr>
                    <w:t>49</w:t>
                  </w:r>
                </w:p>
              </w:tc>
            </w:tr>
          </w:tbl>
          <w:p w14:paraId="192533C4" w14:textId="7FA28555" w:rsidR="00C6239E" w:rsidRPr="0082140F" w:rsidRDefault="009264C5" w:rsidP="00BA5113">
            <w:pPr>
              <w:spacing w:before="240" w:line="276" w:lineRule="auto"/>
              <w:ind w:firstLine="284"/>
              <w:rPr>
                <w:rFonts w:ascii="Times New Roman" w:hAnsi="Times New Roman"/>
                <w:sz w:val="24"/>
                <w:szCs w:val="24"/>
                <w:lang w:val="ro-MD"/>
              </w:rPr>
            </w:pPr>
            <w:r w:rsidRPr="00DA0DE1">
              <w:rPr>
                <w:rFonts w:ascii="Times New Roman" w:hAnsi="Times New Roman"/>
                <w:sz w:val="24"/>
                <w:szCs w:val="24"/>
                <w:lang w:val="ro-MD"/>
              </w:rPr>
              <w:t xml:space="preserve">Implementarea categoriilor funcționale de produse </w:t>
            </w:r>
            <w:r w:rsidR="00882474">
              <w:rPr>
                <w:rFonts w:ascii="Times New Roman" w:hAnsi="Times New Roman"/>
                <w:sz w:val="24"/>
                <w:szCs w:val="24"/>
                <w:lang w:val="ro-MD"/>
              </w:rPr>
              <w:t xml:space="preserve">pentru produsele fertilizante UE </w:t>
            </w:r>
            <w:r w:rsidRPr="00DA0DE1">
              <w:rPr>
                <w:rFonts w:ascii="Times New Roman" w:hAnsi="Times New Roman"/>
                <w:sz w:val="24"/>
                <w:szCs w:val="24"/>
                <w:lang w:val="ro-MD"/>
              </w:rPr>
              <w:t>și</w:t>
            </w:r>
            <w:r w:rsidR="0082140F">
              <w:rPr>
                <w:rFonts w:ascii="Times New Roman" w:hAnsi="Times New Roman"/>
                <w:sz w:val="24"/>
                <w:szCs w:val="24"/>
                <w:lang w:val="ro-MD"/>
              </w:rPr>
              <w:t xml:space="preserve"> a categoriilor </w:t>
            </w:r>
            <w:r w:rsidRPr="00DA0DE1">
              <w:rPr>
                <w:rFonts w:ascii="Times New Roman" w:hAnsi="Times New Roman"/>
                <w:sz w:val="24"/>
                <w:szCs w:val="24"/>
                <w:lang w:val="ro-MD"/>
              </w:rPr>
              <w:t xml:space="preserve">materii componente </w:t>
            </w:r>
            <w:r w:rsidR="0082140F">
              <w:rPr>
                <w:rFonts w:ascii="Times New Roman" w:hAnsi="Times New Roman"/>
                <w:sz w:val="24"/>
                <w:szCs w:val="24"/>
                <w:lang w:val="ro-MD"/>
              </w:rPr>
              <w:t>pentru</w:t>
            </w:r>
            <w:r w:rsidRPr="00DA0DE1">
              <w:rPr>
                <w:rFonts w:ascii="Times New Roman" w:hAnsi="Times New Roman"/>
                <w:sz w:val="24"/>
                <w:szCs w:val="24"/>
                <w:lang w:val="ro-MD"/>
              </w:rPr>
              <w:t xml:space="preserve"> produselor fertilizante UE </w:t>
            </w:r>
            <w:r w:rsidR="00B136B6" w:rsidRPr="00DA0DE1">
              <w:rPr>
                <w:rFonts w:ascii="Times New Roman" w:hAnsi="Times New Roman"/>
                <w:sz w:val="24"/>
                <w:szCs w:val="24"/>
                <w:lang w:val="ro-MD"/>
              </w:rPr>
              <w:t xml:space="preserve">prin prezentul Proiect de ordin </w:t>
            </w:r>
            <w:r w:rsidRPr="00DA0DE1">
              <w:rPr>
                <w:rFonts w:ascii="Times New Roman" w:hAnsi="Times New Roman"/>
                <w:sz w:val="24"/>
                <w:szCs w:val="24"/>
                <w:lang w:val="ro-MD"/>
              </w:rPr>
              <w:t>va avea un impact pozitiv asupra sectorului privat din motiv</w:t>
            </w:r>
            <w:r w:rsidR="008C2D8A" w:rsidRPr="00DA0DE1">
              <w:rPr>
                <w:rFonts w:ascii="Times New Roman" w:hAnsi="Times New Roman"/>
                <w:sz w:val="24"/>
                <w:szCs w:val="24"/>
                <w:lang w:val="ro-MD"/>
              </w:rPr>
              <w:t xml:space="preserve"> </w:t>
            </w:r>
            <w:r w:rsidRPr="00DA0DE1">
              <w:rPr>
                <w:rFonts w:ascii="Times New Roman" w:hAnsi="Times New Roman"/>
                <w:sz w:val="24"/>
                <w:szCs w:val="24"/>
                <w:lang w:val="ro-MD"/>
              </w:rPr>
              <w:t xml:space="preserve">că </w:t>
            </w:r>
            <w:r w:rsidR="0089635A" w:rsidRPr="00DA0DE1">
              <w:rPr>
                <w:rFonts w:ascii="Times New Roman" w:hAnsi="Times New Roman"/>
                <w:sz w:val="24"/>
                <w:szCs w:val="24"/>
                <w:lang w:val="ro-MD"/>
              </w:rPr>
              <w:t>producătorii</w:t>
            </w:r>
            <w:r w:rsidR="003629CA" w:rsidRPr="00DA0DE1">
              <w:rPr>
                <w:rFonts w:ascii="Times New Roman" w:hAnsi="Times New Roman"/>
                <w:sz w:val="24"/>
                <w:szCs w:val="24"/>
                <w:lang w:val="ro-MD"/>
              </w:rPr>
              <w:t xml:space="preserve"> autohtoni vor </w:t>
            </w:r>
            <w:r w:rsidR="00C14B0E" w:rsidRPr="00DA0DE1">
              <w:rPr>
                <w:rFonts w:ascii="Times New Roman" w:hAnsi="Times New Roman"/>
                <w:sz w:val="24"/>
                <w:szCs w:val="24"/>
                <w:lang w:val="ro-MD"/>
              </w:rPr>
              <w:t xml:space="preserve">avea </w:t>
            </w:r>
            <w:r w:rsidR="0082140F">
              <w:rPr>
                <w:rFonts w:ascii="Times New Roman" w:hAnsi="Times New Roman"/>
                <w:sz w:val="24"/>
                <w:szCs w:val="24"/>
                <w:lang w:val="ro-MD"/>
              </w:rPr>
              <w:t xml:space="preserve"> posibilitatea de producere o gamă diversificată de produse fertilizante UE care vor putea fi comercializate pe teritoriul țării și în Europa.</w:t>
            </w:r>
            <w:r w:rsidR="00C14B0E" w:rsidRPr="00DA0DE1">
              <w:rPr>
                <w:rFonts w:ascii="Times New Roman" w:hAnsi="Times New Roman"/>
                <w:sz w:val="24"/>
                <w:szCs w:val="24"/>
                <w:lang w:val="ro-MD"/>
              </w:rPr>
              <w:t xml:space="preserve"> </w:t>
            </w:r>
            <w:r w:rsidR="00BA5113">
              <w:rPr>
                <w:rFonts w:ascii="Times New Roman" w:hAnsi="Times New Roman"/>
                <w:sz w:val="24"/>
                <w:szCs w:val="24"/>
                <w:lang w:val="ro-MD"/>
              </w:rPr>
              <w:t xml:space="preserve">Astfel, beneficii prin aprobarea acestui ordin vor avea în special </w:t>
            </w:r>
            <w:r w:rsidR="002C0517" w:rsidRPr="0082140F">
              <w:rPr>
                <w:rFonts w:ascii="Times New Roman" w:hAnsi="Times New Roman"/>
                <w:sz w:val="24"/>
                <w:szCs w:val="24"/>
                <w:lang w:val="ro-MD"/>
              </w:rPr>
              <w:t>producători</w:t>
            </w:r>
            <w:r w:rsidR="004B69A2">
              <w:rPr>
                <w:rFonts w:ascii="Times New Roman" w:hAnsi="Times New Roman"/>
                <w:sz w:val="24"/>
                <w:szCs w:val="24"/>
                <w:lang w:val="ro-MD"/>
              </w:rPr>
              <w:t>i</w:t>
            </w:r>
            <w:r w:rsidR="002C0517" w:rsidRPr="0082140F">
              <w:rPr>
                <w:rFonts w:ascii="Times New Roman" w:hAnsi="Times New Roman"/>
                <w:sz w:val="24"/>
                <w:szCs w:val="24"/>
                <w:lang w:val="ro-MD"/>
              </w:rPr>
              <w:t>, distribuitori</w:t>
            </w:r>
            <w:r w:rsidR="004B69A2">
              <w:rPr>
                <w:rFonts w:ascii="Times New Roman" w:hAnsi="Times New Roman"/>
                <w:sz w:val="24"/>
                <w:szCs w:val="24"/>
                <w:lang w:val="ro-MD"/>
              </w:rPr>
              <w:t>i</w:t>
            </w:r>
            <w:r w:rsidR="002C0517" w:rsidRPr="0082140F">
              <w:rPr>
                <w:rFonts w:ascii="Times New Roman" w:hAnsi="Times New Roman"/>
                <w:sz w:val="24"/>
                <w:szCs w:val="24"/>
                <w:lang w:val="ro-MD"/>
              </w:rPr>
              <w:t xml:space="preserve"> și utilizatori</w:t>
            </w:r>
            <w:r w:rsidR="004B69A2">
              <w:rPr>
                <w:rFonts w:ascii="Times New Roman" w:hAnsi="Times New Roman"/>
                <w:sz w:val="24"/>
                <w:szCs w:val="24"/>
                <w:lang w:val="ro-MD"/>
              </w:rPr>
              <w:t>i</w:t>
            </w:r>
            <w:r w:rsidR="002D369B" w:rsidRPr="0082140F">
              <w:rPr>
                <w:rFonts w:ascii="Times New Roman" w:hAnsi="Times New Roman"/>
                <w:sz w:val="24"/>
                <w:szCs w:val="24"/>
                <w:lang w:val="ro-MD"/>
              </w:rPr>
              <w:t xml:space="preserve"> de produse</w:t>
            </w:r>
            <w:r w:rsidR="008C2D8A" w:rsidRPr="0082140F">
              <w:rPr>
                <w:rFonts w:ascii="Times New Roman" w:hAnsi="Times New Roman"/>
                <w:sz w:val="24"/>
                <w:szCs w:val="24"/>
                <w:lang w:val="ro-MD"/>
              </w:rPr>
              <w:t xml:space="preserve"> fertilizante</w:t>
            </w:r>
            <w:r w:rsidR="004B6DAB" w:rsidRPr="0082140F">
              <w:rPr>
                <w:rFonts w:ascii="Times New Roman" w:hAnsi="Times New Roman"/>
                <w:sz w:val="24"/>
                <w:szCs w:val="24"/>
                <w:lang w:val="ro-MD"/>
              </w:rPr>
              <w:t>.</w:t>
            </w:r>
            <w:r w:rsidR="00C6239E" w:rsidRPr="0082140F">
              <w:rPr>
                <w:rFonts w:ascii="Times New Roman" w:hAnsi="Times New Roman"/>
                <w:sz w:val="24"/>
                <w:szCs w:val="24"/>
                <w:lang w:val="ro-MD"/>
              </w:rPr>
              <w:t xml:space="preserve"> </w:t>
            </w:r>
          </w:p>
          <w:p w14:paraId="00160AAE" w14:textId="31116CE4" w:rsidR="00657021" w:rsidRPr="0082140F" w:rsidRDefault="00DB4836" w:rsidP="0014350D">
            <w:pPr>
              <w:spacing w:line="276" w:lineRule="auto"/>
              <w:ind w:firstLine="284"/>
              <w:rPr>
                <w:rFonts w:ascii="Times New Roman" w:hAnsi="Times New Roman"/>
                <w:sz w:val="24"/>
                <w:szCs w:val="24"/>
                <w:lang w:val="ro-MD"/>
              </w:rPr>
            </w:pPr>
            <w:r w:rsidRPr="0082140F">
              <w:rPr>
                <w:rFonts w:ascii="Times New Roman" w:hAnsi="Times New Roman"/>
                <w:sz w:val="24"/>
                <w:szCs w:val="24"/>
                <w:lang w:val="ro-MD"/>
              </w:rPr>
              <w:t>Agricultorii</w:t>
            </w:r>
            <w:r w:rsidR="00BC116A" w:rsidRPr="0082140F">
              <w:rPr>
                <w:rFonts w:ascii="Times New Roman" w:hAnsi="Times New Roman"/>
                <w:sz w:val="24"/>
                <w:szCs w:val="24"/>
                <w:lang w:val="ro-MD"/>
              </w:rPr>
              <w:t xml:space="preserve"> și consumatorii de produse agroalimentare</w:t>
            </w:r>
            <w:r w:rsidRPr="0082140F">
              <w:rPr>
                <w:rFonts w:ascii="Times New Roman" w:hAnsi="Times New Roman"/>
                <w:sz w:val="24"/>
                <w:szCs w:val="24"/>
                <w:lang w:val="ro-MD"/>
              </w:rPr>
              <w:t xml:space="preserve"> </w:t>
            </w:r>
            <w:r w:rsidR="00BC116A" w:rsidRPr="0082140F">
              <w:rPr>
                <w:rFonts w:ascii="Times New Roman" w:hAnsi="Times New Roman"/>
                <w:sz w:val="24"/>
                <w:szCs w:val="24"/>
                <w:lang w:val="ro-MD"/>
              </w:rPr>
              <w:t xml:space="preserve">sunt beneficiarii direcți, </w:t>
            </w:r>
            <w:r w:rsidR="00627CCA" w:rsidRPr="0082140F">
              <w:rPr>
                <w:rFonts w:ascii="Times New Roman" w:hAnsi="Times New Roman"/>
                <w:sz w:val="24"/>
                <w:szCs w:val="24"/>
                <w:lang w:val="ro-MD"/>
              </w:rPr>
              <w:t>iar aceste</w:t>
            </w:r>
            <w:r w:rsidR="00657021" w:rsidRPr="0082140F">
              <w:rPr>
                <w:rFonts w:ascii="Times New Roman" w:hAnsi="Times New Roman"/>
                <w:sz w:val="24"/>
                <w:szCs w:val="24"/>
                <w:lang w:val="ro-MD"/>
              </w:rPr>
              <w:t xml:space="preserve"> </w:t>
            </w:r>
            <w:r w:rsidR="00BC116A" w:rsidRPr="0082140F">
              <w:rPr>
                <w:rFonts w:ascii="Times New Roman" w:hAnsi="Times New Roman"/>
                <w:sz w:val="24"/>
                <w:szCs w:val="24"/>
                <w:lang w:val="ro-MD"/>
              </w:rPr>
              <w:t xml:space="preserve">reglementări vor spori </w:t>
            </w:r>
            <w:r w:rsidR="00657021" w:rsidRPr="0082140F">
              <w:rPr>
                <w:rFonts w:ascii="Times New Roman" w:hAnsi="Times New Roman"/>
                <w:sz w:val="24"/>
                <w:szCs w:val="24"/>
                <w:lang w:val="ro-MD"/>
              </w:rPr>
              <w:t xml:space="preserve">creșterea siguranței și eficienței produselor </w:t>
            </w:r>
            <w:r w:rsidR="00DF0CE9" w:rsidRPr="0082140F">
              <w:rPr>
                <w:rFonts w:ascii="Times New Roman" w:hAnsi="Times New Roman"/>
                <w:sz w:val="24"/>
                <w:szCs w:val="24"/>
                <w:lang w:val="ro-MD"/>
              </w:rPr>
              <w:t xml:space="preserve">fertilizante </w:t>
            </w:r>
            <w:r w:rsidR="008C2D8A" w:rsidRPr="0082140F">
              <w:rPr>
                <w:rFonts w:ascii="Times New Roman" w:hAnsi="Times New Roman"/>
                <w:sz w:val="24"/>
                <w:szCs w:val="24"/>
                <w:lang w:val="ro-MD"/>
              </w:rPr>
              <w:t>utilizate</w:t>
            </w:r>
            <w:r w:rsidR="0082140F" w:rsidRPr="0082140F">
              <w:rPr>
                <w:rFonts w:ascii="Times New Roman" w:hAnsi="Times New Roman"/>
                <w:sz w:val="24"/>
                <w:szCs w:val="24"/>
                <w:lang w:val="ro-MD"/>
              </w:rPr>
              <w:t xml:space="preserve"> UE la nivel național</w:t>
            </w:r>
            <w:r w:rsidR="00290F48" w:rsidRPr="0082140F">
              <w:rPr>
                <w:rFonts w:ascii="Times New Roman" w:hAnsi="Times New Roman"/>
                <w:sz w:val="24"/>
                <w:szCs w:val="24"/>
                <w:lang w:val="ro-MD"/>
              </w:rPr>
              <w:t xml:space="preserve">, </w:t>
            </w:r>
            <w:r w:rsidR="00657021" w:rsidRPr="0082140F">
              <w:rPr>
                <w:rFonts w:ascii="Times New Roman" w:hAnsi="Times New Roman"/>
                <w:sz w:val="24"/>
                <w:szCs w:val="24"/>
                <w:lang w:val="ro-MD"/>
              </w:rPr>
              <w:t>fără efecte nocive asupra sănătății oamenilor, plantelor, animalelor precum și a mediului înconjurător.</w:t>
            </w:r>
          </w:p>
          <w:p w14:paraId="595C95B7" w14:textId="77777777" w:rsidR="00657021" w:rsidRDefault="00A77CBA" w:rsidP="0014350D">
            <w:pPr>
              <w:spacing w:line="276" w:lineRule="auto"/>
              <w:ind w:firstLine="284"/>
              <w:rPr>
                <w:rFonts w:ascii="Times New Roman" w:hAnsi="Times New Roman"/>
                <w:sz w:val="24"/>
                <w:szCs w:val="24"/>
                <w:lang w:val="ro-MD"/>
              </w:rPr>
            </w:pPr>
            <w:r w:rsidRPr="0082140F">
              <w:rPr>
                <w:rFonts w:ascii="Times New Roman" w:hAnsi="Times New Roman"/>
                <w:sz w:val="24"/>
                <w:szCs w:val="24"/>
                <w:lang w:val="ro-MD"/>
              </w:rPr>
              <w:t xml:space="preserve">Principalele prevederi ale proiectului </w:t>
            </w:r>
            <w:r w:rsidR="0024705D" w:rsidRPr="0082140F">
              <w:rPr>
                <w:rFonts w:ascii="Times New Roman" w:hAnsi="Times New Roman"/>
                <w:sz w:val="24"/>
                <w:szCs w:val="24"/>
                <w:lang w:val="ro-MD"/>
              </w:rPr>
              <w:t>de ordin este orientarea</w:t>
            </w:r>
            <w:r w:rsidRPr="0082140F">
              <w:rPr>
                <w:rFonts w:ascii="Times New Roman" w:hAnsi="Times New Roman"/>
                <w:sz w:val="24"/>
                <w:szCs w:val="24"/>
                <w:lang w:val="ro-MD"/>
              </w:rPr>
              <w:t xml:space="preserve"> către alinierea reglementărilor naționale la standardele comunitare, facilitând astfel introducerea pe piață a produselor </w:t>
            </w:r>
            <w:r w:rsidR="00FE1C9F" w:rsidRPr="0082140F">
              <w:rPr>
                <w:rFonts w:ascii="Times New Roman" w:hAnsi="Times New Roman"/>
                <w:sz w:val="24"/>
                <w:szCs w:val="24"/>
                <w:lang w:val="ro-MD"/>
              </w:rPr>
              <w:t>fertilizante</w:t>
            </w:r>
            <w:r w:rsidR="007456CE" w:rsidRPr="0082140F">
              <w:rPr>
                <w:rFonts w:ascii="Times New Roman" w:hAnsi="Times New Roman"/>
                <w:sz w:val="24"/>
                <w:szCs w:val="24"/>
                <w:lang w:val="ro-MD"/>
              </w:rPr>
              <w:t xml:space="preserve"> UE</w:t>
            </w:r>
            <w:r w:rsidR="007F7E55" w:rsidRPr="0082140F">
              <w:rPr>
                <w:rFonts w:ascii="Times New Roman" w:hAnsi="Times New Roman"/>
                <w:sz w:val="24"/>
                <w:szCs w:val="24"/>
                <w:lang w:val="ro-MD"/>
              </w:rPr>
              <w:t xml:space="preserve">, </w:t>
            </w:r>
            <w:r w:rsidRPr="0082140F">
              <w:rPr>
                <w:rFonts w:ascii="Times New Roman" w:hAnsi="Times New Roman"/>
                <w:sz w:val="24"/>
                <w:szCs w:val="24"/>
                <w:lang w:val="ro-MD"/>
              </w:rPr>
              <w:t xml:space="preserve">promovând libera circulație a acestora și asigurând accesul producătorilor agricoli la produsele necesare și care conțin în componența </w:t>
            </w:r>
            <w:r w:rsidR="00DF0CE9" w:rsidRPr="0082140F">
              <w:rPr>
                <w:rFonts w:ascii="Times New Roman" w:hAnsi="Times New Roman"/>
                <w:sz w:val="24"/>
                <w:szCs w:val="24"/>
                <w:lang w:val="ro-MD"/>
              </w:rPr>
              <w:t xml:space="preserve">materii </w:t>
            </w:r>
            <w:r w:rsidR="00360CA8" w:rsidRPr="0082140F">
              <w:rPr>
                <w:rFonts w:ascii="Times New Roman" w:hAnsi="Times New Roman"/>
                <w:sz w:val="24"/>
                <w:szCs w:val="24"/>
                <w:lang w:val="ro-MD"/>
              </w:rPr>
              <w:t>componente acceptabili</w:t>
            </w:r>
            <w:r w:rsidRPr="0082140F">
              <w:rPr>
                <w:rFonts w:ascii="Times New Roman" w:hAnsi="Times New Roman"/>
                <w:sz w:val="24"/>
                <w:szCs w:val="24"/>
                <w:lang w:val="ro-MD"/>
              </w:rPr>
              <w:t xml:space="preserve"> pentru utilizare. </w:t>
            </w:r>
            <w:r w:rsidR="003A6E61" w:rsidRPr="0082140F">
              <w:rPr>
                <w:rFonts w:ascii="Times New Roman" w:hAnsi="Times New Roman"/>
                <w:sz w:val="24"/>
                <w:szCs w:val="24"/>
                <w:lang w:val="ro-MD"/>
              </w:rPr>
              <w:t>Paralel</w:t>
            </w:r>
            <w:r w:rsidRPr="0082140F">
              <w:rPr>
                <w:rFonts w:ascii="Times New Roman" w:hAnsi="Times New Roman"/>
                <w:sz w:val="24"/>
                <w:szCs w:val="24"/>
                <w:lang w:val="ro-MD"/>
              </w:rPr>
              <w:t>, se va urmări reducerea riscurilor pentru sănătatea publică și protecția mediului, minimizând efectele nocive pe care aceste produse le pot provoca.</w:t>
            </w:r>
          </w:p>
          <w:p w14:paraId="03AA9823" w14:textId="5BCCC2DE"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6C755367" w14:textId="77777777" w:rsidTr="00876045">
        <w:tc>
          <w:tcPr>
            <w:tcW w:w="9109" w:type="dxa"/>
            <w:shd w:val="clear" w:color="EDEDED" w:fill="EDEDED"/>
            <w:tcMar>
              <w:top w:w="0" w:type="dxa"/>
              <w:left w:w="108" w:type="dxa"/>
              <w:bottom w:w="0" w:type="dxa"/>
              <w:right w:w="108" w:type="dxa"/>
            </w:tcMar>
          </w:tcPr>
          <w:p w14:paraId="53EDFFA6" w14:textId="752C7949" w:rsidR="0016331B" w:rsidRPr="00DA0DE1" w:rsidRDefault="00865626"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4.4. Impactul social</w:t>
            </w:r>
          </w:p>
        </w:tc>
      </w:tr>
      <w:tr w:rsidR="00DA0DE1" w:rsidRPr="00DA0DE1" w14:paraId="3614BECF" w14:textId="77777777" w:rsidTr="00876045">
        <w:tc>
          <w:tcPr>
            <w:tcW w:w="9109" w:type="dxa"/>
            <w:tcMar>
              <w:top w:w="0" w:type="dxa"/>
              <w:left w:w="108" w:type="dxa"/>
              <w:bottom w:w="0" w:type="dxa"/>
              <w:right w:w="108" w:type="dxa"/>
            </w:tcMar>
          </w:tcPr>
          <w:p w14:paraId="6C0D76EC" w14:textId="270365FD" w:rsidR="00AA799E" w:rsidRPr="00D11C4E" w:rsidRDefault="003924E6" w:rsidP="0014350D">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Promovarea</w:t>
            </w:r>
            <w:r w:rsidR="0093197F" w:rsidRPr="00D11C4E">
              <w:rPr>
                <w:rFonts w:ascii="Times New Roman" w:hAnsi="Times New Roman"/>
                <w:sz w:val="24"/>
                <w:szCs w:val="24"/>
                <w:lang w:val="ro-MD"/>
              </w:rPr>
              <w:t xml:space="preserve"> </w:t>
            </w:r>
            <w:r w:rsidR="003A67C1" w:rsidRPr="00D11C4E">
              <w:rPr>
                <w:rFonts w:ascii="Times New Roman" w:hAnsi="Times New Roman"/>
                <w:sz w:val="24"/>
                <w:szCs w:val="24"/>
                <w:lang w:val="ro-MD"/>
              </w:rPr>
              <w:t>proiectului de</w:t>
            </w:r>
            <w:r w:rsidR="0093197F" w:rsidRPr="00D11C4E">
              <w:rPr>
                <w:rFonts w:ascii="Times New Roman" w:hAnsi="Times New Roman"/>
                <w:sz w:val="24"/>
                <w:szCs w:val="24"/>
                <w:lang w:val="ro-MD"/>
              </w:rPr>
              <w:t xml:space="preserve"> ordin va avea un impact </w:t>
            </w:r>
            <w:r w:rsidR="003436AC" w:rsidRPr="00D11C4E">
              <w:rPr>
                <w:rFonts w:ascii="Times New Roman" w:hAnsi="Times New Roman"/>
                <w:sz w:val="24"/>
                <w:szCs w:val="24"/>
                <w:lang w:val="ro-MD"/>
              </w:rPr>
              <w:t>pozitiv asupra diverselor grupuri de persoane, inclu</w:t>
            </w:r>
            <w:r w:rsidR="00841D50" w:rsidRPr="00D11C4E">
              <w:rPr>
                <w:rFonts w:ascii="Times New Roman" w:hAnsi="Times New Roman"/>
                <w:sz w:val="24"/>
                <w:szCs w:val="24"/>
                <w:lang w:val="ro-MD"/>
              </w:rPr>
              <w:t>siv</w:t>
            </w:r>
            <w:r w:rsidR="003436AC" w:rsidRPr="00D11C4E">
              <w:rPr>
                <w:rFonts w:ascii="Times New Roman" w:hAnsi="Times New Roman"/>
                <w:sz w:val="24"/>
                <w:szCs w:val="24"/>
                <w:lang w:val="ro-MD"/>
              </w:rPr>
              <w:t xml:space="preserve"> populația generală, lucrătorii din sectorul agricol, comunitățile rurale și consumatorii. </w:t>
            </w:r>
          </w:p>
          <w:p w14:paraId="22324211" w14:textId="77777777" w:rsidR="000966D2" w:rsidRDefault="00374A02" w:rsidP="0014350D">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Modificările legislative vor favoriza </w:t>
            </w:r>
            <w:r w:rsidR="0082140F" w:rsidRPr="00D11C4E">
              <w:rPr>
                <w:rFonts w:ascii="Times New Roman" w:hAnsi="Times New Roman"/>
                <w:sz w:val="24"/>
                <w:szCs w:val="24"/>
                <w:lang w:val="ro-MD"/>
              </w:rPr>
              <w:t xml:space="preserve">producerea și </w:t>
            </w:r>
            <w:r w:rsidRPr="00D11C4E">
              <w:rPr>
                <w:rFonts w:ascii="Times New Roman" w:hAnsi="Times New Roman"/>
                <w:sz w:val="24"/>
                <w:szCs w:val="24"/>
                <w:lang w:val="ro-MD"/>
              </w:rPr>
              <w:t>utilizarea produse</w:t>
            </w:r>
            <w:r w:rsidR="009F7C44" w:rsidRPr="00D11C4E">
              <w:rPr>
                <w:rFonts w:ascii="Times New Roman" w:hAnsi="Times New Roman"/>
                <w:sz w:val="24"/>
                <w:szCs w:val="24"/>
                <w:lang w:val="ro-MD"/>
              </w:rPr>
              <w:t xml:space="preserve"> fertilizante</w:t>
            </w:r>
            <w:r w:rsidR="0082140F" w:rsidRPr="00D11C4E">
              <w:rPr>
                <w:rFonts w:ascii="Times New Roman" w:hAnsi="Times New Roman"/>
                <w:sz w:val="24"/>
                <w:szCs w:val="24"/>
                <w:lang w:val="ro-MD"/>
              </w:rPr>
              <w:t xml:space="preserve"> UE</w:t>
            </w:r>
            <w:r w:rsidRPr="00D11C4E">
              <w:rPr>
                <w:rFonts w:ascii="Times New Roman" w:hAnsi="Times New Roman"/>
                <w:sz w:val="24"/>
                <w:szCs w:val="24"/>
                <w:lang w:val="ro-MD"/>
              </w:rPr>
              <w:t xml:space="preserve"> </w:t>
            </w:r>
            <w:r w:rsidR="00010E6C" w:rsidRPr="00D11C4E">
              <w:rPr>
                <w:rFonts w:ascii="Times New Roman" w:hAnsi="Times New Roman"/>
                <w:sz w:val="24"/>
                <w:szCs w:val="24"/>
                <w:lang w:val="ro-MD"/>
              </w:rPr>
              <w:t>mai sigure în agricultură, ceea ce va contribui la îmbunătățirea condițiilor de muncă pentru lucrătorii din acest sector.</w:t>
            </w:r>
            <w:r w:rsidR="00E91480" w:rsidRPr="00D11C4E">
              <w:rPr>
                <w:rFonts w:ascii="Times New Roman" w:hAnsi="Times New Roman"/>
                <w:sz w:val="24"/>
                <w:szCs w:val="24"/>
                <w:lang w:val="ro-MD"/>
              </w:rPr>
              <w:t xml:space="preserve"> În plus, aprobarea </w:t>
            </w:r>
            <w:r w:rsidR="009C53DD" w:rsidRPr="00D11C4E">
              <w:rPr>
                <w:rFonts w:ascii="Times New Roman" w:hAnsi="Times New Roman"/>
                <w:sz w:val="24"/>
                <w:szCs w:val="24"/>
                <w:lang w:val="ro-MD"/>
              </w:rPr>
              <w:t xml:space="preserve">categoriilor funcționale și materiile componente a produselor fertilizante UE </w:t>
            </w:r>
            <w:r w:rsidR="00E91480" w:rsidRPr="00D11C4E">
              <w:rPr>
                <w:rFonts w:ascii="Times New Roman" w:hAnsi="Times New Roman"/>
                <w:sz w:val="24"/>
                <w:szCs w:val="24"/>
                <w:lang w:val="ro-MD"/>
              </w:rPr>
              <w:t xml:space="preserve">va sprijini protejarea mediului rural, reducând impactul negativ al </w:t>
            </w:r>
            <w:r w:rsidR="009C53DD" w:rsidRPr="00D11C4E">
              <w:rPr>
                <w:rFonts w:ascii="Times New Roman" w:hAnsi="Times New Roman"/>
                <w:sz w:val="24"/>
                <w:szCs w:val="24"/>
                <w:lang w:val="ro-MD"/>
              </w:rPr>
              <w:t>contaminanților</w:t>
            </w:r>
            <w:r w:rsidR="00472F37" w:rsidRPr="00D11C4E">
              <w:rPr>
                <w:rFonts w:ascii="Times New Roman" w:hAnsi="Times New Roman"/>
                <w:sz w:val="24"/>
                <w:szCs w:val="24"/>
                <w:lang w:val="ro-MD"/>
              </w:rPr>
              <w:t xml:space="preserve"> și agenților patogeni</w:t>
            </w:r>
            <w:r w:rsidR="009C53DD" w:rsidRPr="00D11C4E">
              <w:rPr>
                <w:rFonts w:ascii="Times New Roman" w:hAnsi="Times New Roman"/>
                <w:sz w:val="24"/>
                <w:szCs w:val="24"/>
                <w:lang w:val="ro-MD"/>
              </w:rPr>
              <w:t xml:space="preserve"> </w:t>
            </w:r>
            <w:r w:rsidR="00E91480" w:rsidRPr="00D11C4E">
              <w:rPr>
                <w:rFonts w:ascii="Times New Roman" w:hAnsi="Times New Roman"/>
                <w:sz w:val="24"/>
                <w:szCs w:val="24"/>
                <w:lang w:val="ro-MD"/>
              </w:rPr>
              <w:t>asupra resurselor naturale</w:t>
            </w:r>
            <w:r w:rsidR="009D3C0A" w:rsidRPr="00D11C4E">
              <w:rPr>
                <w:rFonts w:ascii="Times New Roman" w:hAnsi="Times New Roman"/>
                <w:sz w:val="24"/>
                <w:szCs w:val="24"/>
                <w:lang w:val="ro-MD"/>
              </w:rPr>
              <w:t xml:space="preserve"> (apă și sol)</w:t>
            </w:r>
            <w:r w:rsidR="00E91480" w:rsidRPr="00D11C4E">
              <w:rPr>
                <w:rFonts w:ascii="Times New Roman" w:hAnsi="Times New Roman"/>
                <w:sz w:val="24"/>
                <w:szCs w:val="24"/>
                <w:lang w:val="ro-MD"/>
              </w:rPr>
              <w:t xml:space="preserve"> și</w:t>
            </w:r>
            <w:r w:rsidR="00D11C4E" w:rsidRPr="00D11C4E">
              <w:rPr>
                <w:rFonts w:ascii="Times New Roman" w:hAnsi="Times New Roman"/>
                <w:sz w:val="24"/>
                <w:szCs w:val="24"/>
                <w:lang w:val="ro-MD"/>
              </w:rPr>
              <w:t xml:space="preserve"> asupra</w:t>
            </w:r>
            <w:r w:rsidR="00E91480" w:rsidRPr="00D11C4E">
              <w:rPr>
                <w:rFonts w:ascii="Times New Roman" w:hAnsi="Times New Roman"/>
                <w:sz w:val="24"/>
                <w:szCs w:val="24"/>
                <w:lang w:val="ro-MD"/>
              </w:rPr>
              <w:t xml:space="preserve"> sănătății oamenilor și animalelor.</w:t>
            </w:r>
          </w:p>
          <w:p w14:paraId="79FB3B09" w14:textId="4FE869DE"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01F8ACBA" w14:textId="77777777" w:rsidTr="00876045">
        <w:tc>
          <w:tcPr>
            <w:tcW w:w="9109" w:type="dxa"/>
            <w:shd w:val="clear" w:color="EDEDED" w:fill="EDEDED"/>
            <w:tcMar>
              <w:top w:w="0" w:type="dxa"/>
              <w:left w:w="108" w:type="dxa"/>
              <w:bottom w:w="0" w:type="dxa"/>
              <w:right w:w="108" w:type="dxa"/>
            </w:tcMar>
          </w:tcPr>
          <w:p w14:paraId="54E8CC76" w14:textId="4635DBC2" w:rsidR="0016331B" w:rsidRPr="00DA0DE1" w:rsidRDefault="000966D2"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t>4.4.1. Impactul asupra datelor cu caracter personal</w:t>
            </w:r>
          </w:p>
        </w:tc>
      </w:tr>
      <w:tr w:rsidR="00DA0DE1" w:rsidRPr="00DA0DE1" w14:paraId="6EB77874" w14:textId="77777777" w:rsidTr="00876045">
        <w:tc>
          <w:tcPr>
            <w:tcW w:w="9109" w:type="dxa"/>
            <w:tcMar>
              <w:top w:w="0" w:type="dxa"/>
              <w:left w:w="108" w:type="dxa"/>
              <w:bottom w:w="0" w:type="dxa"/>
              <w:right w:w="108" w:type="dxa"/>
            </w:tcMar>
          </w:tcPr>
          <w:p w14:paraId="6990A3ED" w14:textId="77777777" w:rsidR="00D069E1" w:rsidRDefault="00284C93" w:rsidP="0014350D">
            <w:pPr>
              <w:spacing w:line="276" w:lineRule="auto"/>
              <w:ind w:firstLine="284"/>
              <w:rPr>
                <w:rFonts w:ascii="Times New Roman" w:eastAsia="Times New Roman" w:hAnsi="Times New Roman"/>
                <w:sz w:val="24"/>
                <w:szCs w:val="24"/>
                <w:lang w:val="ro-MD" w:eastAsia="ru-RU"/>
              </w:rPr>
            </w:pPr>
            <w:r w:rsidRPr="00D11C4E">
              <w:rPr>
                <w:rFonts w:ascii="Times New Roman" w:eastAsia="Times New Roman" w:hAnsi="Times New Roman"/>
                <w:sz w:val="24"/>
                <w:szCs w:val="24"/>
                <w:lang w:val="ro-MD" w:eastAsia="ru-RU"/>
              </w:rPr>
              <w:t xml:space="preserve">Datele cu caracter personal prin aplicarea prevederilor Legii nr. 235/2011 privind activitățile de acreditare </w:t>
            </w:r>
            <w:proofErr w:type="spellStart"/>
            <w:r w:rsidRPr="00D11C4E">
              <w:rPr>
                <w:rFonts w:ascii="Times New Roman" w:eastAsia="Times New Roman" w:hAnsi="Times New Roman"/>
                <w:sz w:val="24"/>
                <w:szCs w:val="24"/>
                <w:lang w:val="ro-MD" w:eastAsia="ru-RU"/>
              </w:rPr>
              <w:t>şi</w:t>
            </w:r>
            <w:proofErr w:type="spellEnd"/>
            <w:r w:rsidRPr="00D11C4E">
              <w:rPr>
                <w:rFonts w:ascii="Times New Roman" w:eastAsia="Times New Roman" w:hAnsi="Times New Roman"/>
                <w:sz w:val="24"/>
                <w:szCs w:val="24"/>
                <w:lang w:val="ro-MD" w:eastAsia="ru-RU"/>
              </w:rPr>
              <w:t xml:space="preserve"> de evaluare a conformității prin notificarea organismelor notificate se anticipează să fie aplicate cele mai înalte standarde de securitate a datelor cu caracter </w:t>
            </w:r>
            <w:r w:rsidRPr="00D11C4E">
              <w:rPr>
                <w:rFonts w:ascii="Times New Roman" w:eastAsia="Times New Roman" w:hAnsi="Times New Roman"/>
                <w:sz w:val="24"/>
                <w:szCs w:val="24"/>
                <w:lang w:val="ro-MD" w:eastAsia="ru-RU"/>
              </w:rPr>
              <w:lastRenderedPageBreak/>
              <w:t>personal astfel cum sunt prevăzute la nivelul Uniunii Europene, ori prin notificarea acestor date Comisia Europeană garantează ca datele notificate să fie protejate și sigure.</w:t>
            </w:r>
          </w:p>
          <w:p w14:paraId="73B480A0" w14:textId="0860184B" w:rsidR="007D5399" w:rsidRPr="007D5399" w:rsidRDefault="007D5399" w:rsidP="0014350D">
            <w:pPr>
              <w:spacing w:line="276" w:lineRule="auto"/>
              <w:ind w:firstLine="284"/>
              <w:rPr>
                <w:rFonts w:ascii="Times New Roman" w:hAnsi="Times New Roman"/>
                <w:sz w:val="16"/>
                <w:szCs w:val="24"/>
                <w:lang w:val="ro-MD" w:eastAsia="ru-RU"/>
              </w:rPr>
            </w:pPr>
          </w:p>
        </w:tc>
      </w:tr>
      <w:tr w:rsidR="00DA0DE1" w:rsidRPr="00DA0DE1" w14:paraId="5D050560" w14:textId="77777777" w:rsidTr="00876045">
        <w:tc>
          <w:tcPr>
            <w:tcW w:w="9109" w:type="dxa"/>
            <w:shd w:val="clear" w:color="EDEDED" w:fill="EDEDED"/>
            <w:tcMar>
              <w:top w:w="0" w:type="dxa"/>
              <w:left w:w="108" w:type="dxa"/>
              <w:bottom w:w="0" w:type="dxa"/>
              <w:right w:w="108" w:type="dxa"/>
            </w:tcMar>
          </w:tcPr>
          <w:p w14:paraId="0F94DD93" w14:textId="1B3C6D3B" w:rsidR="0016331B" w:rsidRPr="00DA0DE1" w:rsidRDefault="000966D2"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4.4.2. Impactul asupra echității și egalității de gen</w:t>
            </w:r>
          </w:p>
        </w:tc>
      </w:tr>
      <w:tr w:rsidR="00DA0DE1" w:rsidRPr="00DA0DE1" w14:paraId="7A00FB58" w14:textId="77777777" w:rsidTr="00876045">
        <w:tc>
          <w:tcPr>
            <w:tcW w:w="9109" w:type="dxa"/>
            <w:tcMar>
              <w:top w:w="0" w:type="dxa"/>
              <w:left w:w="108" w:type="dxa"/>
              <w:bottom w:w="0" w:type="dxa"/>
              <w:right w:w="108" w:type="dxa"/>
            </w:tcMar>
          </w:tcPr>
          <w:p w14:paraId="7266221F" w14:textId="77777777" w:rsidR="000966D2" w:rsidRDefault="000966D2" w:rsidP="0014350D">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Evaluarea impactului asupra echității și egalității de gen nu a fost efectuată, având în vedere că proiectul nu are prevederi care să producă efecte diferite asupra femeilor, bărbaților sau minorităților de gen și nu influențează semnificativ alte aspecte sociale relevante.</w:t>
            </w:r>
          </w:p>
          <w:p w14:paraId="24AC1DD3" w14:textId="6CED9B27" w:rsidR="007D5399" w:rsidRPr="007D5399" w:rsidRDefault="007D5399" w:rsidP="0014350D">
            <w:pPr>
              <w:spacing w:line="276" w:lineRule="auto"/>
              <w:ind w:firstLine="284"/>
              <w:rPr>
                <w:rFonts w:ascii="Times New Roman" w:hAnsi="Times New Roman"/>
                <w:sz w:val="16"/>
                <w:szCs w:val="24"/>
                <w:lang w:val="ro-MD"/>
              </w:rPr>
            </w:pPr>
          </w:p>
        </w:tc>
      </w:tr>
      <w:tr w:rsidR="00DA0DE1" w:rsidRPr="00DA0DE1" w14:paraId="1F2CD3C5" w14:textId="77777777" w:rsidTr="00876045">
        <w:tc>
          <w:tcPr>
            <w:tcW w:w="9109" w:type="dxa"/>
            <w:shd w:val="clear" w:color="EDEDED" w:fill="EDEDED"/>
            <w:tcMar>
              <w:top w:w="0" w:type="dxa"/>
              <w:left w:w="108" w:type="dxa"/>
              <w:bottom w:w="0" w:type="dxa"/>
              <w:right w:w="108" w:type="dxa"/>
            </w:tcMar>
          </w:tcPr>
          <w:p w14:paraId="12B75B0E" w14:textId="78373C68" w:rsidR="0016331B" w:rsidRPr="00D11C4E" w:rsidRDefault="000966D2" w:rsidP="0006633C">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4.5. Impactul asupra mediului</w:t>
            </w:r>
          </w:p>
        </w:tc>
      </w:tr>
      <w:tr w:rsidR="00DA0DE1" w:rsidRPr="00DA0DE1" w14:paraId="5E457053" w14:textId="77777777" w:rsidTr="00876045">
        <w:tc>
          <w:tcPr>
            <w:tcW w:w="9109" w:type="dxa"/>
            <w:tcMar>
              <w:top w:w="0" w:type="dxa"/>
              <w:left w:w="108" w:type="dxa"/>
              <w:bottom w:w="0" w:type="dxa"/>
              <w:right w:w="108" w:type="dxa"/>
            </w:tcMar>
          </w:tcPr>
          <w:p w14:paraId="44582F45" w14:textId="55FC81D7" w:rsidR="00D56244" w:rsidRPr="00D11C4E" w:rsidRDefault="004723BA" w:rsidP="00DA0DE1">
            <w:pPr>
              <w:pStyle w:val="af5"/>
              <w:spacing w:line="276" w:lineRule="auto"/>
              <w:ind w:firstLine="284"/>
              <w:rPr>
                <w:rFonts w:ascii="Times New Roman" w:hAnsi="Times New Roman"/>
                <w:lang w:val="ro-MD"/>
              </w:rPr>
            </w:pPr>
            <w:r w:rsidRPr="00D11C4E">
              <w:rPr>
                <w:rFonts w:ascii="Times New Roman" w:hAnsi="Times New Roman"/>
                <w:lang w:val="ro-MD"/>
              </w:rPr>
              <w:t xml:space="preserve">Produsele </w:t>
            </w:r>
            <w:r w:rsidR="00365DEA" w:rsidRPr="00D11C4E">
              <w:rPr>
                <w:rFonts w:ascii="Times New Roman" w:hAnsi="Times New Roman"/>
                <w:lang w:val="ro-MD"/>
              </w:rPr>
              <w:t>fertilizante</w:t>
            </w:r>
            <w:r w:rsidRPr="00D11C4E">
              <w:rPr>
                <w:rFonts w:ascii="Times New Roman" w:hAnsi="Times New Roman"/>
                <w:lang w:val="ro-MD"/>
              </w:rPr>
              <w:t xml:space="preserve"> sunt utilizate în agricultură </w:t>
            </w:r>
            <w:r w:rsidR="00D56244" w:rsidRPr="00D11C4E">
              <w:rPr>
                <w:rFonts w:ascii="Times New Roman" w:hAnsi="Times New Roman"/>
                <w:lang w:val="ro-MD"/>
              </w:rPr>
              <w:t xml:space="preserve">pentru a furniza plantelor </w:t>
            </w:r>
            <w:proofErr w:type="spellStart"/>
            <w:r w:rsidR="00D56244" w:rsidRPr="00D11C4E">
              <w:rPr>
                <w:rFonts w:ascii="Times New Roman" w:hAnsi="Times New Roman"/>
                <w:lang w:val="ro-MD"/>
              </w:rPr>
              <w:t>nutrienți</w:t>
            </w:r>
            <w:proofErr w:type="spellEnd"/>
            <w:r w:rsidR="00D56244" w:rsidRPr="00D11C4E">
              <w:rPr>
                <w:rFonts w:ascii="Times New Roman" w:hAnsi="Times New Roman"/>
                <w:lang w:val="ro-MD"/>
              </w:rPr>
              <w:t xml:space="preserve"> esențiali, care participă la creșterea productivității </w:t>
            </w:r>
            <w:r w:rsidR="004278D1" w:rsidRPr="00D11C4E">
              <w:rPr>
                <w:rFonts w:ascii="Times New Roman" w:hAnsi="Times New Roman"/>
                <w:lang w:val="ro-MD"/>
              </w:rPr>
              <w:t>culturilor</w:t>
            </w:r>
            <w:r w:rsidR="00D56244" w:rsidRPr="00D11C4E">
              <w:rPr>
                <w:rFonts w:ascii="Times New Roman" w:hAnsi="Times New Roman"/>
                <w:lang w:val="ro-MD"/>
              </w:rPr>
              <w:t xml:space="preserve">. </w:t>
            </w:r>
            <w:r w:rsidRPr="00D11C4E">
              <w:rPr>
                <w:rFonts w:ascii="Times New Roman" w:hAnsi="Times New Roman"/>
                <w:lang w:val="ro-MD"/>
              </w:rPr>
              <w:t xml:space="preserve">Totuși, anumite </w:t>
            </w:r>
            <w:r w:rsidR="00D56244" w:rsidRPr="00D11C4E">
              <w:rPr>
                <w:rFonts w:ascii="Times New Roman" w:hAnsi="Times New Roman"/>
                <w:lang w:val="ro-MD"/>
              </w:rPr>
              <w:t xml:space="preserve">materii componente </w:t>
            </w:r>
            <w:r w:rsidRPr="00D11C4E">
              <w:rPr>
                <w:rFonts w:ascii="Times New Roman" w:hAnsi="Times New Roman"/>
                <w:lang w:val="ro-MD"/>
              </w:rPr>
              <w:t xml:space="preserve">din compoziția acestor produse pot avea un impact negativ asupra biodiversității, afectând atât </w:t>
            </w:r>
            <w:r w:rsidR="00DA0DE1" w:rsidRPr="00D11C4E">
              <w:rPr>
                <w:rFonts w:ascii="Times New Roman" w:hAnsi="Times New Roman"/>
                <w:lang w:val="ro-MD"/>
              </w:rPr>
              <w:t>solul cât și mediu înconjurător</w:t>
            </w:r>
            <w:r w:rsidRPr="00D11C4E">
              <w:rPr>
                <w:rFonts w:ascii="Times New Roman" w:hAnsi="Times New Roman"/>
                <w:lang w:val="ro-MD"/>
              </w:rPr>
              <w:t>.</w:t>
            </w:r>
            <w:r w:rsidR="00535F9B" w:rsidRPr="00D11C4E">
              <w:rPr>
                <w:rFonts w:ascii="Times New Roman" w:hAnsi="Times New Roman"/>
                <w:lang w:val="ro-MD"/>
              </w:rPr>
              <w:t xml:space="preserve"> </w:t>
            </w:r>
          </w:p>
          <w:p w14:paraId="005D6A8B" w14:textId="180EABD0" w:rsidR="009D3C0A" w:rsidRPr="00D11C4E" w:rsidRDefault="004278D1" w:rsidP="00DA0DE1">
            <w:pPr>
              <w:shd w:val="clear" w:color="auto" w:fill="FFFFFF" w:themeFill="background1"/>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Proiectul de ordin are obiectiv principal de a asigura </w:t>
            </w:r>
            <w:r w:rsidR="00DA0DE1" w:rsidRPr="00D11C4E">
              <w:rPr>
                <w:rFonts w:ascii="Times New Roman" w:hAnsi="Times New Roman"/>
                <w:sz w:val="24"/>
                <w:szCs w:val="24"/>
                <w:lang w:val="ro-MD"/>
              </w:rPr>
              <w:t>siguranța produselor fertilizante</w:t>
            </w:r>
            <w:r w:rsidR="00D11C4E" w:rsidRPr="00D11C4E">
              <w:rPr>
                <w:rFonts w:ascii="Times New Roman" w:hAnsi="Times New Roman"/>
                <w:sz w:val="24"/>
                <w:szCs w:val="24"/>
                <w:lang w:val="ro-MD"/>
              </w:rPr>
              <w:t xml:space="preserve"> UE</w:t>
            </w:r>
            <w:r w:rsidR="00DA0DE1" w:rsidRPr="00D11C4E">
              <w:rPr>
                <w:rFonts w:ascii="Times New Roman" w:hAnsi="Times New Roman"/>
                <w:sz w:val="24"/>
                <w:szCs w:val="24"/>
                <w:lang w:val="ro-MD"/>
              </w:rPr>
              <w:t>, de a permite un acces mai rapid la produsele derivate din materii prime interne și secundare pentru toate categoriile de produse</w:t>
            </w:r>
            <w:r w:rsidR="009D3C0A" w:rsidRPr="00D11C4E">
              <w:rPr>
                <w:rFonts w:ascii="Times New Roman" w:hAnsi="Times New Roman"/>
                <w:sz w:val="24"/>
                <w:szCs w:val="24"/>
                <w:lang w:val="ro-MD"/>
              </w:rPr>
              <w:t>.</w:t>
            </w:r>
          </w:p>
          <w:p w14:paraId="2348E7D7" w14:textId="195CADF1" w:rsidR="00DB4CD1" w:rsidRPr="00D11C4E" w:rsidRDefault="00DB4CD1" w:rsidP="00DB4CD1">
            <w:pPr>
              <w:pStyle w:val="af5"/>
              <w:spacing w:line="276" w:lineRule="auto"/>
              <w:ind w:firstLine="284"/>
              <w:rPr>
                <w:rFonts w:ascii="Times New Roman" w:hAnsi="Times New Roman"/>
                <w:lang w:val="ro-MD"/>
              </w:rPr>
            </w:pPr>
            <w:r w:rsidRPr="00D11C4E">
              <w:rPr>
                <w:rFonts w:ascii="Times New Roman" w:hAnsi="Times New Roman"/>
                <w:lang w:val="ro-MD"/>
              </w:rPr>
              <w:t>Totodată, pr</w:t>
            </w:r>
            <w:r w:rsidR="00690AA1" w:rsidRPr="00D11C4E">
              <w:rPr>
                <w:rFonts w:ascii="Times New Roman" w:hAnsi="Times New Roman"/>
                <w:lang w:val="ro-MD"/>
              </w:rPr>
              <w:t xml:space="preserve">oiectul de ordin va avea un impact pozitiv asupra mediului, prin </w:t>
            </w:r>
            <w:r w:rsidR="00225316" w:rsidRPr="00D11C4E">
              <w:rPr>
                <w:rFonts w:ascii="Times New Roman" w:hAnsi="Times New Roman"/>
                <w:lang w:val="ro-MD"/>
              </w:rPr>
              <w:t xml:space="preserve">stabilirea </w:t>
            </w:r>
            <w:r w:rsidR="004D5D55" w:rsidRPr="00D11C4E">
              <w:rPr>
                <w:rFonts w:ascii="Times New Roman" w:hAnsi="Times New Roman"/>
                <w:lang w:val="ro-MD"/>
              </w:rPr>
              <w:t>u</w:t>
            </w:r>
            <w:r w:rsidR="000A5B98" w:rsidRPr="00D11C4E">
              <w:rPr>
                <w:rFonts w:ascii="Times New Roman" w:hAnsi="Times New Roman"/>
                <w:lang w:val="ro-MD"/>
              </w:rPr>
              <w:t xml:space="preserve">nor valori-maxime a substanțelor </w:t>
            </w:r>
            <w:r w:rsidRPr="00D11C4E">
              <w:rPr>
                <w:rFonts w:ascii="Times New Roman" w:hAnsi="Times New Roman"/>
                <w:lang w:val="ro-MD"/>
              </w:rPr>
              <w:t xml:space="preserve">care se specifică </w:t>
            </w:r>
            <w:r w:rsidR="000A5B98" w:rsidRPr="00D11C4E">
              <w:rPr>
                <w:rFonts w:ascii="Times New Roman" w:hAnsi="Times New Roman"/>
                <w:lang w:val="ro-MD"/>
              </w:rPr>
              <w:t>în categoriile funcționale de produse</w:t>
            </w:r>
            <w:r w:rsidR="00D11C4E" w:rsidRPr="00D11C4E">
              <w:rPr>
                <w:rFonts w:ascii="Times New Roman" w:hAnsi="Times New Roman"/>
                <w:lang w:val="ro-MD"/>
              </w:rPr>
              <w:t xml:space="preserve"> pentru produsele fertilizante UE</w:t>
            </w:r>
            <w:r w:rsidR="000A5B98" w:rsidRPr="00D11C4E">
              <w:rPr>
                <w:rFonts w:ascii="Times New Roman" w:hAnsi="Times New Roman"/>
                <w:lang w:val="ro-MD"/>
              </w:rPr>
              <w:t xml:space="preserve"> </w:t>
            </w:r>
            <w:r w:rsidRPr="00D11C4E">
              <w:rPr>
                <w:rFonts w:ascii="Times New Roman" w:hAnsi="Times New Roman"/>
                <w:lang w:val="ro-MD"/>
              </w:rPr>
              <w:t>ce fac parte</w:t>
            </w:r>
            <w:r w:rsidR="00435692" w:rsidRPr="00D11C4E">
              <w:rPr>
                <w:rFonts w:ascii="Times New Roman" w:hAnsi="Times New Roman"/>
                <w:lang w:val="ro-MD"/>
              </w:rPr>
              <w:t xml:space="preserve"> în materii componente al unui produs fertilizant UE. </w:t>
            </w:r>
          </w:p>
          <w:p w14:paraId="15C50270" w14:textId="280357B8" w:rsidR="001B29B1" w:rsidRPr="00D11C4E" w:rsidRDefault="00DB4CD1" w:rsidP="00DB4CD1">
            <w:pPr>
              <w:pStyle w:val="af5"/>
              <w:spacing w:line="276" w:lineRule="auto"/>
              <w:ind w:firstLine="284"/>
              <w:rPr>
                <w:rFonts w:ascii="Times New Roman" w:hAnsi="Times New Roman"/>
                <w:lang w:val="ro-MD"/>
              </w:rPr>
            </w:pPr>
            <w:r w:rsidRPr="00D11C4E">
              <w:rPr>
                <w:rFonts w:ascii="Times New Roman" w:hAnsi="Times New Roman"/>
                <w:lang w:val="ro-MD"/>
              </w:rPr>
              <w:t xml:space="preserve">Cerințele date </w:t>
            </w:r>
            <w:r w:rsidR="004D5D55" w:rsidRPr="00D11C4E">
              <w:rPr>
                <w:rFonts w:ascii="Times New Roman" w:hAnsi="Times New Roman"/>
                <w:lang w:val="ro-MD"/>
              </w:rPr>
              <w:t xml:space="preserve">va </w:t>
            </w:r>
            <w:r w:rsidR="00690AA1" w:rsidRPr="00D11C4E">
              <w:rPr>
                <w:rFonts w:ascii="Times New Roman" w:hAnsi="Times New Roman"/>
                <w:lang w:val="ro-MD"/>
              </w:rPr>
              <w:t>contribui la reducerea poluării solului, apei și aerului, prevenind efectele nocive asupra ecosistemelor naturale.</w:t>
            </w:r>
          </w:p>
          <w:p w14:paraId="41FB3C4F" w14:textId="608D4E57" w:rsidR="000966D2" w:rsidRPr="007D5399" w:rsidRDefault="000966D2" w:rsidP="00DB4CD1">
            <w:pPr>
              <w:pStyle w:val="af5"/>
              <w:spacing w:line="276" w:lineRule="auto"/>
              <w:ind w:firstLine="0"/>
              <w:rPr>
                <w:rFonts w:ascii="Times New Roman" w:hAnsi="Times New Roman"/>
                <w:sz w:val="16"/>
                <w:lang w:val="ro-MD"/>
              </w:rPr>
            </w:pPr>
          </w:p>
        </w:tc>
      </w:tr>
      <w:tr w:rsidR="00DA0DE1" w:rsidRPr="00DA0DE1" w14:paraId="0D75CB0D" w14:textId="77777777" w:rsidTr="00876045">
        <w:tc>
          <w:tcPr>
            <w:tcW w:w="9109" w:type="dxa"/>
            <w:shd w:val="clear" w:color="EDEDED" w:fill="EDEDED"/>
            <w:tcMar>
              <w:top w:w="0" w:type="dxa"/>
              <w:left w:w="108" w:type="dxa"/>
              <w:bottom w:w="0" w:type="dxa"/>
              <w:right w:w="108" w:type="dxa"/>
            </w:tcMar>
          </w:tcPr>
          <w:p w14:paraId="28F300E3" w14:textId="7A156906" w:rsidR="0016331B" w:rsidRPr="00D11C4E" w:rsidRDefault="000966D2" w:rsidP="0006633C">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4.6. Alte impacturi și informații relevante</w:t>
            </w:r>
          </w:p>
        </w:tc>
      </w:tr>
      <w:tr w:rsidR="00DA0DE1" w:rsidRPr="00DA0DE1" w14:paraId="1A016038" w14:textId="77777777" w:rsidTr="00876045">
        <w:tc>
          <w:tcPr>
            <w:tcW w:w="9109" w:type="dxa"/>
            <w:tcMar>
              <w:top w:w="0" w:type="dxa"/>
              <w:left w:w="108" w:type="dxa"/>
              <w:bottom w:w="0" w:type="dxa"/>
              <w:right w:w="108" w:type="dxa"/>
            </w:tcMar>
          </w:tcPr>
          <w:p w14:paraId="26BD8511" w14:textId="77777777" w:rsidR="000966D2" w:rsidRDefault="000966D2"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Nu este aplicabil </w:t>
            </w:r>
          </w:p>
          <w:p w14:paraId="7AFB693E" w14:textId="5338024F" w:rsidR="007D5399" w:rsidRPr="007D5399" w:rsidRDefault="007D5399" w:rsidP="001B29B1">
            <w:pPr>
              <w:spacing w:line="276" w:lineRule="auto"/>
              <w:ind w:firstLine="284"/>
              <w:rPr>
                <w:rFonts w:ascii="Times New Roman" w:hAnsi="Times New Roman"/>
                <w:sz w:val="14"/>
                <w:szCs w:val="24"/>
                <w:lang w:val="ro-MD"/>
              </w:rPr>
            </w:pPr>
          </w:p>
        </w:tc>
      </w:tr>
      <w:tr w:rsidR="00DA0DE1" w:rsidRPr="00DA0DE1" w14:paraId="2347F88C" w14:textId="77777777" w:rsidTr="00876045">
        <w:tc>
          <w:tcPr>
            <w:tcW w:w="9109" w:type="dxa"/>
            <w:shd w:val="clear" w:color="BFBFBF" w:fill="BFBFBF"/>
            <w:tcMar>
              <w:top w:w="0" w:type="dxa"/>
              <w:left w:w="108" w:type="dxa"/>
              <w:bottom w:w="0" w:type="dxa"/>
              <w:right w:w="108" w:type="dxa"/>
            </w:tcMar>
          </w:tcPr>
          <w:p w14:paraId="41D4FF03" w14:textId="226B0624" w:rsidR="0016331B" w:rsidRPr="00D11C4E" w:rsidRDefault="000966D2" w:rsidP="0006633C">
            <w:pPr>
              <w:spacing w:line="276" w:lineRule="auto"/>
              <w:ind w:firstLine="284"/>
              <w:rPr>
                <w:rFonts w:ascii="Times New Roman" w:hAnsi="Times New Roman"/>
                <w:b/>
                <w:bCs/>
                <w:sz w:val="24"/>
                <w:szCs w:val="24"/>
                <w:lang w:val="ro-MD"/>
              </w:rPr>
            </w:pPr>
            <w:r w:rsidRPr="00D11C4E">
              <w:rPr>
                <w:rFonts w:ascii="Times New Roman" w:hAnsi="Times New Roman"/>
                <w:b/>
                <w:bCs/>
                <w:sz w:val="24"/>
                <w:szCs w:val="24"/>
                <w:lang w:val="ro-MD"/>
              </w:rPr>
              <w:t xml:space="preserve">5. Compatibilitatea proiectului actului normativ cu legislația UE </w:t>
            </w:r>
          </w:p>
        </w:tc>
      </w:tr>
      <w:tr w:rsidR="00DA0DE1" w:rsidRPr="00DA0DE1" w14:paraId="57A6362B" w14:textId="77777777" w:rsidTr="00876045">
        <w:tc>
          <w:tcPr>
            <w:tcW w:w="9109" w:type="dxa"/>
            <w:tcMar>
              <w:top w:w="0" w:type="dxa"/>
              <w:left w:w="108" w:type="dxa"/>
              <w:bottom w:w="0" w:type="dxa"/>
              <w:right w:w="108" w:type="dxa"/>
            </w:tcMar>
          </w:tcPr>
          <w:p w14:paraId="0457F56E" w14:textId="3B871F46" w:rsidR="008E4E2F" w:rsidRDefault="004724AE" w:rsidP="00134CF3">
            <w:pPr>
              <w:spacing w:line="276" w:lineRule="auto"/>
              <w:ind w:firstLine="284"/>
              <w:rPr>
                <w:rFonts w:ascii="Times New Roman" w:hAnsi="Times New Roman"/>
                <w:sz w:val="24"/>
                <w:szCs w:val="24"/>
                <w:lang w:val="ro-MD"/>
              </w:rPr>
            </w:pPr>
            <w:r w:rsidRPr="00D11C4E">
              <w:rPr>
                <w:rFonts w:ascii="Times New Roman" w:hAnsi="Times New Roman"/>
                <w:iCs/>
                <w:sz w:val="24"/>
                <w:szCs w:val="24"/>
                <w:lang w:val="ro-MD"/>
              </w:rPr>
              <w:t xml:space="preserve">Prezentul proiect transpune </w:t>
            </w:r>
            <w:r w:rsidR="005B0F91" w:rsidRPr="00D11C4E">
              <w:rPr>
                <w:rFonts w:ascii="Times New Roman" w:hAnsi="Times New Roman"/>
                <w:iCs/>
                <w:sz w:val="24"/>
                <w:szCs w:val="24"/>
                <w:lang w:val="ro-MD"/>
              </w:rPr>
              <w:t xml:space="preserve">integral </w:t>
            </w:r>
            <w:r w:rsidRPr="00D11C4E">
              <w:rPr>
                <w:rFonts w:ascii="Times New Roman" w:hAnsi="Times New Roman"/>
                <w:iCs/>
                <w:sz w:val="24"/>
                <w:szCs w:val="24"/>
                <w:lang w:val="ro-MD"/>
              </w:rPr>
              <w:t>în legislația națională</w:t>
            </w:r>
            <w:r w:rsidR="00B346C6" w:rsidRPr="00D11C4E">
              <w:rPr>
                <w:rFonts w:ascii="Times New Roman" w:hAnsi="Times New Roman"/>
                <w:iCs/>
                <w:sz w:val="24"/>
                <w:szCs w:val="24"/>
                <w:lang w:val="ro-MD"/>
              </w:rPr>
              <w:t xml:space="preserve"> Anexa nr. </w:t>
            </w:r>
            <w:r w:rsidR="00314EF5" w:rsidRPr="00D11C4E">
              <w:rPr>
                <w:rFonts w:ascii="Times New Roman" w:hAnsi="Times New Roman"/>
                <w:iCs/>
                <w:sz w:val="24"/>
                <w:szCs w:val="24"/>
                <w:lang w:val="ro-MD"/>
              </w:rPr>
              <w:t xml:space="preserve">I și </w:t>
            </w:r>
            <w:r w:rsidR="00B346C6" w:rsidRPr="00D11C4E">
              <w:rPr>
                <w:rFonts w:ascii="Times New Roman" w:hAnsi="Times New Roman"/>
                <w:iCs/>
                <w:sz w:val="24"/>
                <w:szCs w:val="24"/>
                <w:lang w:val="ro-MD"/>
              </w:rPr>
              <w:t xml:space="preserve">II </w:t>
            </w:r>
            <w:r w:rsidR="00B346C6" w:rsidRPr="00D11C4E">
              <w:rPr>
                <w:rFonts w:ascii="Times New Roman" w:hAnsi="Times New Roman"/>
                <w:sz w:val="24"/>
                <w:szCs w:val="24"/>
              </w:rPr>
              <w:t>la</w:t>
            </w:r>
            <w:r w:rsidR="00314EF5" w:rsidRPr="00D11C4E">
              <w:rPr>
                <w:rFonts w:ascii="Times New Roman" w:hAnsi="Times New Roman"/>
                <w:sz w:val="24"/>
                <w:szCs w:val="24"/>
              </w:rPr>
              <w:t xml:space="preserve"> </w:t>
            </w:r>
            <w:proofErr w:type="spellStart"/>
            <w:r w:rsidR="00314EF5" w:rsidRPr="00D11C4E">
              <w:rPr>
                <w:rFonts w:ascii="Times New Roman" w:hAnsi="Times New Roman"/>
                <w:sz w:val="24"/>
                <w:szCs w:val="24"/>
              </w:rPr>
              <w:t>Regulamentul</w:t>
            </w:r>
            <w:proofErr w:type="spellEnd"/>
            <w:r w:rsidR="00314EF5" w:rsidRPr="00D11C4E">
              <w:rPr>
                <w:rFonts w:ascii="Times New Roman" w:hAnsi="Times New Roman"/>
                <w:sz w:val="24"/>
                <w:szCs w:val="24"/>
              </w:rPr>
              <w:t xml:space="preserve"> (UE) 2019/1009 al </w:t>
            </w:r>
            <w:proofErr w:type="spellStart"/>
            <w:r w:rsidR="00314EF5" w:rsidRPr="00D11C4E">
              <w:rPr>
                <w:rFonts w:ascii="Times New Roman" w:hAnsi="Times New Roman"/>
                <w:sz w:val="24"/>
                <w:szCs w:val="24"/>
              </w:rPr>
              <w:t>Parlamentului</w:t>
            </w:r>
            <w:proofErr w:type="spellEnd"/>
            <w:r w:rsidR="00314EF5" w:rsidRPr="00D11C4E">
              <w:rPr>
                <w:rFonts w:ascii="Times New Roman" w:hAnsi="Times New Roman"/>
                <w:sz w:val="24"/>
                <w:szCs w:val="24"/>
              </w:rPr>
              <w:t xml:space="preserve"> European </w:t>
            </w:r>
            <w:proofErr w:type="spellStart"/>
            <w:r w:rsidR="00314EF5" w:rsidRPr="00D11C4E">
              <w:rPr>
                <w:rFonts w:ascii="Times New Roman" w:hAnsi="Times New Roman"/>
                <w:sz w:val="24"/>
                <w:szCs w:val="24"/>
              </w:rPr>
              <w:t>și</w:t>
            </w:r>
            <w:proofErr w:type="spellEnd"/>
            <w:r w:rsidR="00314EF5" w:rsidRPr="00D11C4E">
              <w:rPr>
                <w:rFonts w:ascii="Times New Roman" w:hAnsi="Times New Roman"/>
                <w:sz w:val="24"/>
                <w:szCs w:val="24"/>
              </w:rPr>
              <w:t xml:space="preserve"> al </w:t>
            </w:r>
            <w:proofErr w:type="spellStart"/>
            <w:r w:rsidR="00314EF5" w:rsidRPr="00D11C4E">
              <w:rPr>
                <w:rFonts w:ascii="Times New Roman" w:hAnsi="Times New Roman"/>
                <w:sz w:val="24"/>
                <w:szCs w:val="24"/>
              </w:rPr>
              <w:t>Consiliului</w:t>
            </w:r>
            <w:proofErr w:type="spellEnd"/>
            <w:r w:rsidR="00314EF5" w:rsidRPr="00D11C4E">
              <w:rPr>
                <w:rFonts w:ascii="Times New Roman" w:hAnsi="Times New Roman"/>
                <w:sz w:val="24"/>
                <w:szCs w:val="24"/>
              </w:rPr>
              <w:t xml:space="preserve"> din 5 </w:t>
            </w:r>
            <w:proofErr w:type="spellStart"/>
            <w:r w:rsidR="00314EF5" w:rsidRPr="00D11C4E">
              <w:rPr>
                <w:rFonts w:ascii="Times New Roman" w:hAnsi="Times New Roman"/>
                <w:sz w:val="24"/>
                <w:szCs w:val="24"/>
              </w:rPr>
              <w:t>iunie</w:t>
            </w:r>
            <w:proofErr w:type="spellEnd"/>
            <w:r w:rsidR="00314EF5" w:rsidRPr="00D11C4E">
              <w:rPr>
                <w:rFonts w:ascii="Times New Roman" w:hAnsi="Times New Roman"/>
                <w:sz w:val="24"/>
                <w:szCs w:val="24"/>
              </w:rPr>
              <w:t xml:space="preserve"> 2019 de </w:t>
            </w:r>
            <w:proofErr w:type="spellStart"/>
            <w:r w:rsidR="00314EF5" w:rsidRPr="00D11C4E">
              <w:rPr>
                <w:rFonts w:ascii="Times New Roman" w:hAnsi="Times New Roman"/>
                <w:sz w:val="24"/>
                <w:szCs w:val="24"/>
              </w:rPr>
              <w:t>stabilire</w:t>
            </w:r>
            <w:proofErr w:type="spellEnd"/>
            <w:r w:rsidR="00314EF5" w:rsidRPr="00D11C4E">
              <w:rPr>
                <w:rFonts w:ascii="Times New Roman" w:hAnsi="Times New Roman"/>
                <w:sz w:val="24"/>
                <w:szCs w:val="24"/>
              </w:rPr>
              <w:t xml:space="preserve"> a </w:t>
            </w:r>
            <w:proofErr w:type="spellStart"/>
            <w:r w:rsidR="00314EF5" w:rsidRPr="00D11C4E">
              <w:rPr>
                <w:rFonts w:ascii="Times New Roman" w:hAnsi="Times New Roman"/>
                <w:sz w:val="24"/>
                <w:szCs w:val="24"/>
              </w:rPr>
              <w:t>normelor</w:t>
            </w:r>
            <w:proofErr w:type="spellEnd"/>
            <w:r w:rsidR="00314EF5" w:rsidRPr="00D11C4E">
              <w:rPr>
                <w:rFonts w:ascii="Times New Roman" w:hAnsi="Times New Roman"/>
                <w:sz w:val="24"/>
                <w:szCs w:val="24"/>
              </w:rPr>
              <w:t xml:space="preserve"> </w:t>
            </w:r>
            <w:proofErr w:type="spellStart"/>
            <w:r w:rsidR="00314EF5" w:rsidRPr="00D11C4E">
              <w:rPr>
                <w:rFonts w:ascii="Times New Roman" w:hAnsi="Times New Roman"/>
                <w:sz w:val="24"/>
                <w:szCs w:val="24"/>
              </w:rPr>
              <w:t>privind</w:t>
            </w:r>
            <w:proofErr w:type="spellEnd"/>
            <w:r w:rsidR="00314EF5" w:rsidRPr="00D11C4E">
              <w:rPr>
                <w:rFonts w:ascii="Times New Roman" w:hAnsi="Times New Roman"/>
                <w:sz w:val="24"/>
                <w:szCs w:val="24"/>
              </w:rPr>
              <w:t xml:space="preserve"> </w:t>
            </w:r>
            <w:proofErr w:type="spellStart"/>
            <w:r w:rsidR="00314EF5" w:rsidRPr="00D11C4E">
              <w:rPr>
                <w:rFonts w:ascii="Times New Roman" w:hAnsi="Times New Roman"/>
                <w:sz w:val="24"/>
                <w:szCs w:val="24"/>
              </w:rPr>
              <w:t>punerea</w:t>
            </w:r>
            <w:proofErr w:type="spellEnd"/>
            <w:r w:rsidR="00314EF5" w:rsidRPr="00D11C4E">
              <w:rPr>
                <w:rFonts w:ascii="Times New Roman" w:hAnsi="Times New Roman"/>
                <w:sz w:val="24"/>
                <w:szCs w:val="24"/>
              </w:rPr>
              <w:t xml:space="preserve"> la </w:t>
            </w:r>
            <w:proofErr w:type="spellStart"/>
            <w:r w:rsidR="00314EF5" w:rsidRPr="00D11C4E">
              <w:rPr>
                <w:rFonts w:ascii="Times New Roman" w:hAnsi="Times New Roman"/>
                <w:sz w:val="24"/>
                <w:szCs w:val="24"/>
              </w:rPr>
              <w:t>dispoziție</w:t>
            </w:r>
            <w:proofErr w:type="spellEnd"/>
            <w:r w:rsidR="00314EF5" w:rsidRPr="00D11C4E">
              <w:rPr>
                <w:rFonts w:ascii="Times New Roman" w:hAnsi="Times New Roman"/>
                <w:sz w:val="24"/>
                <w:szCs w:val="24"/>
              </w:rPr>
              <w:t xml:space="preserve"> pe </w:t>
            </w:r>
            <w:proofErr w:type="spellStart"/>
            <w:r w:rsidR="00314EF5" w:rsidRPr="00D11C4E">
              <w:rPr>
                <w:rFonts w:ascii="Times New Roman" w:hAnsi="Times New Roman"/>
                <w:sz w:val="24"/>
                <w:szCs w:val="24"/>
              </w:rPr>
              <w:t>piață</w:t>
            </w:r>
            <w:proofErr w:type="spellEnd"/>
            <w:r w:rsidR="00314EF5" w:rsidRPr="00D11C4E">
              <w:rPr>
                <w:rFonts w:ascii="Times New Roman" w:hAnsi="Times New Roman"/>
                <w:sz w:val="24"/>
                <w:szCs w:val="24"/>
              </w:rPr>
              <w:t xml:space="preserve"> a </w:t>
            </w:r>
            <w:proofErr w:type="spellStart"/>
            <w:r w:rsidR="00314EF5" w:rsidRPr="00D11C4E">
              <w:rPr>
                <w:rFonts w:ascii="Times New Roman" w:hAnsi="Times New Roman"/>
                <w:sz w:val="24"/>
                <w:szCs w:val="24"/>
              </w:rPr>
              <w:t>produselor</w:t>
            </w:r>
            <w:proofErr w:type="spellEnd"/>
            <w:r w:rsidR="00314EF5" w:rsidRPr="00D11C4E">
              <w:rPr>
                <w:rFonts w:ascii="Times New Roman" w:hAnsi="Times New Roman"/>
                <w:sz w:val="24"/>
                <w:szCs w:val="24"/>
              </w:rPr>
              <w:t xml:space="preserve"> </w:t>
            </w:r>
            <w:proofErr w:type="spellStart"/>
            <w:r w:rsidR="00314EF5" w:rsidRPr="00D11C4E">
              <w:rPr>
                <w:rFonts w:ascii="Times New Roman" w:hAnsi="Times New Roman"/>
                <w:sz w:val="24"/>
                <w:szCs w:val="24"/>
              </w:rPr>
              <w:t>fertilizante</w:t>
            </w:r>
            <w:proofErr w:type="spellEnd"/>
            <w:r w:rsidR="00314EF5" w:rsidRPr="00D11C4E">
              <w:rPr>
                <w:rFonts w:ascii="Times New Roman" w:hAnsi="Times New Roman"/>
                <w:sz w:val="24"/>
                <w:szCs w:val="24"/>
              </w:rPr>
              <w:t xml:space="preserve"> UE </w:t>
            </w:r>
            <w:proofErr w:type="spellStart"/>
            <w:r w:rsidR="00314EF5" w:rsidRPr="00D11C4E">
              <w:rPr>
                <w:rFonts w:ascii="Times New Roman" w:hAnsi="Times New Roman"/>
                <w:sz w:val="24"/>
                <w:szCs w:val="24"/>
              </w:rPr>
              <w:t>și</w:t>
            </w:r>
            <w:proofErr w:type="spellEnd"/>
            <w:r w:rsidR="00314EF5" w:rsidRPr="00D11C4E">
              <w:rPr>
                <w:rFonts w:ascii="Times New Roman" w:hAnsi="Times New Roman"/>
                <w:sz w:val="24"/>
                <w:szCs w:val="24"/>
              </w:rPr>
              <w:t xml:space="preserve"> de </w:t>
            </w:r>
            <w:proofErr w:type="spellStart"/>
            <w:r w:rsidR="00314EF5" w:rsidRPr="00D11C4E">
              <w:rPr>
                <w:rFonts w:ascii="Times New Roman" w:hAnsi="Times New Roman"/>
                <w:sz w:val="24"/>
                <w:szCs w:val="24"/>
              </w:rPr>
              <w:t>modificare</w:t>
            </w:r>
            <w:proofErr w:type="spellEnd"/>
            <w:r w:rsidR="00314EF5" w:rsidRPr="00D11C4E">
              <w:rPr>
                <w:rFonts w:ascii="Times New Roman" w:hAnsi="Times New Roman"/>
                <w:sz w:val="24"/>
                <w:szCs w:val="24"/>
              </w:rPr>
              <w:t xml:space="preserve"> a </w:t>
            </w:r>
            <w:proofErr w:type="spellStart"/>
            <w:r w:rsidR="00314EF5" w:rsidRPr="00D11C4E">
              <w:rPr>
                <w:rFonts w:ascii="Times New Roman" w:hAnsi="Times New Roman"/>
                <w:sz w:val="24"/>
                <w:szCs w:val="24"/>
              </w:rPr>
              <w:t>Regulamentelor</w:t>
            </w:r>
            <w:proofErr w:type="spellEnd"/>
            <w:r w:rsidR="00314EF5" w:rsidRPr="00D11C4E">
              <w:rPr>
                <w:rFonts w:ascii="Times New Roman" w:hAnsi="Times New Roman"/>
                <w:sz w:val="24"/>
                <w:szCs w:val="24"/>
              </w:rPr>
              <w:t xml:space="preserve"> (CE) nr. 1069/2009 </w:t>
            </w:r>
            <w:proofErr w:type="spellStart"/>
            <w:r w:rsidR="00314EF5" w:rsidRPr="00D11C4E">
              <w:rPr>
                <w:rFonts w:ascii="Times New Roman" w:hAnsi="Times New Roman"/>
                <w:sz w:val="24"/>
                <w:szCs w:val="24"/>
              </w:rPr>
              <w:t>și</w:t>
            </w:r>
            <w:proofErr w:type="spellEnd"/>
            <w:r w:rsidR="00314EF5" w:rsidRPr="00D11C4E">
              <w:rPr>
                <w:rFonts w:ascii="Times New Roman" w:hAnsi="Times New Roman"/>
                <w:sz w:val="24"/>
                <w:szCs w:val="24"/>
              </w:rPr>
              <w:t xml:space="preserve"> (CE) nr. 1107/2009 </w:t>
            </w:r>
            <w:proofErr w:type="spellStart"/>
            <w:r w:rsidR="00314EF5" w:rsidRPr="00D11C4E">
              <w:rPr>
                <w:rFonts w:ascii="Times New Roman" w:hAnsi="Times New Roman"/>
                <w:sz w:val="24"/>
                <w:szCs w:val="24"/>
              </w:rPr>
              <w:t>și</w:t>
            </w:r>
            <w:proofErr w:type="spellEnd"/>
            <w:r w:rsidR="00314EF5" w:rsidRPr="00D11C4E">
              <w:rPr>
                <w:rFonts w:ascii="Times New Roman" w:hAnsi="Times New Roman"/>
                <w:sz w:val="24"/>
                <w:szCs w:val="24"/>
              </w:rPr>
              <w:t xml:space="preserve"> de </w:t>
            </w:r>
            <w:proofErr w:type="spellStart"/>
            <w:r w:rsidR="00314EF5" w:rsidRPr="00D11C4E">
              <w:rPr>
                <w:rFonts w:ascii="Times New Roman" w:hAnsi="Times New Roman"/>
                <w:sz w:val="24"/>
                <w:szCs w:val="24"/>
              </w:rPr>
              <w:t>abrogare</w:t>
            </w:r>
            <w:proofErr w:type="spellEnd"/>
            <w:r w:rsidR="00314EF5" w:rsidRPr="00D11C4E">
              <w:rPr>
                <w:rFonts w:ascii="Times New Roman" w:hAnsi="Times New Roman"/>
                <w:sz w:val="24"/>
                <w:szCs w:val="24"/>
              </w:rPr>
              <w:t xml:space="preserve"> a </w:t>
            </w:r>
            <w:proofErr w:type="spellStart"/>
            <w:r w:rsidR="00314EF5" w:rsidRPr="00D11C4E">
              <w:rPr>
                <w:rFonts w:ascii="Times New Roman" w:hAnsi="Times New Roman"/>
                <w:sz w:val="24"/>
                <w:szCs w:val="24"/>
              </w:rPr>
              <w:t>Regulamentului</w:t>
            </w:r>
            <w:proofErr w:type="spellEnd"/>
            <w:r w:rsidR="00314EF5" w:rsidRPr="00D11C4E">
              <w:rPr>
                <w:rFonts w:ascii="Times New Roman" w:hAnsi="Times New Roman"/>
                <w:sz w:val="24"/>
                <w:szCs w:val="24"/>
              </w:rPr>
              <w:t xml:space="preserve"> (CE) nr. 2003/2003</w:t>
            </w:r>
            <w:r w:rsidR="00243C6C" w:rsidRPr="00D11C4E">
              <w:rPr>
                <w:rFonts w:ascii="Times New Roman" w:hAnsi="Times New Roman"/>
                <w:sz w:val="24"/>
                <w:szCs w:val="24"/>
              </w:rPr>
              <w:t>, CELEX:</w:t>
            </w:r>
            <w:r w:rsidR="00243C6C" w:rsidRPr="00D11C4E">
              <w:t xml:space="preserve"> </w:t>
            </w:r>
            <w:r w:rsidR="00243C6C" w:rsidRPr="00D11C4E">
              <w:rPr>
                <w:rFonts w:ascii="Times New Roman" w:hAnsi="Times New Roman"/>
                <w:sz w:val="24"/>
                <w:szCs w:val="24"/>
              </w:rPr>
              <w:t xml:space="preserve">32019R1009, </w:t>
            </w:r>
            <w:proofErr w:type="spellStart"/>
            <w:r w:rsidR="00243C6C" w:rsidRPr="00D11C4E">
              <w:rPr>
                <w:rFonts w:ascii="Times New Roman" w:hAnsi="Times New Roman"/>
                <w:sz w:val="24"/>
                <w:szCs w:val="24"/>
              </w:rPr>
              <w:t>publicat</w:t>
            </w:r>
            <w:proofErr w:type="spellEnd"/>
            <w:r w:rsidR="00243C6C" w:rsidRPr="00D11C4E">
              <w:rPr>
                <w:rFonts w:ascii="Times New Roman" w:hAnsi="Times New Roman"/>
                <w:sz w:val="24"/>
                <w:szCs w:val="24"/>
              </w:rPr>
              <w:t xml:space="preserve"> </w:t>
            </w:r>
            <w:proofErr w:type="spellStart"/>
            <w:r w:rsidR="00243C6C" w:rsidRPr="00D11C4E">
              <w:rPr>
                <w:rFonts w:ascii="Times New Roman" w:hAnsi="Times New Roman"/>
                <w:sz w:val="24"/>
                <w:szCs w:val="24"/>
              </w:rPr>
              <w:t>în</w:t>
            </w:r>
            <w:proofErr w:type="spellEnd"/>
            <w:r w:rsidR="00243C6C" w:rsidRPr="00D11C4E">
              <w:rPr>
                <w:rFonts w:ascii="Times New Roman" w:hAnsi="Times New Roman"/>
                <w:sz w:val="24"/>
                <w:szCs w:val="24"/>
              </w:rPr>
              <w:t xml:space="preserve"> </w:t>
            </w:r>
            <w:proofErr w:type="spellStart"/>
            <w:r w:rsidR="00243C6C" w:rsidRPr="00D11C4E">
              <w:rPr>
                <w:rFonts w:ascii="Times New Roman" w:hAnsi="Times New Roman"/>
                <w:sz w:val="24"/>
                <w:szCs w:val="24"/>
              </w:rPr>
              <w:t>Jurnalul</w:t>
            </w:r>
            <w:proofErr w:type="spellEnd"/>
            <w:r w:rsidR="00243C6C" w:rsidRPr="00D11C4E">
              <w:rPr>
                <w:rFonts w:ascii="Times New Roman" w:hAnsi="Times New Roman"/>
                <w:sz w:val="24"/>
                <w:szCs w:val="24"/>
              </w:rPr>
              <w:t xml:space="preserve"> </w:t>
            </w:r>
            <w:proofErr w:type="spellStart"/>
            <w:r w:rsidR="00243C6C" w:rsidRPr="00D11C4E">
              <w:rPr>
                <w:rFonts w:ascii="Times New Roman" w:hAnsi="Times New Roman"/>
                <w:sz w:val="24"/>
                <w:szCs w:val="24"/>
              </w:rPr>
              <w:t>Oficial</w:t>
            </w:r>
            <w:proofErr w:type="spellEnd"/>
            <w:r w:rsidR="00243C6C" w:rsidRPr="00D11C4E">
              <w:rPr>
                <w:rFonts w:ascii="Times New Roman" w:hAnsi="Times New Roman"/>
                <w:sz w:val="24"/>
                <w:szCs w:val="24"/>
              </w:rPr>
              <w:t xml:space="preserve"> nr. </w:t>
            </w:r>
            <w:r w:rsidR="001479F2" w:rsidRPr="00D11C4E">
              <w:rPr>
                <w:rFonts w:ascii="Times New Roman" w:hAnsi="Times New Roman"/>
                <w:sz w:val="24"/>
                <w:szCs w:val="24"/>
              </w:rPr>
              <w:t>L 170/1</w:t>
            </w:r>
            <w:r w:rsidR="00E61F86" w:rsidRPr="00D11C4E">
              <w:rPr>
                <w:rFonts w:ascii="Times New Roman" w:hAnsi="Times New Roman"/>
                <w:sz w:val="24"/>
                <w:szCs w:val="24"/>
              </w:rPr>
              <w:t xml:space="preserve"> </w:t>
            </w:r>
            <w:r w:rsidR="005B6315" w:rsidRPr="00D11C4E">
              <w:rPr>
                <w:rFonts w:ascii="Times New Roman" w:hAnsi="Times New Roman"/>
                <w:sz w:val="24"/>
                <w:szCs w:val="24"/>
              </w:rPr>
              <w:t>din</w:t>
            </w:r>
            <w:r w:rsidR="00E61F86" w:rsidRPr="00D11C4E">
              <w:rPr>
                <w:rFonts w:ascii="Times New Roman" w:hAnsi="Times New Roman"/>
                <w:sz w:val="24"/>
                <w:szCs w:val="24"/>
              </w:rPr>
              <w:t xml:space="preserve"> 26 </w:t>
            </w:r>
            <w:proofErr w:type="spellStart"/>
            <w:r w:rsidR="005B6315" w:rsidRPr="00D11C4E">
              <w:rPr>
                <w:rFonts w:ascii="Times New Roman" w:hAnsi="Times New Roman"/>
                <w:sz w:val="24"/>
                <w:szCs w:val="24"/>
              </w:rPr>
              <w:t>iunie</w:t>
            </w:r>
            <w:proofErr w:type="spellEnd"/>
            <w:r w:rsidR="00E61F86" w:rsidRPr="00D11C4E">
              <w:rPr>
                <w:rFonts w:ascii="Times New Roman" w:hAnsi="Times New Roman"/>
                <w:sz w:val="24"/>
                <w:szCs w:val="24"/>
              </w:rPr>
              <w:t xml:space="preserve"> 2019</w:t>
            </w:r>
            <w:r w:rsidR="005B6315" w:rsidRPr="00D11C4E">
              <w:rPr>
                <w:rFonts w:ascii="Times New Roman" w:hAnsi="Times New Roman"/>
                <w:sz w:val="24"/>
                <w:szCs w:val="24"/>
              </w:rPr>
              <w:t xml:space="preserve">, </w:t>
            </w:r>
            <w:proofErr w:type="spellStart"/>
            <w:r w:rsidR="005B6315" w:rsidRPr="00D11C4E">
              <w:rPr>
                <w:rFonts w:ascii="Times New Roman" w:hAnsi="Times New Roman"/>
                <w:sz w:val="24"/>
                <w:szCs w:val="24"/>
              </w:rPr>
              <w:t>astfel</w:t>
            </w:r>
            <w:proofErr w:type="spellEnd"/>
            <w:r w:rsidR="005B6315" w:rsidRPr="00D11C4E">
              <w:rPr>
                <w:rFonts w:ascii="Times New Roman" w:hAnsi="Times New Roman"/>
                <w:sz w:val="24"/>
                <w:szCs w:val="24"/>
              </w:rPr>
              <w:t xml:space="preserve"> cum a </w:t>
            </w:r>
            <w:proofErr w:type="spellStart"/>
            <w:r w:rsidR="005B6315" w:rsidRPr="00D11C4E">
              <w:rPr>
                <w:rFonts w:ascii="Times New Roman" w:hAnsi="Times New Roman"/>
                <w:sz w:val="24"/>
                <w:szCs w:val="24"/>
              </w:rPr>
              <w:t>fost</w:t>
            </w:r>
            <w:proofErr w:type="spellEnd"/>
            <w:r w:rsidR="005B6315" w:rsidRPr="00D11C4E">
              <w:rPr>
                <w:rFonts w:ascii="Times New Roman" w:hAnsi="Times New Roman"/>
                <w:sz w:val="24"/>
                <w:szCs w:val="24"/>
              </w:rPr>
              <w:t xml:space="preserve"> </w:t>
            </w:r>
            <w:proofErr w:type="spellStart"/>
            <w:r w:rsidR="005B6315" w:rsidRPr="00D11C4E">
              <w:rPr>
                <w:rFonts w:ascii="Times New Roman" w:hAnsi="Times New Roman"/>
                <w:sz w:val="24"/>
                <w:szCs w:val="24"/>
              </w:rPr>
              <w:t>modificat</w:t>
            </w:r>
            <w:proofErr w:type="spellEnd"/>
            <w:r w:rsidR="005B6315" w:rsidRPr="00D11C4E">
              <w:rPr>
                <w:rFonts w:ascii="Times New Roman" w:hAnsi="Times New Roman"/>
                <w:sz w:val="24"/>
                <w:szCs w:val="24"/>
              </w:rPr>
              <w:t xml:space="preserve"> ultima </w:t>
            </w:r>
            <w:proofErr w:type="spellStart"/>
            <w:r w:rsidR="005B6315" w:rsidRPr="00D11C4E">
              <w:rPr>
                <w:rFonts w:ascii="Times New Roman" w:hAnsi="Times New Roman"/>
                <w:sz w:val="24"/>
                <w:szCs w:val="24"/>
              </w:rPr>
              <w:t>oară</w:t>
            </w:r>
            <w:proofErr w:type="spellEnd"/>
            <w:r w:rsidR="005B6315" w:rsidRPr="00D11C4E">
              <w:rPr>
                <w:rFonts w:ascii="Times New Roman" w:hAnsi="Times New Roman"/>
                <w:sz w:val="24"/>
                <w:szCs w:val="24"/>
              </w:rPr>
              <w:t xml:space="preserve"> </w:t>
            </w:r>
            <w:proofErr w:type="spellStart"/>
            <w:r w:rsidR="005B6315" w:rsidRPr="00D11C4E">
              <w:rPr>
                <w:rFonts w:ascii="Times New Roman" w:hAnsi="Times New Roman"/>
                <w:sz w:val="24"/>
                <w:szCs w:val="24"/>
              </w:rPr>
              <w:t>prin</w:t>
            </w:r>
            <w:proofErr w:type="spellEnd"/>
            <w:r w:rsidR="005B6315" w:rsidRPr="00D11C4E">
              <w:rPr>
                <w:rFonts w:ascii="Times New Roman" w:hAnsi="Times New Roman"/>
                <w:sz w:val="24"/>
                <w:szCs w:val="24"/>
              </w:rPr>
              <w:t xml:space="preserve"> </w:t>
            </w:r>
            <w:proofErr w:type="spellStart"/>
            <w:r w:rsidR="00134CF3" w:rsidRPr="00D11C4E">
              <w:rPr>
                <w:rFonts w:ascii="Times New Roman" w:hAnsi="Times New Roman"/>
                <w:sz w:val="24"/>
                <w:szCs w:val="24"/>
              </w:rPr>
              <w:t>Regulamentul</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Delegat</w:t>
            </w:r>
            <w:proofErr w:type="spellEnd"/>
            <w:r w:rsidR="00134CF3" w:rsidRPr="00D11C4E">
              <w:rPr>
                <w:rFonts w:ascii="Times New Roman" w:hAnsi="Times New Roman"/>
                <w:sz w:val="24"/>
                <w:szCs w:val="24"/>
              </w:rPr>
              <w:t xml:space="preserve"> (UE) 2024/2787 al </w:t>
            </w:r>
            <w:proofErr w:type="spellStart"/>
            <w:r w:rsidR="00134CF3" w:rsidRPr="00D11C4E">
              <w:rPr>
                <w:rFonts w:ascii="Times New Roman" w:hAnsi="Times New Roman"/>
                <w:sz w:val="24"/>
                <w:szCs w:val="24"/>
              </w:rPr>
              <w:t>Comisiei</w:t>
            </w:r>
            <w:proofErr w:type="spellEnd"/>
            <w:r w:rsidR="00134CF3" w:rsidRPr="00D11C4E">
              <w:rPr>
                <w:rFonts w:ascii="Times New Roman" w:hAnsi="Times New Roman"/>
                <w:sz w:val="24"/>
                <w:szCs w:val="24"/>
              </w:rPr>
              <w:t xml:space="preserve"> din 23 </w:t>
            </w:r>
            <w:proofErr w:type="spellStart"/>
            <w:r w:rsidR="00134CF3" w:rsidRPr="00D11C4E">
              <w:rPr>
                <w:rFonts w:ascii="Times New Roman" w:hAnsi="Times New Roman"/>
                <w:sz w:val="24"/>
                <w:szCs w:val="24"/>
              </w:rPr>
              <w:t>iulie</w:t>
            </w:r>
            <w:proofErr w:type="spellEnd"/>
            <w:r w:rsidR="00134CF3" w:rsidRPr="00D11C4E">
              <w:rPr>
                <w:rFonts w:ascii="Times New Roman" w:hAnsi="Times New Roman"/>
                <w:sz w:val="24"/>
                <w:szCs w:val="24"/>
              </w:rPr>
              <w:t xml:space="preserve"> 2024 de </w:t>
            </w:r>
            <w:proofErr w:type="spellStart"/>
            <w:r w:rsidR="00134CF3" w:rsidRPr="00D11C4E">
              <w:rPr>
                <w:rFonts w:ascii="Times New Roman" w:hAnsi="Times New Roman"/>
                <w:sz w:val="24"/>
                <w:szCs w:val="24"/>
              </w:rPr>
              <w:t>modificare</w:t>
            </w:r>
            <w:proofErr w:type="spellEnd"/>
            <w:r w:rsidR="00134CF3" w:rsidRPr="00D11C4E">
              <w:rPr>
                <w:rFonts w:ascii="Times New Roman" w:hAnsi="Times New Roman"/>
                <w:sz w:val="24"/>
                <w:szCs w:val="24"/>
              </w:rPr>
              <w:t xml:space="preserve"> a </w:t>
            </w:r>
            <w:proofErr w:type="spellStart"/>
            <w:r w:rsidR="00134CF3" w:rsidRPr="00D11C4E">
              <w:rPr>
                <w:rFonts w:ascii="Times New Roman" w:hAnsi="Times New Roman"/>
                <w:sz w:val="24"/>
                <w:szCs w:val="24"/>
              </w:rPr>
              <w:t>Regulamentului</w:t>
            </w:r>
            <w:proofErr w:type="spellEnd"/>
            <w:r w:rsidR="00134CF3" w:rsidRPr="00D11C4E">
              <w:rPr>
                <w:rFonts w:ascii="Times New Roman" w:hAnsi="Times New Roman"/>
                <w:sz w:val="24"/>
                <w:szCs w:val="24"/>
              </w:rPr>
              <w:t xml:space="preserve"> (UE) 2019/1009 al </w:t>
            </w:r>
            <w:proofErr w:type="spellStart"/>
            <w:r w:rsidR="00134CF3" w:rsidRPr="00D11C4E">
              <w:rPr>
                <w:rFonts w:ascii="Times New Roman" w:hAnsi="Times New Roman"/>
                <w:sz w:val="24"/>
                <w:szCs w:val="24"/>
              </w:rPr>
              <w:t>Parlamentului</w:t>
            </w:r>
            <w:proofErr w:type="spellEnd"/>
            <w:r w:rsidR="00134CF3" w:rsidRPr="00D11C4E">
              <w:rPr>
                <w:rFonts w:ascii="Times New Roman" w:hAnsi="Times New Roman"/>
                <w:sz w:val="24"/>
                <w:szCs w:val="24"/>
              </w:rPr>
              <w:t xml:space="preserve"> European </w:t>
            </w:r>
            <w:proofErr w:type="spellStart"/>
            <w:r w:rsidR="00134CF3" w:rsidRPr="00D11C4E">
              <w:rPr>
                <w:rFonts w:ascii="Times New Roman" w:hAnsi="Times New Roman"/>
                <w:sz w:val="24"/>
                <w:szCs w:val="24"/>
              </w:rPr>
              <w:t>și</w:t>
            </w:r>
            <w:proofErr w:type="spellEnd"/>
            <w:r w:rsidR="00134CF3" w:rsidRPr="00D11C4E">
              <w:rPr>
                <w:rFonts w:ascii="Times New Roman" w:hAnsi="Times New Roman"/>
                <w:sz w:val="24"/>
                <w:szCs w:val="24"/>
              </w:rPr>
              <w:t xml:space="preserve"> al </w:t>
            </w:r>
            <w:proofErr w:type="spellStart"/>
            <w:r w:rsidR="00134CF3" w:rsidRPr="00D11C4E">
              <w:rPr>
                <w:rFonts w:ascii="Times New Roman" w:hAnsi="Times New Roman"/>
                <w:sz w:val="24"/>
                <w:szCs w:val="24"/>
              </w:rPr>
              <w:t>Consiliului</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în</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ceea</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ce</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privește</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includerea</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foliilor</w:t>
            </w:r>
            <w:proofErr w:type="spellEnd"/>
            <w:r w:rsidR="00134CF3" w:rsidRPr="00D11C4E">
              <w:rPr>
                <w:rFonts w:ascii="Times New Roman" w:hAnsi="Times New Roman"/>
                <w:sz w:val="24"/>
                <w:szCs w:val="24"/>
              </w:rPr>
              <w:t xml:space="preserve"> de </w:t>
            </w:r>
            <w:proofErr w:type="spellStart"/>
            <w:r w:rsidR="00134CF3" w:rsidRPr="00D11C4E">
              <w:rPr>
                <w:rFonts w:ascii="Times New Roman" w:hAnsi="Times New Roman"/>
                <w:sz w:val="24"/>
                <w:szCs w:val="24"/>
              </w:rPr>
              <w:t>mulcire</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în</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categoria</w:t>
            </w:r>
            <w:proofErr w:type="spellEnd"/>
            <w:r w:rsidR="00134CF3" w:rsidRPr="00D11C4E">
              <w:rPr>
                <w:rFonts w:ascii="Times New Roman" w:hAnsi="Times New Roman"/>
                <w:sz w:val="24"/>
                <w:szCs w:val="24"/>
              </w:rPr>
              <w:t xml:space="preserve"> de </w:t>
            </w:r>
            <w:proofErr w:type="spellStart"/>
            <w:r w:rsidR="00134CF3" w:rsidRPr="00D11C4E">
              <w:rPr>
                <w:rFonts w:ascii="Times New Roman" w:hAnsi="Times New Roman"/>
                <w:sz w:val="24"/>
                <w:szCs w:val="24"/>
              </w:rPr>
              <w:t>materii</w:t>
            </w:r>
            <w:proofErr w:type="spellEnd"/>
            <w:r w:rsidR="00134CF3" w:rsidRPr="00D11C4E">
              <w:rPr>
                <w:rFonts w:ascii="Times New Roman" w:hAnsi="Times New Roman"/>
                <w:sz w:val="24"/>
                <w:szCs w:val="24"/>
              </w:rPr>
              <w:t xml:space="preserve"> </w:t>
            </w:r>
            <w:proofErr w:type="spellStart"/>
            <w:r w:rsidR="00134CF3" w:rsidRPr="00D11C4E">
              <w:rPr>
                <w:rFonts w:ascii="Times New Roman" w:hAnsi="Times New Roman"/>
                <w:sz w:val="24"/>
                <w:szCs w:val="24"/>
              </w:rPr>
              <w:t>componente</w:t>
            </w:r>
            <w:proofErr w:type="spellEnd"/>
            <w:r w:rsidR="00134CF3" w:rsidRPr="00D11C4E">
              <w:rPr>
                <w:rFonts w:ascii="Times New Roman" w:hAnsi="Times New Roman"/>
                <w:sz w:val="24"/>
                <w:szCs w:val="24"/>
              </w:rPr>
              <w:t xml:space="preserve"> 9, CELEX: 32024R2787 </w:t>
            </w:r>
            <w:r w:rsidR="00134CF3" w:rsidRPr="00D11C4E">
              <w:rPr>
                <w:rFonts w:ascii="Times New Roman" w:hAnsi="Times New Roman"/>
                <w:sz w:val="24"/>
                <w:szCs w:val="24"/>
                <w:lang w:val="ro-MD"/>
              </w:rPr>
              <w:t xml:space="preserve">publicat în Jurnalul Oficial al Uniunii Europene </w:t>
            </w:r>
            <w:r w:rsidR="0025096B" w:rsidRPr="00D11C4E">
              <w:rPr>
                <w:rFonts w:ascii="Times New Roman" w:hAnsi="Times New Roman"/>
                <w:sz w:val="24"/>
                <w:szCs w:val="24"/>
                <w:lang w:val="ro-MD"/>
              </w:rPr>
              <w:t>Seria L din 31 octombrie 2024.</w:t>
            </w:r>
          </w:p>
          <w:p w14:paraId="49C78C1B" w14:textId="1B6F66E5" w:rsidR="00DF280D" w:rsidRPr="00404D20" w:rsidRDefault="00DF280D" w:rsidP="00404D20">
            <w:pPr>
              <w:ind w:firstLine="426"/>
              <w:rPr>
                <w:rFonts w:eastAsia="Arial"/>
                <w:sz w:val="28"/>
                <w:szCs w:val="28"/>
                <w:lang w:val="ro-RO" w:eastAsia="ro-RO"/>
              </w:rPr>
            </w:pPr>
            <w:proofErr w:type="spellStart"/>
            <w:r>
              <w:rPr>
                <w:rFonts w:ascii="Times New Roman" w:hAnsi="Times New Roman"/>
                <w:sz w:val="24"/>
                <w:szCs w:val="24"/>
              </w:rPr>
              <w:t>Totodată</w:t>
            </w:r>
            <w:proofErr w:type="spellEnd"/>
            <w:r>
              <w:rPr>
                <w:rFonts w:ascii="Times New Roman" w:hAnsi="Times New Roman"/>
                <w:sz w:val="24"/>
                <w:szCs w:val="24"/>
              </w:rPr>
              <w:t xml:space="preserve">, </w:t>
            </w:r>
            <w:r w:rsidR="00663D91" w:rsidRPr="00663D91">
              <w:rPr>
                <w:rFonts w:ascii="Times New Roman" w:eastAsia="Arial" w:hAnsi="Times New Roman"/>
                <w:sz w:val="24"/>
                <w:szCs w:val="24"/>
                <w:lang w:val="ro-RO" w:eastAsia="ro-RO"/>
              </w:rPr>
              <w:t>transpune noțiunea „</w:t>
            </w:r>
            <w:r w:rsidR="00663D91" w:rsidRPr="00663D91">
              <w:rPr>
                <w:rFonts w:ascii="Times New Roman" w:eastAsia="Arial" w:hAnsi="Times New Roman"/>
                <w:color w:val="000000"/>
                <w:sz w:val="24"/>
                <w:szCs w:val="24"/>
                <w:shd w:val="clear" w:color="auto" w:fill="FFFFFF"/>
                <w:lang w:val="ro-RO" w:eastAsia="ro-RO"/>
              </w:rPr>
              <w:t>substanță nemodificată chimic”</w:t>
            </w:r>
            <w:r w:rsidR="00663D91" w:rsidRPr="00663D91">
              <w:rPr>
                <w:rFonts w:ascii="Times New Roman" w:eastAsia="Arial" w:hAnsi="Times New Roman"/>
                <w:sz w:val="24"/>
                <w:szCs w:val="24"/>
                <w:lang w:val="ro-RO" w:eastAsia="ro-RO"/>
              </w:rPr>
              <w:t xml:space="preserve"> din art. 3 alin. (40) al Regulamentul (CE) nr. 1907/2006 al Parlamentului European și al Consiliului </w:t>
            </w:r>
            <w:r w:rsidR="009A2F6F">
              <w:rPr>
                <w:rFonts w:ascii="Times New Roman" w:eastAsia="Arial" w:hAnsi="Times New Roman"/>
                <w:sz w:val="24"/>
                <w:szCs w:val="24"/>
                <w:lang w:val="ro-RO" w:eastAsia="ro-RO"/>
              </w:rPr>
              <w:t>d</w:t>
            </w:r>
            <w:r w:rsidR="00663D91" w:rsidRPr="00663D91">
              <w:rPr>
                <w:rFonts w:ascii="Times New Roman" w:eastAsia="Arial" w:hAnsi="Times New Roman"/>
                <w:sz w:val="24"/>
                <w:szCs w:val="24"/>
                <w:lang w:val="ro-RO" w:eastAsia="ro-RO"/>
              </w:rPr>
              <w:t xml:space="preserve">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CELEX: 32006R1907, publicat în Jurnalul oficial nr. L 396/1 DIN 30 DECEMBRIE 2006, astfel cum a fost modificat ultima oară prin Regulamentul (UE) 2025/1090 al Comisiei din 2 iunie 2025 de modificare a anexei XVII la Regulamentul (CE) nr. 1907/2006 al Parlamentului </w:t>
            </w:r>
            <w:r w:rsidR="00663D91" w:rsidRPr="00663D91">
              <w:rPr>
                <w:rFonts w:ascii="Times New Roman" w:eastAsia="Arial" w:hAnsi="Times New Roman"/>
                <w:sz w:val="24"/>
                <w:szCs w:val="24"/>
                <w:lang w:val="ro-RO" w:eastAsia="ro-RO"/>
              </w:rPr>
              <w:lastRenderedPageBreak/>
              <w:t>European și al Consiliului în ceea ce privește N,N-</w:t>
            </w:r>
            <w:proofErr w:type="spellStart"/>
            <w:r w:rsidR="00663D91" w:rsidRPr="00663D91">
              <w:rPr>
                <w:rFonts w:ascii="Times New Roman" w:eastAsia="Arial" w:hAnsi="Times New Roman"/>
                <w:sz w:val="24"/>
                <w:szCs w:val="24"/>
                <w:lang w:val="ro-RO" w:eastAsia="ro-RO"/>
              </w:rPr>
              <w:t>dimetilacetamida</w:t>
            </w:r>
            <w:proofErr w:type="spellEnd"/>
            <w:r w:rsidR="00663D91" w:rsidRPr="00663D91">
              <w:rPr>
                <w:rFonts w:ascii="Times New Roman" w:eastAsia="Arial" w:hAnsi="Times New Roman"/>
                <w:sz w:val="24"/>
                <w:szCs w:val="24"/>
                <w:lang w:val="ro-RO" w:eastAsia="ro-RO"/>
              </w:rPr>
              <w:t xml:space="preserve"> (DMAC) și 1-etilpirolidin-2-ona (NEP)</w:t>
            </w:r>
            <w:r w:rsidR="009C7466">
              <w:rPr>
                <w:rFonts w:ascii="Times New Roman" w:eastAsia="Arial" w:hAnsi="Times New Roman"/>
                <w:sz w:val="24"/>
                <w:szCs w:val="24"/>
                <w:lang w:val="ro-RO" w:eastAsia="ro-RO"/>
              </w:rPr>
              <w:t xml:space="preserve">, </w:t>
            </w:r>
            <w:r w:rsidR="00404D20">
              <w:rPr>
                <w:rFonts w:ascii="Times New Roman" w:eastAsia="Arial" w:hAnsi="Times New Roman"/>
                <w:sz w:val="24"/>
                <w:szCs w:val="24"/>
                <w:lang w:val="ro-RO" w:eastAsia="ro-RO"/>
              </w:rPr>
              <w:t xml:space="preserve">din motiv că noțiunea menționată </w:t>
            </w:r>
            <w:r w:rsidR="009A2F6F">
              <w:rPr>
                <w:rFonts w:ascii="Times New Roman" w:eastAsia="Arial" w:hAnsi="Times New Roman"/>
                <w:sz w:val="24"/>
                <w:szCs w:val="24"/>
                <w:lang w:val="ro-RO" w:eastAsia="ro-RO"/>
              </w:rPr>
              <w:t xml:space="preserve">nu este prevăzută în nici-un act național </w:t>
            </w:r>
            <w:r w:rsidR="00697C4C">
              <w:rPr>
                <w:rFonts w:ascii="Times New Roman" w:eastAsia="Arial" w:hAnsi="Times New Roman"/>
                <w:sz w:val="24"/>
                <w:szCs w:val="24"/>
                <w:lang w:val="ro-RO" w:eastAsia="ro-RO"/>
              </w:rPr>
              <w:t>și s-a decis transpunerea ei în prezentul Proiect de ordin</w:t>
            </w:r>
            <w:r w:rsidR="0013785F">
              <w:rPr>
                <w:rFonts w:ascii="Times New Roman" w:eastAsia="Arial" w:hAnsi="Times New Roman"/>
                <w:sz w:val="24"/>
                <w:szCs w:val="24"/>
                <w:lang w:val="ro-RO" w:eastAsia="ro-RO"/>
              </w:rPr>
              <w:t>.</w:t>
            </w:r>
            <w:r w:rsidR="00697C4C">
              <w:rPr>
                <w:rFonts w:ascii="Times New Roman" w:eastAsia="Arial" w:hAnsi="Times New Roman"/>
                <w:sz w:val="24"/>
                <w:szCs w:val="24"/>
                <w:lang w:val="ro-RO" w:eastAsia="ro-RO"/>
              </w:rPr>
              <w:t xml:space="preserve"> </w:t>
            </w:r>
          </w:p>
          <w:p w14:paraId="1B16E043" w14:textId="72EADED1" w:rsidR="008A5342" w:rsidRPr="007D5399" w:rsidRDefault="008A5342" w:rsidP="00642BF5">
            <w:pPr>
              <w:spacing w:line="276" w:lineRule="auto"/>
              <w:ind w:firstLine="284"/>
              <w:rPr>
                <w:rFonts w:ascii="Times New Roman" w:hAnsi="Times New Roman"/>
                <w:iCs/>
                <w:sz w:val="16"/>
                <w:szCs w:val="24"/>
                <w:lang w:val="ro-MD"/>
              </w:rPr>
            </w:pPr>
          </w:p>
        </w:tc>
      </w:tr>
      <w:tr w:rsidR="00DA0DE1" w:rsidRPr="00DA0DE1" w14:paraId="1E98B170" w14:textId="77777777" w:rsidTr="00876045">
        <w:tc>
          <w:tcPr>
            <w:tcW w:w="9109" w:type="dxa"/>
            <w:shd w:val="clear" w:color="auto" w:fill="F2F2F2" w:themeFill="background1" w:themeFillShade="F2"/>
            <w:tcMar>
              <w:top w:w="0" w:type="dxa"/>
              <w:left w:w="108" w:type="dxa"/>
              <w:bottom w:w="0" w:type="dxa"/>
              <w:right w:w="108" w:type="dxa"/>
            </w:tcMar>
          </w:tcPr>
          <w:p w14:paraId="1E78E292" w14:textId="7ED74966" w:rsidR="0016331B" w:rsidRPr="00DA0DE1" w:rsidRDefault="000966D2" w:rsidP="0006633C">
            <w:pPr>
              <w:spacing w:line="276" w:lineRule="auto"/>
              <w:ind w:firstLine="284"/>
              <w:rPr>
                <w:rFonts w:ascii="Times New Roman" w:hAnsi="Times New Roman"/>
                <w:sz w:val="24"/>
                <w:szCs w:val="24"/>
                <w:lang w:val="ro-MD"/>
              </w:rPr>
            </w:pPr>
            <w:r w:rsidRPr="00DA0DE1">
              <w:rPr>
                <w:rFonts w:ascii="Times New Roman" w:hAnsi="Times New Roman"/>
                <w:sz w:val="24"/>
                <w:szCs w:val="24"/>
                <w:lang w:val="ro-MD"/>
              </w:rPr>
              <w:lastRenderedPageBreak/>
              <w:t>5.1. Măsuri normative necesare pentru transpunerea actelor juridice ale UE în legislația națională</w:t>
            </w:r>
          </w:p>
        </w:tc>
      </w:tr>
      <w:tr w:rsidR="00DA0DE1" w:rsidRPr="00DA0DE1" w14:paraId="5409E1CA" w14:textId="77777777" w:rsidTr="00876045">
        <w:tc>
          <w:tcPr>
            <w:tcW w:w="9109" w:type="dxa"/>
            <w:tcMar>
              <w:top w:w="0" w:type="dxa"/>
              <w:left w:w="108" w:type="dxa"/>
              <w:bottom w:w="0" w:type="dxa"/>
              <w:right w:w="108" w:type="dxa"/>
            </w:tcMar>
          </w:tcPr>
          <w:p w14:paraId="62DBEA94" w14:textId="77777777" w:rsidR="0047108D" w:rsidRPr="00D11C4E" w:rsidRDefault="00745318" w:rsidP="001B29B1">
            <w:pPr>
              <w:spacing w:line="276" w:lineRule="auto"/>
              <w:ind w:firstLine="284"/>
              <w:rPr>
                <w:rFonts w:ascii="Times New Roman" w:hAnsi="Times New Roman"/>
                <w:iCs/>
                <w:sz w:val="24"/>
                <w:szCs w:val="24"/>
                <w:lang w:val="ro-MD"/>
              </w:rPr>
            </w:pPr>
            <w:r w:rsidRPr="00D11C4E">
              <w:rPr>
                <w:rFonts w:ascii="Times New Roman" w:hAnsi="Times New Roman"/>
                <w:iCs/>
                <w:sz w:val="24"/>
                <w:szCs w:val="24"/>
                <w:lang w:val="ro-MD"/>
              </w:rPr>
              <w:t>Obiectivele</w:t>
            </w:r>
            <w:r w:rsidR="0047108D" w:rsidRPr="00D11C4E">
              <w:rPr>
                <w:rFonts w:ascii="Times New Roman" w:hAnsi="Times New Roman"/>
                <w:iCs/>
                <w:sz w:val="24"/>
                <w:szCs w:val="24"/>
                <w:lang w:val="ro-MD"/>
              </w:rPr>
              <w:t xml:space="preserve"> actului juridic european preluat pentru proiectul de ordin este:</w:t>
            </w:r>
          </w:p>
          <w:p w14:paraId="588A7686" w14:textId="20195F7E" w:rsidR="00D06F9E" w:rsidRDefault="00D06F9E" w:rsidP="004B2FAB">
            <w:pPr>
              <w:pStyle w:val="af5"/>
              <w:numPr>
                <w:ilvl w:val="0"/>
                <w:numId w:val="2"/>
              </w:numPr>
              <w:spacing w:line="276" w:lineRule="auto"/>
              <w:rPr>
                <w:rFonts w:ascii="Times New Roman" w:hAnsi="Times New Roman"/>
                <w:lang w:val="ro-MD"/>
              </w:rPr>
            </w:pPr>
            <w:r>
              <w:rPr>
                <w:rFonts w:ascii="Times New Roman" w:hAnsi="Times New Roman"/>
                <w:lang w:val="ro-MD"/>
              </w:rPr>
              <w:t>determinarea normelor specifice pentru categoriile funcționale de produse</w:t>
            </w:r>
            <w:r w:rsidR="00615B95">
              <w:rPr>
                <w:rFonts w:ascii="Times New Roman" w:hAnsi="Times New Roman"/>
                <w:lang w:val="ro-MD"/>
              </w:rPr>
              <w:t xml:space="preserve"> pentru produsele fertilizante UE</w:t>
            </w:r>
            <w:r w:rsidR="008A7510">
              <w:rPr>
                <w:rFonts w:ascii="Times New Roman" w:hAnsi="Times New Roman"/>
                <w:lang w:val="ro-MD"/>
              </w:rPr>
              <w:t>;</w:t>
            </w:r>
          </w:p>
          <w:p w14:paraId="08712D62" w14:textId="16ED81FC" w:rsidR="00615B95" w:rsidRDefault="00B37365" w:rsidP="004B2FAB">
            <w:pPr>
              <w:pStyle w:val="af5"/>
              <w:numPr>
                <w:ilvl w:val="0"/>
                <w:numId w:val="2"/>
              </w:numPr>
              <w:spacing w:line="276" w:lineRule="auto"/>
              <w:rPr>
                <w:rFonts w:ascii="Times New Roman" w:hAnsi="Times New Roman"/>
                <w:lang w:val="ro-MD"/>
              </w:rPr>
            </w:pPr>
            <w:r>
              <w:rPr>
                <w:rFonts w:ascii="Times New Roman" w:hAnsi="Times New Roman"/>
                <w:lang w:val="ro-MD"/>
              </w:rPr>
              <w:t>stabilirea</w:t>
            </w:r>
            <w:r w:rsidR="00615B95" w:rsidRPr="008A7510">
              <w:rPr>
                <w:rFonts w:ascii="Times New Roman" w:hAnsi="Times New Roman"/>
                <w:lang w:val="ro-MD"/>
              </w:rPr>
              <w:t xml:space="preserve"> valorilor limită pentru contaminanți, într-un produs fertilizant UE</w:t>
            </w:r>
            <w:r w:rsidR="00615B95">
              <w:rPr>
                <w:rFonts w:ascii="Times New Roman" w:hAnsi="Times New Roman"/>
                <w:lang w:val="ro-MD"/>
              </w:rPr>
              <w:t xml:space="preserve">; </w:t>
            </w:r>
          </w:p>
          <w:p w14:paraId="1BF82D20" w14:textId="49A9ECC8" w:rsidR="00B37365" w:rsidRDefault="00B37365" w:rsidP="004B2FAB">
            <w:pPr>
              <w:pStyle w:val="af5"/>
              <w:numPr>
                <w:ilvl w:val="0"/>
                <w:numId w:val="2"/>
              </w:numPr>
              <w:spacing w:line="276" w:lineRule="auto"/>
              <w:rPr>
                <w:rFonts w:ascii="Times New Roman" w:hAnsi="Times New Roman"/>
                <w:lang w:val="ro-MD"/>
              </w:rPr>
            </w:pPr>
            <w:r>
              <w:rPr>
                <w:rFonts w:ascii="Times New Roman" w:hAnsi="Times New Roman"/>
                <w:lang w:val="ro-MD"/>
              </w:rPr>
              <w:t xml:space="preserve">reglementarea valorilor limită pentru agenții patogeni </w:t>
            </w:r>
            <w:r w:rsidR="008C5791">
              <w:rPr>
                <w:rFonts w:ascii="Times New Roman" w:hAnsi="Times New Roman"/>
                <w:lang w:val="ro-MD"/>
              </w:rPr>
              <w:t>pentru</w:t>
            </w:r>
            <w:r>
              <w:rPr>
                <w:rFonts w:ascii="Times New Roman" w:hAnsi="Times New Roman"/>
                <w:lang w:val="ro-MD"/>
              </w:rPr>
              <w:t xml:space="preserve"> diferite tipuri de îngrășăminte organice și anorganice la nivel UE; </w:t>
            </w:r>
          </w:p>
          <w:p w14:paraId="7DA25201" w14:textId="4B4226E0" w:rsidR="008C0E54" w:rsidRDefault="008A7510" w:rsidP="004B2FAB">
            <w:pPr>
              <w:pStyle w:val="af5"/>
              <w:numPr>
                <w:ilvl w:val="0"/>
                <w:numId w:val="2"/>
              </w:numPr>
              <w:spacing w:line="276" w:lineRule="auto"/>
              <w:rPr>
                <w:rFonts w:ascii="Times New Roman" w:hAnsi="Times New Roman"/>
                <w:lang w:val="ro-MD"/>
              </w:rPr>
            </w:pPr>
            <w:r>
              <w:rPr>
                <w:rFonts w:ascii="Times New Roman" w:hAnsi="Times New Roman"/>
                <w:lang w:val="ro-MD"/>
              </w:rPr>
              <w:t>p</w:t>
            </w:r>
            <w:r w:rsidR="008C0E54">
              <w:rPr>
                <w:rFonts w:ascii="Times New Roman" w:hAnsi="Times New Roman"/>
                <w:lang w:val="ro-MD"/>
              </w:rPr>
              <w:t>recizarea cerințelor tehnice privind categoriile de materii componente pentru produsele fertilizante UE</w:t>
            </w:r>
            <w:r w:rsidR="008C5791">
              <w:rPr>
                <w:rFonts w:ascii="Times New Roman" w:hAnsi="Times New Roman"/>
                <w:lang w:val="ro-MD"/>
              </w:rPr>
              <w:t xml:space="preserve"> și anume valorile limită </w:t>
            </w:r>
            <w:r w:rsidR="004B2FAB">
              <w:rPr>
                <w:rFonts w:ascii="Times New Roman" w:hAnsi="Times New Roman"/>
                <w:lang w:val="ro-MD"/>
              </w:rPr>
              <w:t>a materiei componente și materii prime utilizate pentru producere</w:t>
            </w:r>
            <w:r w:rsidR="008C0E54">
              <w:rPr>
                <w:rFonts w:ascii="Times New Roman" w:hAnsi="Times New Roman"/>
                <w:lang w:val="ro-MD"/>
              </w:rPr>
              <w:t xml:space="preserve">; </w:t>
            </w:r>
          </w:p>
          <w:p w14:paraId="26DDA8C4" w14:textId="3E91C35C" w:rsidR="007D5399" w:rsidRPr="005C6981" w:rsidRDefault="00313315" w:rsidP="005C6981">
            <w:pPr>
              <w:pStyle w:val="af5"/>
              <w:numPr>
                <w:ilvl w:val="0"/>
                <w:numId w:val="2"/>
              </w:numPr>
              <w:spacing w:line="276" w:lineRule="auto"/>
              <w:rPr>
                <w:rFonts w:ascii="Times New Roman" w:hAnsi="Times New Roman"/>
                <w:lang w:val="ro-MD"/>
              </w:rPr>
            </w:pPr>
            <w:r w:rsidRPr="004B2FAB">
              <w:rPr>
                <w:rFonts w:ascii="Times New Roman" w:hAnsi="Times New Roman"/>
                <w:lang w:val="ro-MD"/>
              </w:rPr>
              <w:t xml:space="preserve">reglementarea privind cerințele de calitate și de siguranță a produselor fertilizante UE </w:t>
            </w:r>
            <w:r w:rsidR="004B2FAB">
              <w:rPr>
                <w:rFonts w:ascii="Times New Roman" w:hAnsi="Times New Roman"/>
                <w:lang w:val="ro-MD"/>
              </w:rPr>
              <w:t xml:space="preserve">pentru </w:t>
            </w:r>
            <w:r w:rsidRPr="004B2FAB">
              <w:rPr>
                <w:rFonts w:ascii="Times New Roman" w:hAnsi="Times New Roman"/>
                <w:lang w:val="ro-MD"/>
              </w:rPr>
              <w:t xml:space="preserve">comercializarea acestora la </w:t>
            </w:r>
            <w:r w:rsidR="008A7510" w:rsidRPr="004B2FAB">
              <w:rPr>
                <w:rFonts w:ascii="Times New Roman" w:hAnsi="Times New Roman"/>
                <w:lang w:val="ro-MD"/>
              </w:rPr>
              <w:t>nivel național și internațional.</w:t>
            </w:r>
          </w:p>
          <w:p w14:paraId="5144993C" w14:textId="50490D27" w:rsidR="005159A6" w:rsidRPr="00D11C4E" w:rsidRDefault="005159A6" w:rsidP="007F5530">
            <w:pPr>
              <w:pStyle w:val="af5"/>
              <w:spacing w:line="276" w:lineRule="auto"/>
              <w:rPr>
                <w:rFonts w:ascii="Times New Roman" w:hAnsi="Times New Roman"/>
                <w:lang w:val="ro-MD"/>
              </w:rPr>
            </w:pPr>
            <w:r w:rsidRPr="00D11C4E">
              <w:rPr>
                <w:rFonts w:ascii="Times New Roman" w:hAnsi="Times New Roman"/>
                <w:lang w:val="ro-MD"/>
              </w:rPr>
              <w:t xml:space="preserve">Scopul acestui </w:t>
            </w:r>
            <w:r w:rsidR="00D67EE3" w:rsidRPr="00D11C4E">
              <w:rPr>
                <w:rFonts w:ascii="Times New Roman" w:hAnsi="Times New Roman"/>
                <w:lang w:val="ro-MD"/>
              </w:rPr>
              <w:t>proiect de ordin</w:t>
            </w:r>
            <w:r w:rsidRPr="00D11C4E">
              <w:rPr>
                <w:rFonts w:ascii="Times New Roman" w:hAnsi="Times New Roman"/>
                <w:lang w:val="ro-MD"/>
              </w:rPr>
              <w:t xml:space="preserve"> este de a </w:t>
            </w:r>
            <w:r w:rsidR="007F5530" w:rsidRPr="00D11C4E">
              <w:rPr>
                <w:rFonts w:ascii="Times New Roman" w:hAnsi="Times New Roman"/>
                <w:lang w:val="ro-MD"/>
              </w:rPr>
              <w:t xml:space="preserve">utiliza </w:t>
            </w:r>
            <w:r w:rsidR="00B64DE9" w:rsidRPr="00D11C4E">
              <w:rPr>
                <w:rFonts w:ascii="Times New Roman" w:hAnsi="Times New Roman"/>
                <w:lang w:val="ro-MD"/>
              </w:rPr>
              <w:t>produse fertilizante UE</w:t>
            </w:r>
            <w:r w:rsidR="007F5530" w:rsidRPr="00D11C4E">
              <w:rPr>
                <w:rFonts w:ascii="Times New Roman" w:hAnsi="Times New Roman"/>
                <w:lang w:val="ro-MD"/>
              </w:rPr>
              <w:t xml:space="preserve"> sigure și conforme </w:t>
            </w:r>
            <w:r w:rsidRPr="00D11C4E">
              <w:rPr>
                <w:rFonts w:ascii="Times New Roman" w:hAnsi="Times New Roman"/>
                <w:lang w:val="ro-MD"/>
              </w:rPr>
              <w:t>asigurând astfel protecția sănătății oamenilor, animalelor și a mediului înconjurător.</w:t>
            </w:r>
          </w:p>
          <w:p w14:paraId="4FB7722E" w14:textId="5DD6EEBA" w:rsidR="00FA2BCD" w:rsidRPr="00D11C4E" w:rsidRDefault="007C451B" w:rsidP="001B29B1">
            <w:pPr>
              <w:pStyle w:val="af5"/>
              <w:spacing w:line="276" w:lineRule="auto"/>
              <w:ind w:firstLine="284"/>
              <w:rPr>
                <w:rFonts w:ascii="Times New Roman" w:hAnsi="Times New Roman"/>
                <w:lang w:val="ro-MD"/>
              </w:rPr>
            </w:pPr>
            <w:r w:rsidRPr="00D11C4E">
              <w:rPr>
                <w:rFonts w:ascii="Times New Roman" w:hAnsi="Times New Roman"/>
                <w:lang w:val="ro-MD"/>
              </w:rPr>
              <w:t>Proiectul</w:t>
            </w:r>
            <w:r w:rsidR="00E443FA" w:rsidRPr="00D11C4E">
              <w:rPr>
                <w:rFonts w:ascii="Times New Roman" w:hAnsi="Times New Roman"/>
                <w:lang w:val="ro-MD"/>
              </w:rPr>
              <w:t xml:space="preserve"> </w:t>
            </w:r>
            <w:r w:rsidR="00D67EE3" w:rsidRPr="00D11C4E">
              <w:rPr>
                <w:rFonts w:ascii="Times New Roman" w:hAnsi="Times New Roman"/>
                <w:lang w:val="ro-MD"/>
              </w:rPr>
              <w:t xml:space="preserve">de ordin </w:t>
            </w:r>
            <w:r w:rsidR="00E443FA" w:rsidRPr="00D11C4E">
              <w:rPr>
                <w:rFonts w:ascii="Times New Roman" w:hAnsi="Times New Roman"/>
                <w:lang w:val="ro-MD"/>
              </w:rPr>
              <w:t xml:space="preserve">prevede </w:t>
            </w:r>
            <w:r w:rsidRPr="00D11C4E">
              <w:rPr>
                <w:rFonts w:ascii="Times New Roman" w:hAnsi="Times New Roman"/>
                <w:lang w:val="ro-MD"/>
              </w:rPr>
              <w:t>transpune</w:t>
            </w:r>
            <w:r w:rsidR="00E443FA" w:rsidRPr="00D11C4E">
              <w:rPr>
                <w:rFonts w:ascii="Times New Roman" w:hAnsi="Times New Roman"/>
                <w:lang w:val="ro-MD"/>
              </w:rPr>
              <w:t>rea</w:t>
            </w:r>
            <w:r w:rsidR="005C07A1" w:rsidRPr="00D11C4E">
              <w:rPr>
                <w:rFonts w:ascii="Times New Roman" w:hAnsi="Times New Roman"/>
                <w:lang w:val="ro-MD"/>
              </w:rPr>
              <w:t xml:space="preserve"> </w:t>
            </w:r>
            <w:r w:rsidR="009500BA" w:rsidRPr="00D11C4E">
              <w:rPr>
                <w:rFonts w:ascii="Times New Roman" w:hAnsi="Times New Roman"/>
                <w:lang w:val="ro-MD"/>
              </w:rPr>
              <w:t xml:space="preserve">integrală a Anexei nr. </w:t>
            </w:r>
            <w:r w:rsidR="00100488" w:rsidRPr="00D11C4E">
              <w:rPr>
                <w:rFonts w:ascii="Times New Roman" w:hAnsi="Times New Roman"/>
                <w:lang w:val="ro-MD"/>
              </w:rPr>
              <w:t xml:space="preserve">I și </w:t>
            </w:r>
            <w:r w:rsidR="009500BA" w:rsidRPr="00D11C4E">
              <w:rPr>
                <w:rFonts w:ascii="Times New Roman" w:hAnsi="Times New Roman"/>
                <w:lang w:val="ro-MD"/>
              </w:rPr>
              <w:t xml:space="preserve">II al Regulamentului (CE) nr. </w:t>
            </w:r>
            <w:r w:rsidR="00100488" w:rsidRPr="00D11C4E">
              <w:rPr>
                <w:rFonts w:ascii="Times New Roman" w:hAnsi="Times New Roman"/>
                <w:lang w:val="ro-MD"/>
              </w:rPr>
              <w:t>2019/1009</w:t>
            </w:r>
            <w:r w:rsidR="009500BA" w:rsidRPr="00D11C4E">
              <w:rPr>
                <w:rFonts w:ascii="Times New Roman" w:hAnsi="Times New Roman"/>
                <w:lang w:val="ro-MD"/>
              </w:rPr>
              <w:t xml:space="preserve"> </w:t>
            </w:r>
            <w:r w:rsidRPr="00D11C4E">
              <w:rPr>
                <w:rFonts w:ascii="Times New Roman" w:hAnsi="Times New Roman"/>
                <w:lang w:val="ro-MD"/>
              </w:rPr>
              <w:t>în legislația națională.</w:t>
            </w:r>
            <w:r w:rsidR="00FA2BCD" w:rsidRPr="00D11C4E">
              <w:rPr>
                <w:rFonts w:ascii="Times New Roman" w:hAnsi="Times New Roman"/>
                <w:lang w:val="ro-MD"/>
              </w:rPr>
              <w:t xml:space="preserve"> </w:t>
            </w:r>
          </w:p>
          <w:p w14:paraId="4BA43151" w14:textId="77777777" w:rsidR="007C15FC" w:rsidRPr="00D11C4E" w:rsidRDefault="00745318" w:rsidP="001B29B1">
            <w:pPr>
              <w:pStyle w:val="af5"/>
              <w:spacing w:line="276" w:lineRule="auto"/>
              <w:ind w:firstLine="284"/>
              <w:rPr>
                <w:rFonts w:ascii="Times New Roman" w:hAnsi="Times New Roman"/>
                <w:lang w:val="ro-MD"/>
              </w:rPr>
            </w:pPr>
            <w:r w:rsidRPr="00D11C4E">
              <w:rPr>
                <w:rFonts w:ascii="Times New Roman" w:hAnsi="Times New Roman"/>
                <w:lang w:val="ro-MD"/>
              </w:rPr>
              <w:t xml:space="preserve">Întru asigurarea compatibilității proiectului </w:t>
            </w:r>
            <w:r w:rsidR="00D67EE3" w:rsidRPr="00D11C4E">
              <w:rPr>
                <w:rFonts w:ascii="Times New Roman" w:hAnsi="Times New Roman"/>
                <w:lang w:val="ro-MD"/>
              </w:rPr>
              <w:t xml:space="preserve">de ordin </w:t>
            </w:r>
            <w:r w:rsidRPr="00D11C4E">
              <w:rPr>
                <w:rFonts w:ascii="Times New Roman" w:hAnsi="Times New Roman"/>
                <w:lang w:val="ro-MD"/>
              </w:rPr>
              <w:t>propus cu actul european, este elaborat tabelul de concordanță, în conformitate cu prevederilor Regulamentului privind armonizarea legislației Republicii Moldova cu legislația Uniunii Europene, aprobat prin Hotărârea Guvernului nr.</w:t>
            </w:r>
            <w:r w:rsidR="006754BB" w:rsidRPr="00D11C4E">
              <w:rPr>
                <w:rFonts w:ascii="Times New Roman" w:hAnsi="Times New Roman"/>
                <w:lang w:val="ro-MD"/>
              </w:rPr>
              <w:t xml:space="preserve"> </w:t>
            </w:r>
            <w:r w:rsidRPr="00D11C4E">
              <w:rPr>
                <w:rFonts w:ascii="Times New Roman" w:hAnsi="Times New Roman"/>
                <w:lang w:val="ro-MD"/>
              </w:rPr>
              <w:t>1171/2018.</w:t>
            </w:r>
            <w:r w:rsidR="00E77068" w:rsidRPr="00D11C4E">
              <w:rPr>
                <w:rFonts w:ascii="Times New Roman" w:hAnsi="Times New Roman"/>
                <w:lang w:val="ro-MD"/>
              </w:rPr>
              <w:t xml:space="preserve"> </w:t>
            </w:r>
          </w:p>
          <w:p w14:paraId="44898285" w14:textId="4C7F5BEB" w:rsidR="009C12BE" w:rsidRDefault="007C15FC" w:rsidP="001B29B1">
            <w:pPr>
              <w:pStyle w:val="af5"/>
              <w:spacing w:line="276" w:lineRule="auto"/>
              <w:ind w:firstLine="284"/>
              <w:rPr>
                <w:rFonts w:ascii="Times New Roman" w:hAnsi="Times New Roman"/>
                <w:lang w:val="ro-MD"/>
              </w:rPr>
            </w:pPr>
            <w:r w:rsidRPr="00D11C4E">
              <w:rPr>
                <w:rFonts w:ascii="Times New Roman" w:hAnsi="Times New Roman"/>
                <w:lang w:val="ro-MD"/>
              </w:rPr>
              <w:t xml:space="preserve">Prezentul Proiect de </w:t>
            </w:r>
            <w:r w:rsidR="0047108D" w:rsidRPr="00D11C4E">
              <w:rPr>
                <w:rFonts w:ascii="Times New Roman" w:hAnsi="Times New Roman"/>
                <w:lang w:val="ro-MD"/>
              </w:rPr>
              <w:t>o</w:t>
            </w:r>
            <w:r w:rsidRPr="00D11C4E">
              <w:rPr>
                <w:rFonts w:ascii="Times New Roman" w:hAnsi="Times New Roman"/>
                <w:lang w:val="ro-MD"/>
              </w:rPr>
              <w:t>rdin ca intra în vigoare la data</w:t>
            </w:r>
            <w:r w:rsidR="00D11C4E" w:rsidRPr="00D11C4E">
              <w:rPr>
                <w:rFonts w:ascii="Times New Roman" w:hAnsi="Times New Roman"/>
                <w:lang w:val="ro-MD"/>
              </w:rPr>
              <w:t xml:space="preserve"> </w:t>
            </w:r>
            <w:r w:rsidR="007D5399">
              <w:rPr>
                <w:rFonts w:ascii="Times New Roman" w:hAnsi="Times New Roman"/>
                <w:lang w:val="ro-MD"/>
              </w:rPr>
              <w:t>de 27.09.2025</w:t>
            </w:r>
            <w:r w:rsidR="00D11C4E" w:rsidRPr="00D11C4E">
              <w:rPr>
                <w:rFonts w:ascii="Times New Roman" w:hAnsi="Times New Roman"/>
                <w:lang w:val="ro-MD"/>
              </w:rPr>
              <w:t>.</w:t>
            </w:r>
          </w:p>
          <w:p w14:paraId="7504CBC3" w14:textId="4FA69406" w:rsidR="007D5399" w:rsidRPr="007D5399" w:rsidRDefault="007D5399" w:rsidP="001B29B1">
            <w:pPr>
              <w:pStyle w:val="af5"/>
              <w:spacing w:line="276" w:lineRule="auto"/>
              <w:ind w:firstLine="284"/>
              <w:rPr>
                <w:rFonts w:ascii="Times New Roman" w:hAnsi="Times New Roman"/>
                <w:sz w:val="14"/>
                <w:lang w:val="ro-MD"/>
              </w:rPr>
            </w:pPr>
          </w:p>
        </w:tc>
      </w:tr>
      <w:tr w:rsidR="00DA0DE1" w:rsidRPr="00DA0DE1" w14:paraId="055252BB" w14:textId="77777777" w:rsidTr="00876045">
        <w:tc>
          <w:tcPr>
            <w:tcW w:w="9109" w:type="dxa"/>
            <w:shd w:val="clear" w:color="auto" w:fill="F2F2F2" w:themeFill="background1" w:themeFillShade="F2"/>
            <w:tcMar>
              <w:top w:w="0" w:type="dxa"/>
              <w:left w:w="108" w:type="dxa"/>
              <w:bottom w:w="0" w:type="dxa"/>
              <w:right w:w="108" w:type="dxa"/>
            </w:tcMar>
          </w:tcPr>
          <w:p w14:paraId="1A27D63B" w14:textId="2427C258" w:rsidR="0016331B" w:rsidRPr="001E2F0C" w:rsidRDefault="000966D2" w:rsidP="0006633C">
            <w:pPr>
              <w:spacing w:line="276" w:lineRule="auto"/>
              <w:ind w:firstLine="284"/>
              <w:rPr>
                <w:rFonts w:ascii="Times New Roman" w:hAnsi="Times New Roman"/>
                <w:sz w:val="24"/>
                <w:szCs w:val="24"/>
                <w:lang w:val="ro-MD"/>
              </w:rPr>
            </w:pPr>
            <w:r w:rsidRPr="001E2F0C">
              <w:rPr>
                <w:rFonts w:ascii="Times New Roman" w:hAnsi="Times New Roman"/>
                <w:sz w:val="24"/>
                <w:szCs w:val="24"/>
                <w:lang w:val="ro-MD"/>
              </w:rPr>
              <w:t>5.2. Măsuri normative care urmăresc crearea cadrului juridic intern necesar pentru implementarea legislației UE</w:t>
            </w:r>
          </w:p>
        </w:tc>
      </w:tr>
      <w:tr w:rsidR="00DA0DE1" w:rsidRPr="00DA0DE1" w14:paraId="42782E9F" w14:textId="77777777" w:rsidTr="00876045">
        <w:tc>
          <w:tcPr>
            <w:tcW w:w="9109" w:type="dxa"/>
            <w:tcMar>
              <w:top w:w="0" w:type="dxa"/>
              <w:left w:w="108" w:type="dxa"/>
              <w:bottom w:w="0" w:type="dxa"/>
              <w:right w:w="108" w:type="dxa"/>
            </w:tcMar>
          </w:tcPr>
          <w:p w14:paraId="423C7360" w14:textId="1FF73BAC" w:rsidR="00376BD1" w:rsidRPr="00D11C4E" w:rsidRDefault="00376BD1" w:rsidP="00C254D5">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În scopul implementării legislației Uniunii Europene în domeniul protecției plantelor, proiectul de </w:t>
            </w:r>
            <w:r w:rsidR="005E65C0" w:rsidRPr="00D11C4E">
              <w:rPr>
                <w:rFonts w:ascii="Times New Roman" w:hAnsi="Times New Roman"/>
                <w:sz w:val="24"/>
                <w:szCs w:val="24"/>
                <w:lang w:val="ro-MD"/>
              </w:rPr>
              <w:t xml:space="preserve">ordin </w:t>
            </w:r>
            <w:r w:rsidRPr="00D11C4E">
              <w:rPr>
                <w:rFonts w:ascii="Times New Roman" w:hAnsi="Times New Roman"/>
                <w:sz w:val="24"/>
                <w:szCs w:val="24"/>
                <w:lang w:val="ro-MD"/>
              </w:rPr>
              <w:t xml:space="preserve">vizează transpunerea </w:t>
            </w:r>
            <w:r w:rsidR="005E65C0" w:rsidRPr="00D11C4E">
              <w:rPr>
                <w:rFonts w:ascii="Times New Roman" w:hAnsi="Times New Roman"/>
                <w:sz w:val="24"/>
                <w:szCs w:val="24"/>
                <w:lang w:val="ro-MD"/>
              </w:rPr>
              <w:t>următorului regulament european</w:t>
            </w:r>
            <w:r w:rsidRPr="00D11C4E">
              <w:rPr>
                <w:rFonts w:ascii="Times New Roman" w:hAnsi="Times New Roman"/>
                <w:sz w:val="24"/>
                <w:szCs w:val="24"/>
                <w:lang w:val="ro-MD"/>
              </w:rPr>
              <w:t>:</w:t>
            </w:r>
            <w:r w:rsidR="002D23B4" w:rsidRPr="00D11C4E" w:rsidDel="009F7E86">
              <w:rPr>
                <w:rFonts w:ascii="Times New Roman" w:hAnsi="Times New Roman"/>
                <w:sz w:val="24"/>
                <w:szCs w:val="24"/>
                <w:lang w:val="ro-MD"/>
              </w:rPr>
              <w:t xml:space="preserve"> </w:t>
            </w:r>
            <w:r w:rsidR="00013364" w:rsidRPr="00D11C4E">
              <w:rPr>
                <w:rFonts w:ascii="Times New Roman" w:hAnsi="Times New Roman"/>
                <w:sz w:val="24"/>
                <w:szCs w:val="24"/>
                <w:lang w:val="ro-MD"/>
              </w:rPr>
              <w:t>Anexei nr. I și II al Regulamentului (CE) nr. 2019/1009</w:t>
            </w:r>
          </w:p>
          <w:p w14:paraId="2423007E" w14:textId="77777777" w:rsidR="00376BD1" w:rsidRPr="00D11C4E" w:rsidRDefault="00376BD1"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Argumente pentru aprobarea măsurilor:</w:t>
            </w:r>
          </w:p>
          <w:p w14:paraId="6DD6BAB6" w14:textId="6AF139EC" w:rsidR="00554A83" w:rsidRPr="00D11C4E" w:rsidRDefault="00764DE5" w:rsidP="002A1FD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 </w:t>
            </w:r>
            <w:r w:rsidR="00554A83" w:rsidRPr="00D11C4E">
              <w:rPr>
                <w:rFonts w:ascii="Times New Roman" w:hAnsi="Times New Roman"/>
                <w:sz w:val="24"/>
                <w:szCs w:val="24"/>
                <w:lang w:val="ro-MD"/>
              </w:rPr>
              <w:t xml:space="preserve">Transpunerea </w:t>
            </w:r>
            <w:r w:rsidR="002A1FD1" w:rsidRPr="00D11C4E">
              <w:rPr>
                <w:rFonts w:ascii="Times New Roman" w:hAnsi="Times New Roman"/>
                <w:sz w:val="24"/>
                <w:szCs w:val="24"/>
                <w:lang w:val="ro-MD"/>
              </w:rPr>
              <w:t xml:space="preserve">anexei nr. I și nr. II la Regulamentul (UE) 2019/1009 al parlamentului European și al Consiliului din 5 iunie 2019 de </w:t>
            </w:r>
            <w:proofErr w:type="spellStart"/>
            <w:r w:rsidR="002A1FD1" w:rsidRPr="00D11C4E">
              <w:rPr>
                <w:rFonts w:ascii="Times New Roman" w:hAnsi="Times New Roman"/>
                <w:sz w:val="24"/>
                <w:szCs w:val="24"/>
                <w:lang w:val="ro-MD"/>
              </w:rPr>
              <w:t>de</w:t>
            </w:r>
            <w:proofErr w:type="spellEnd"/>
            <w:r w:rsidR="002A1FD1" w:rsidRPr="00D11C4E">
              <w:rPr>
                <w:rFonts w:ascii="Times New Roman" w:hAnsi="Times New Roman"/>
                <w:sz w:val="24"/>
                <w:szCs w:val="24"/>
                <w:lang w:val="ro-MD"/>
              </w:rPr>
              <w:t xml:space="preserve"> stabilire a normelor privind punerea la dispoziție pe piață a produselor fertilizante UE și de modificare a Regulamentelor (CE) nr. 1069/2009 și (CE) nr. 1107/2009 și de abrogare a Regulamentului (CE) nr. 2003/2003 </w:t>
            </w:r>
            <w:r w:rsidR="00554A83" w:rsidRPr="00D11C4E">
              <w:rPr>
                <w:rFonts w:ascii="Times New Roman" w:hAnsi="Times New Roman"/>
                <w:sz w:val="24"/>
                <w:szCs w:val="24"/>
                <w:lang w:val="ro-MD"/>
              </w:rPr>
              <w:t>este esențial pentru alinierea legislației naționale la standardele europene în domeniul</w:t>
            </w:r>
            <w:r w:rsidR="002A1FD1" w:rsidRPr="00D11C4E">
              <w:rPr>
                <w:rFonts w:ascii="Times New Roman" w:hAnsi="Times New Roman"/>
                <w:sz w:val="24"/>
                <w:szCs w:val="24"/>
                <w:lang w:val="ro-MD"/>
              </w:rPr>
              <w:t xml:space="preserve"> îngrășămintelor</w:t>
            </w:r>
            <w:r w:rsidR="00554A83" w:rsidRPr="00D11C4E">
              <w:rPr>
                <w:rFonts w:ascii="Times New Roman" w:hAnsi="Times New Roman"/>
                <w:sz w:val="24"/>
                <w:szCs w:val="24"/>
                <w:lang w:val="ro-MD"/>
              </w:rPr>
              <w:t xml:space="preserve">. </w:t>
            </w:r>
          </w:p>
          <w:p w14:paraId="7BC6CD9A" w14:textId="26B0AD6F" w:rsidR="00556A10" w:rsidRPr="00D11C4E" w:rsidRDefault="006754BB"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 </w:t>
            </w:r>
            <w:r w:rsidR="00556A10" w:rsidRPr="00D11C4E">
              <w:rPr>
                <w:rFonts w:ascii="Times New Roman" w:hAnsi="Times New Roman"/>
                <w:sz w:val="24"/>
                <w:szCs w:val="24"/>
                <w:lang w:val="ro-MD"/>
              </w:rPr>
              <w:t xml:space="preserve">Crearea unui cadru legislativ clar și uniform va facilita procesul de </w:t>
            </w:r>
            <w:r w:rsidR="0016237C" w:rsidRPr="00D11C4E">
              <w:rPr>
                <w:rFonts w:ascii="Times New Roman" w:hAnsi="Times New Roman"/>
                <w:sz w:val="24"/>
                <w:szCs w:val="24"/>
                <w:lang w:val="ro-MD"/>
              </w:rPr>
              <w:t>conformitate</w:t>
            </w:r>
            <w:r w:rsidR="00556A10" w:rsidRPr="00D11C4E">
              <w:rPr>
                <w:rFonts w:ascii="Times New Roman" w:hAnsi="Times New Roman"/>
                <w:sz w:val="24"/>
                <w:szCs w:val="24"/>
                <w:lang w:val="ro-MD"/>
              </w:rPr>
              <w:t xml:space="preserve"> a produselor </w:t>
            </w:r>
            <w:r w:rsidR="00E237C3" w:rsidRPr="00D11C4E">
              <w:rPr>
                <w:rFonts w:ascii="Times New Roman" w:hAnsi="Times New Roman"/>
                <w:sz w:val="24"/>
                <w:szCs w:val="24"/>
                <w:lang w:val="ro-MD"/>
              </w:rPr>
              <w:t>fertilizante</w:t>
            </w:r>
            <w:r w:rsidR="00B64DE9" w:rsidRPr="00D11C4E">
              <w:rPr>
                <w:rFonts w:ascii="Times New Roman" w:hAnsi="Times New Roman"/>
                <w:sz w:val="24"/>
                <w:szCs w:val="24"/>
                <w:lang w:val="ro-MD"/>
              </w:rPr>
              <w:t xml:space="preserve"> </w:t>
            </w:r>
            <w:r w:rsidR="00556A10" w:rsidRPr="00D11C4E">
              <w:rPr>
                <w:rFonts w:ascii="Times New Roman" w:hAnsi="Times New Roman"/>
                <w:sz w:val="24"/>
                <w:szCs w:val="24"/>
                <w:lang w:val="ro-MD"/>
              </w:rPr>
              <w:t xml:space="preserve">. O astfel de </w:t>
            </w:r>
            <w:r w:rsidR="009B44B1" w:rsidRPr="00D11C4E">
              <w:rPr>
                <w:rFonts w:ascii="Times New Roman" w:hAnsi="Times New Roman"/>
                <w:sz w:val="24"/>
                <w:szCs w:val="24"/>
                <w:lang w:val="ro-MD"/>
              </w:rPr>
              <w:t xml:space="preserve">cerință </w:t>
            </w:r>
            <w:r w:rsidR="00556A10" w:rsidRPr="00D11C4E">
              <w:rPr>
                <w:rFonts w:ascii="Times New Roman" w:hAnsi="Times New Roman"/>
                <w:sz w:val="24"/>
                <w:szCs w:val="24"/>
                <w:lang w:val="ro-MD"/>
              </w:rPr>
              <w:t>va asigura că doar produsele sigure și eficiente vor ajunge pe piață</w:t>
            </w:r>
            <w:r w:rsidR="0080564E" w:rsidRPr="00D11C4E">
              <w:rPr>
                <w:rFonts w:ascii="Times New Roman" w:hAnsi="Times New Roman"/>
                <w:sz w:val="24"/>
                <w:szCs w:val="24"/>
                <w:lang w:val="ro-MD"/>
              </w:rPr>
              <w:t xml:space="preserve"> și nu </w:t>
            </w:r>
            <w:r w:rsidR="009C3E1B" w:rsidRPr="00D11C4E">
              <w:rPr>
                <w:rFonts w:ascii="Times New Roman" w:hAnsi="Times New Roman"/>
                <w:sz w:val="24"/>
                <w:szCs w:val="24"/>
                <w:lang w:val="ro-MD"/>
              </w:rPr>
              <w:t xml:space="preserve">prezintă un risc pentru sănătate, siguranță și mediu, astfel, </w:t>
            </w:r>
            <w:r w:rsidR="00556A10" w:rsidRPr="00D11C4E">
              <w:rPr>
                <w:rFonts w:ascii="Times New Roman" w:hAnsi="Times New Roman"/>
                <w:sz w:val="24"/>
                <w:szCs w:val="24"/>
                <w:lang w:val="ro-MD"/>
              </w:rPr>
              <w:t>protejând consumatorii și profesioniștii din domeniu. Acest cadru va întări capacitatea autorităților de a monitoriza și control</w:t>
            </w:r>
            <w:r w:rsidR="0020695A" w:rsidRPr="00D11C4E">
              <w:rPr>
                <w:rFonts w:ascii="Times New Roman" w:hAnsi="Times New Roman"/>
                <w:sz w:val="24"/>
                <w:szCs w:val="24"/>
                <w:lang w:val="ro-MD"/>
              </w:rPr>
              <w:t>ul</w:t>
            </w:r>
            <w:r w:rsidR="00556A10" w:rsidRPr="00D11C4E">
              <w:rPr>
                <w:rFonts w:ascii="Times New Roman" w:hAnsi="Times New Roman"/>
                <w:sz w:val="24"/>
                <w:szCs w:val="24"/>
                <w:lang w:val="ro-MD"/>
              </w:rPr>
              <w:t xml:space="preserve"> produsele </w:t>
            </w:r>
            <w:r w:rsidR="009B44B1" w:rsidRPr="00D11C4E">
              <w:rPr>
                <w:rFonts w:ascii="Times New Roman" w:hAnsi="Times New Roman"/>
                <w:sz w:val="24"/>
                <w:szCs w:val="24"/>
                <w:lang w:val="ro-MD"/>
              </w:rPr>
              <w:t>f</w:t>
            </w:r>
            <w:r w:rsidR="00E237C3" w:rsidRPr="00D11C4E">
              <w:rPr>
                <w:rFonts w:ascii="Times New Roman" w:hAnsi="Times New Roman"/>
                <w:sz w:val="24"/>
                <w:szCs w:val="24"/>
                <w:lang w:val="ro-MD"/>
              </w:rPr>
              <w:t>ertilizante</w:t>
            </w:r>
            <w:r w:rsidR="00556A10" w:rsidRPr="00D11C4E">
              <w:rPr>
                <w:rFonts w:ascii="Times New Roman" w:hAnsi="Times New Roman"/>
                <w:sz w:val="24"/>
                <w:szCs w:val="24"/>
                <w:lang w:val="ro-MD"/>
              </w:rPr>
              <w:t xml:space="preserve"> folosite în </w:t>
            </w:r>
            <w:r w:rsidR="00E237C3" w:rsidRPr="00D11C4E">
              <w:rPr>
                <w:rFonts w:ascii="Times New Roman" w:hAnsi="Times New Roman"/>
                <w:sz w:val="24"/>
                <w:szCs w:val="24"/>
                <w:lang w:val="ro-MD"/>
              </w:rPr>
              <w:t>agricultură</w:t>
            </w:r>
            <w:r w:rsidR="00556A10" w:rsidRPr="00D11C4E">
              <w:rPr>
                <w:rFonts w:ascii="Times New Roman" w:hAnsi="Times New Roman"/>
                <w:sz w:val="24"/>
                <w:szCs w:val="24"/>
                <w:lang w:val="ro-MD"/>
              </w:rPr>
              <w:t>, sporind astfel siguranța acestora.</w:t>
            </w:r>
          </w:p>
          <w:p w14:paraId="14CA8AFA" w14:textId="63FA03A8" w:rsidR="009B44B1" w:rsidRPr="00D11C4E" w:rsidRDefault="00764DE5"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lastRenderedPageBreak/>
              <w:t xml:space="preserve">- </w:t>
            </w:r>
            <w:r w:rsidR="008D34B2" w:rsidRPr="00D11C4E">
              <w:rPr>
                <w:rFonts w:ascii="Times New Roman" w:hAnsi="Times New Roman"/>
                <w:sz w:val="24"/>
                <w:szCs w:val="24"/>
                <w:lang w:val="ro-MD"/>
              </w:rPr>
              <w:t xml:space="preserve">Transpunerea </w:t>
            </w:r>
            <w:r w:rsidR="00DA0CBF" w:rsidRPr="00D11C4E">
              <w:rPr>
                <w:rFonts w:ascii="Times New Roman" w:hAnsi="Times New Roman"/>
                <w:sz w:val="24"/>
                <w:szCs w:val="24"/>
                <w:lang w:val="ro-MD"/>
              </w:rPr>
              <w:t xml:space="preserve">regulamentului </w:t>
            </w:r>
            <w:r w:rsidR="008D34B2" w:rsidRPr="00D11C4E">
              <w:rPr>
                <w:rFonts w:ascii="Times New Roman" w:hAnsi="Times New Roman"/>
                <w:sz w:val="24"/>
                <w:szCs w:val="24"/>
                <w:lang w:val="ro-MD"/>
              </w:rPr>
              <w:t xml:space="preserve">va asigura o </w:t>
            </w:r>
            <w:r w:rsidR="00A7409E" w:rsidRPr="00D11C4E">
              <w:rPr>
                <w:rFonts w:ascii="Times New Roman" w:hAnsi="Times New Roman"/>
                <w:sz w:val="24"/>
                <w:szCs w:val="24"/>
                <w:lang w:val="ro-MD"/>
              </w:rPr>
              <w:t>legislație</w:t>
            </w:r>
            <w:r w:rsidR="008D34B2" w:rsidRPr="00D11C4E">
              <w:rPr>
                <w:rFonts w:ascii="Times New Roman" w:hAnsi="Times New Roman"/>
                <w:sz w:val="24"/>
                <w:szCs w:val="24"/>
                <w:lang w:val="ro-MD"/>
              </w:rPr>
              <w:t xml:space="preserve"> stabilă și transparentă, necesară pentru un comerț intern </w:t>
            </w:r>
            <w:r w:rsidR="003F5238" w:rsidRPr="00D11C4E">
              <w:rPr>
                <w:rFonts w:ascii="Times New Roman" w:hAnsi="Times New Roman"/>
                <w:sz w:val="24"/>
                <w:szCs w:val="24"/>
                <w:lang w:val="ro-MD"/>
              </w:rPr>
              <w:t xml:space="preserve">și extern </w:t>
            </w:r>
            <w:r w:rsidR="008D34B2" w:rsidRPr="00D11C4E">
              <w:rPr>
                <w:rFonts w:ascii="Times New Roman" w:hAnsi="Times New Roman"/>
                <w:sz w:val="24"/>
                <w:szCs w:val="24"/>
                <w:lang w:val="ro-MD"/>
              </w:rPr>
              <w:t>eficient și sigur. Acesta va stimula încrederea consumatorilor și a companiilor în produsele f</w:t>
            </w:r>
            <w:r w:rsidR="00E237C3" w:rsidRPr="00D11C4E">
              <w:rPr>
                <w:rFonts w:ascii="Times New Roman" w:hAnsi="Times New Roman"/>
                <w:sz w:val="24"/>
                <w:szCs w:val="24"/>
                <w:lang w:val="ro-MD"/>
              </w:rPr>
              <w:t xml:space="preserve">ertilizante </w:t>
            </w:r>
            <w:r w:rsidR="008D34B2" w:rsidRPr="00D11C4E">
              <w:rPr>
                <w:rFonts w:ascii="Times New Roman" w:hAnsi="Times New Roman"/>
                <w:sz w:val="24"/>
                <w:szCs w:val="24"/>
                <w:lang w:val="ro-MD"/>
              </w:rPr>
              <w:t xml:space="preserve">disponibile pe piață. </w:t>
            </w:r>
          </w:p>
          <w:p w14:paraId="1B974E43" w14:textId="77777777" w:rsidR="00C106CB" w:rsidRDefault="00764DE5" w:rsidP="001B29B1">
            <w:pPr>
              <w:spacing w:line="276" w:lineRule="auto"/>
              <w:ind w:firstLine="284"/>
              <w:rPr>
                <w:rFonts w:ascii="Times New Roman" w:hAnsi="Times New Roman"/>
                <w:sz w:val="24"/>
                <w:szCs w:val="24"/>
                <w:lang w:val="ro-MD"/>
              </w:rPr>
            </w:pPr>
            <w:r w:rsidRPr="00D11C4E">
              <w:rPr>
                <w:rFonts w:ascii="Times New Roman" w:hAnsi="Times New Roman"/>
                <w:b/>
                <w:sz w:val="24"/>
                <w:szCs w:val="24"/>
                <w:lang w:val="ro-MD"/>
              </w:rPr>
              <w:t xml:space="preserve">- </w:t>
            </w:r>
            <w:r w:rsidR="00C106CB" w:rsidRPr="00D11C4E">
              <w:rPr>
                <w:rFonts w:ascii="Times New Roman" w:hAnsi="Times New Roman"/>
                <w:sz w:val="24"/>
                <w:szCs w:val="24"/>
                <w:lang w:val="ro-MD"/>
              </w:rPr>
              <w:t xml:space="preserve">O </w:t>
            </w:r>
            <w:r w:rsidR="009B44B1" w:rsidRPr="00D11C4E">
              <w:rPr>
                <w:rFonts w:ascii="Times New Roman" w:hAnsi="Times New Roman"/>
                <w:sz w:val="24"/>
                <w:szCs w:val="24"/>
                <w:lang w:val="ro-MD"/>
              </w:rPr>
              <w:t>legislație națională</w:t>
            </w:r>
            <w:r w:rsidR="00C106CB" w:rsidRPr="00D11C4E">
              <w:rPr>
                <w:rFonts w:ascii="Times New Roman" w:hAnsi="Times New Roman"/>
                <w:sz w:val="24"/>
                <w:szCs w:val="24"/>
                <w:lang w:val="ro-MD"/>
              </w:rPr>
              <w:t xml:space="preserve"> </w:t>
            </w:r>
            <w:r w:rsidR="0016237C" w:rsidRPr="00D11C4E">
              <w:rPr>
                <w:rFonts w:ascii="Times New Roman" w:hAnsi="Times New Roman"/>
                <w:sz w:val="24"/>
                <w:szCs w:val="24"/>
                <w:lang w:val="ro-MD"/>
              </w:rPr>
              <w:t>cu privire la Categoriile funcționale a produselor fertilizante UE și a Categoriilor materii component</w:t>
            </w:r>
            <w:r w:rsidR="00682597" w:rsidRPr="00D11C4E">
              <w:rPr>
                <w:rFonts w:ascii="Times New Roman" w:hAnsi="Times New Roman"/>
                <w:sz w:val="24"/>
                <w:szCs w:val="24"/>
                <w:lang w:val="ro-MD"/>
              </w:rPr>
              <w:t>e</w:t>
            </w:r>
            <w:r w:rsidR="0016237C" w:rsidRPr="00D11C4E">
              <w:rPr>
                <w:rFonts w:ascii="Times New Roman" w:hAnsi="Times New Roman"/>
                <w:sz w:val="24"/>
                <w:szCs w:val="24"/>
                <w:lang w:val="ro-MD"/>
              </w:rPr>
              <w:t xml:space="preserve"> a produ</w:t>
            </w:r>
            <w:r w:rsidR="00682597" w:rsidRPr="00D11C4E">
              <w:rPr>
                <w:rFonts w:ascii="Times New Roman" w:hAnsi="Times New Roman"/>
                <w:sz w:val="24"/>
                <w:szCs w:val="24"/>
                <w:lang w:val="ro-MD"/>
              </w:rPr>
              <w:t>selor</w:t>
            </w:r>
            <w:r w:rsidR="0016237C" w:rsidRPr="00D11C4E">
              <w:rPr>
                <w:rFonts w:ascii="Times New Roman" w:hAnsi="Times New Roman"/>
                <w:sz w:val="24"/>
                <w:szCs w:val="24"/>
                <w:lang w:val="ro-MD"/>
              </w:rPr>
              <w:t xml:space="preserve"> fertilizant</w:t>
            </w:r>
            <w:r w:rsidR="00682597" w:rsidRPr="00D11C4E">
              <w:rPr>
                <w:rFonts w:ascii="Times New Roman" w:hAnsi="Times New Roman"/>
                <w:sz w:val="24"/>
                <w:szCs w:val="24"/>
                <w:lang w:val="ro-MD"/>
              </w:rPr>
              <w:t>e</w:t>
            </w:r>
            <w:r w:rsidR="0016237C" w:rsidRPr="00D11C4E">
              <w:rPr>
                <w:rFonts w:ascii="Times New Roman" w:hAnsi="Times New Roman"/>
                <w:sz w:val="24"/>
                <w:szCs w:val="24"/>
                <w:lang w:val="ro-MD"/>
              </w:rPr>
              <w:t xml:space="preserve"> UE </w:t>
            </w:r>
            <w:r w:rsidR="00C106CB" w:rsidRPr="00D11C4E">
              <w:rPr>
                <w:rFonts w:ascii="Times New Roman" w:hAnsi="Times New Roman"/>
                <w:sz w:val="24"/>
                <w:szCs w:val="24"/>
                <w:lang w:val="ro-MD"/>
              </w:rPr>
              <w:t xml:space="preserve">va contribui semnificativ la protejarea sănătății publice. </w:t>
            </w:r>
          </w:p>
          <w:p w14:paraId="39426061" w14:textId="4CF62FDF" w:rsidR="007D5399" w:rsidRPr="007D5399" w:rsidRDefault="007D5399" w:rsidP="001B29B1">
            <w:pPr>
              <w:spacing w:line="276" w:lineRule="auto"/>
              <w:ind w:firstLine="284"/>
              <w:rPr>
                <w:rFonts w:ascii="Times New Roman" w:hAnsi="Times New Roman"/>
                <w:sz w:val="16"/>
                <w:szCs w:val="24"/>
                <w:lang w:val="ro-MD"/>
              </w:rPr>
            </w:pPr>
          </w:p>
        </w:tc>
      </w:tr>
      <w:tr w:rsidR="00DA0DE1" w:rsidRPr="00DA0DE1" w14:paraId="269C0F6E" w14:textId="77777777" w:rsidTr="00876045">
        <w:tc>
          <w:tcPr>
            <w:tcW w:w="9109" w:type="dxa"/>
            <w:shd w:val="clear" w:color="BFBFBF" w:fill="BFBFBF"/>
            <w:tcMar>
              <w:top w:w="0" w:type="dxa"/>
              <w:left w:w="108" w:type="dxa"/>
              <w:bottom w:w="0" w:type="dxa"/>
              <w:right w:w="108" w:type="dxa"/>
            </w:tcMar>
          </w:tcPr>
          <w:p w14:paraId="17A16B3F" w14:textId="24578037" w:rsidR="0016331B" w:rsidRPr="00D11C4E" w:rsidRDefault="000966D2" w:rsidP="0006633C">
            <w:pPr>
              <w:spacing w:line="276" w:lineRule="auto"/>
              <w:rPr>
                <w:rFonts w:ascii="Times New Roman" w:hAnsi="Times New Roman"/>
                <w:b/>
                <w:bCs/>
                <w:sz w:val="24"/>
                <w:szCs w:val="24"/>
                <w:lang w:val="ro-MD"/>
              </w:rPr>
            </w:pPr>
            <w:r w:rsidRPr="00D11C4E">
              <w:rPr>
                <w:rFonts w:ascii="Times New Roman" w:hAnsi="Times New Roman"/>
                <w:b/>
                <w:bCs/>
                <w:sz w:val="24"/>
                <w:szCs w:val="24"/>
                <w:lang w:val="ro-MD"/>
              </w:rPr>
              <w:lastRenderedPageBreak/>
              <w:t>6. Avizarea și consultarea publică a proiectului actului normativ</w:t>
            </w:r>
          </w:p>
        </w:tc>
      </w:tr>
      <w:tr w:rsidR="00DA0DE1" w:rsidRPr="00DA0DE1" w14:paraId="7A271201" w14:textId="77777777" w:rsidTr="00876045">
        <w:tc>
          <w:tcPr>
            <w:tcW w:w="9109" w:type="dxa"/>
            <w:tcMar>
              <w:top w:w="0" w:type="dxa"/>
              <w:left w:w="108" w:type="dxa"/>
              <w:bottom w:w="0" w:type="dxa"/>
              <w:right w:w="108" w:type="dxa"/>
            </w:tcMar>
          </w:tcPr>
          <w:p w14:paraId="4C08A3A3" w14:textId="09D428BE" w:rsidR="00F603F9" w:rsidRPr="00D11C4E" w:rsidRDefault="00F603F9" w:rsidP="00861238">
            <w:pPr>
              <w:spacing w:line="276" w:lineRule="auto"/>
              <w:ind w:firstLine="284"/>
              <w:rPr>
                <w:rStyle w:val="aff3"/>
                <w:color w:val="auto"/>
                <w:sz w:val="24"/>
                <w:szCs w:val="24"/>
                <w:lang w:val="ro-MD"/>
              </w:rPr>
            </w:pPr>
            <w:r w:rsidRPr="00D11C4E">
              <w:rPr>
                <w:rFonts w:ascii="Times New Roman" w:hAnsi="Times New Roman"/>
                <w:sz w:val="24"/>
                <w:szCs w:val="24"/>
                <w:lang w:val="ro-MD"/>
              </w:rPr>
              <w:t xml:space="preserve">În scopul respectării prevederilor Legii nr. 239/2008 privind transparența în procesul decizional, Ministerul a publicat anunțul de inițiere pe marginea procesului de elaborare a Proiectului de Ordin </w:t>
            </w:r>
            <w:r w:rsidR="0008557E" w:rsidRPr="00D11C4E">
              <w:rPr>
                <w:rFonts w:ascii="Times New Roman" w:hAnsi="Times New Roman"/>
                <w:sz w:val="24"/>
                <w:szCs w:val="24"/>
                <w:lang w:val="ro-RO"/>
              </w:rPr>
              <w:t xml:space="preserve">cu privire la aprobarea </w:t>
            </w:r>
            <w:proofErr w:type="spellStart"/>
            <w:r w:rsidR="0008557E" w:rsidRPr="00D11C4E">
              <w:rPr>
                <w:rFonts w:ascii="Times New Roman" w:hAnsi="Times New Roman"/>
                <w:bCs/>
                <w:sz w:val="24"/>
                <w:szCs w:val="24"/>
                <w:shd w:val="clear" w:color="auto" w:fill="FFFFFF"/>
              </w:rPr>
              <w:t>categorii</w:t>
            </w:r>
            <w:r w:rsidR="00183B69">
              <w:rPr>
                <w:rFonts w:ascii="Times New Roman" w:hAnsi="Times New Roman"/>
                <w:bCs/>
                <w:sz w:val="24"/>
                <w:szCs w:val="24"/>
                <w:shd w:val="clear" w:color="auto" w:fill="FFFFFF"/>
              </w:rPr>
              <w:t>lor</w:t>
            </w:r>
            <w:proofErr w:type="spellEnd"/>
            <w:r w:rsidR="0008557E" w:rsidRPr="00D11C4E">
              <w:rPr>
                <w:rFonts w:ascii="Times New Roman" w:hAnsi="Times New Roman"/>
                <w:bCs/>
                <w:sz w:val="24"/>
                <w:szCs w:val="24"/>
                <w:shd w:val="clear" w:color="auto" w:fill="FFFFFF"/>
              </w:rPr>
              <w:t xml:space="preserve"> </w:t>
            </w:r>
            <w:proofErr w:type="spellStart"/>
            <w:r w:rsidR="0008557E" w:rsidRPr="00D11C4E">
              <w:rPr>
                <w:rFonts w:ascii="Times New Roman" w:hAnsi="Times New Roman"/>
                <w:bCs/>
                <w:sz w:val="24"/>
                <w:szCs w:val="24"/>
                <w:shd w:val="clear" w:color="auto" w:fill="FFFFFF"/>
              </w:rPr>
              <w:t>funcționale</w:t>
            </w:r>
            <w:proofErr w:type="spellEnd"/>
            <w:r w:rsidR="0008557E" w:rsidRPr="00D11C4E">
              <w:rPr>
                <w:rFonts w:ascii="Times New Roman" w:hAnsi="Times New Roman"/>
                <w:bCs/>
                <w:sz w:val="24"/>
                <w:szCs w:val="24"/>
                <w:shd w:val="clear" w:color="auto" w:fill="FFFFFF"/>
              </w:rPr>
              <w:t xml:space="preserve"> de </w:t>
            </w:r>
            <w:proofErr w:type="spellStart"/>
            <w:r w:rsidR="0008557E" w:rsidRPr="00D11C4E">
              <w:rPr>
                <w:rFonts w:ascii="Times New Roman" w:hAnsi="Times New Roman"/>
                <w:bCs/>
                <w:sz w:val="24"/>
                <w:szCs w:val="24"/>
                <w:shd w:val="clear" w:color="auto" w:fill="FFFFFF"/>
              </w:rPr>
              <w:t>produse</w:t>
            </w:r>
            <w:proofErr w:type="spellEnd"/>
            <w:r w:rsidR="0008557E" w:rsidRPr="00D11C4E">
              <w:rPr>
                <w:rFonts w:ascii="Times New Roman" w:hAnsi="Times New Roman"/>
                <w:bCs/>
                <w:sz w:val="24"/>
                <w:szCs w:val="24"/>
                <w:shd w:val="clear" w:color="auto" w:fill="FFFFFF"/>
              </w:rPr>
              <w:t xml:space="preserve"> </w:t>
            </w:r>
            <w:proofErr w:type="spellStart"/>
            <w:r w:rsidR="0008557E" w:rsidRPr="00D11C4E">
              <w:rPr>
                <w:rFonts w:ascii="Times New Roman" w:hAnsi="Times New Roman"/>
                <w:bCs/>
                <w:sz w:val="24"/>
                <w:szCs w:val="24"/>
                <w:shd w:val="clear" w:color="auto" w:fill="FFFFFF"/>
              </w:rPr>
              <w:t>și</w:t>
            </w:r>
            <w:proofErr w:type="spellEnd"/>
            <w:r w:rsidR="0008557E" w:rsidRPr="00D11C4E">
              <w:rPr>
                <w:rFonts w:ascii="Times New Roman" w:hAnsi="Times New Roman"/>
                <w:bCs/>
                <w:sz w:val="24"/>
                <w:szCs w:val="24"/>
                <w:shd w:val="clear" w:color="auto" w:fill="FFFFFF"/>
              </w:rPr>
              <w:t xml:space="preserve"> a </w:t>
            </w:r>
            <w:proofErr w:type="spellStart"/>
            <w:r w:rsidR="0008557E" w:rsidRPr="00D11C4E">
              <w:rPr>
                <w:rFonts w:ascii="Times New Roman" w:hAnsi="Times New Roman"/>
                <w:bCs/>
                <w:sz w:val="24"/>
                <w:szCs w:val="24"/>
                <w:shd w:val="clear" w:color="auto" w:fill="FFFFFF"/>
              </w:rPr>
              <w:t>categoriilor</w:t>
            </w:r>
            <w:proofErr w:type="spellEnd"/>
            <w:r w:rsidR="0008557E" w:rsidRPr="00D11C4E">
              <w:rPr>
                <w:rFonts w:ascii="Times New Roman" w:hAnsi="Times New Roman"/>
                <w:bCs/>
                <w:sz w:val="24"/>
                <w:szCs w:val="24"/>
                <w:shd w:val="clear" w:color="auto" w:fill="FFFFFF"/>
              </w:rPr>
              <w:t xml:space="preserve"> de </w:t>
            </w:r>
            <w:proofErr w:type="spellStart"/>
            <w:r w:rsidR="0008557E" w:rsidRPr="00D11C4E">
              <w:rPr>
                <w:rFonts w:ascii="Times New Roman" w:hAnsi="Times New Roman"/>
                <w:bCs/>
                <w:sz w:val="24"/>
                <w:szCs w:val="24"/>
                <w:shd w:val="clear" w:color="auto" w:fill="FFFFFF"/>
              </w:rPr>
              <w:t>materii</w:t>
            </w:r>
            <w:proofErr w:type="spellEnd"/>
            <w:r w:rsidR="0008557E" w:rsidRPr="00D11C4E">
              <w:rPr>
                <w:rFonts w:ascii="Times New Roman" w:hAnsi="Times New Roman"/>
                <w:bCs/>
                <w:sz w:val="24"/>
                <w:szCs w:val="24"/>
                <w:shd w:val="clear" w:color="auto" w:fill="FFFFFF"/>
              </w:rPr>
              <w:t xml:space="preserve"> </w:t>
            </w:r>
            <w:proofErr w:type="spellStart"/>
            <w:r w:rsidR="0008557E" w:rsidRPr="00D11C4E">
              <w:rPr>
                <w:rFonts w:ascii="Times New Roman" w:hAnsi="Times New Roman"/>
                <w:bCs/>
                <w:sz w:val="24"/>
                <w:szCs w:val="24"/>
                <w:shd w:val="clear" w:color="auto" w:fill="FFFFFF"/>
              </w:rPr>
              <w:t>componente</w:t>
            </w:r>
            <w:proofErr w:type="spellEnd"/>
            <w:r w:rsidRPr="00D11C4E">
              <w:rPr>
                <w:rFonts w:ascii="Times New Roman" w:hAnsi="Times New Roman"/>
                <w:sz w:val="24"/>
                <w:szCs w:val="24"/>
                <w:lang w:val="ro-MD"/>
              </w:rPr>
              <w:t xml:space="preserve">, care a fost plasat pe pagina oficială a Ministerului Agriculturii și Industriei Alimentare, la adresa </w:t>
            </w:r>
            <w:hyperlink r:id="rId13" w:history="1">
              <w:r w:rsidRPr="00D11C4E">
                <w:rPr>
                  <w:rStyle w:val="aff3"/>
                  <w:rFonts w:ascii="Times New Roman" w:hAnsi="Times New Roman"/>
                  <w:color w:val="auto"/>
                  <w:sz w:val="24"/>
                  <w:szCs w:val="24"/>
                  <w:u w:val="none"/>
                  <w:lang w:val="ro-MD"/>
                </w:rPr>
                <w:t>www.maia.gov.md</w:t>
              </w:r>
            </w:hyperlink>
            <w:r w:rsidRPr="00D11C4E">
              <w:rPr>
                <w:rFonts w:ascii="Times New Roman" w:hAnsi="Times New Roman"/>
                <w:sz w:val="24"/>
                <w:szCs w:val="24"/>
                <w:lang w:val="ro-MD"/>
              </w:rPr>
              <w:t xml:space="preserve">, la compartimentul „Transparență decizională” rubrica - „Proiecte de documente și portalul guvernamental” – </w:t>
            </w:r>
            <w:hyperlink r:id="rId14" w:history="1">
              <w:r w:rsidRPr="00D11C4E">
                <w:rPr>
                  <w:rStyle w:val="aff3"/>
                  <w:rFonts w:ascii="Times New Roman" w:hAnsi="Times New Roman"/>
                  <w:color w:val="auto"/>
                  <w:sz w:val="24"/>
                  <w:szCs w:val="24"/>
                  <w:u w:val="none"/>
                  <w:lang w:val="ro-MD"/>
                </w:rPr>
                <w:t>www.particip.gov.md</w:t>
              </w:r>
            </w:hyperlink>
            <w:r w:rsidRPr="00D11C4E">
              <w:rPr>
                <w:rFonts w:ascii="Times New Roman" w:hAnsi="Times New Roman"/>
                <w:sz w:val="24"/>
                <w:szCs w:val="24"/>
                <w:lang w:val="ro-MD"/>
              </w:rPr>
              <w:t>.</w:t>
            </w:r>
            <w:r w:rsidR="00861238" w:rsidRPr="00D11C4E">
              <w:rPr>
                <w:rFonts w:ascii="Times New Roman" w:hAnsi="Times New Roman"/>
                <w:sz w:val="24"/>
                <w:szCs w:val="24"/>
                <w:lang w:val="ro-MD"/>
              </w:rPr>
              <w:t xml:space="preserve"> </w:t>
            </w:r>
            <w:hyperlink r:id="rId15" w:history="1">
              <w:r w:rsidR="00861238" w:rsidRPr="00D11C4E">
                <w:rPr>
                  <w:rStyle w:val="aff3"/>
                  <w:rFonts w:ascii="Times New Roman" w:hAnsi="Times New Roman"/>
                  <w:color w:val="auto"/>
                  <w:sz w:val="24"/>
                  <w:szCs w:val="24"/>
                  <w:lang w:val="ro-MD"/>
                </w:rPr>
                <w:t>https://particip.gov.md/ro/document/stages/anunt-de-initiere-a-procesului-de-elaborare-a-proiectului-de-ordin-cu-privire-la-aprobarea-categoriilor-functionale-de-produse-si-a-categoriilor-de-materii-componente-pentru-produsele-fertilizante-ue/14313</w:t>
              </w:r>
            </w:hyperlink>
            <w:r w:rsidR="00516511" w:rsidRPr="00D11C4E">
              <w:rPr>
                <w:rFonts w:ascii="Times New Roman" w:hAnsi="Times New Roman"/>
                <w:b/>
                <w:sz w:val="24"/>
                <w:szCs w:val="24"/>
                <w:lang w:val="ro-MD"/>
              </w:rPr>
              <w:t xml:space="preserve"> </w:t>
            </w:r>
          </w:p>
          <w:p w14:paraId="2E7F6510" w14:textId="658AF9AD" w:rsidR="00F603F9" w:rsidRPr="00D11C4E" w:rsidRDefault="00F603F9" w:rsidP="00D71586">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Proiectul de Ordin </w:t>
            </w:r>
            <w:r w:rsidR="00183B69">
              <w:rPr>
                <w:rFonts w:ascii="Times New Roman" w:hAnsi="Times New Roman"/>
                <w:sz w:val="24"/>
                <w:szCs w:val="24"/>
                <w:lang w:val="ro-MD"/>
              </w:rPr>
              <w:t>v</w:t>
            </w:r>
            <w:r w:rsidRPr="00D11C4E">
              <w:rPr>
                <w:rFonts w:ascii="Times New Roman" w:hAnsi="Times New Roman"/>
                <w:sz w:val="24"/>
                <w:szCs w:val="24"/>
                <w:lang w:val="ro-MD"/>
              </w:rPr>
              <w:t>a f</w:t>
            </w:r>
            <w:r w:rsidR="00183B69">
              <w:rPr>
                <w:rFonts w:ascii="Times New Roman" w:hAnsi="Times New Roman"/>
                <w:sz w:val="24"/>
                <w:szCs w:val="24"/>
                <w:lang w:val="ro-MD"/>
              </w:rPr>
              <w:t>i</w:t>
            </w:r>
            <w:r w:rsidR="008403D7">
              <w:rPr>
                <w:rFonts w:ascii="Times New Roman" w:hAnsi="Times New Roman"/>
                <w:sz w:val="24"/>
                <w:szCs w:val="24"/>
                <w:lang w:val="ro-MD"/>
              </w:rPr>
              <w:t xml:space="preserve"> </w:t>
            </w:r>
            <w:r w:rsidRPr="00D11C4E">
              <w:rPr>
                <w:rFonts w:ascii="Times New Roman" w:hAnsi="Times New Roman"/>
                <w:sz w:val="24"/>
                <w:szCs w:val="24"/>
                <w:lang w:val="ro-MD"/>
              </w:rPr>
              <w:t>transmis</w:t>
            </w:r>
            <w:r w:rsidR="008403D7">
              <w:rPr>
                <w:rFonts w:ascii="Times New Roman" w:hAnsi="Times New Roman"/>
                <w:sz w:val="24"/>
                <w:szCs w:val="24"/>
                <w:lang w:val="ro-MD"/>
              </w:rPr>
              <w:t xml:space="preserve"> spre </w:t>
            </w:r>
            <w:r w:rsidRPr="00D11C4E">
              <w:rPr>
                <w:rFonts w:ascii="Times New Roman" w:hAnsi="Times New Roman"/>
                <w:sz w:val="24"/>
                <w:szCs w:val="24"/>
                <w:lang w:val="ro-MD"/>
              </w:rPr>
              <w:t>avizare</w:t>
            </w:r>
            <w:r w:rsidR="008403D7">
              <w:rPr>
                <w:rFonts w:ascii="Times New Roman" w:hAnsi="Times New Roman"/>
                <w:sz w:val="24"/>
                <w:szCs w:val="24"/>
                <w:lang w:val="ro-MD"/>
              </w:rPr>
              <w:t xml:space="preserve"> și expertizare </w:t>
            </w:r>
            <w:r w:rsidRPr="00D11C4E">
              <w:rPr>
                <w:rFonts w:ascii="Times New Roman" w:hAnsi="Times New Roman"/>
                <w:sz w:val="24"/>
                <w:szCs w:val="24"/>
                <w:lang w:val="ro-MD"/>
              </w:rPr>
              <w:t>la următoare Autorități</w:t>
            </w:r>
            <w:r w:rsidR="006A1451">
              <w:rPr>
                <w:rFonts w:ascii="Times New Roman" w:hAnsi="Times New Roman"/>
                <w:sz w:val="24"/>
                <w:szCs w:val="24"/>
                <w:lang w:val="ro-MD"/>
              </w:rPr>
              <w:t xml:space="preserve"> și Instituții publice</w:t>
            </w:r>
            <w:r w:rsidRPr="00D11C4E">
              <w:rPr>
                <w:rFonts w:ascii="Times New Roman" w:hAnsi="Times New Roman"/>
                <w:sz w:val="24"/>
                <w:szCs w:val="24"/>
                <w:lang w:val="ro-MD"/>
              </w:rPr>
              <w:t>:</w:t>
            </w:r>
          </w:p>
          <w:p w14:paraId="23C83C15"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Dezvoltării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Economice</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și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Digitalizării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Instituția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Publică</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Institutul</w:t>
            </w:r>
            <w:proofErr w:type="spellEnd"/>
            <w:r w:rsidRPr="006A1451">
              <w:rPr>
                <w:rFonts w:ascii="Times New Roman" w:hAnsi="Times New Roman"/>
                <w:sz w:val="24"/>
                <w:szCs w:val="24"/>
              </w:rPr>
              <w:t xml:space="preserve"> de </w:t>
            </w:r>
            <w:proofErr w:type="spellStart"/>
            <w:r w:rsidRPr="006A1451">
              <w:rPr>
                <w:rFonts w:ascii="Times New Roman" w:hAnsi="Times New Roman"/>
                <w:sz w:val="24"/>
                <w:szCs w:val="24"/>
              </w:rPr>
              <w:t>Standardizare</w:t>
            </w:r>
            <w:proofErr w:type="spellEnd"/>
            <w:r w:rsidRPr="006A1451">
              <w:rPr>
                <w:rFonts w:ascii="Times New Roman" w:hAnsi="Times New Roman"/>
                <w:sz w:val="24"/>
                <w:szCs w:val="24"/>
              </w:rPr>
              <w:t xml:space="preserve"> din Moldova);</w:t>
            </w:r>
          </w:p>
          <w:p w14:paraId="53B5BC1B"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Sănătății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Agenția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Națională</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pentru</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Sănătate</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Publică</w:t>
            </w:r>
            <w:proofErr w:type="spellEnd"/>
            <w:r w:rsidRPr="006A1451">
              <w:rPr>
                <w:rFonts w:ascii="Times New Roman" w:hAnsi="Times New Roman"/>
                <w:sz w:val="24"/>
                <w:szCs w:val="24"/>
              </w:rPr>
              <w:t>);</w:t>
            </w:r>
          </w:p>
          <w:p w14:paraId="7DFE46C6"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Mediului</w:t>
            </w:r>
            <w:proofErr w:type="spellEnd"/>
            <w:r w:rsidRPr="006A1451">
              <w:rPr>
                <w:rFonts w:ascii="Times New Roman" w:hAnsi="Times New Roman"/>
                <w:sz w:val="24"/>
                <w:szCs w:val="24"/>
              </w:rPr>
              <w:t>;</w:t>
            </w:r>
          </w:p>
          <w:p w14:paraId="1EEE1A82"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Muncii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și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Protecției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Sociale</w:t>
            </w:r>
            <w:proofErr w:type="spellEnd"/>
            <w:r w:rsidRPr="006A1451">
              <w:rPr>
                <w:rFonts w:ascii="Times New Roman" w:hAnsi="Times New Roman"/>
                <w:sz w:val="24"/>
                <w:szCs w:val="24"/>
              </w:rPr>
              <w:t>;</w:t>
            </w:r>
          </w:p>
          <w:p w14:paraId="2F7BBB61"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r w:rsidRPr="006A1451">
              <w:rPr>
                <w:rFonts w:ascii="Times New Roman" w:hAnsi="Times New Roman"/>
                <w:color w:val="000000" w:themeColor="text1"/>
                <w:sz w:val="24"/>
                <w:szCs w:val="24"/>
                <w:lang w:val="ro-MD"/>
              </w:rPr>
              <w:t>Ministerul Afacerilor Externe;</w:t>
            </w:r>
          </w:p>
          <w:p w14:paraId="38D03D06"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Afacerilor</w:t>
            </w:r>
            <w:proofErr w:type="spellEnd"/>
            <w:r w:rsidRPr="006A1451">
              <w:rPr>
                <w:rFonts w:ascii="Times New Roman" w:hAnsi="Times New Roman"/>
                <w:sz w:val="24"/>
                <w:szCs w:val="24"/>
              </w:rPr>
              <w:t xml:space="preserve"> Interne;</w:t>
            </w:r>
          </w:p>
          <w:p w14:paraId="27C1DF48"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Finațelor</w:t>
            </w:r>
            <w:proofErr w:type="spellEnd"/>
            <w:r w:rsidRPr="006A1451">
              <w:rPr>
                <w:rFonts w:ascii="Times New Roman" w:hAnsi="Times New Roman"/>
                <w:sz w:val="24"/>
                <w:szCs w:val="24"/>
              </w:rPr>
              <w:t>;</w:t>
            </w:r>
          </w:p>
          <w:p w14:paraId="539F874D"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Ministerul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Educației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și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Cercetării</w:t>
            </w:r>
            <w:proofErr w:type="spellEnd"/>
            <w:r w:rsidRPr="006A1451">
              <w:rPr>
                <w:rFonts w:ascii="Times New Roman" w:hAnsi="Times New Roman"/>
                <w:sz w:val="24"/>
                <w:szCs w:val="24"/>
              </w:rPr>
              <w:t>;</w:t>
            </w:r>
          </w:p>
          <w:p w14:paraId="2A166D04" w14:textId="77777777" w:rsidR="006A1451" w:rsidRPr="006A1451" w:rsidRDefault="006A1451" w:rsidP="006A1451">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Cancelaria</w:t>
            </w:r>
            <w:proofErr w:type="spellEnd"/>
            <w:r w:rsidRPr="006A1451">
              <w:rPr>
                <w:rFonts w:ascii="Times New Roman" w:hAnsi="Times New Roman"/>
                <w:sz w:val="24"/>
                <w:szCs w:val="24"/>
              </w:rPr>
              <w:t xml:space="preserve"> de Stat (</w:t>
            </w:r>
            <w:proofErr w:type="spellStart"/>
            <w:r w:rsidRPr="006A1451">
              <w:rPr>
                <w:rFonts w:ascii="Times New Roman" w:hAnsi="Times New Roman"/>
                <w:sz w:val="24"/>
                <w:szCs w:val="24"/>
              </w:rPr>
              <w:t>Centrul</w:t>
            </w:r>
            <w:proofErr w:type="spellEnd"/>
            <w:r w:rsidRPr="006A1451">
              <w:rPr>
                <w:rFonts w:ascii="Times New Roman" w:hAnsi="Times New Roman"/>
                <w:sz w:val="24"/>
                <w:szCs w:val="24"/>
              </w:rPr>
              <w:t xml:space="preserve"> de </w:t>
            </w:r>
            <w:proofErr w:type="spellStart"/>
            <w:r w:rsidRPr="006A1451">
              <w:rPr>
                <w:rFonts w:ascii="Times New Roman" w:hAnsi="Times New Roman"/>
                <w:sz w:val="24"/>
                <w:szCs w:val="24"/>
              </w:rPr>
              <w:t>armonizare</w:t>
            </w:r>
            <w:proofErr w:type="spellEnd"/>
            <w:r w:rsidRPr="006A1451">
              <w:rPr>
                <w:rFonts w:ascii="Times New Roman" w:hAnsi="Times New Roman"/>
                <w:sz w:val="24"/>
                <w:szCs w:val="24"/>
              </w:rPr>
              <w:t xml:space="preserve"> a </w:t>
            </w:r>
            <w:proofErr w:type="spellStart"/>
            <w:r w:rsidRPr="006A1451">
              <w:rPr>
                <w:rFonts w:ascii="Times New Roman" w:hAnsi="Times New Roman"/>
                <w:sz w:val="24"/>
                <w:szCs w:val="24"/>
              </w:rPr>
              <w:t>legislației</w:t>
            </w:r>
            <w:proofErr w:type="spellEnd"/>
            <w:r w:rsidRPr="006A1451">
              <w:rPr>
                <w:rFonts w:ascii="Times New Roman" w:hAnsi="Times New Roman"/>
                <w:sz w:val="24"/>
                <w:szCs w:val="24"/>
              </w:rPr>
              <w:t>);</w:t>
            </w:r>
          </w:p>
          <w:p w14:paraId="574C1320" w14:textId="77777777" w:rsidR="00F603F9" w:rsidRDefault="006A1451" w:rsidP="00183B69">
            <w:pPr>
              <w:pStyle w:val="afb"/>
              <w:numPr>
                <w:ilvl w:val="0"/>
                <w:numId w:val="7"/>
              </w:numPr>
              <w:spacing w:line="276" w:lineRule="auto"/>
              <w:ind w:right="4"/>
              <w:rPr>
                <w:rFonts w:ascii="Times New Roman" w:hAnsi="Times New Roman"/>
                <w:sz w:val="24"/>
                <w:szCs w:val="24"/>
              </w:rPr>
            </w:pPr>
            <w:proofErr w:type="spellStart"/>
            <w:r w:rsidRPr="006A1451">
              <w:rPr>
                <w:rFonts w:ascii="Times New Roman" w:hAnsi="Times New Roman"/>
                <w:sz w:val="24"/>
                <w:szCs w:val="24"/>
              </w:rPr>
              <w:t>Agenția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Națională</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pentru</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Siguranța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Alimentelor</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Instituția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Publică</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Centru</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Național</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Sănătatea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Animalelor</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Plantelor</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și</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Siguranța</w:t>
            </w:r>
            <w:proofErr w:type="spellEnd"/>
            <w:r w:rsidRPr="006A1451">
              <w:rPr>
                <w:rFonts w:ascii="Times New Roman" w:hAnsi="Times New Roman"/>
                <w:sz w:val="24"/>
                <w:szCs w:val="24"/>
              </w:rPr>
              <w:t xml:space="preserve"> </w:t>
            </w:r>
            <w:proofErr w:type="spellStart"/>
            <w:r w:rsidRPr="006A1451">
              <w:rPr>
                <w:rFonts w:ascii="Times New Roman" w:hAnsi="Times New Roman"/>
                <w:sz w:val="24"/>
                <w:szCs w:val="24"/>
              </w:rPr>
              <w:t>Alimentelor</w:t>
            </w:r>
            <w:proofErr w:type="spellEnd"/>
            <w:r w:rsidRPr="006A1451">
              <w:rPr>
                <w:rFonts w:ascii="Times New Roman" w:hAnsi="Times New Roman"/>
                <w:sz w:val="24"/>
                <w:szCs w:val="24"/>
              </w:rPr>
              <w:t>).</w:t>
            </w:r>
          </w:p>
          <w:p w14:paraId="4DF63A4A" w14:textId="3A900AE5" w:rsidR="00183B69" w:rsidRPr="00183B69" w:rsidRDefault="00FE6ED4" w:rsidP="00FE6ED4">
            <w:pPr>
              <w:spacing w:line="276" w:lineRule="auto"/>
              <w:ind w:right="4" w:firstLine="0"/>
              <w:rPr>
                <w:rFonts w:ascii="Times New Roman" w:hAnsi="Times New Roman"/>
                <w:sz w:val="24"/>
                <w:szCs w:val="24"/>
              </w:rPr>
            </w:pPr>
            <w:r>
              <w:rPr>
                <w:rFonts w:ascii="Times New Roman" w:eastAsia="Times New Roman" w:hAnsi="Times New Roman"/>
                <w:color w:val="000000" w:themeColor="text1"/>
                <w:sz w:val="24"/>
                <w:szCs w:val="24"/>
              </w:rPr>
              <w:t>Totodată</w:t>
            </w:r>
            <w:bookmarkStart w:id="0" w:name="_GoBack"/>
            <w:bookmarkEnd w:id="0"/>
            <w:r w:rsidR="00BE1791" w:rsidRPr="00BE1791">
              <w:rPr>
                <w:rFonts w:ascii="Times New Roman" w:eastAsia="Times New Roman" w:hAnsi="Times New Roman"/>
                <w:color w:val="000000" w:themeColor="text1"/>
                <w:sz w:val="24"/>
                <w:szCs w:val="24"/>
              </w:rPr>
              <w:t xml:space="preserve">, </w:t>
            </w:r>
            <w:proofErr w:type="spellStart"/>
            <w:r w:rsidR="00BE1791" w:rsidRPr="00BE1791">
              <w:rPr>
                <w:rFonts w:ascii="Times New Roman" w:eastAsia="Times New Roman" w:hAnsi="Times New Roman"/>
                <w:color w:val="000000" w:themeColor="text1"/>
                <w:sz w:val="24"/>
                <w:szCs w:val="24"/>
              </w:rPr>
              <w:t>Ministerul</w:t>
            </w:r>
            <w:proofErr w:type="spellEnd"/>
            <w:r w:rsidR="00BE1791" w:rsidRPr="00BE1791">
              <w:rPr>
                <w:rFonts w:ascii="Times New Roman" w:eastAsia="Times New Roman" w:hAnsi="Times New Roman"/>
                <w:color w:val="000000" w:themeColor="text1"/>
                <w:sz w:val="24"/>
                <w:szCs w:val="24"/>
              </w:rPr>
              <w:t xml:space="preserve"> </w:t>
            </w:r>
            <w:proofErr w:type="spellStart"/>
            <w:r w:rsidR="00BE1791">
              <w:rPr>
                <w:rFonts w:ascii="Times New Roman" w:eastAsia="Times New Roman" w:hAnsi="Times New Roman"/>
                <w:color w:val="000000" w:themeColor="text1"/>
                <w:sz w:val="24"/>
                <w:szCs w:val="24"/>
              </w:rPr>
              <w:t>va</w:t>
            </w:r>
            <w:proofErr w:type="spellEnd"/>
            <w:r w:rsidR="00BE1791">
              <w:rPr>
                <w:rFonts w:ascii="Times New Roman" w:eastAsia="Times New Roman" w:hAnsi="Times New Roman"/>
                <w:color w:val="000000" w:themeColor="text1"/>
                <w:sz w:val="24"/>
                <w:szCs w:val="24"/>
              </w:rPr>
              <w:t xml:space="preserve"> </w:t>
            </w:r>
            <w:proofErr w:type="spellStart"/>
            <w:r w:rsidR="00BE1791" w:rsidRPr="00BE1791">
              <w:rPr>
                <w:rFonts w:ascii="Times New Roman" w:eastAsia="Times New Roman" w:hAnsi="Times New Roman"/>
                <w:color w:val="000000" w:themeColor="text1"/>
                <w:sz w:val="24"/>
                <w:szCs w:val="24"/>
              </w:rPr>
              <w:t>iniția</w:t>
            </w:r>
            <w:proofErr w:type="spellEnd"/>
            <w:r w:rsidR="00BE1791" w:rsidRPr="00BE1791">
              <w:rPr>
                <w:rFonts w:ascii="Times New Roman" w:eastAsia="Times New Roman" w:hAnsi="Times New Roman"/>
                <w:color w:val="000000" w:themeColor="text1"/>
                <w:sz w:val="24"/>
                <w:szCs w:val="24"/>
              </w:rPr>
              <w:t xml:space="preserve"> </w:t>
            </w:r>
            <w:proofErr w:type="spellStart"/>
            <w:r w:rsidR="00BE1791" w:rsidRPr="00BE1791">
              <w:rPr>
                <w:rFonts w:ascii="Times New Roman" w:eastAsia="Times New Roman" w:hAnsi="Times New Roman"/>
                <w:color w:val="000000" w:themeColor="text1"/>
                <w:sz w:val="24"/>
                <w:szCs w:val="24"/>
              </w:rPr>
              <w:t>consultările</w:t>
            </w:r>
            <w:proofErr w:type="spellEnd"/>
            <w:r w:rsidR="00BE1791" w:rsidRPr="00BE1791">
              <w:rPr>
                <w:rFonts w:ascii="Times New Roman" w:eastAsia="Times New Roman" w:hAnsi="Times New Roman"/>
                <w:color w:val="000000" w:themeColor="text1"/>
                <w:sz w:val="24"/>
                <w:szCs w:val="24"/>
              </w:rPr>
              <w:t xml:space="preserve"> </w:t>
            </w:r>
            <w:proofErr w:type="spellStart"/>
            <w:r w:rsidR="00BE1791" w:rsidRPr="00BE1791">
              <w:rPr>
                <w:rFonts w:ascii="Times New Roman" w:eastAsia="Times New Roman" w:hAnsi="Times New Roman"/>
                <w:color w:val="000000" w:themeColor="text1"/>
                <w:sz w:val="24"/>
                <w:szCs w:val="24"/>
              </w:rPr>
              <w:t>publice</w:t>
            </w:r>
            <w:proofErr w:type="spellEnd"/>
            <w:r w:rsidR="00BE1791" w:rsidRPr="00BE1791">
              <w:rPr>
                <w:rFonts w:ascii="Times New Roman" w:eastAsia="Times New Roman" w:hAnsi="Times New Roman"/>
                <w:color w:val="000000" w:themeColor="text1"/>
                <w:sz w:val="24"/>
                <w:szCs w:val="24"/>
              </w:rPr>
              <w:t xml:space="preserve"> pe </w:t>
            </w:r>
            <w:proofErr w:type="spellStart"/>
            <w:r w:rsidR="00BE1791" w:rsidRPr="00BE1791">
              <w:rPr>
                <w:rFonts w:ascii="Times New Roman" w:eastAsia="Times New Roman" w:hAnsi="Times New Roman"/>
                <w:color w:val="000000" w:themeColor="text1"/>
                <w:sz w:val="24"/>
                <w:szCs w:val="24"/>
              </w:rPr>
              <w:t>marginea</w:t>
            </w:r>
            <w:proofErr w:type="spellEnd"/>
            <w:r w:rsidR="00BE1791" w:rsidRPr="00BE1791">
              <w:rPr>
                <w:rFonts w:ascii="Times New Roman" w:eastAsia="Times New Roman" w:hAnsi="Times New Roman"/>
                <w:color w:val="000000" w:themeColor="text1"/>
                <w:sz w:val="24"/>
                <w:szCs w:val="24"/>
              </w:rPr>
              <w:t xml:space="preserve"> </w:t>
            </w:r>
            <w:r w:rsidR="00BE1791" w:rsidRPr="00D11C4E">
              <w:rPr>
                <w:rFonts w:ascii="Times New Roman" w:hAnsi="Times New Roman"/>
                <w:sz w:val="24"/>
                <w:szCs w:val="24"/>
                <w:lang w:val="ro-MD"/>
              </w:rPr>
              <w:t xml:space="preserve">Proiectului de Ordin </w:t>
            </w:r>
            <w:r w:rsidR="00BE1791" w:rsidRPr="00D11C4E">
              <w:rPr>
                <w:rFonts w:ascii="Times New Roman" w:hAnsi="Times New Roman"/>
                <w:sz w:val="24"/>
                <w:szCs w:val="24"/>
                <w:lang w:val="ro-RO"/>
              </w:rPr>
              <w:t xml:space="preserve">cu privire la aprobarea </w:t>
            </w:r>
            <w:proofErr w:type="spellStart"/>
            <w:r w:rsidR="00BE1791" w:rsidRPr="00D11C4E">
              <w:rPr>
                <w:rFonts w:ascii="Times New Roman" w:hAnsi="Times New Roman"/>
                <w:bCs/>
                <w:sz w:val="24"/>
                <w:szCs w:val="24"/>
                <w:shd w:val="clear" w:color="auto" w:fill="FFFFFF"/>
              </w:rPr>
              <w:t>categorii</w:t>
            </w:r>
            <w:r w:rsidR="00BE1791">
              <w:rPr>
                <w:rFonts w:ascii="Times New Roman" w:hAnsi="Times New Roman"/>
                <w:bCs/>
                <w:sz w:val="24"/>
                <w:szCs w:val="24"/>
                <w:shd w:val="clear" w:color="auto" w:fill="FFFFFF"/>
              </w:rPr>
              <w:t>lor</w:t>
            </w:r>
            <w:proofErr w:type="spellEnd"/>
            <w:r w:rsidR="00BE1791" w:rsidRPr="00D11C4E">
              <w:rPr>
                <w:rFonts w:ascii="Times New Roman" w:hAnsi="Times New Roman"/>
                <w:bCs/>
                <w:sz w:val="24"/>
                <w:szCs w:val="24"/>
                <w:shd w:val="clear" w:color="auto" w:fill="FFFFFF"/>
              </w:rPr>
              <w:t xml:space="preserve"> </w:t>
            </w:r>
            <w:proofErr w:type="spellStart"/>
            <w:r w:rsidR="00BE1791" w:rsidRPr="00D11C4E">
              <w:rPr>
                <w:rFonts w:ascii="Times New Roman" w:hAnsi="Times New Roman"/>
                <w:bCs/>
                <w:sz w:val="24"/>
                <w:szCs w:val="24"/>
                <w:shd w:val="clear" w:color="auto" w:fill="FFFFFF"/>
              </w:rPr>
              <w:t>funcționale</w:t>
            </w:r>
            <w:proofErr w:type="spellEnd"/>
            <w:r w:rsidR="00BE1791" w:rsidRPr="00D11C4E">
              <w:rPr>
                <w:rFonts w:ascii="Times New Roman" w:hAnsi="Times New Roman"/>
                <w:bCs/>
                <w:sz w:val="24"/>
                <w:szCs w:val="24"/>
                <w:shd w:val="clear" w:color="auto" w:fill="FFFFFF"/>
              </w:rPr>
              <w:t xml:space="preserve"> de </w:t>
            </w:r>
            <w:proofErr w:type="spellStart"/>
            <w:r w:rsidR="00BE1791" w:rsidRPr="00D11C4E">
              <w:rPr>
                <w:rFonts w:ascii="Times New Roman" w:hAnsi="Times New Roman"/>
                <w:bCs/>
                <w:sz w:val="24"/>
                <w:szCs w:val="24"/>
                <w:shd w:val="clear" w:color="auto" w:fill="FFFFFF"/>
              </w:rPr>
              <w:t>produse</w:t>
            </w:r>
            <w:proofErr w:type="spellEnd"/>
            <w:r w:rsidR="00BE1791" w:rsidRPr="00D11C4E">
              <w:rPr>
                <w:rFonts w:ascii="Times New Roman" w:hAnsi="Times New Roman"/>
                <w:bCs/>
                <w:sz w:val="24"/>
                <w:szCs w:val="24"/>
                <w:shd w:val="clear" w:color="auto" w:fill="FFFFFF"/>
              </w:rPr>
              <w:t xml:space="preserve"> </w:t>
            </w:r>
            <w:proofErr w:type="spellStart"/>
            <w:r w:rsidR="00BE1791" w:rsidRPr="00D11C4E">
              <w:rPr>
                <w:rFonts w:ascii="Times New Roman" w:hAnsi="Times New Roman"/>
                <w:bCs/>
                <w:sz w:val="24"/>
                <w:szCs w:val="24"/>
                <w:shd w:val="clear" w:color="auto" w:fill="FFFFFF"/>
              </w:rPr>
              <w:t>și</w:t>
            </w:r>
            <w:proofErr w:type="spellEnd"/>
            <w:r w:rsidR="00BE1791" w:rsidRPr="00D11C4E">
              <w:rPr>
                <w:rFonts w:ascii="Times New Roman" w:hAnsi="Times New Roman"/>
                <w:bCs/>
                <w:sz w:val="24"/>
                <w:szCs w:val="24"/>
                <w:shd w:val="clear" w:color="auto" w:fill="FFFFFF"/>
              </w:rPr>
              <w:t xml:space="preserve"> a </w:t>
            </w:r>
            <w:proofErr w:type="spellStart"/>
            <w:r w:rsidR="00BE1791" w:rsidRPr="00D11C4E">
              <w:rPr>
                <w:rFonts w:ascii="Times New Roman" w:hAnsi="Times New Roman"/>
                <w:bCs/>
                <w:sz w:val="24"/>
                <w:szCs w:val="24"/>
                <w:shd w:val="clear" w:color="auto" w:fill="FFFFFF"/>
              </w:rPr>
              <w:t>categoriilor</w:t>
            </w:r>
            <w:proofErr w:type="spellEnd"/>
            <w:r w:rsidR="00BE1791" w:rsidRPr="00D11C4E">
              <w:rPr>
                <w:rFonts w:ascii="Times New Roman" w:hAnsi="Times New Roman"/>
                <w:bCs/>
                <w:sz w:val="24"/>
                <w:szCs w:val="24"/>
                <w:shd w:val="clear" w:color="auto" w:fill="FFFFFF"/>
              </w:rPr>
              <w:t xml:space="preserve"> de </w:t>
            </w:r>
            <w:proofErr w:type="spellStart"/>
            <w:r w:rsidR="00BE1791" w:rsidRPr="00D11C4E">
              <w:rPr>
                <w:rFonts w:ascii="Times New Roman" w:hAnsi="Times New Roman"/>
                <w:bCs/>
                <w:sz w:val="24"/>
                <w:szCs w:val="24"/>
                <w:shd w:val="clear" w:color="auto" w:fill="FFFFFF"/>
              </w:rPr>
              <w:t>materii</w:t>
            </w:r>
            <w:proofErr w:type="spellEnd"/>
            <w:r w:rsidR="00BE1791" w:rsidRPr="00D11C4E">
              <w:rPr>
                <w:rFonts w:ascii="Times New Roman" w:hAnsi="Times New Roman"/>
                <w:bCs/>
                <w:sz w:val="24"/>
                <w:szCs w:val="24"/>
                <w:shd w:val="clear" w:color="auto" w:fill="FFFFFF"/>
              </w:rPr>
              <w:t xml:space="preserve"> </w:t>
            </w:r>
            <w:proofErr w:type="spellStart"/>
            <w:r w:rsidR="00BE1791" w:rsidRPr="00D11C4E">
              <w:rPr>
                <w:rFonts w:ascii="Times New Roman" w:hAnsi="Times New Roman"/>
                <w:bCs/>
                <w:sz w:val="24"/>
                <w:szCs w:val="24"/>
                <w:shd w:val="clear" w:color="auto" w:fill="FFFFFF"/>
              </w:rPr>
              <w:t>componente</w:t>
            </w:r>
            <w:proofErr w:type="spellEnd"/>
            <w:r w:rsidR="00BE1791" w:rsidRPr="00D11C4E">
              <w:rPr>
                <w:rFonts w:ascii="Times New Roman" w:hAnsi="Times New Roman"/>
                <w:sz w:val="24"/>
                <w:szCs w:val="24"/>
                <w:lang w:val="ro-MD"/>
              </w:rPr>
              <w:t xml:space="preserve">, care </w:t>
            </w:r>
            <w:r>
              <w:rPr>
                <w:rFonts w:ascii="Times New Roman" w:hAnsi="Times New Roman"/>
                <w:sz w:val="24"/>
                <w:szCs w:val="24"/>
                <w:lang w:val="ro-MD"/>
              </w:rPr>
              <w:t>va fi</w:t>
            </w:r>
            <w:r w:rsidR="00BE1791" w:rsidRPr="00D11C4E">
              <w:rPr>
                <w:rFonts w:ascii="Times New Roman" w:hAnsi="Times New Roman"/>
                <w:sz w:val="24"/>
                <w:szCs w:val="24"/>
                <w:lang w:val="ro-MD"/>
              </w:rPr>
              <w:t xml:space="preserve"> plasat pe pagina oficială a Ministerului Agriculturii și Industriei Alimentare</w:t>
            </w:r>
            <w:r>
              <w:rPr>
                <w:rFonts w:ascii="Times New Roman" w:eastAsia="Times New Roman" w:hAnsi="Times New Roman"/>
                <w:color w:val="000000" w:themeColor="text1"/>
                <w:sz w:val="24"/>
                <w:szCs w:val="24"/>
              </w:rPr>
              <w:t>.</w:t>
            </w:r>
          </w:p>
        </w:tc>
      </w:tr>
      <w:tr w:rsidR="00DA0DE1" w:rsidRPr="00DA0DE1" w14:paraId="109BA6FA" w14:textId="77777777" w:rsidTr="00876045">
        <w:tc>
          <w:tcPr>
            <w:tcW w:w="9109" w:type="dxa"/>
            <w:shd w:val="clear" w:color="BFBFBF" w:fill="BFBFBF"/>
            <w:tcMar>
              <w:top w:w="0" w:type="dxa"/>
              <w:left w:w="108" w:type="dxa"/>
              <w:bottom w:w="0" w:type="dxa"/>
              <w:right w:w="108" w:type="dxa"/>
            </w:tcMar>
          </w:tcPr>
          <w:p w14:paraId="47EAAA7F" w14:textId="4BDE7414" w:rsidR="0016331B" w:rsidRPr="00D11C4E" w:rsidRDefault="00F603F9" w:rsidP="0006633C">
            <w:pPr>
              <w:spacing w:line="276" w:lineRule="auto"/>
              <w:rPr>
                <w:rFonts w:ascii="Times New Roman" w:hAnsi="Times New Roman"/>
                <w:b/>
                <w:bCs/>
                <w:sz w:val="24"/>
                <w:szCs w:val="24"/>
                <w:lang w:val="ro-MD"/>
              </w:rPr>
            </w:pPr>
            <w:r w:rsidRPr="00D11C4E">
              <w:rPr>
                <w:rFonts w:ascii="Times New Roman" w:hAnsi="Times New Roman"/>
                <w:b/>
                <w:bCs/>
                <w:sz w:val="24"/>
                <w:szCs w:val="24"/>
                <w:lang w:val="ro-MD"/>
              </w:rPr>
              <w:t>7. Concluziile expertizelor</w:t>
            </w:r>
          </w:p>
        </w:tc>
      </w:tr>
      <w:tr w:rsidR="00DA0DE1" w:rsidRPr="00DA0DE1" w14:paraId="43C06A8F" w14:textId="77777777" w:rsidTr="00876045">
        <w:tc>
          <w:tcPr>
            <w:tcW w:w="9109" w:type="dxa"/>
            <w:shd w:val="clear" w:color="FFFFFF" w:fill="FFFFFF"/>
            <w:tcMar>
              <w:top w:w="0" w:type="dxa"/>
              <w:left w:w="108" w:type="dxa"/>
              <w:bottom w:w="0" w:type="dxa"/>
              <w:right w:w="108" w:type="dxa"/>
            </w:tcMar>
          </w:tcPr>
          <w:p w14:paraId="07ACBFFB" w14:textId="36CC0EDA" w:rsidR="00C604FE" w:rsidRPr="00D11C4E" w:rsidRDefault="00C604FE" w:rsidP="001B29B1">
            <w:pPr>
              <w:spacing w:line="276" w:lineRule="auto"/>
              <w:ind w:firstLine="284"/>
              <w:rPr>
                <w:rFonts w:ascii="Times New Roman" w:hAnsi="Times New Roman"/>
                <w:sz w:val="24"/>
                <w:szCs w:val="24"/>
                <w:lang w:val="ro-MD"/>
              </w:rPr>
            </w:pPr>
            <w:proofErr w:type="spellStart"/>
            <w:r w:rsidRPr="00D11C4E">
              <w:rPr>
                <w:rFonts w:ascii="Times New Roman" w:eastAsia="Times New Roman" w:hAnsi="Times New Roman"/>
                <w:sz w:val="24"/>
                <w:szCs w:val="24"/>
              </w:rPr>
              <w:t>Proiectul</w:t>
            </w:r>
            <w:proofErr w:type="spellEnd"/>
            <w:r w:rsidRPr="00D11C4E">
              <w:rPr>
                <w:rFonts w:ascii="Times New Roman" w:eastAsia="Times New Roman" w:hAnsi="Times New Roman"/>
                <w:sz w:val="24"/>
                <w:szCs w:val="24"/>
              </w:rPr>
              <w:t xml:space="preserve"> de </w:t>
            </w:r>
            <w:proofErr w:type="spellStart"/>
            <w:r w:rsidRPr="00D11C4E">
              <w:rPr>
                <w:rFonts w:ascii="Times New Roman" w:eastAsia="Times New Roman" w:hAnsi="Times New Roman"/>
                <w:sz w:val="24"/>
                <w:szCs w:val="24"/>
              </w:rPr>
              <w:t>ordin</w:t>
            </w:r>
            <w:proofErr w:type="spellEnd"/>
            <w:r w:rsidRPr="00D11C4E">
              <w:rPr>
                <w:rFonts w:ascii="Times New Roman" w:eastAsia="Times New Roman" w:hAnsi="Times New Roman"/>
                <w:sz w:val="24"/>
                <w:szCs w:val="24"/>
              </w:rPr>
              <w:t xml:space="preserve"> </w:t>
            </w:r>
            <w:proofErr w:type="spellStart"/>
            <w:r w:rsidR="00E6466E" w:rsidRPr="00D11C4E">
              <w:rPr>
                <w:rFonts w:ascii="Times New Roman" w:eastAsia="Times New Roman" w:hAnsi="Times New Roman"/>
                <w:sz w:val="24"/>
                <w:szCs w:val="24"/>
              </w:rPr>
              <w:t>v</w:t>
            </w:r>
            <w:r w:rsidR="00A53DCA" w:rsidRPr="00D11C4E">
              <w:rPr>
                <w:rFonts w:ascii="Times New Roman" w:eastAsia="Times New Roman" w:hAnsi="Times New Roman"/>
                <w:sz w:val="24"/>
                <w:szCs w:val="24"/>
              </w:rPr>
              <w:t>a</w:t>
            </w:r>
            <w:proofErr w:type="spellEnd"/>
            <w:r w:rsidR="00A53DCA" w:rsidRPr="00D11C4E">
              <w:rPr>
                <w:rFonts w:ascii="Times New Roman" w:eastAsia="Times New Roman" w:hAnsi="Times New Roman"/>
                <w:sz w:val="24"/>
                <w:szCs w:val="24"/>
              </w:rPr>
              <w:t xml:space="preserve"> fi </w:t>
            </w:r>
            <w:proofErr w:type="spellStart"/>
            <w:r w:rsidR="00A53DCA" w:rsidRPr="00D11C4E">
              <w:rPr>
                <w:rFonts w:ascii="Times New Roman" w:eastAsia="Times New Roman" w:hAnsi="Times New Roman"/>
                <w:sz w:val="24"/>
                <w:szCs w:val="24"/>
              </w:rPr>
              <w:t>supus</w:t>
            </w:r>
            <w:proofErr w:type="spellEnd"/>
            <w:r w:rsidR="00A53DCA" w:rsidRPr="00D11C4E">
              <w:rPr>
                <w:rFonts w:ascii="Times New Roman" w:eastAsia="Times New Roman" w:hAnsi="Times New Roman"/>
                <w:sz w:val="24"/>
                <w:szCs w:val="24"/>
              </w:rPr>
              <w:t xml:space="preserve"> </w:t>
            </w:r>
            <w:proofErr w:type="spellStart"/>
            <w:r w:rsidR="00A53DCA" w:rsidRPr="00D11C4E">
              <w:rPr>
                <w:rFonts w:ascii="Times New Roman" w:eastAsia="Times New Roman" w:hAnsi="Times New Roman"/>
                <w:sz w:val="24"/>
                <w:szCs w:val="24"/>
              </w:rPr>
              <w:t>expertizei</w:t>
            </w:r>
            <w:proofErr w:type="spellEnd"/>
            <w:r w:rsidR="00A53DCA" w:rsidRPr="00D11C4E">
              <w:rPr>
                <w:rFonts w:ascii="Times New Roman" w:eastAsia="Times New Roman" w:hAnsi="Times New Roman"/>
                <w:sz w:val="24"/>
                <w:szCs w:val="24"/>
              </w:rPr>
              <w:t xml:space="preserve"> de </w:t>
            </w:r>
            <w:proofErr w:type="spellStart"/>
            <w:r w:rsidR="00A53DCA" w:rsidRPr="00D11C4E">
              <w:rPr>
                <w:rFonts w:ascii="Times New Roman" w:eastAsia="Times New Roman" w:hAnsi="Times New Roman"/>
                <w:sz w:val="24"/>
                <w:szCs w:val="24"/>
              </w:rPr>
              <w:t>com</w:t>
            </w:r>
            <w:r w:rsidR="00E6466E" w:rsidRPr="00D11C4E">
              <w:rPr>
                <w:rFonts w:ascii="Times New Roman" w:eastAsia="Times New Roman" w:hAnsi="Times New Roman"/>
                <w:sz w:val="24"/>
                <w:szCs w:val="24"/>
              </w:rPr>
              <w:t>patibilitate</w:t>
            </w:r>
            <w:proofErr w:type="spellEnd"/>
            <w:r w:rsidR="00E6466E" w:rsidRPr="00D11C4E">
              <w:rPr>
                <w:rFonts w:ascii="Times New Roman" w:eastAsia="Times New Roman" w:hAnsi="Times New Roman"/>
                <w:sz w:val="24"/>
                <w:szCs w:val="24"/>
              </w:rPr>
              <w:t xml:space="preserve"> </w:t>
            </w:r>
            <w:proofErr w:type="spellStart"/>
            <w:r w:rsidRPr="00D11C4E">
              <w:rPr>
                <w:rFonts w:ascii="Times New Roman" w:eastAsia="Times New Roman" w:hAnsi="Times New Roman"/>
                <w:sz w:val="24"/>
                <w:szCs w:val="24"/>
              </w:rPr>
              <w:t>în</w:t>
            </w:r>
            <w:proofErr w:type="spellEnd"/>
            <w:r w:rsidRPr="00D11C4E">
              <w:rPr>
                <w:rFonts w:ascii="Times New Roman" w:eastAsia="Times New Roman" w:hAnsi="Times New Roman"/>
                <w:sz w:val="24"/>
                <w:szCs w:val="24"/>
              </w:rPr>
              <w:t xml:space="preserve"> </w:t>
            </w:r>
            <w:proofErr w:type="spellStart"/>
            <w:r w:rsidRPr="00D11C4E">
              <w:rPr>
                <w:rFonts w:ascii="Times New Roman" w:eastAsia="Times New Roman" w:hAnsi="Times New Roman"/>
                <w:sz w:val="24"/>
                <w:szCs w:val="24"/>
              </w:rPr>
              <w:t>conformitate</w:t>
            </w:r>
            <w:proofErr w:type="spellEnd"/>
            <w:r w:rsidRPr="00D11C4E">
              <w:rPr>
                <w:rFonts w:ascii="Times New Roman" w:eastAsia="Times New Roman" w:hAnsi="Times New Roman"/>
                <w:sz w:val="24"/>
                <w:szCs w:val="24"/>
              </w:rPr>
              <w:t xml:space="preserve"> cu</w:t>
            </w:r>
            <w:r w:rsidR="00A66D4C" w:rsidRPr="00D11C4E">
              <w:rPr>
                <w:rFonts w:ascii="Times New Roman" w:eastAsia="Times New Roman" w:hAnsi="Times New Roman"/>
                <w:sz w:val="24"/>
                <w:szCs w:val="24"/>
              </w:rPr>
              <w:t xml:space="preserve"> </w:t>
            </w:r>
            <w:r w:rsidRPr="00D11C4E">
              <w:rPr>
                <w:rFonts w:ascii="Times New Roman" w:eastAsia="Times New Roman" w:hAnsi="Times New Roman"/>
                <w:sz w:val="24"/>
                <w:szCs w:val="24"/>
              </w:rPr>
              <w:t xml:space="preserve">art. 35 </w:t>
            </w:r>
            <w:proofErr w:type="spellStart"/>
            <w:r w:rsidRPr="00D11C4E">
              <w:rPr>
                <w:rFonts w:ascii="Times New Roman" w:eastAsia="Times New Roman" w:hAnsi="Times New Roman"/>
                <w:sz w:val="24"/>
                <w:szCs w:val="24"/>
              </w:rPr>
              <w:t>alin</w:t>
            </w:r>
            <w:proofErr w:type="spellEnd"/>
            <w:r w:rsidRPr="00D11C4E">
              <w:rPr>
                <w:rFonts w:ascii="Times New Roman" w:eastAsia="Times New Roman" w:hAnsi="Times New Roman"/>
                <w:sz w:val="24"/>
                <w:szCs w:val="24"/>
              </w:rPr>
              <w:t xml:space="preserve">. (3) </w:t>
            </w:r>
            <w:r w:rsidRPr="00D11C4E">
              <w:rPr>
                <w:rFonts w:ascii="Times New Roman" w:hAnsi="Times New Roman"/>
                <w:sz w:val="24"/>
                <w:szCs w:val="24"/>
              </w:rPr>
              <w:t xml:space="preserve">de </w:t>
            </w:r>
            <w:proofErr w:type="spellStart"/>
            <w:r w:rsidRPr="00D11C4E">
              <w:rPr>
                <w:rFonts w:ascii="Times New Roman" w:hAnsi="Times New Roman"/>
                <w:sz w:val="24"/>
                <w:szCs w:val="24"/>
              </w:rPr>
              <w:t>către</w:t>
            </w:r>
            <w:proofErr w:type="spellEnd"/>
            <w:r w:rsidRPr="00D11C4E">
              <w:rPr>
                <w:rFonts w:ascii="Times New Roman" w:hAnsi="Times New Roman"/>
                <w:sz w:val="24"/>
                <w:szCs w:val="24"/>
              </w:rPr>
              <w:t xml:space="preserve"> </w:t>
            </w:r>
            <w:proofErr w:type="spellStart"/>
            <w:r w:rsidRPr="00D11C4E">
              <w:rPr>
                <w:rFonts w:ascii="Times New Roman" w:hAnsi="Times New Roman"/>
                <w:sz w:val="24"/>
                <w:szCs w:val="24"/>
                <w:shd w:val="clear" w:color="auto" w:fill="FFFFFF"/>
              </w:rPr>
              <w:t>Centrului</w:t>
            </w:r>
            <w:proofErr w:type="spellEnd"/>
            <w:r w:rsidRPr="00D11C4E">
              <w:rPr>
                <w:rFonts w:ascii="Times New Roman" w:hAnsi="Times New Roman"/>
                <w:sz w:val="24"/>
                <w:szCs w:val="24"/>
                <w:shd w:val="clear" w:color="auto" w:fill="FFFFFF"/>
              </w:rPr>
              <w:t xml:space="preserve"> de </w:t>
            </w:r>
            <w:proofErr w:type="spellStart"/>
            <w:r w:rsidRPr="00D11C4E">
              <w:rPr>
                <w:rFonts w:ascii="Times New Roman" w:hAnsi="Times New Roman"/>
                <w:sz w:val="24"/>
                <w:szCs w:val="24"/>
                <w:shd w:val="clear" w:color="auto" w:fill="FFFFFF"/>
              </w:rPr>
              <w:t>Armonizare</w:t>
            </w:r>
            <w:proofErr w:type="spellEnd"/>
            <w:r w:rsidRPr="00D11C4E">
              <w:rPr>
                <w:rFonts w:ascii="Times New Roman" w:hAnsi="Times New Roman"/>
                <w:sz w:val="24"/>
                <w:szCs w:val="24"/>
                <w:shd w:val="clear" w:color="auto" w:fill="FFFFFF"/>
              </w:rPr>
              <w:t xml:space="preserve"> a Legislației</w:t>
            </w:r>
            <w:r w:rsidR="00AA25A9" w:rsidRPr="00D11C4E">
              <w:rPr>
                <w:rFonts w:ascii="Times New Roman" w:hAnsi="Times New Roman"/>
                <w:sz w:val="24"/>
                <w:szCs w:val="24"/>
                <w:shd w:val="clear" w:color="auto" w:fill="FFFFFF"/>
              </w:rPr>
              <w:t>.</w:t>
            </w:r>
          </w:p>
          <w:p w14:paraId="167C353D" w14:textId="59756A5D" w:rsidR="002C0248" w:rsidRPr="00D11C4E" w:rsidRDefault="002C0248"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Conform art. 36 alin. (5) din Legea 100/2017 cu privire la acte normative, expertiza anticorupție </w:t>
            </w:r>
            <w:r w:rsidR="00AA25A9" w:rsidRPr="00D11C4E">
              <w:rPr>
                <w:rFonts w:ascii="Times New Roman" w:hAnsi="Times New Roman"/>
                <w:sz w:val="24"/>
                <w:szCs w:val="24"/>
                <w:lang w:val="ro-MD"/>
              </w:rPr>
              <w:t>va fi</w:t>
            </w:r>
            <w:r w:rsidRPr="00D11C4E">
              <w:rPr>
                <w:rFonts w:ascii="Times New Roman" w:hAnsi="Times New Roman"/>
                <w:sz w:val="24"/>
                <w:szCs w:val="24"/>
                <w:lang w:val="ro-MD"/>
              </w:rPr>
              <w:t xml:space="preserve"> efectuată de către autorii proiectului</w:t>
            </w:r>
            <w:r w:rsidR="00E6466E" w:rsidRPr="00D11C4E">
              <w:rPr>
                <w:rFonts w:ascii="Times New Roman" w:hAnsi="Times New Roman"/>
                <w:sz w:val="24"/>
                <w:szCs w:val="24"/>
                <w:lang w:val="ro-MD"/>
              </w:rPr>
              <w:t>.</w:t>
            </w:r>
          </w:p>
          <w:p w14:paraId="73C88106" w14:textId="77777777" w:rsidR="00A66D4C" w:rsidRPr="00D11C4E" w:rsidRDefault="00A66D4C" w:rsidP="00FE70FD">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Totodată, în conformitate cu art. 37 alin (1) din Legea 100/2017, proiectul de ordin </w:t>
            </w:r>
            <w:r w:rsidR="00AA25A9" w:rsidRPr="00D11C4E">
              <w:rPr>
                <w:rFonts w:ascii="Times New Roman" w:hAnsi="Times New Roman"/>
                <w:sz w:val="24"/>
                <w:szCs w:val="24"/>
                <w:lang w:val="ro-MD"/>
              </w:rPr>
              <w:t>v</w:t>
            </w:r>
            <w:r w:rsidR="003645B2" w:rsidRPr="00D11C4E">
              <w:rPr>
                <w:rFonts w:ascii="Times New Roman" w:hAnsi="Times New Roman"/>
                <w:sz w:val="24"/>
                <w:szCs w:val="24"/>
                <w:lang w:val="ro-MD"/>
              </w:rPr>
              <w:t xml:space="preserve">a </w:t>
            </w:r>
            <w:r w:rsidR="00AA25A9" w:rsidRPr="00D11C4E">
              <w:rPr>
                <w:rFonts w:ascii="Times New Roman" w:hAnsi="Times New Roman"/>
                <w:sz w:val="24"/>
                <w:szCs w:val="24"/>
                <w:lang w:val="ro-MD"/>
              </w:rPr>
              <w:t>fi</w:t>
            </w:r>
            <w:r w:rsidRPr="00D11C4E">
              <w:rPr>
                <w:rFonts w:ascii="Times New Roman" w:hAnsi="Times New Roman"/>
                <w:sz w:val="24"/>
                <w:szCs w:val="24"/>
                <w:lang w:val="ro-MD"/>
              </w:rPr>
              <w:t xml:space="preserve"> supus expertizei juridice de către Ministerul Justiției</w:t>
            </w:r>
            <w:r w:rsidR="00AA25A9" w:rsidRPr="00D11C4E">
              <w:rPr>
                <w:rFonts w:ascii="Times New Roman" w:hAnsi="Times New Roman"/>
                <w:sz w:val="24"/>
                <w:szCs w:val="24"/>
                <w:lang w:val="ro-MD"/>
              </w:rPr>
              <w:t>.</w:t>
            </w:r>
          </w:p>
          <w:p w14:paraId="244D4798" w14:textId="24033F74" w:rsidR="00E6466E" w:rsidRPr="00D11C4E" w:rsidRDefault="00E40FCB" w:rsidP="00FE70FD">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Concluziile </w:t>
            </w:r>
            <w:r w:rsidR="004860EA" w:rsidRPr="00D11C4E">
              <w:rPr>
                <w:rFonts w:ascii="Times New Roman" w:hAnsi="Times New Roman"/>
                <w:sz w:val="24"/>
                <w:szCs w:val="24"/>
                <w:lang w:val="ro-MD"/>
              </w:rPr>
              <w:t>expertizelor va fi incluse în sinteza obiecțiilor.</w:t>
            </w:r>
            <w:r w:rsidRPr="00D11C4E">
              <w:rPr>
                <w:rFonts w:ascii="Times New Roman" w:hAnsi="Times New Roman"/>
                <w:sz w:val="24"/>
                <w:szCs w:val="24"/>
                <w:lang w:val="ro-MD"/>
              </w:rPr>
              <w:t xml:space="preserve"> </w:t>
            </w:r>
          </w:p>
        </w:tc>
      </w:tr>
      <w:tr w:rsidR="00DA0DE1" w:rsidRPr="00DA0DE1" w14:paraId="646131D6" w14:textId="77777777" w:rsidTr="00876045">
        <w:tc>
          <w:tcPr>
            <w:tcW w:w="9109" w:type="dxa"/>
            <w:shd w:val="clear" w:color="BFBFBF" w:fill="BFBFBF"/>
            <w:tcMar>
              <w:top w:w="0" w:type="dxa"/>
              <w:left w:w="108" w:type="dxa"/>
              <w:bottom w:w="0" w:type="dxa"/>
              <w:right w:w="108" w:type="dxa"/>
            </w:tcMar>
          </w:tcPr>
          <w:p w14:paraId="47C4CFB5" w14:textId="301802A7" w:rsidR="0016331B" w:rsidRPr="00D11C4E" w:rsidRDefault="00F603F9" w:rsidP="0006633C">
            <w:pPr>
              <w:spacing w:line="276" w:lineRule="auto"/>
              <w:rPr>
                <w:rFonts w:ascii="Times New Roman" w:hAnsi="Times New Roman"/>
                <w:b/>
                <w:bCs/>
                <w:sz w:val="24"/>
                <w:szCs w:val="24"/>
                <w:lang w:val="ro-MD"/>
              </w:rPr>
            </w:pPr>
            <w:r w:rsidRPr="00D11C4E">
              <w:rPr>
                <w:rFonts w:ascii="Times New Roman" w:hAnsi="Times New Roman"/>
                <w:b/>
                <w:bCs/>
                <w:sz w:val="24"/>
                <w:szCs w:val="24"/>
                <w:lang w:val="ro-MD"/>
              </w:rPr>
              <w:t>8. Modul de încorporare a actului în cadrul normativ existent</w:t>
            </w:r>
          </w:p>
        </w:tc>
      </w:tr>
      <w:tr w:rsidR="00DA0DE1" w:rsidRPr="00DA0DE1" w14:paraId="7F0FC8D5" w14:textId="77777777" w:rsidTr="00876045">
        <w:tc>
          <w:tcPr>
            <w:tcW w:w="9109" w:type="dxa"/>
            <w:tcMar>
              <w:top w:w="0" w:type="dxa"/>
              <w:left w:w="108" w:type="dxa"/>
              <w:bottom w:w="0" w:type="dxa"/>
              <w:right w:w="108" w:type="dxa"/>
            </w:tcMar>
          </w:tcPr>
          <w:p w14:paraId="7FC1CBD6" w14:textId="3DC3B90A" w:rsidR="00F603F9" w:rsidRPr="00D11C4E" w:rsidRDefault="00F603F9" w:rsidP="00836A64">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lastRenderedPageBreak/>
              <w:t>Proiectul de ordin se emite pentru aprobarea</w:t>
            </w:r>
            <w:r w:rsidR="006B5C38" w:rsidRPr="00D11C4E">
              <w:rPr>
                <w:rFonts w:ascii="Times New Roman" w:hAnsi="Times New Roman"/>
                <w:sz w:val="24"/>
                <w:szCs w:val="24"/>
                <w:lang w:val="ro-MD"/>
              </w:rPr>
              <w:t xml:space="preserve"> </w:t>
            </w:r>
            <w:r w:rsidR="00F0275C" w:rsidRPr="00D11C4E">
              <w:rPr>
                <w:rFonts w:ascii="Times New Roman" w:hAnsi="Times New Roman"/>
                <w:sz w:val="24"/>
                <w:szCs w:val="24"/>
                <w:lang w:val="ro-MD"/>
              </w:rPr>
              <w:t>categoriilor</w:t>
            </w:r>
            <w:r w:rsidR="006B5C38" w:rsidRPr="00D11C4E">
              <w:rPr>
                <w:rFonts w:ascii="Times New Roman" w:hAnsi="Times New Roman"/>
                <w:sz w:val="24"/>
                <w:szCs w:val="24"/>
                <w:lang w:val="ro-MD"/>
              </w:rPr>
              <w:t xml:space="preserve"> funcționale de produse și a </w:t>
            </w:r>
            <w:r w:rsidR="00F0275C" w:rsidRPr="00D11C4E">
              <w:rPr>
                <w:rFonts w:ascii="Times New Roman" w:hAnsi="Times New Roman"/>
                <w:sz w:val="24"/>
                <w:szCs w:val="24"/>
                <w:lang w:val="ro-MD"/>
              </w:rPr>
              <w:t>categoriilor</w:t>
            </w:r>
            <w:r w:rsidR="006B5C38" w:rsidRPr="00D11C4E">
              <w:rPr>
                <w:rFonts w:ascii="Times New Roman" w:hAnsi="Times New Roman"/>
                <w:sz w:val="24"/>
                <w:szCs w:val="24"/>
                <w:lang w:val="ro-MD"/>
              </w:rPr>
              <w:t xml:space="preserve"> de materii componente a produselor fertilizante UE</w:t>
            </w:r>
            <w:r w:rsidRPr="00D11C4E">
              <w:rPr>
                <w:rFonts w:ascii="Times New Roman" w:hAnsi="Times New Roman"/>
                <w:sz w:val="24"/>
                <w:szCs w:val="24"/>
                <w:lang w:val="ro-MD"/>
              </w:rPr>
              <w:t>,</w:t>
            </w:r>
            <w:r w:rsidR="006B5C38" w:rsidRPr="00D11C4E">
              <w:rPr>
                <w:rFonts w:ascii="Times New Roman" w:hAnsi="Times New Roman"/>
                <w:sz w:val="24"/>
                <w:szCs w:val="24"/>
                <w:lang w:val="ro-MD"/>
              </w:rPr>
              <w:t xml:space="preserve"> conform prevederilor </w:t>
            </w:r>
            <w:r w:rsidR="00B970EB" w:rsidRPr="00D11C4E">
              <w:rPr>
                <w:rFonts w:ascii="Times New Roman" w:hAnsi="Times New Roman"/>
                <w:sz w:val="24"/>
                <w:szCs w:val="24"/>
                <w:lang w:val="ro-MD"/>
              </w:rPr>
              <w:t>art. 5 alin. (1) din Legea nr. 21/2025 privind punerea la dispoziție pe piață a produselor fertilizante</w:t>
            </w:r>
            <w:r w:rsidR="006B5C38" w:rsidRPr="00D11C4E">
              <w:rPr>
                <w:rFonts w:ascii="Times New Roman" w:hAnsi="Times New Roman"/>
                <w:sz w:val="24"/>
                <w:szCs w:val="24"/>
                <w:lang w:val="ro-MD"/>
              </w:rPr>
              <w:t xml:space="preserve">. </w:t>
            </w:r>
            <w:r w:rsidR="00781F63" w:rsidRPr="00D11C4E">
              <w:rPr>
                <w:rFonts w:ascii="Times New Roman" w:hAnsi="Times New Roman"/>
                <w:sz w:val="24"/>
                <w:szCs w:val="24"/>
                <w:lang w:val="ro-MD"/>
              </w:rPr>
              <w:t xml:space="preserve">Proiectul de </w:t>
            </w:r>
            <w:r w:rsidRPr="00D11C4E">
              <w:rPr>
                <w:rFonts w:ascii="Times New Roman" w:hAnsi="Times New Roman"/>
                <w:sz w:val="24"/>
                <w:szCs w:val="24"/>
                <w:lang w:val="ro-MD"/>
              </w:rPr>
              <w:t>ordin are rolul de a implementa Legea</w:t>
            </w:r>
            <w:r w:rsidR="00781F63" w:rsidRPr="00D11C4E">
              <w:rPr>
                <w:rFonts w:ascii="Times New Roman" w:hAnsi="Times New Roman"/>
                <w:sz w:val="24"/>
                <w:szCs w:val="24"/>
                <w:lang w:val="ro-MD"/>
              </w:rPr>
              <w:t xml:space="preserve"> nr. </w:t>
            </w:r>
            <w:r w:rsidR="006B5C38" w:rsidRPr="00D11C4E">
              <w:rPr>
                <w:rFonts w:ascii="Times New Roman" w:hAnsi="Times New Roman"/>
                <w:sz w:val="24"/>
                <w:szCs w:val="24"/>
                <w:lang w:val="ro-MD"/>
              </w:rPr>
              <w:t>21/2025</w:t>
            </w:r>
            <w:r w:rsidRPr="00D11C4E">
              <w:rPr>
                <w:rFonts w:ascii="Times New Roman" w:hAnsi="Times New Roman"/>
                <w:sz w:val="24"/>
                <w:szCs w:val="24"/>
                <w:lang w:val="ro-MD"/>
              </w:rPr>
              <w:t xml:space="preserve"> prin preluarea completă a </w:t>
            </w:r>
            <w:r w:rsidR="009500BA" w:rsidRPr="00D11C4E">
              <w:rPr>
                <w:rFonts w:ascii="Times New Roman" w:hAnsi="Times New Roman"/>
                <w:sz w:val="24"/>
                <w:szCs w:val="24"/>
                <w:lang w:val="ro-MD"/>
              </w:rPr>
              <w:t>Anexei nr. I</w:t>
            </w:r>
            <w:r w:rsidR="006B5C38" w:rsidRPr="00D11C4E">
              <w:rPr>
                <w:rFonts w:ascii="Times New Roman" w:hAnsi="Times New Roman"/>
                <w:sz w:val="24"/>
                <w:szCs w:val="24"/>
                <w:lang w:val="ro-MD"/>
              </w:rPr>
              <w:t xml:space="preserve"> </w:t>
            </w:r>
            <w:r w:rsidR="00CA2FE8" w:rsidRPr="00D11C4E">
              <w:rPr>
                <w:rFonts w:ascii="Times New Roman" w:hAnsi="Times New Roman"/>
                <w:sz w:val="24"/>
                <w:szCs w:val="24"/>
                <w:lang w:val="ro-MD"/>
              </w:rPr>
              <w:t xml:space="preserve">și </w:t>
            </w:r>
            <w:r w:rsidR="009500BA" w:rsidRPr="00D11C4E">
              <w:rPr>
                <w:rFonts w:ascii="Times New Roman" w:hAnsi="Times New Roman"/>
                <w:sz w:val="24"/>
                <w:szCs w:val="24"/>
                <w:lang w:val="ro-MD"/>
              </w:rPr>
              <w:t xml:space="preserve">II </w:t>
            </w:r>
            <w:r w:rsidR="00613747" w:rsidRPr="00D11C4E">
              <w:rPr>
                <w:rFonts w:ascii="Times New Roman" w:hAnsi="Times New Roman"/>
                <w:sz w:val="24"/>
                <w:szCs w:val="24"/>
                <w:lang w:val="ro-MD"/>
              </w:rPr>
              <w:t>din</w:t>
            </w:r>
            <w:r w:rsidR="00CA2FE8" w:rsidRPr="00D11C4E">
              <w:rPr>
                <w:rFonts w:ascii="Times New Roman" w:hAnsi="Times New Roman"/>
                <w:sz w:val="24"/>
                <w:szCs w:val="24"/>
                <w:lang w:val="ro-MD"/>
              </w:rPr>
              <w:t xml:space="preserve"> Regulamentul (UE) 2019/1009</w:t>
            </w:r>
            <w:r w:rsidRPr="00D11C4E">
              <w:rPr>
                <w:rFonts w:ascii="Times New Roman" w:hAnsi="Times New Roman"/>
                <w:sz w:val="24"/>
                <w:szCs w:val="24"/>
                <w:lang w:val="ro-MD"/>
              </w:rPr>
              <w:t xml:space="preserve">. Astfel, se transpune </w:t>
            </w:r>
            <w:r w:rsidR="00CA2FE8" w:rsidRPr="00D11C4E">
              <w:rPr>
                <w:rFonts w:ascii="Times New Roman" w:hAnsi="Times New Roman"/>
                <w:sz w:val="24"/>
                <w:szCs w:val="24"/>
                <w:lang w:val="ro-MD"/>
              </w:rPr>
              <w:t xml:space="preserve">Categoriile funcționale de produse pentru produsele fertilizante UE și </w:t>
            </w:r>
            <w:r w:rsidR="00836A64" w:rsidRPr="00D11C4E">
              <w:rPr>
                <w:rFonts w:ascii="Times New Roman" w:hAnsi="Times New Roman"/>
                <w:sz w:val="24"/>
                <w:szCs w:val="24"/>
                <w:lang w:val="ro-MD"/>
              </w:rPr>
              <w:t>Categoriile de materii componente</w:t>
            </w:r>
            <w:r w:rsidR="00682597" w:rsidRPr="00D11C4E">
              <w:rPr>
                <w:rFonts w:ascii="Times New Roman" w:hAnsi="Times New Roman"/>
                <w:sz w:val="24"/>
                <w:szCs w:val="24"/>
                <w:lang w:val="ro-MD"/>
              </w:rPr>
              <w:t xml:space="preserve"> a produselor fertilizante UE</w:t>
            </w:r>
            <w:r w:rsidR="00836A64" w:rsidRPr="00D11C4E">
              <w:rPr>
                <w:rFonts w:ascii="Times New Roman" w:hAnsi="Times New Roman"/>
                <w:sz w:val="24"/>
                <w:szCs w:val="24"/>
                <w:lang w:val="ro-MD"/>
              </w:rPr>
              <w:t xml:space="preserve">. </w:t>
            </w:r>
            <w:r w:rsidRPr="00D11C4E">
              <w:rPr>
                <w:rFonts w:ascii="Times New Roman" w:hAnsi="Times New Roman"/>
                <w:sz w:val="24"/>
                <w:szCs w:val="24"/>
                <w:lang w:val="ro-MD"/>
              </w:rPr>
              <w:t xml:space="preserve">Proiectul de ordin nu necesită modificări suplimentare ale altor acte normative și nu impune abrogări. </w:t>
            </w:r>
          </w:p>
          <w:p w14:paraId="65F58708" w14:textId="77777777" w:rsidR="00F603F9" w:rsidRDefault="00836A64" w:rsidP="00836A64">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Categoriile funcționale de produse pentru produsele fertilizante UE și Categoriile de materii componente</w:t>
            </w:r>
            <w:r w:rsidR="00682597" w:rsidRPr="00D11C4E">
              <w:rPr>
                <w:rFonts w:ascii="Times New Roman" w:hAnsi="Times New Roman"/>
                <w:sz w:val="24"/>
                <w:szCs w:val="24"/>
                <w:lang w:val="ro-MD"/>
              </w:rPr>
              <w:t xml:space="preserve"> a produselor fertilizante UE</w:t>
            </w:r>
            <w:r w:rsidRPr="00D11C4E">
              <w:rPr>
                <w:rFonts w:ascii="Times New Roman" w:hAnsi="Times New Roman"/>
                <w:sz w:val="24"/>
                <w:szCs w:val="24"/>
                <w:lang w:val="ro-MD"/>
              </w:rPr>
              <w:t xml:space="preserve"> vor fi actualizate</w:t>
            </w:r>
            <w:r w:rsidR="00901A87" w:rsidRPr="00D11C4E">
              <w:rPr>
                <w:rFonts w:ascii="Times New Roman" w:hAnsi="Times New Roman"/>
                <w:sz w:val="24"/>
                <w:szCs w:val="24"/>
                <w:lang w:val="ro-MD"/>
              </w:rPr>
              <w:t xml:space="preserve"> periodic</w:t>
            </w:r>
            <w:r w:rsidR="00F603F9" w:rsidRPr="00D11C4E">
              <w:rPr>
                <w:rFonts w:ascii="Times New Roman" w:hAnsi="Times New Roman"/>
                <w:sz w:val="24"/>
                <w:szCs w:val="24"/>
                <w:lang w:val="ro-MD"/>
              </w:rPr>
              <w:t>, în funcție de modificările intervenite la nivelul UE</w:t>
            </w:r>
            <w:r w:rsidR="00683BCA" w:rsidRPr="00D11C4E">
              <w:rPr>
                <w:rFonts w:ascii="Times New Roman" w:hAnsi="Times New Roman"/>
                <w:sz w:val="24"/>
                <w:szCs w:val="24"/>
                <w:lang w:val="ro-MD"/>
              </w:rPr>
              <w:t xml:space="preserve">. </w:t>
            </w:r>
          </w:p>
          <w:p w14:paraId="48B5BC90" w14:textId="16A2286C" w:rsidR="007D5399" w:rsidRPr="007D5399" w:rsidRDefault="007D5399" w:rsidP="00836A64">
            <w:pPr>
              <w:spacing w:line="276" w:lineRule="auto"/>
              <w:ind w:firstLine="284"/>
              <w:rPr>
                <w:rFonts w:ascii="Times New Roman" w:hAnsi="Times New Roman"/>
                <w:sz w:val="16"/>
                <w:szCs w:val="24"/>
                <w:lang w:val="ro-MD"/>
              </w:rPr>
            </w:pPr>
          </w:p>
        </w:tc>
      </w:tr>
      <w:tr w:rsidR="00DA0DE1" w:rsidRPr="00DA0DE1" w14:paraId="499E9337" w14:textId="77777777" w:rsidTr="00876045">
        <w:tc>
          <w:tcPr>
            <w:tcW w:w="9109" w:type="dxa"/>
            <w:shd w:val="clear" w:color="BFBFBF" w:fill="BFBFBF"/>
            <w:tcMar>
              <w:top w:w="0" w:type="dxa"/>
              <w:left w:w="108" w:type="dxa"/>
              <w:bottom w:w="0" w:type="dxa"/>
              <w:right w:w="108" w:type="dxa"/>
            </w:tcMar>
          </w:tcPr>
          <w:p w14:paraId="1B98A27F" w14:textId="242A7CEA" w:rsidR="0016331B" w:rsidRPr="00D11C4E" w:rsidRDefault="00F603F9" w:rsidP="0006633C">
            <w:pPr>
              <w:spacing w:line="276" w:lineRule="auto"/>
              <w:rPr>
                <w:rFonts w:ascii="Times New Roman" w:hAnsi="Times New Roman"/>
                <w:b/>
                <w:bCs/>
                <w:sz w:val="24"/>
                <w:szCs w:val="24"/>
                <w:lang w:val="ro-MD"/>
              </w:rPr>
            </w:pPr>
            <w:r w:rsidRPr="00D11C4E">
              <w:rPr>
                <w:rFonts w:ascii="Times New Roman" w:hAnsi="Times New Roman"/>
                <w:b/>
                <w:bCs/>
                <w:sz w:val="24"/>
                <w:szCs w:val="24"/>
                <w:lang w:val="ro-MD"/>
              </w:rPr>
              <w:t>9. Măsurile necesare pentru implementarea prevederilor proiectului actului normativ</w:t>
            </w:r>
          </w:p>
        </w:tc>
      </w:tr>
      <w:tr w:rsidR="00DA0DE1" w:rsidRPr="00DA0DE1" w14:paraId="53F19295" w14:textId="77777777" w:rsidTr="00876045">
        <w:tc>
          <w:tcPr>
            <w:tcW w:w="9109" w:type="dxa"/>
            <w:tcMar>
              <w:top w:w="0" w:type="dxa"/>
              <w:left w:w="108" w:type="dxa"/>
              <w:bottom w:w="0" w:type="dxa"/>
              <w:right w:w="108" w:type="dxa"/>
            </w:tcMar>
          </w:tcPr>
          <w:p w14:paraId="034D1A37" w14:textId="32FE4047" w:rsidR="00A30C8F" w:rsidRPr="00D11C4E" w:rsidRDefault="000B6992"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Emiterea</w:t>
            </w:r>
            <w:r w:rsidR="00F603F9" w:rsidRPr="00D11C4E">
              <w:rPr>
                <w:rFonts w:ascii="Times New Roman" w:hAnsi="Times New Roman"/>
                <w:sz w:val="24"/>
                <w:szCs w:val="24"/>
                <w:lang w:val="ro-MD"/>
              </w:rPr>
              <w:t xml:space="preserve"> proiectului de ordin va implica colaborarea mai multor </w:t>
            </w:r>
            <w:r w:rsidR="001B29B1" w:rsidRPr="00D11C4E">
              <w:rPr>
                <w:rFonts w:ascii="Times New Roman" w:hAnsi="Times New Roman"/>
                <w:sz w:val="24"/>
                <w:szCs w:val="24"/>
                <w:lang w:val="ro-MD"/>
              </w:rPr>
              <w:t>autorități</w:t>
            </w:r>
            <w:r w:rsidR="00F603F9" w:rsidRPr="00D11C4E">
              <w:rPr>
                <w:rFonts w:ascii="Times New Roman" w:hAnsi="Times New Roman"/>
                <w:sz w:val="24"/>
                <w:szCs w:val="24"/>
                <w:lang w:val="ro-MD"/>
              </w:rPr>
              <w:t xml:space="preserve">, fiecare având responsabilități clare. Proiectul de ordin sprijină implementarea Legii nr. </w:t>
            </w:r>
            <w:r w:rsidR="00C07163" w:rsidRPr="00D11C4E">
              <w:rPr>
                <w:rFonts w:ascii="Times New Roman" w:hAnsi="Times New Roman"/>
                <w:sz w:val="24"/>
                <w:szCs w:val="24"/>
                <w:lang w:val="ro-MD"/>
              </w:rPr>
              <w:t>21/2025</w:t>
            </w:r>
            <w:r w:rsidR="00F603F9" w:rsidRPr="00D11C4E">
              <w:rPr>
                <w:rFonts w:ascii="Times New Roman" w:hAnsi="Times New Roman"/>
                <w:sz w:val="24"/>
                <w:szCs w:val="24"/>
                <w:lang w:val="ro-MD"/>
              </w:rPr>
              <w:t xml:space="preserve"> și are ca scop principal aprobarea </w:t>
            </w:r>
            <w:r w:rsidR="00A30C8F" w:rsidRPr="00D11C4E">
              <w:rPr>
                <w:rFonts w:ascii="Times New Roman" w:hAnsi="Times New Roman"/>
                <w:sz w:val="24"/>
                <w:szCs w:val="24"/>
                <w:lang w:val="ro-MD"/>
              </w:rPr>
              <w:t>categoriilor funcționale de produse</w:t>
            </w:r>
            <w:r w:rsidR="00682597" w:rsidRPr="00D11C4E">
              <w:rPr>
                <w:rFonts w:ascii="Times New Roman" w:hAnsi="Times New Roman"/>
                <w:sz w:val="24"/>
                <w:szCs w:val="24"/>
                <w:lang w:val="ro-MD"/>
              </w:rPr>
              <w:t xml:space="preserve"> a produselor fertilizante UE</w:t>
            </w:r>
            <w:r w:rsidR="00A30C8F" w:rsidRPr="00D11C4E">
              <w:rPr>
                <w:rFonts w:ascii="Times New Roman" w:hAnsi="Times New Roman"/>
                <w:sz w:val="24"/>
                <w:szCs w:val="24"/>
                <w:lang w:val="ro-MD"/>
              </w:rPr>
              <w:t xml:space="preserve"> și a categoriilor de materii componente a produselor fertilizante UE.</w:t>
            </w:r>
          </w:p>
          <w:p w14:paraId="502B1716" w14:textId="052189A1" w:rsidR="00A30C8F" w:rsidRPr="00D11C4E" w:rsidRDefault="00F603F9"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Proiectul de ordin nu presupune modificări complexe ale legislației existente, ci se concentrează exclusiv pe stabilirea</w:t>
            </w:r>
            <w:r w:rsidR="00A30C8F" w:rsidRPr="00D11C4E">
              <w:rPr>
                <w:rFonts w:ascii="Times New Roman" w:hAnsi="Times New Roman"/>
                <w:sz w:val="24"/>
                <w:szCs w:val="24"/>
                <w:lang w:val="ro-MD"/>
              </w:rPr>
              <w:t xml:space="preserve"> </w:t>
            </w:r>
            <w:r w:rsidR="001E2F0C" w:rsidRPr="00D11C4E">
              <w:rPr>
                <w:rFonts w:ascii="Times New Roman" w:hAnsi="Times New Roman"/>
                <w:sz w:val="24"/>
                <w:szCs w:val="24"/>
                <w:lang w:val="ro-MD"/>
              </w:rPr>
              <w:t xml:space="preserve">cerințelor pentru producerea produselor fertilizante UE conform </w:t>
            </w:r>
            <w:r w:rsidR="00A30C8F" w:rsidRPr="00D11C4E">
              <w:rPr>
                <w:rFonts w:ascii="Times New Roman" w:hAnsi="Times New Roman"/>
                <w:sz w:val="24"/>
                <w:szCs w:val="24"/>
                <w:lang w:val="ro-MD"/>
              </w:rPr>
              <w:t>categoriilor funcționale de produse</w:t>
            </w:r>
            <w:r w:rsidR="001E2F0C" w:rsidRPr="00D11C4E">
              <w:rPr>
                <w:rFonts w:ascii="Times New Roman" w:hAnsi="Times New Roman"/>
                <w:sz w:val="24"/>
                <w:szCs w:val="24"/>
                <w:lang w:val="ro-MD"/>
              </w:rPr>
              <w:t xml:space="preserve"> a produselor fertilizante UE </w:t>
            </w:r>
            <w:r w:rsidR="00A30C8F" w:rsidRPr="00D11C4E">
              <w:rPr>
                <w:rFonts w:ascii="Times New Roman" w:hAnsi="Times New Roman"/>
                <w:sz w:val="24"/>
                <w:szCs w:val="24"/>
                <w:lang w:val="ro-MD"/>
              </w:rPr>
              <w:t>și</w:t>
            </w:r>
            <w:r w:rsidR="001E2F0C" w:rsidRPr="00D11C4E">
              <w:rPr>
                <w:rFonts w:ascii="Times New Roman" w:hAnsi="Times New Roman"/>
                <w:sz w:val="24"/>
                <w:szCs w:val="24"/>
                <w:lang w:val="ro-MD"/>
              </w:rPr>
              <w:t xml:space="preserve"> a categoriilor</w:t>
            </w:r>
            <w:r w:rsidR="00A30C8F" w:rsidRPr="00D11C4E">
              <w:rPr>
                <w:rFonts w:ascii="Times New Roman" w:hAnsi="Times New Roman"/>
                <w:sz w:val="24"/>
                <w:szCs w:val="24"/>
                <w:lang w:val="ro-MD"/>
              </w:rPr>
              <w:t xml:space="preserve"> materii componente a unui produs fertilizant UE în concordanță cu reglementările europene</w:t>
            </w:r>
            <w:r w:rsidR="00DE2E9F" w:rsidRPr="00D11C4E">
              <w:rPr>
                <w:rFonts w:ascii="Times New Roman" w:hAnsi="Times New Roman"/>
                <w:sz w:val="24"/>
                <w:szCs w:val="24"/>
                <w:lang w:val="ro-MD"/>
              </w:rPr>
              <w:t xml:space="preserve"> pentru a facilita accesul la pia</w:t>
            </w:r>
            <w:r w:rsidR="0080564E" w:rsidRPr="00D11C4E">
              <w:rPr>
                <w:rFonts w:ascii="Times New Roman" w:hAnsi="Times New Roman"/>
                <w:sz w:val="24"/>
                <w:szCs w:val="24"/>
                <w:lang w:val="ro-MD"/>
              </w:rPr>
              <w:t>ț</w:t>
            </w:r>
            <w:r w:rsidR="00DE2E9F" w:rsidRPr="00D11C4E">
              <w:rPr>
                <w:rFonts w:ascii="Times New Roman" w:hAnsi="Times New Roman"/>
                <w:sz w:val="24"/>
                <w:szCs w:val="24"/>
                <w:lang w:val="ro-MD"/>
              </w:rPr>
              <w:t xml:space="preserve">a internă și libera circulație a produselor fertilizante sigure și eficiente din punct de vedere agronomic. </w:t>
            </w:r>
          </w:p>
          <w:p w14:paraId="2022B1A5" w14:textId="77777777" w:rsidR="00F603F9" w:rsidRPr="00D11C4E" w:rsidRDefault="00623273"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Autoritatea competentă de elaborare a politicilor (</w:t>
            </w:r>
            <w:r w:rsidR="00F603F9" w:rsidRPr="00D11C4E">
              <w:rPr>
                <w:rFonts w:ascii="Times New Roman" w:hAnsi="Times New Roman"/>
                <w:sz w:val="24"/>
                <w:szCs w:val="24"/>
                <w:lang w:val="ro-MD"/>
              </w:rPr>
              <w:t>Ministerul</w:t>
            </w:r>
            <w:r w:rsidR="000B6992" w:rsidRPr="00D11C4E">
              <w:rPr>
                <w:rFonts w:ascii="Times New Roman" w:hAnsi="Times New Roman"/>
                <w:sz w:val="24"/>
                <w:szCs w:val="24"/>
                <w:lang w:val="ro-MD"/>
              </w:rPr>
              <w:t xml:space="preserve"> Agriculturii și Industriei Alimentare</w:t>
            </w:r>
            <w:r w:rsidRPr="00D11C4E">
              <w:rPr>
                <w:rFonts w:ascii="Times New Roman" w:hAnsi="Times New Roman"/>
                <w:sz w:val="24"/>
                <w:szCs w:val="24"/>
                <w:lang w:val="ro-MD"/>
              </w:rPr>
              <w:t>)</w:t>
            </w:r>
            <w:r w:rsidR="00F603F9" w:rsidRPr="00D11C4E">
              <w:rPr>
                <w:rFonts w:ascii="Times New Roman" w:hAnsi="Times New Roman"/>
                <w:sz w:val="24"/>
                <w:szCs w:val="24"/>
                <w:lang w:val="ro-MD"/>
              </w:rPr>
              <w:t xml:space="preserve"> va coordona procesul de aliniere a legislației naționale cu reglementările europene.</w:t>
            </w:r>
          </w:p>
          <w:p w14:paraId="6E05C92D" w14:textId="67C3EE68" w:rsidR="009D1A36" w:rsidRPr="00D11C4E" w:rsidRDefault="00F603F9"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Autoritatea competentă de implementare a politicilor (A</w:t>
            </w:r>
            <w:r w:rsidR="00623273" w:rsidRPr="00D11C4E">
              <w:rPr>
                <w:rFonts w:ascii="Times New Roman" w:hAnsi="Times New Roman"/>
                <w:sz w:val="24"/>
                <w:szCs w:val="24"/>
                <w:lang w:val="ro-MD"/>
              </w:rPr>
              <w:t xml:space="preserve">genția </w:t>
            </w:r>
            <w:r w:rsidRPr="00D11C4E">
              <w:rPr>
                <w:rFonts w:ascii="Times New Roman" w:hAnsi="Times New Roman"/>
                <w:sz w:val="24"/>
                <w:szCs w:val="24"/>
                <w:lang w:val="ro-MD"/>
              </w:rPr>
              <w:t>N</w:t>
            </w:r>
            <w:r w:rsidR="00623273" w:rsidRPr="00D11C4E">
              <w:rPr>
                <w:rFonts w:ascii="Times New Roman" w:hAnsi="Times New Roman"/>
                <w:sz w:val="24"/>
                <w:szCs w:val="24"/>
                <w:lang w:val="ro-MD"/>
              </w:rPr>
              <w:t>ațională pentru Siguranța Alimentelor</w:t>
            </w:r>
            <w:r w:rsidRPr="00D11C4E">
              <w:rPr>
                <w:rFonts w:ascii="Times New Roman" w:hAnsi="Times New Roman"/>
                <w:sz w:val="24"/>
                <w:szCs w:val="24"/>
                <w:lang w:val="ro-MD"/>
              </w:rPr>
              <w:t xml:space="preserve">) va fi responsabilă de monitorizarea produselor </w:t>
            </w:r>
            <w:r w:rsidR="00A30C8F" w:rsidRPr="00D11C4E">
              <w:rPr>
                <w:rFonts w:ascii="Times New Roman" w:hAnsi="Times New Roman"/>
                <w:sz w:val="24"/>
                <w:szCs w:val="24"/>
                <w:lang w:val="ro-MD"/>
              </w:rPr>
              <w:t>fertilizante</w:t>
            </w:r>
            <w:r w:rsidRPr="00D11C4E">
              <w:rPr>
                <w:rFonts w:ascii="Times New Roman" w:hAnsi="Times New Roman"/>
                <w:sz w:val="24"/>
                <w:szCs w:val="24"/>
                <w:lang w:val="ro-MD"/>
              </w:rPr>
              <w:t>, având rolul de a verifica conformitatea acestora cu noile decizii.</w:t>
            </w:r>
          </w:p>
          <w:p w14:paraId="13100E72" w14:textId="77777777" w:rsidR="00EC0B9F" w:rsidRDefault="005D2550" w:rsidP="001B29B1">
            <w:pPr>
              <w:spacing w:line="276" w:lineRule="auto"/>
              <w:ind w:firstLine="284"/>
              <w:rPr>
                <w:rFonts w:ascii="Times New Roman" w:hAnsi="Times New Roman"/>
                <w:sz w:val="24"/>
                <w:szCs w:val="24"/>
                <w:lang w:val="ro-MD"/>
              </w:rPr>
            </w:pPr>
            <w:r w:rsidRPr="00D11C4E">
              <w:rPr>
                <w:rFonts w:ascii="Times New Roman" w:hAnsi="Times New Roman"/>
                <w:sz w:val="24"/>
                <w:szCs w:val="24"/>
                <w:lang w:val="ro-MD"/>
              </w:rPr>
              <w:t xml:space="preserve">Prevederile propuse </w:t>
            </w:r>
            <w:r w:rsidR="00003BB6" w:rsidRPr="00D11C4E">
              <w:rPr>
                <w:rFonts w:ascii="Times New Roman" w:hAnsi="Times New Roman"/>
                <w:sz w:val="24"/>
                <w:szCs w:val="24"/>
                <w:lang w:val="ro-MD"/>
              </w:rPr>
              <w:t xml:space="preserve">prin proiectul de ordin nu necesită alocarea de mijloace financiare suplimentare. </w:t>
            </w:r>
          </w:p>
          <w:p w14:paraId="29DB0F95" w14:textId="174A28E8" w:rsidR="007D5399" w:rsidRPr="007D5399" w:rsidRDefault="007D5399" w:rsidP="001B29B1">
            <w:pPr>
              <w:spacing w:line="276" w:lineRule="auto"/>
              <w:ind w:firstLine="284"/>
              <w:rPr>
                <w:rFonts w:ascii="Times New Roman" w:hAnsi="Times New Roman"/>
                <w:sz w:val="16"/>
                <w:szCs w:val="24"/>
                <w:lang w:val="ro-MD"/>
              </w:rPr>
            </w:pPr>
          </w:p>
        </w:tc>
      </w:tr>
    </w:tbl>
    <w:p w14:paraId="6BEC803A" w14:textId="47F8BC40" w:rsidR="00E466EF" w:rsidRPr="00DA0DE1" w:rsidRDefault="00E466EF"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left"/>
        <w:rPr>
          <w:sz w:val="24"/>
          <w:szCs w:val="24"/>
          <w:lang w:val="ro-MD"/>
        </w:rPr>
      </w:pPr>
    </w:p>
    <w:p w14:paraId="2C5AC0C3" w14:textId="1741286F" w:rsidR="0016331B" w:rsidRDefault="0016331B"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left"/>
        <w:rPr>
          <w:sz w:val="24"/>
          <w:szCs w:val="24"/>
          <w:lang w:val="ro-MD"/>
        </w:rPr>
      </w:pPr>
    </w:p>
    <w:p w14:paraId="39B8E1EC" w14:textId="77777777" w:rsidR="007D147C" w:rsidRPr="00DA0DE1" w:rsidRDefault="007D147C" w:rsidP="007D147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val="ro-MD"/>
        </w:rPr>
      </w:pPr>
    </w:p>
    <w:p w14:paraId="7DD7458F" w14:textId="0C0D89C4" w:rsidR="00E466EF" w:rsidRPr="00DA0DE1" w:rsidRDefault="00BD2BC7" w:rsidP="007D147C">
      <w:pPr>
        <w:spacing w:line="360" w:lineRule="auto"/>
        <w:ind w:right="424" w:firstLine="360"/>
        <w:rPr>
          <w:b/>
          <w:sz w:val="24"/>
          <w:szCs w:val="24"/>
          <w:lang w:eastAsia="ru-RU"/>
        </w:rPr>
      </w:pPr>
      <w:r w:rsidRPr="00BD2BC7">
        <w:rPr>
          <w:b/>
          <w:sz w:val="24"/>
          <w:szCs w:val="24"/>
          <w:lang w:val="ro-MD" w:eastAsia="ru-RU"/>
        </w:rPr>
        <w:t>Secretar</w:t>
      </w:r>
      <w:r>
        <w:rPr>
          <w:b/>
          <w:sz w:val="24"/>
          <w:szCs w:val="24"/>
          <w:lang w:eastAsia="ru-RU"/>
        </w:rPr>
        <w:t xml:space="preserve"> de Stat </w:t>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proofErr w:type="spellStart"/>
      <w:r>
        <w:rPr>
          <w:b/>
          <w:sz w:val="24"/>
          <w:szCs w:val="24"/>
          <w:lang w:eastAsia="ru-RU"/>
        </w:rPr>
        <w:t>Vasile</w:t>
      </w:r>
      <w:proofErr w:type="spellEnd"/>
      <w:r>
        <w:rPr>
          <w:b/>
          <w:sz w:val="24"/>
          <w:szCs w:val="24"/>
          <w:lang w:eastAsia="ru-RU"/>
        </w:rPr>
        <w:t xml:space="preserve"> ȘARBAN </w:t>
      </w:r>
    </w:p>
    <w:p w14:paraId="662D235B" w14:textId="77777777" w:rsidR="007D147C" w:rsidRDefault="007D147C" w:rsidP="007D147C">
      <w:pPr>
        <w:spacing w:line="360" w:lineRule="auto"/>
        <w:ind w:right="424" w:firstLine="360"/>
        <w:rPr>
          <w:b/>
          <w:sz w:val="24"/>
          <w:szCs w:val="24"/>
          <w:lang w:eastAsia="ru-RU"/>
        </w:rPr>
      </w:pPr>
    </w:p>
    <w:p w14:paraId="29D8F91D" w14:textId="056DF3C3" w:rsidR="00E466EF" w:rsidRPr="00DA0DE1" w:rsidRDefault="00BD2BC7" w:rsidP="007D147C">
      <w:pPr>
        <w:spacing w:line="360" w:lineRule="auto"/>
        <w:ind w:right="424" w:firstLine="360"/>
        <w:rPr>
          <w:b/>
          <w:sz w:val="24"/>
          <w:szCs w:val="24"/>
          <w:lang w:eastAsia="ru-RU"/>
        </w:rPr>
      </w:pPr>
      <w:proofErr w:type="spellStart"/>
      <w:r>
        <w:rPr>
          <w:b/>
          <w:sz w:val="24"/>
          <w:szCs w:val="24"/>
          <w:lang w:eastAsia="ru-RU"/>
        </w:rPr>
        <w:t>Coordonat</w:t>
      </w:r>
      <w:proofErr w:type="spellEnd"/>
      <w:r>
        <w:rPr>
          <w:b/>
          <w:sz w:val="24"/>
          <w:szCs w:val="24"/>
          <w:lang w:eastAsia="ru-RU"/>
        </w:rPr>
        <w:t xml:space="preserve">: </w:t>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r>
        <w:rPr>
          <w:b/>
          <w:sz w:val="24"/>
          <w:szCs w:val="24"/>
          <w:lang w:eastAsia="ru-RU"/>
        </w:rPr>
        <w:tab/>
      </w:r>
      <w:proofErr w:type="spellStart"/>
      <w:r>
        <w:rPr>
          <w:b/>
          <w:sz w:val="24"/>
          <w:szCs w:val="24"/>
          <w:lang w:eastAsia="ru-RU"/>
        </w:rPr>
        <w:t>Ghenadie</w:t>
      </w:r>
      <w:proofErr w:type="spellEnd"/>
      <w:r>
        <w:rPr>
          <w:b/>
          <w:sz w:val="24"/>
          <w:szCs w:val="24"/>
          <w:lang w:eastAsia="ru-RU"/>
        </w:rPr>
        <w:t xml:space="preserve"> RUSU</w:t>
      </w:r>
    </w:p>
    <w:p w14:paraId="4743EAEB" w14:textId="4BBB06F9" w:rsidR="00E466EF" w:rsidRDefault="00E466EF"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eastAsia="ru-RU"/>
        </w:rPr>
      </w:pPr>
    </w:p>
    <w:p w14:paraId="6107645C" w14:textId="73A1F875" w:rsidR="00FF2937" w:rsidRDefault="00FF2937"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eastAsia="ru-RU"/>
        </w:rPr>
      </w:pPr>
    </w:p>
    <w:p w14:paraId="46872AE5" w14:textId="77777777" w:rsidR="00FF2937" w:rsidRPr="00DA0DE1" w:rsidRDefault="00FF2937"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eastAsia="ru-RU"/>
        </w:rPr>
      </w:pPr>
    </w:p>
    <w:p w14:paraId="06C5723E" w14:textId="770E7FB4" w:rsidR="00E466EF" w:rsidRPr="00DA0DE1" w:rsidRDefault="004F782C"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Cs w:val="24"/>
          <w:lang w:val="ro-MD"/>
        </w:rPr>
      </w:pPr>
      <w:r w:rsidRPr="00DA0DE1">
        <w:rPr>
          <w:szCs w:val="24"/>
          <w:lang w:val="ro-MD"/>
        </w:rPr>
        <w:t xml:space="preserve">Ex.: </w:t>
      </w:r>
      <w:proofErr w:type="spellStart"/>
      <w:r w:rsidRPr="00DA0DE1">
        <w:rPr>
          <w:szCs w:val="24"/>
          <w:lang w:val="ro-MD"/>
        </w:rPr>
        <w:t>Bucor</w:t>
      </w:r>
      <w:proofErr w:type="spellEnd"/>
      <w:r w:rsidRPr="00DA0DE1">
        <w:rPr>
          <w:szCs w:val="24"/>
          <w:lang w:val="ro-MD"/>
        </w:rPr>
        <w:t xml:space="preserve"> Nicolae</w:t>
      </w:r>
      <w:r w:rsidR="008A5342" w:rsidRPr="00DA0DE1">
        <w:rPr>
          <w:szCs w:val="24"/>
          <w:lang w:val="ro-MD"/>
        </w:rPr>
        <w:t xml:space="preserve"> </w:t>
      </w:r>
    </w:p>
    <w:p w14:paraId="6BF7E4C5" w14:textId="02460F69" w:rsidR="004F782C" w:rsidRPr="00DA0DE1" w:rsidRDefault="00E466EF" w:rsidP="00A82D1D">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Cs w:val="24"/>
          <w:lang w:val="ro-MD"/>
        </w:rPr>
      </w:pPr>
      <w:r w:rsidRPr="00DA0DE1">
        <w:rPr>
          <w:szCs w:val="24"/>
          <w:lang w:val="ro-MD"/>
        </w:rPr>
        <w:t>T</w:t>
      </w:r>
      <w:r w:rsidR="008A5342" w:rsidRPr="00DA0DE1">
        <w:rPr>
          <w:szCs w:val="24"/>
          <w:lang w:val="ro-MD"/>
        </w:rPr>
        <w:t>el. 022-204-528</w:t>
      </w:r>
    </w:p>
    <w:sectPr w:rsidR="004F782C" w:rsidRPr="00DA0DE1" w:rsidSect="00BD2BC7">
      <w:footerReference w:type="default" r:id="rId16"/>
      <w:pgSz w:w="11907" w:h="16840"/>
      <w:pgMar w:top="1418" w:right="964" w:bottom="1418" w:left="1814"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8B0E0" w16cex:dateUtc="2025-07-29T12:00:00Z"/>
  <w16cex:commentExtensible w16cex:durableId="23DF3B07" w16cex:dateUtc="2025-07-29T11:59:00Z"/>
  <w16cex:commentExtensible w16cex:durableId="78C02BB5" w16cex:dateUtc="2025-07-29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61DB" w14:textId="77777777" w:rsidR="00361CDB" w:rsidRDefault="00361CDB">
      <w:r>
        <w:separator/>
      </w:r>
    </w:p>
  </w:endnote>
  <w:endnote w:type="continuationSeparator" w:id="0">
    <w:p w14:paraId="6FDB4CE3" w14:textId="77777777" w:rsidR="00361CDB" w:rsidRDefault="003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47562"/>
      <w:docPartObj>
        <w:docPartGallery w:val="Page Numbers (Bottom of Page)"/>
        <w:docPartUnique/>
      </w:docPartObj>
    </w:sdtPr>
    <w:sdtEndPr/>
    <w:sdtContent>
      <w:p w14:paraId="5F6EFA7A" w14:textId="7A1C584B" w:rsidR="00BD2BC7" w:rsidRDefault="00BD2BC7">
        <w:pPr>
          <w:pStyle w:val="af8"/>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ECDE0" w14:textId="77777777" w:rsidR="00361CDB" w:rsidRDefault="00361CDB">
      <w:r>
        <w:separator/>
      </w:r>
    </w:p>
  </w:footnote>
  <w:footnote w:type="continuationSeparator" w:id="0">
    <w:p w14:paraId="34B390A9" w14:textId="77777777" w:rsidR="00361CDB" w:rsidRDefault="0036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7D4B"/>
    <w:multiLevelType w:val="multilevel"/>
    <w:tmpl w:val="0B6ED4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23C56E2C"/>
    <w:multiLevelType w:val="multilevel"/>
    <w:tmpl w:val="CE402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D36B1"/>
    <w:multiLevelType w:val="hybridMultilevel"/>
    <w:tmpl w:val="BB32FEBA"/>
    <w:lvl w:ilvl="0" w:tplc="5BFC3A5C">
      <w:start w:val="5"/>
      <w:numFmt w:val="bullet"/>
      <w:lvlText w:val="-"/>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6851D9A"/>
    <w:multiLevelType w:val="hybridMultilevel"/>
    <w:tmpl w:val="AECEAD54"/>
    <w:lvl w:ilvl="0" w:tplc="5BFC3A5C">
      <w:start w:val="5"/>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2E749F"/>
    <w:multiLevelType w:val="hybridMultilevel"/>
    <w:tmpl w:val="A2BC7870"/>
    <w:lvl w:ilvl="0" w:tplc="5BFC3A5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EB5CDE"/>
    <w:multiLevelType w:val="multilevel"/>
    <w:tmpl w:val="7B643AEE"/>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233F3"/>
    <w:multiLevelType w:val="hybridMultilevel"/>
    <w:tmpl w:val="AC329D76"/>
    <w:lvl w:ilvl="0" w:tplc="3462E7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3759"/>
    <w:rsid w:val="00003BB6"/>
    <w:rsid w:val="00004DD3"/>
    <w:rsid w:val="00010E6C"/>
    <w:rsid w:val="00010FEA"/>
    <w:rsid w:val="00012A35"/>
    <w:rsid w:val="00013313"/>
    <w:rsid w:val="00013364"/>
    <w:rsid w:val="00013460"/>
    <w:rsid w:val="00013804"/>
    <w:rsid w:val="00013AC9"/>
    <w:rsid w:val="00013BE9"/>
    <w:rsid w:val="0001483F"/>
    <w:rsid w:val="00014A11"/>
    <w:rsid w:val="0001747F"/>
    <w:rsid w:val="0002435C"/>
    <w:rsid w:val="00025CD3"/>
    <w:rsid w:val="00027401"/>
    <w:rsid w:val="00031329"/>
    <w:rsid w:val="000319AE"/>
    <w:rsid w:val="00031CD6"/>
    <w:rsid w:val="000324E2"/>
    <w:rsid w:val="00032B46"/>
    <w:rsid w:val="0003667A"/>
    <w:rsid w:val="0004289C"/>
    <w:rsid w:val="00042E9E"/>
    <w:rsid w:val="000438C6"/>
    <w:rsid w:val="00043AC7"/>
    <w:rsid w:val="0004454E"/>
    <w:rsid w:val="00044D19"/>
    <w:rsid w:val="00044DBD"/>
    <w:rsid w:val="00052045"/>
    <w:rsid w:val="00054810"/>
    <w:rsid w:val="00062EE1"/>
    <w:rsid w:val="00064399"/>
    <w:rsid w:val="000653CC"/>
    <w:rsid w:val="0006633C"/>
    <w:rsid w:val="00066843"/>
    <w:rsid w:val="00066FC8"/>
    <w:rsid w:val="000713DA"/>
    <w:rsid w:val="00071D4A"/>
    <w:rsid w:val="00071EAA"/>
    <w:rsid w:val="0007236F"/>
    <w:rsid w:val="000745BD"/>
    <w:rsid w:val="000746D2"/>
    <w:rsid w:val="00075910"/>
    <w:rsid w:val="00075A5F"/>
    <w:rsid w:val="00080E40"/>
    <w:rsid w:val="00081267"/>
    <w:rsid w:val="0008226B"/>
    <w:rsid w:val="000835DA"/>
    <w:rsid w:val="00083B41"/>
    <w:rsid w:val="0008442F"/>
    <w:rsid w:val="00085029"/>
    <w:rsid w:val="0008557E"/>
    <w:rsid w:val="00087122"/>
    <w:rsid w:val="000875D3"/>
    <w:rsid w:val="00093EE4"/>
    <w:rsid w:val="000966D2"/>
    <w:rsid w:val="000968DA"/>
    <w:rsid w:val="000A5B98"/>
    <w:rsid w:val="000A6BA5"/>
    <w:rsid w:val="000A6E95"/>
    <w:rsid w:val="000B3D87"/>
    <w:rsid w:val="000B50EE"/>
    <w:rsid w:val="000B52D3"/>
    <w:rsid w:val="000B6992"/>
    <w:rsid w:val="000B7384"/>
    <w:rsid w:val="000B7B9A"/>
    <w:rsid w:val="000C041B"/>
    <w:rsid w:val="000C1E4B"/>
    <w:rsid w:val="000C1EEC"/>
    <w:rsid w:val="000C2AB4"/>
    <w:rsid w:val="000C2E18"/>
    <w:rsid w:val="000D1CFF"/>
    <w:rsid w:val="000D568E"/>
    <w:rsid w:val="000D5C74"/>
    <w:rsid w:val="000D6E8A"/>
    <w:rsid w:val="000E1D40"/>
    <w:rsid w:val="000E2800"/>
    <w:rsid w:val="000E6B88"/>
    <w:rsid w:val="000F08DC"/>
    <w:rsid w:val="000F24B1"/>
    <w:rsid w:val="000F497A"/>
    <w:rsid w:val="000F4F79"/>
    <w:rsid w:val="00100249"/>
    <w:rsid w:val="00100488"/>
    <w:rsid w:val="00100862"/>
    <w:rsid w:val="0010171D"/>
    <w:rsid w:val="00102AD8"/>
    <w:rsid w:val="001049F8"/>
    <w:rsid w:val="00113956"/>
    <w:rsid w:val="00116035"/>
    <w:rsid w:val="001211EA"/>
    <w:rsid w:val="0012174F"/>
    <w:rsid w:val="00121CB6"/>
    <w:rsid w:val="00121CF7"/>
    <w:rsid w:val="00124E81"/>
    <w:rsid w:val="00124F83"/>
    <w:rsid w:val="00127A17"/>
    <w:rsid w:val="00130E4A"/>
    <w:rsid w:val="00131B7A"/>
    <w:rsid w:val="00134CF3"/>
    <w:rsid w:val="00137277"/>
    <w:rsid w:val="001374B6"/>
    <w:rsid w:val="0013785F"/>
    <w:rsid w:val="001410D0"/>
    <w:rsid w:val="00143389"/>
    <w:rsid w:val="0014350D"/>
    <w:rsid w:val="00143CC4"/>
    <w:rsid w:val="001479F2"/>
    <w:rsid w:val="00150ECE"/>
    <w:rsid w:val="0015146D"/>
    <w:rsid w:val="00156A6C"/>
    <w:rsid w:val="00157D40"/>
    <w:rsid w:val="0016237C"/>
    <w:rsid w:val="00162BE7"/>
    <w:rsid w:val="0016331B"/>
    <w:rsid w:val="0017006C"/>
    <w:rsid w:val="00171177"/>
    <w:rsid w:val="001713BA"/>
    <w:rsid w:val="00173003"/>
    <w:rsid w:val="001741CD"/>
    <w:rsid w:val="00174E20"/>
    <w:rsid w:val="00174E76"/>
    <w:rsid w:val="00175675"/>
    <w:rsid w:val="00182948"/>
    <w:rsid w:val="001834FE"/>
    <w:rsid w:val="00183B69"/>
    <w:rsid w:val="00184334"/>
    <w:rsid w:val="00185315"/>
    <w:rsid w:val="00185AC8"/>
    <w:rsid w:val="00190E9C"/>
    <w:rsid w:val="00191428"/>
    <w:rsid w:val="00193B74"/>
    <w:rsid w:val="00195854"/>
    <w:rsid w:val="001A22E7"/>
    <w:rsid w:val="001A25C3"/>
    <w:rsid w:val="001A37C7"/>
    <w:rsid w:val="001A538A"/>
    <w:rsid w:val="001B207A"/>
    <w:rsid w:val="001B228E"/>
    <w:rsid w:val="001B29B1"/>
    <w:rsid w:val="001B2B7F"/>
    <w:rsid w:val="001B3BE4"/>
    <w:rsid w:val="001B5818"/>
    <w:rsid w:val="001B66A4"/>
    <w:rsid w:val="001B6E6E"/>
    <w:rsid w:val="001B7029"/>
    <w:rsid w:val="001C1B1D"/>
    <w:rsid w:val="001C3F21"/>
    <w:rsid w:val="001C4EEE"/>
    <w:rsid w:val="001C5AD7"/>
    <w:rsid w:val="001D0610"/>
    <w:rsid w:val="001D2FA2"/>
    <w:rsid w:val="001D4787"/>
    <w:rsid w:val="001D5D29"/>
    <w:rsid w:val="001D75BC"/>
    <w:rsid w:val="001D7C2E"/>
    <w:rsid w:val="001E04D1"/>
    <w:rsid w:val="001E1CC7"/>
    <w:rsid w:val="001E2F0C"/>
    <w:rsid w:val="001E4497"/>
    <w:rsid w:val="001E621A"/>
    <w:rsid w:val="001E6333"/>
    <w:rsid w:val="001F0570"/>
    <w:rsid w:val="001F101F"/>
    <w:rsid w:val="001F2097"/>
    <w:rsid w:val="001F2734"/>
    <w:rsid w:val="001F7C68"/>
    <w:rsid w:val="002000EB"/>
    <w:rsid w:val="00200223"/>
    <w:rsid w:val="00200516"/>
    <w:rsid w:val="002029B0"/>
    <w:rsid w:val="00205100"/>
    <w:rsid w:val="0020695A"/>
    <w:rsid w:val="0020794F"/>
    <w:rsid w:val="00207FDD"/>
    <w:rsid w:val="00210079"/>
    <w:rsid w:val="00212EB8"/>
    <w:rsid w:val="002164C9"/>
    <w:rsid w:val="0021689D"/>
    <w:rsid w:val="002170A5"/>
    <w:rsid w:val="002215B7"/>
    <w:rsid w:val="00225316"/>
    <w:rsid w:val="00230761"/>
    <w:rsid w:val="00233873"/>
    <w:rsid w:val="00233C89"/>
    <w:rsid w:val="0023400F"/>
    <w:rsid w:val="00236E65"/>
    <w:rsid w:val="002372B8"/>
    <w:rsid w:val="00240AC0"/>
    <w:rsid w:val="00241B4B"/>
    <w:rsid w:val="00241E07"/>
    <w:rsid w:val="002428D1"/>
    <w:rsid w:val="00243C6C"/>
    <w:rsid w:val="002453BD"/>
    <w:rsid w:val="00246486"/>
    <w:rsid w:val="0024705D"/>
    <w:rsid w:val="0025096B"/>
    <w:rsid w:val="002550D6"/>
    <w:rsid w:val="00257353"/>
    <w:rsid w:val="0026389B"/>
    <w:rsid w:val="00264D05"/>
    <w:rsid w:val="002709D3"/>
    <w:rsid w:val="002711A7"/>
    <w:rsid w:val="00272099"/>
    <w:rsid w:val="002721D2"/>
    <w:rsid w:val="00272AB2"/>
    <w:rsid w:val="0027425A"/>
    <w:rsid w:val="00277968"/>
    <w:rsid w:val="0028093A"/>
    <w:rsid w:val="00281C80"/>
    <w:rsid w:val="00284C93"/>
    <w:rsid w:val="0028643A"/>
    <w:rsid w:val="00286661"/>
    <w:rsid w:val="00286B6B"/>
    <w:rsid w:val="00290F48"/>
    <w:rsid w:val="002920CD"/>
    <w:rsid w:val="00294BEE"/>
    <w:rsid w:val="002950E0"/>
    <w:rsid w:val="002954C4"/>
    <w:rsid w:val="00295F60"/>
    <w:rsid w:val="00297D98"/>
    <w:rsid w:val="002A1FD1"/>
    <w:rsid w:val="002A4A3F"/>
    <w:rsid w:val="002A5110"/>
    <w:rsid w:val="002A5EB9"/>
    <w:rsid w:val="002B07BD"/>
    <w:rsid w:val="002B3BA3"/>
    <w:rsid w:val="002B48A9"/>
    <w:rsid w:val="002B5444"/>
    <w:rsid w:val="002B547F"/>
    <w:rsid w:val="002B6DCE"/>
    <w:rsid w:val="002C0248"/>
    <w:rsid w:val="002C0517"/>
    <w:rsid w:val="002C0E81"/>
    <w:rsid w:val="002C1686"/>
    <w:rsid w:val="002C21E9"/>
    <w:rsid w:val="002C222F"/>
    <w:rsid w:val="002C356B"/>
    <w:rsid w:val="002C63F8"/>
    <w:rsid w:val="002C73F8"/>
    <w:rsid w:val="002C7AC2"/>
    <w:rsid w:val="002D23B4"/>
    <w:rsid w:val="002D258A"/>
    <w:rsid w:val="002D369B"/>
    <w:rsid w:val="002D38C5"/>
    <w:rsid w:val="002D3915"/>
    <w:rsid w:val="002D3A35"/>
    <w:rsid w:val="002D67FC"/>
    <w:rsid w:val="002D6DF3"/>
    <w:rsid w:val="002E0484"/>
    <w:rsid w:val="002E1B2D"/>
    <w:rsid w:val="002E4217"/>
    <w:rsid w:val="002E505B"/>
    <w:rsid w:val="002E68FC"/>
    <w:rsid w:val="002F1326"/>
    <w:rsid w:val="002F300F"/>
    <w:rsid w:val="002F30F7"/>
    <w:rsid w:val="002F3DAA"/>
    <w:rsid w:val="002F5F1E"/>
    <w:rsid w:val="002F620B"/>
    <w:rsid w:val="002F682C"/>
    <w:rsid w:val="002F7FB5"/>
    <w:rsid w:val="00301D7D"/>
    <w:rsid w:val="003027C4"/>
    <w:rsid w:val="00303AF3"/>
    <w:rsid w:val="003056F8"/>
    <w:rsid w:val="00313315"/>
    <w:rsid w:val="00313629"/>
    <w:rsid w:val="00313D10"/>
    <w:rsid w:val="00314EF5"/>
    <w:rsid w:val="0031555D"/>
    <w:rsid w:val="00315655"/>
    <w:rsid w:val="00315B32"/>
    <w:rsid w:val="00315BDC"/>
    <w:rsid w:val="00324559"/>
    <w:rsid w:val="0032618D"/>
    <w:rsid w:val="00326934"/>
    <w:rsid w:val="00326D53"/>
    <w:rsid w:val="003273FE"/>
    <w:rsid w:val="00327464"/>
    <w:rsid w:val="00327C88"/>
    <w:rsid w:val="0033155F"/>
    <w:rsid w:val="0033244D"/>
    <w:rsid w:val="00334280"/>
    <w:rsid w:val="00334C0F"/>
    <w:rsid w:val="003358FF"/>
    <w:rsid w:val="00337EB3"/>
    <w:rsid w:val="00341358"/>
    <w:rsid w:val="0034180B"/>
    <w:rsid w:val="00342D17"/>
    <w:rsid w:val="003436AC"/>
    <w:rsid w:val="003458E5"/>
    <w:rsid w:val="00345CB9"/>
    <w:rsid w:val="003477FE"/>
    <w:rsid w:val="00347B79"/>
    <w:rsid w:val="003504C6"/>
    <w:rsid w:val="003509A8"/>
    <w:rsid w:val="003513C1"/>
    <w:rsid w:val="00354545"/>
    <w:rsid w:val="00355B6B"/>
    <w:rsid w:val="003574C9"/>
    <w:rsid w:val="003574FE"/>
    <w:rsid w:val="00360CA8"/>
    <w:rsid w:val="0036135C"/>
    <w:rsid w:val="00361CDB"/>
    <w:rsid w:val="003629CA"/>
    <w:rsid w:val="00362D0C"/>
    <w:rsid w:val="003645B2"/>
    <w:rsid w:val="0036518F"/>
    <w:rsid w:val="00365DEA"/>
    <w:rsid w:val="003672AF"/>
    <w:rsid w:val="0036768D"/>
    <w:rsid w:val="00370992"/>
    <w:rsid w:val="00371057"/>
    <w:rsid w:val="003713F3"/>
    <w:rsid w:val="00373158"/>
    <w:rsid w:val="00374362"/>
    <w:rsid w:val="00374A02"/>
    <w:rsid w:val="0037568A"/>
    <w:rsid w:val="00376827"/>
    <w:rsid w:val="00376BD1"/>
    <w:rsid w:val="00377B12"/>
    <w:rsid w:val="00380147"/>
    <w:rsid w:val="0038164B"/>
    <w:rsid w:val="00381C7D"/>
    <w:rsid w:val="00382520"/>
    <w:rsid w:val="00385C9B"/>
    <w:rsid w:val="00386436"/>
    <w:rsid w:val="003872BA"/>
    <w:rsid w:val="00387D77"/>
    <w:rsid w:val="003922EF"/>
    <w:rsid w:val="003924E6"/>
    <w:rsid w:val="003947D4"/>
    <w:rsid w:val="00394A57"/>
    <w:rsid w:val="00395218"/>
    <w:rsid w:val="00397415"/>
    <w:rsid w:val="003A07D8"/>
    <w:rsid w:val="003A190D"/>
    <w:rsid w:val="003A2CB2"/>
    <w:rsid w:val="003A3D91"/>
    <w:rsid w:val="003A4636"/>
    <w:rsid w:val="003A4D1C"/>
    <w:rsid w:val="003A5871"/>
    <w:rsid w:val="003A67C1"/>
    <w:rsid w:val="003A6E61"/>
    <w:rsid w:val="003B0993"/>
    <w:rsid w:val="003B104B"/>
    <w:rsid w:val="003B257A"/>
    <w:rsid w:val="003B4F5D"/>
    <w:rsid w:val="003B6A16"/>
    <w:rsid w:val="003B7521"/>
    <w:rsid w:val="003C0316"/>
    <w:rsid w:val="003C0C4D"/>
    <w:rsid w:val="003C11CC"/>
    <w:rsid w:val="003C1EBA"/>
    <w:rsid w:val="003C1FCE"/>
    <w:rsid w:val="003C3DB4"/>
    <w:rsid w:val="003C3EB9"/>
    <w:rsid w:val="003C480E"/>
    <w:rsid w:val="003C5C67"/>
    <w:rsid w:val="003D09B5"/>
    <w:rsid w:val="003D0AB3"/>
    <w:rsid w:val="003D110C"/>
    <w:rsid w:val="003D5E8B"/>
    <w:rsid w:val="003D7F6B"/>
    <w:rsid w:val="003E3748"/>
    <w:rsid w:val="003E4DA7"/>
    <w:rsid w:val="003E535C"/>
    <w:rsid w:val="003E7609"/>
    <w:rsid w:val="003F0CD8"/>
    <w:rsid w:val="003F3513"/>
    <w:rsid w:val="003F5238"/>
    <w:rsid w:val="003F5ABB"/>
    <w:rsid w:val="0040011D"/>
    <w:rsid w:val="00400F80"/>
    <w:rsid w:val="0040250D"/>
    <w:rsid w:val="00404D20"/>
    <w:rsid w:val="00405019"/>
    <w:rsid w:val="00406A7B"/>
    <w:rsid w:val="00406BA9"/>
    <w:rsid w:val="004074AC"/>
    <w:rsid w:val="00410C9A"/>
    <w:rsid w:val="00411650"/>
    <w:rsid w:val="00412B58"/>
    <w:rsid w:val="00415B99"/>
    <w:rsid w:val="00416AE4"/>
    <w:rsid w:val="0042038D"/>
    <w:rsid w:val="00421AB5"/>
    <w:rsid w:val="00422E09"/>
    <w:rsid w:val="00424212"/>
    <w:rsid w:val="00424CF9"/>
    <w:rsid w:val="00425A01"/>
    <w:rsid w:val="004269B7"/>
    <w:rsid w:val="004278D1"/>
    <w:rsid w:val="0043208D"/>
    <w:rsid w:val="004333B4"/>
    <w:rsid w:val="00434203"/>
    <w:rsid w:val="00435692"/>
    <w:rsid w:val="0043683E"/>
    <w:rsid w:val="00443031"/>
    <w:rsid w:val="004448C8"/>
    <w:rsid w:val="004471F7"/>
    <w:rsid w:val="00452756"/>
    <w:rsid w:val="00452AB8"/>
    <w:rsid w:val="00452C3E"/>
    <w:rsid w:val="00452C6C"/>
    <w:rsid w:val="0045451B"/>
    <w:rsid w:val="00455864"/>
    <w:rsid w:val="004569BF"/>
    <w:rsid w:val="00460EE2"/>
    <w:rsid w:val="00464294"/>
    <w:rsid w:val="0047108D"/>
    <w:rsid w:val="004723BA"/>
    <w:rsid w:val="004724AE"/>
    <w:rsid w:val="00472F37"/>
    <w:rsid w:val="004735CE"/>
    <w:rsid w:val="00474658"/>
    <w:rsid w:val="0047797E"/>
    <w:rsid w:val="0048347B"/>
    <w:rsid w:val="004860EA"/>
    <w:rsid w:val="00496919"/>
    <w:rsid w:val="00497F06"/>
    <w:rsid w:val="004A241D"/>
    <w:rsid w:val="004A3618"/>
    <w:rsid w:val="004A3757"/>
    <w:rsid w:val="004A4F80"/>
    <w:rsid w:val="004A73A3"/>
    <w:rsid w:val="004B0BAB"/>
    <w:rsid w:val="004B1283"/>
    <w:rsid w:val="004B2EED"/>
    <w:rsid w:val="004B2FAB"/>
    <w:rsid w:val="004B45C5"/>
    <w:rsid w:val="004B69A2"/>
    <w:rsid w:val="004B6DAB"/>
    <w:rsid w:val="004C2657"/>
    <w:rsid w:val="004C3621"/>
    <w:rsid w:val="004C6034"/>
    <w:rsid w:val="004D3941"/>
    <w:rsid w:val="004D3ABE"/>
    <w:rsid w:val="004D4085"/>
    <w:rsid w:val="004D53AC"/>
    <w:rsid w:val="004D5D55"/>
    <w:rsid w:val="004E0410"/>
    <w:rsid w:val="004E2421"/>
    <w:rsid w:val="004E4AC1"/>
    <w:rsid w:val="004E6489"/>
    <w:rsid w:val="004E6662"/>
    <w:rsid w:val="004F0037"/>
    <w:rsid w:val="004F0E16"/>
    <w:rsid w:val="004F568A"/>
    <w:rsid w:val="004F782C"/>
    <w:rsid w:val="00500789"/>
    <w:rsid w:val="005020EC"/>
    <w:rsid w:val="00502E02"/>
    <w:rsid w:val="005106C8"/>
    <w:rsid w:val="00513D99"/>
    <w:rsid w:val="005146A7"/>
    <w:rsid w:val="00514BB6"/>
    <w:rsid w:val="00514D50"/>
    <w:rsid w:val="005159A6"/>
    <w:rsid w:val="00516511"/>
    <w:rsid w:val="00516555"/>
    <w:rsid w:val="00517242"/>
    <w:rsid w:val="00517499"/>
    <w:rsid w:val="0052058C"/>
    <w:rsid w:val="005256CF"/>
    <w:rsid w:val="00531F44"/>
    <w:rsid w:val="00535F9B"/>
    <w:rsid w:val="00540B93"/>
    <w:rsid w:val="005419F0"/>
    <w:rsid w:val="00542C43"/>
    <w:rsid w:val="005441F3"/>
    <w:rsid w:val="00544ABC"/>
    <w:rsid w:val="00551299"/>
    <w:rsid w:val="005535FB"/>
    <w:rsid w:val="00554A83"/>
    <w:rsid w:val="00555DF5"/>
    <w:rsid w:val="00556A10"/>
    <w:rsid w:val="00557C38"/>
    <w:rsid w:val="00564072"/>
    <w:rsid w:val="00567086"/>
    <w:rsid w:val="00572006"/>
    <w:rsid w:val="00573E74"/>
    <w:rsid w:val="005765C8"/>
    <w:rsid w:val="0057790F"/>
    <w:rsid w:val="00582470"/>
    <w:rsid w:val="00583192"/>
    <w:rsid w:val="005852CD"/>
    <w:rsid w:val="0059080E"/>
    <w:rsid w:val="0059232E"/>
    <w:rsid w:val="00592394"/>
    <w:rsid w:val="00594DE5"/>
    <w:rsid w:val="00596092"/>
    <w:rsid w:val="005A0995"/>
    <w:rsid w:val="005A12D7"/>
    <w:rsid w:val="005A1D37"/>
    <w:rsid w:val="005A284A"/>
    <w:rsid w:val="005A29D6"/>
    <w:rsid w:val="005A492E"/>
    <w:rsid w:val="005A4CD6"/>
    <w:rsid w:val="005A6E14"/>
    <w:rsid w:val="005B0C92"/>
    <w:rsid w:val="005B0F91"/>
    <w:rsid w:val="005B3A69"/>
    <w:rsid w:val="005B471A"/>
    <w:rsid w:val="005B6315"/>
    <w:rsid w:val="005B7992"/>
    <w:rsid w:val="005B7DCA"/>
    <w:rsid w:val="005B7E20"/>
    <w:rsid w:val="005C078C"/>
    <w:rsid w:val="005C07A1"/>
    <w:rsid w:val="005C1510"/>
    <w:rsid w:val="005C1D42"/>
    <w:rsid w:val="005C3A7D"/>
    <w:rsid w:val="005C412B"/>
    <w:rsid w:val="005C4835"/>
    <w:rsid w:val="005C5A53"/>
    <w:rsid w:val="005C694E"/>
    <w:rsid w:val="005C6981"/>
    <w:rsid w:val="005C7769"/>
    <w:rsid w:val="005C77AF"/>
    <w:rsid w:val="005C79D7"/>
    <w:rsid w:val="005D2550"/>
    <w:rsid w:val="005D4A17"/>
    <w:rsid w:val="005D5D40"/>
    <w:rsid w:val="005D5F1D"/>
    <w:rsid w:val="005E0778"/>
    <w:rsid w:val="005E37E8"/>
    <w:rsid w:val="005E5C38"/>
    <w:rsid w:val="005E65C0"/>
    <w:rsid w:val="005F071C"/>
    <w:rsid w:val="005F0F53"/>
    <w:rsid w:val="005F584A"/>
    <w:rsid w:val="005F678E"/>
    <w:rsid w:val="005F7E80"/>
    <w:rsid w:val="00600F50"/>
    <w:rsid w:val="006013DC"/>
    <w:rsid w:val="00601ED6"/>
    <w:rsid w:val="00603EB2"/>
    <w:rsid w:val="0060625D"/>
    <w:rsid w:val="00606562"/>
    <w:rsid w:val="00611085"/>
    <w:rsid w:val="00611552"/>
    <w:rsid w:val="00611BAA"/>
    <w:rsid w:val="00612D18"/>
    <w:rsid w:val="00613747"/>
    <w:rsid w:val="00613ABB"/>
    <w:rsid w:val="00615B95"/>
    <w:rsid w:val="00615BB7"/>
    <w:rsid w:val="00616064"/>
    <w:rsid w:val="00616A16"/>
    <w:rsid w:val="00621954"/>
    <w:rsid w:val="00621FE0"/>
    <w:rsid w:val="00623273"/>
    <w:rsid w:val="00623361"/>
    <w:rsid w:val="00624BA9"/>
    <w:rsid w:val="0062575C"/>
    <w:rsid w:val="00627CCA"/>
    <w:rsid w:val="006308B3"/>
    <w:rsid w:val="006339EB"/>
    <w:rsid w:val="00634709"/>
    <w:rsid w:val="00636B9A"/>
    <w:rsid w:val="00637F6B"/>
    <w:rsid w:val="00641805"/>
    <w:rsid w:val="00641FBF"/>
    <w:rsid w:val="00642A89"/>
    <w:rsid w:val="00642BF5"/>
    <w:rsid w:val="00643739"/>
    <w:rsid w:val="006440EE"/>
    <w:rsid w:val="00647868"/>
    <w:rsid w:val="006505CA"/>
    <w:rsid w:val="00651D4C"/>
    <w:rsid w:val="00654966"/>
    <w:rsid w:val="0065502A"/>
    <w:rsid w:val="0065587E"/>
    <w:rsid w:val="006559E3"/>
    <w:rsid w:val="00657021"/>
    <w:rsid w:val="00657577"/>
    <w:rsid w:val="00657E36"/>
    <w:rsid w:val="00657FA3"/>
    <w:rsid w:val="006604BE"/>
    <w:rsid w:val="00660F11"/>
    <w:rsid w:val="00663D91"/>
    <w:rsid w:val="006660B2"/>
    <w:rsid w:val="0067056E"/>
    <w:rsid w:val="006717E3"/>
    <w:rsid w:val="006731D9"/>
    <w:rsid w:val="006739CA"/>
    <w:rsid w:val="006754BB"/>
    <w:rsid w:val="00675B3E"/>
    <w:rsid w:val="00677FCC"/>
    <w:rsid w:val="00681967"/>
    <w:rsid w:val="0068258E"/>
    <w:rsid w:val="00682597"/>
    <w:rsid w:val="00682BA0"/>
    <w:rsid w:val="0068307E"/>
    <w:rsid w:val="00683BCA"/>
    <w:rsid w:val="006855AC"/>
    <w:rsid w:val="006901A6"/>
    <w:rsid w:val="006903B5"/>
    <w:rsid w:val="00690AA1"/>
    <w:rsid w:val="00690F5A"/>
    <w:rsid w:val="00691790"/>
    <w:rsid w:val="006933C3"/>
    <w:rsid w:val="006956E6"/>
    <w:rsid w:val="006958EE"/>
    <w:rsid w:val="00697045"/>
    <w:rsid w:val="00697C4C"/>
    <w:rsid w:val="006A0A63"/>
    <w:rsid w:val="006A1451"/>
    <w:rsid w:val="006A27BD"/>
    <w:rsid w:val="006A337B"/>
    <w:rsid w:val="006A49B3"/>
    <w:rsid w:val="006A4E08"/>
    <w:rsid w:val="006A57D6"/>
    <w:rsid w:val="006A58BC"/>
    <w:rsid w:val="006B4E51"/>
    <w:rsid w:val="006B5C38"/>
    <w:rsid w:val="006C2BC5"/>
    <w:rsid w:val="006C3928"/>
    <w:rsid w:val="006C40C7"/>
    <w:rsid w:val="006C69E5"/>
    <w:rsid w:val="006D1E35"/>
    <w:rsid w:val="006D3EB7"/>
    <w:rsid w:val="006D63A6"/>
    <w:rsid w:val="006D7B49"/>
    <w:rsid w:val="006E015A"/>
    <w:rsid w:val="006E0A2E"/>
    <w:rsid w:val="006E1269"/>
    <w:rsid w:val="006E39A6"/>
    <w:rsid w:val="006E3B3E"/>
    <w:rsid w:val="006E4C31"/>
    <w:rsid w:val="006E7D38"/>
    <w:rsid w:val="006F0870"/>
    <w:rsid w:val="006F43CA"/>
    <w:rsid w:val="006F6757"/>
    <w:rsid w:val="006F6EB8"/>
    <w:rsid w:val="006F7EF4"/>
    <w:rsid w:val="00700381"/>
    <w:rsid w:val="007026DD"/>
    <w:rsid w:val="00702770"/>
    <w:rsid w:val="00703FCE"/>
    <w:rsid w:val="00707AE5"/>
    <w:rsid w:val="00707B68"/>
    <w:rsid w:val="00710308"/>
    <w:rsid w:val="007126C4"/>
    <w:rsid w:val="00712853"/>
    <w:rsid w:val="007165F5"/>
    <w:rsid w:val="007168A0"/>
    <w:rsid w:val="007207F8"/>
    <w:rsid w:val="0072448C"/>
    <w:rsid w:val="007258CF"/>
    <w:rsid w:val="00725C1A"/>
    <w:rsid w:val="007311A6"/>
    <w:rsid w:val="00733ECE"/>
    <w:rsid w:val="00737731"/>
    <w:rsid w:val="00740210"/>
    <w:rsid w:val="007411D5"/>
    <w:rsid w:val="00744122"/>
    <w:rsid w:val="00745318"/>
    <w:rsid w:val="007456CE"/>
    <w:rsid w:val="00747B2E"/>
    <w:rsid w:val="007517E4"/>
    <w:rsid w:val="00753C41"/>
    <w:rsid w:val="00756648"/>
    <w:rsid w:val="00757AEE"/>
    <w:rsid w:val="00760B6D"/>
    <w:rsid w:val="00761B04"/>
    <w:rsid w:val="00762F50"/>
    <w:rsid w:val="00764DE5"/>
    <w:rsid w:val="00765248"/>
    <w:rsid w:val="007666B1"/>
    <w:rsid w:val="007724CE"/>
    <w:rsid w:val="007768D8"/>
    <w:rsid w:val="00780C21"/>
    <w:rsid w:val="00781F63"/>
    <w:rsid w:val="00785F0F"/>
    <w:rsid w:val="007868FD"/>
    <w:rsid w:val="007914B8"/>
    <w:rsid w:val="0079167D"/>
    <w:rsid w:val="0079241F"/>
    <w:rsid w:val="00792540"/>
    <w:rsid w:val="00796B67"/>
    <w:rsid w:val="007A0931"/>
    <w:rsid w:val="007A297A"/>
    <w:rsid w:val="007A4309"/>
    <w:rsid w:val="007A5953"/>
    <w:rsid w:val="007B0E1A"/>
    <w:rsid w:val="007B1CF7"/>
    <w:rsid w:val="007B1CFD"/>
    <w:rsid w:val="007B5B62"/>
    <w:rsid w:val="007B627D"/>
    <w:rsid w:val="007B6E7F"/>
    <w:rsid w:val="007B7879"/>
    <w:rsid w:val="007C11BC"/>
    <w:rsid w:val="007C15FC"/>
    <w:rsid w:val="007C1E91"/>
    <w:rsid w:val="007C2066"/>
    <w:rsid w:val="007C383C"/>
    <w:rsid w:val="007C3E1B"/>
    <w:rsid w:val="007C451B"/>
    <w:rsid w:val="007C4846"/>
    <w:rsid w:val="007C53A1"/>
    <w:rsid w:val="007C58BD"/>
    <w:rsid w:val="007C5D4B"/>
    <w:rsid w:val="007C6582"/>
    <w:rsid w:val="007C738F"/>
    <w:rsid w:val="007D00B1"/>
    <w:rsid w:val="007D0E36"/>
    <w:rsid w:val="007D13AD"/>
    <w:rsid w:val="007D147C"/>
    <w:rsid w:val="007D5399"/>
    <w:rsid w:val="007D77CE"/>
    <w:rsid w:val="007D7DB4"/>
    <w:rsid w:val="007E0518"/>
    <w:rsid w:val="007E249C"/>
    <w:rsid w:val="007E3BAE"/>
    <w:rsid w:val="007E3F69"/>
    <w:rsid w:val="007E7735"/>
    <w:rsid w:val="007F1254"/>
    <w:rsid w:val="007F1374"/>
    <w:rsid w:val="007F5530"/>
    <w:rsid w:val="007F7E55"/>
    <w:rsid w:val="00800EE1"/>
    <w:rsid w:val="00801B89"/>
    <w:rsid w:val="00802F19"/>
    <w:rsid w:val="00804372"/>
    <w:rsid w:val="0080564E"/>
    <w:rsid w:val="008075AB"/>
    <w:rsid w:val="00811CAE"/>
    <w:rsid w:val="00812035"/>
    <w:rsid w:val="00812F46"/>
    <w:rsid w:val="0081438C"/>
    <w:rsid w:val="00815A4E"/>
    <w:rsid w:val="008173D1"/>
    <w:rsid w:val="0082140F"/>
    <w:rsid w:val="00821B67"/>
    <w:rsid w:val="00825DC9"/>
    <w:rsid w:val="00830CEB"/>
    <w:rsid w:val="00831AFF"/>
    <w:rsid w:val="00831DF3"/>
    <w:rsid w:val="008326E7"/>
    <w:rsid w:val="00833DC1"/>
    <w:rsid w:val="00834725"/>
    <w:rsid w:val="00836A64"/>
    <w:rsid w:val="00836FB3"/>
    <w:rsid w:val="008403D7"/>
    <w:rsid w:val="00841D50"/>
    <w:rsid w:val="0084241F"/>
    <w:rsid w:val="0084434E"/>
    <w:rsid w:val="0084460B"/>
    <w:rsid w:val="00845E15"/>
    <w:rsid w:val="008475A5"/>
    <w:rsid w:val="00847F7C"/>
    <w:rsid w:val="008506B1"/>
    <w:rsid w:val="00850C24"/>
    <w:rsid w:val="008510CC"/>
    <w:rsid w:val="00851422"/>
    <w:rsid w:val="00852425"/>
    <w:rsid w:val="00852EC1"/>
    <w:rsid w:val="00860C47"/>
    <w:rsid w:val="00861238"/>
    <w:rsid w:val="00863417"/>
    <w:rsid w:val="0086343C"/>
    <w:rsid w:val="00863D76"/>
    <w:rsid w:val="0086509B"/>
    <w:rsid w:val="008651EC"/>
    <w:rsid w:val="00865626"/>
    <w:rsid w:val="00865D15"/>
    <w:rsid w:val="008671F6"/>
    <w:rsid w:val="0087296A"/>
    <w:rsid w:val="00873D8C"/>
    <w:rsid w:val="00876045"/>
    <w:rsid w:val="00876262"/>
    <w:rsid w:val="00876BB7"/>
    <w:rsid w:val="00877CAB"/>
    <w:rsid w:val="0088028B"/>
    <w:rsid w:val="00882474"/>
    <w:rsid w:val="008904B4"/>
    <w:rsid w:val="00891049"/>
    <w:rsid w:val="008934D8"/>
    <w:rsid w:val="008949D5"/>
    <w:rsid w:val="0089635A"/>
    <w:rsid w:val="00897403"/>
    <w:rsid w:val="008A1A7F"/>
    <w:rsid w:val="008A40C0"/>
    <w:rsid w:val="008A5342"/>
    <w:rsid w:val="008A5923"/>
    <w:rsid w:val="008A6BF9"/>
    <w:rsid w:val="008A7510"/>
    <w:rsid w:val="008B0672"/>
    <w:rsid w:val="008B1120"/>
    <w:rsid w:val="008B1AA1"/>
    <w:rsid w:val="008B1BFF"/>
    <w:rsid w:val="008B3F76"/>
    <w:rsid w:val="008B4BE6"/>
    <w:rsid w:val="008B504F"/>
    <w:rsid w:val="008B7760"/>
    <w:rsid w:val="008C05B2"/>
    <w:rsid w:val="008C0E54"/>
    <w:rsid w:val="008C1033"/>
    <w:rsid w:val="008C1508"/>
    <w:rsid w:val="008C2D8A"/>
    <w:rsid w:val="008C2DD5"/>
    <w:rsid w:val="008C5791"/>
    <w:rsid w:val="008C5AB9"/>
    <w:rsid w:val="008C6788"/>
    <w:rsid w:val="008D235B"/>
    <w:rsid w:val="008D2EE7"/>
    <w:rsid w:val="008D34B2"/>
    <w:rsid w:val="008D376B"/>
    <w:rsid w:val="008E1A02"/>
    <w:rsid w:val="008E1E07"/>
    <w:rsid w:val="008E4E2F"/>
    <w:rsid w:val="008E74E3"/>
    <w:rsid w:val="008F12A1"/>
    <w:rsid w:val="008F2D5C"/>
    <w:rsid w:val="008F3624"/>
    <w:rsid w:val="008F73D1"/>
    <w:rsid w:val="008F7907"/>
    <w:rsid w:val="009002CA"/>
    <w:rsid w:val="009016BA"/>
    <w:rsid w:val="009016D5"/>
    <w:rsid w:val="0090197A"/>
    <w:rsid w:val="00901A87"/>
    <w:rsid w:val="00903AF9"/>
    <w:rsid w:val="00904FD4"/>
    <w:rsid w:val="0090579F"/>
    <w:rsid w:val="00905BA8"/>
    <w:rsid w:val="00905D1D"/>
    <w:rsid w:val="00906ABC"/>
    <w:rsid w:val="00906D38"/>
    <w:rsid w:val="00907C3A"/>
    <w:rsid w:val="009143C9"/>
    <w:rsid w:val="00915A40"/>
    <w:rsid w:val="009201C9"/>
    <w:rsid w:val="00920C93"/>
    <w:rsid w:val="009216B9"/>
    <w:rsid w:val="00925067"/>
    <w:rsid w:val="00925948"/>
    <w:rsid w:val="00925ADD"/>
    <w:rsid w:val="009264C5"/>
    <w:rsid w:val="00930424"/>
    <w:rsid w:val="0093197F"/>
    <w:rsid w:val="00931D84"/>
    <w:rsid w:val="00937B49"/>
    <w:rsid w:val="009418B0"/>
    <w:rsid w:val="00942BCB"/>
    <w:rsid w:val="00942CF8"/>
    <w:rsid w:val="00942F03"/>
    <w:rsid w:val="009437C3"/>
    <w:rsid w:val="009500BA"/>
    <w:rsid w:val="00951C29"/>
    <w:rsid w:val="00953155"/>
    <w:rsid w:val="009545A0"/>
    <w:rsid w:val="00961B81"/>
    <w:rsid w:val="00962ED5"/>
    <w:rsid w:val="0096399D"/>
    <w:rsid w:val="00966C98"/>
    <w:rsid w:val="00971561"/>
    <w:rsid w:val="009728E5"/>
    <w:rsid w:val="00973455"/>
    <w:rsid w:val="009761DA"/>
    <w:rsid w:val="00976D01"/>
    <w:rsid w:val="00981373"/>
    <w:rsid w:val="009814FB"/>
    <w:rsid w:val="00983E6B"/>
    <w:rsid w:val="009858FE"/>
    <w:rsid w:val="009860EA"/>
    <w:rsid w:val="00987E9B"/>
    <w:rsid w:val="00990719"/>
    <w:rsid w:val="009930C6"/>
    <w:rsid w:val="0099315C"/>
    <w:rsid w:val="00994CE3"/>
    <w:rsid w:val="00996972"/>
    <w:rsid w:val="00996F31"/>
    <w:rsid w:val="00997938"/>
    <w:rsid w:val="009A0695"/>
    <w:rsid w:val="009A133C"/>
    <w:rsid w:val="009A2F6F"/>
    <w:rsid w:val="009A4A68"/>
    <w:rsid w:val="009B0633"/>
    <w:rsid w:val="009B174D"/>
    <w:rsid w:val="009B1A03"/>
    <w:rsid w:val="009B44B1"/>
    <w:rsid w:val="009B483F"/>
    <w:rsid w:val="009B6D87"/>
    <w:rsid w:val="009C02E5"/>
    <w:rsid w:val="009C0A56"/>
    <w:rsid w:val="009C0C54"/>
    <w:rsid w:val="009C0E0E"/>
    <w:rsid w:val="009C12BE"/>
    <w:rsid w:val="009C1AAE"/>
    <w:rsid w:val="009C26E3"/>
    <w:rsid w:val="009C2979"/>
    <w:rsid w:val="009C2B72"/>
    <w:rsid w:val="009C347C"/>
    <w:rsid w:val="009C3E1B"/>
    <w:rsid w:val="009C41E1"/>
    <w:rsid w:val="009C53DD"/>
    <w:rsid w:val="009C6753"/>
    <w:rsid w:val="009C6DD1"/>
    <w:rsid w:val="009C7466"/>
    <w:rsid w:val="009C7CD6"/>
    <w:rsid w:val="009C7EFA"/>
    <w:rsid w:val="009D112C"/>
    <w:rsid w:val="009D1A36"/>
    <w:rsid w:val="009D2789"/>
    <w:rsid w:val="009D2B72"/>
    <w:rsid w:val="009D3C0A"/>
    <w:rsid w:val="009D4C0F"/>
    <w:rsid w:val="009D7C44"/>
    <w:rsid w:val="009E0CBC"/>
    <w:rsid w:val="009E0D57"/>
    <w:rsid w:val="009E2F36"/>
    <w:rsid w:val="009E4228"/>
    <w:rsid w:val="009E7B86"/>
    <w:rsid w:val="009F366D"/>
    <w:rsid w:val="009F45EC"/>
    <w:rsid w:val="009F4D15"/>
    <w:rsid w:val="009F545D"/>
    <w:rsid w:val="009F58CA"/>
    <w:rsid w:val="009F7C44"/>
    <w:rsid w:val="009F7E86"/>
    <w:rsid w:val="00A02F14"/>
    <w:rsid w:val="00A0554A"/>
    <w:rsid w:val="00A061CB"/>
    <w:rsid w:val="00A06362"/>
    <w:rsid w:val="00A07720"/>
    <w:rsid w:val="00A11D2E"/>
    <w:rsid w:val="00A13184"/>
    <w:rsid w:val="00A13D8B"/>
    <w:rsid w:val="00A1403C"/>
    <w:rsid w:val="00A211F5"/>
    <w:rsid w:val="00A22D1A"/>
    <w:rsid w:val="00A2390C"/>
    <w:rsid w:val="00A23B55"/>
    <w:rsid w:val="00A244A2"/>
    <w:rsid w:val="00A24A81"/>
    <w:rsid w:val="00A2795A"/>
    <w:rsid w:val="00A30C8F"/>
    <w:rsid w:val="00A30EF9"/>
    <w:rsid w:val="00A332EB"/>
    <w:rsid w:val="00A34443"/>
    <w:rsid w:val="00A345F7"/>
    <w:rsid w:val="00A3702B"/>
    <w:rsid w:val="00A37D02"/>
    <w:rsid w:val="00A404F7"/>
    <w:rsid w:val="00A40FDB"/>
    <w:rsid w:val="00A42581"/>
    <w:rsid w:val="00A462C6"/>
    <w:rsid w:val="00A463D8"/>
    <w:rsid w:val="00A50800"/>
    <w:rsid w:val="00A50869"/>
    <w:rsid w:val="00A51447"/>
    <w:rsid w:val="00A53535"/>
    <w:rsid w:val="00A53BDA"/>
    <w:rsid w:val="00A53DCA"/>
    <w:rsid w:val="00A53E12"/>
    <w:rsid w:val="00A53F34"/>
    <w:rsid w:val="00A540EB"/>
    <w:rsid w:val="00A550BD"/>
    <w:rsid w:val="00A5539A"/>
    <w:rsid w:val="00A55E28"/>
    <w:rsid w:val="00A5696B"/>
    <w:rsid w:val="00A57237"/>
    <w:rsid w:val="00A60B97"/>
    <w:rsid w:val="00A610CE"/>
    <w:rsid w:val="00A62FB5"/>
    <w:rsid w:val="00A632FF"/>
    <w:rsid w:val="00A64C5B"/>
    <w:rsid w:val="00A65882"/>
    <w:rsid w:val="00A66D4C"/>
    <w:rsid w:val="00A7053F"/>
    <w:rsid w:val="00A71E51"/>
    <w:rsid w:val="00A7409E"/>
    <w:rsid w:val="00A764E4"/>
    <w:rsid w:val="00A77CBA"/>
    <w:rsid w:val="00A77F56"/>
    <w:rsid w:val="00A82D1D"/>
    <w:rsid w:val="00A838F4"/>
    <w:rsid w:val="00A90581"/>
    <w:rsid w:val="00A907A6"/>
    <w:rsid w:val="00A92AE8"/>
    <w:rsid w:val="00A94542"/>
    <w:rsid w:val="00A947D8"/>
    <w:rsid w:val="00A95132"/>
    <w:rsid w:val="00A954D1"/>
    <w:rsid w:val="00A95A2D"/>
    <w:rsid w:val="00A96AB0"/>
    <w:rsid w:val="00AA1259"/>
    <w:rsid w:val="00AA25A9"/>
    <w:rsid w:val="00AA2B47"/>
    <w:rsid w:val="00AA2C04"/>
    <w:rsid w:val="00AA34B1"/>
    <w:rsid w:val="00AA719D"/>
    <w:rsid w:val="00AA7579"/>
    <w:rsid w:val="00AA7792"/>
    <w:rsid w:val="00AA799E"/>
    <w:rsid w:val="00AB06B2"/>
    <w:rsid w:val="00AB1303"/>
    <w:rsid w:val="00AB1C3D"/>
    <w:rsid w:val="00AB29A8"/>
    <w:rsid w:val="00AB2D3F"/>
    <w:rsid w:val="00AB6F87"/>
    <w:rsid w:val="00AB7D22"/>
    <w:rsid w:val="00AC0A2C"/>
    <w:rsid w:val="00AC22A5"/>
    <w:rsid w:val="00AC2670"/>
    <w:rsid w:val="00AC5C4F"/>
    <w:rsid w:val="00AE013E"/>
    <w:rsid w:val="00AE093A"/>
    <w:rsid w:val="00AE1C50"/>
    <w:rsid w:val="00AE1F78"/>
    <w:rsid w:val="00AE31BF"/>
    <w:rsid w:val="00AF11E6"/>
    <w:rsid w:val="00AF23AF"/>
    <w:rsid w:val="00AF3463"/>
    <w:rsid w:val="00AF40E8"/>
    <w:rsid w:val="00AF4E3A"/>
    <w:rsid w:val="00AF6A53"/>
    <w:rsid w:val="00B001BD"/>
    <w:rsid w:val="00B00257"/>
    <w:rsid w:val="00B010A2"/>
    <w:rsid w:val="00B035D1"/>
    <w:rsid w:val="00B039D7"/>
    <w:rsid w:val="00B07F61"/>
    <w:rsid w:val="00B1114F"/>
    <w:rsid w:val="00B11EFC"/>
    <w:rsid w:val="00B12506"/>
    <w:rsid w:val="00B12955"/>
    <w:rsid w:val="00B136B6"/>
    <w:rsid w:val="00B1376A"/>
    <w:rsid w:val="00B14433"/>
    <w:rsid w:val="00B14935"/>
    <w:rsid w:val="00B15210"/>
    <w:rsid w:val="00B1623B"/>
    <w:rsid w:val="00B2084E"/>
    <w:rsid w:val="00B23DCC"/>
    <w:rsid w:val="00B24403"/>
    <w:rsid w:val="00B25206"/>
    <w:rsid w:val="00B26A3F"/>
    <w:rsid w:val="00B31CEA"/>
    <w:rsid w:val="00B32239"/>
    <w:rsid w:val="00B3458E"/>
    <w:rsid w:val="00B346C6"/>
    <w:rsid w:val="00B35868"/>
    <w:rsid w:val="00B36AF5"/>
    <w:rsid w:val="00B37365"/>
    <w:rsid w:val="00B40510"/>
    <w:rsid w:val="00B413B9"/>
    <w:rsid w:val="00B42DDB"/>
    <w:rsid w:val="00B44C77"/>
    <w:rsid w:val="00B462DB"/>
    <w:rsid w:val="00B472D0"/>
    <w:rsid w:val="00B5156C"/>
    <w:rsid w:val="00B51A7D"/>
    <w:rsid w:val="00B54375"/>
    <w:rsid w:val="00B60569"/>
    <w:rsid w:val="00B6145A"/>
    <w:rsid w:val="00B61570"/>
    <w:rsid w:val="00B64DE9"/>
    <w:rsid w:val="00B6585E"/>
    <w:rsid w:val="00B67EED"/>
    <w:rsid w:val="00B72578"/>
    <w:rsid w:val="00B7322A"/>
    <w:rsid w:val="00B744FB"/>
    <w:rsid w:val="00B74B84"/>
    <w:rsid w:val="00B7661C"/>
    <w:rsid w:val="00B83653"/>
    <w:rsid w:val="00B844B9"/>
    <w:rsid w:val="00B84A8E"/>
    <w:rsid w:val="00B8523F"/>
    <w:rsid w:val="00B85252"/>
    <w:rsid w:val="00B86FFB"/>
    <w:rsid w:val="00B87DE2"/>
    <w:rsid w:val="00B91547"/>
    <w:rsid w:val="00B92D67"/>
    <w:rsid w:val="00B93AC6"/>
    <w:rsid w:val="00B95158"/>
    <w:rsid w:val="00B952D8"/>
    <w:rsid w:val="00B95399"/>
    <w:rsid w:val="00B9615A"/>
    <w:rsid w:val="00B970EB"/>
    <w:rsid w:val="00B97CCB"/>
    <w:rsid w:val="00BA0A82"/>
    <w:rsid w:val="00BA10DC"/>
    <w:rsid w:val="00BA1CBE"/>
    <w:rsid w:val="00BA2061"/>
    <w:rsid w:val="00BA3831"/>
    <w:rsid w:val="00BA4DEE"/>
    <w:rsid w:val="00BA500B"/>
    <w:rsid w:val="00BA5113"/>
    <w:rsid w:val="00BA5B5B"/>
    <w:rsid w:val="00BB008B"/>
    <w:rsid w:val="00BB0093"/>
    <w:rsid w:val="00BB1362"/>
    <w:rsid w:val="00BB1628"/>
    <w:rsid w:val="00BB1BC1"/>
    <w:rsid w:val="00BB2181"/>
    <w:rsid w:val="00BB23D9"/>
    <w:rsid w:val="00BB3C82"/>
    <w:rsid w:val="00BB43AB"/>
    <w:rsid w:val="00BB5437"/>
    <w:rsid w:val="00BB57F6"/>
    <w:rsid w:val="00BB5D56"/>
    <w:rsid w:val="00BB6BDD"/>
    <w:rsid w:val="00BC116A"/>
    <w:rsid w:val="00BC2684"/>
    <w:rsid w:val="00BC35AA"/>
    <w:rsid w:val="00BC41C9"/>
    <w:rsid w:val="00BC467C"/>
    <w:rsid w:val="00BC4B0C"/>
    <w:rsid w:val="00BC5BB3"/>
    <w:rsid w:val="00BC72E4"/>
    <w:rsid w:val="00BD2BC7"/>
    <w:rsid w:val="00BD2F0F"/>
    <w:rsid w:val="00BD53BD"/>
    <w:rsid w:val="00BD5DEF"/>
    <w:rsid w:val="00BE017B"/>
    <w:rsid w:val="00BE1791"/>
    <w:rsid w:val="00BE37CA"/>
    <w:rsid w:val="00BE4802"/>
    <w:rsid w:val="00BE6840"/>
    <w:rsid w:val="00BF170E"/>
    <w:rsid w:val="00BF1A1C"/>
    <w:rsid w:val="00BF3683"/>
    <w:rsid w:val="00BF509C"/>
    <w:rsid w:val="00BF6AAE"/>
    <w:rsid w:val="00BF7CF6"/>
    <w:rsid w:val="00C0357B"/>
    <w:rsid w:val="00C069DB"/>
    <w:rsid w:val="00C07155"/>
    <w:rsid w:val="00C07163"/>
    <w:rsid w:val="00C106CB"/>
    <w:rsid w:val="00C113EA"/>
    <w:rsid w:val="00C119D6"/>
    <w:rsid w:val="00C1277F"/>
    <w:rsid w:val="00C136A6"/>
    <w:rsid w:val="00C141D0"/>
    <w:rsid w:val="00C14B0E"/>
    <w:rsid w:val="00C15E2F"/>
    <w:rsid w:val="00C20F98"/>
    <w:rsid w:val="00C214F4"/>
    <w:rsid w:val="00C21F77"/>
    <w:rsid w:val="00C22EC2"/>
    <w:rsid w:val="00C249C9"/>
    <w:rsid w:val="00C254D5"/>
    <w:rsid w:val="00C25A09"/>
    <w:rsid w:val="00C27BEF"/>
    <w:rsid w:val="00C27C4F"/>
    <w:rsid w:val="00C32A74"/>
    <w:rsid w:val="00C33BEA"/>
    <w:rsid w:val="00C424F1"/>
    <w:rsid w:val="00C433CE"/>
    <w:rsid w:val="00C4424F"/>
    <w:rsid w:val="00C445CC"/>
    <w:rsid w:val="00C4599F"/>
    <w:rsid w:val="00C45F82"/>
    <w:rsid w:val="00C475F7"/>
    <w:rsid w:val="00C52764"/>
    <w:rsid w:val="00C53E01"/>
    <w:rsid w:val="00C569C8"/>
    <w:rsid w:val="00C604FE"/>
    <w:rsid w:val="00C6239E"/>
    <w:rsid w:val="00C70807"/>
    <w:rsid w:val="00C71591"/>
    <w:rsid w:val="00C720C4"/>
    <w:rsid w:val="00C72514"/>
    <w:rsid w:val="00C76F42"/>
    <w:rsid w:val="00C80AC4"/>
    <w:rsid w:val="00C81CDA"/>
    <w:rsid w:val="00C83148"/>
    <w:rsid w:val="00C846A9"/>
    <w:rsid w:val="00C87B56"/>
    <w:rsid w:val="00C916AA"/>
    <w:rsid w:val="00C93797"/>
    <w:rsid w:val="00C94C4F"/>
    <w:rsid w:val="00C95F83"/>
    <w:rsid w:val="00C96DB1"/>
    <w:rsid w:val="00C97610"/>
    <w:rsid w:val="00CA2822"/>
    <w:rsid w:val="00CA2FE8"/>
    <w:rsid w:val="00CA3D9B"/>
    <w:rsid w:val="00CA7501"/>
    <w:rsid w:val="00CB0232"/>
    <w:rsid w:val="00CB07BC"/>
    <w:rsid w:val="00CB128D"/>
    <w:rsid w:val="00CB6208"/>
    <w:rsid w:val="00CB63CD"/>
    <w:rsid w:val="00CB6841"/>
    <w:rsid w:val="00CC13A6"/>
    <w:rsid w:val="00CC182C"/>
    <w:rsid w:val="00CC71BF"/>
    <w:rsid w:val="00CC7AC8"/>
    <w:rsid w:val="00CD032E"/>
    <w:rsid w:val="00CD0459"/>
    <w:rsid w:val="00CD0E02"/>
    <w:rsid w:val="00CD1295"/>
    <w:rsid w:val="00CD130E"/>
    <w:rsid w:val="00CD1F68"/>
    <w:rsid w:val="00CD3031"/>
    <w:rsid w:val="00CD34E9"/>
    <w:rsid w:val="00CD3E6A"/>
    <w:rsid w:val="00CD42F6"/>
    <w:rsid w:val="00CD5E8B"/>
    <w:rsid w:val="00CE1C4A"/>
    <w:rsid w:val="00CE224F"/>
    <w:rsid w:val="00CE381F"/>
    <w:rsid w:val="00CE5508"/>
    <w:rsid w:val="00CF1BF6"/>
    <w:rsid w:val="00CF28C6"/>
    <w:rsid w:val="00CF3281"/>
    <w:rsid w:val="00CF5615"/>
    <w:rsid w:val="00CF6B83"/>
    <w:rsid w:val="00CF6CCE"/>
    <w:rsid w:val="00D00C36"/>
    <w:rsid w:val="00D0145D"/>
    <w:rsid w:val="00D014BE"/>
    <w:rsid w:val="00D02424"/>
    <w:rsid w:val="00D03286"/>
    <w:rsid w:val="00D0436D"/>
    <w:rsid w:val="00D069E1"/>
    <w:rsid w:val="00D06F9E"/>
    <w:rsid w:val="00D07A16"/>
    <w:rsid w:val="00D1087A"/>
    <w:rsid w:val="00D11684"/>
    <w:rsid w:val="00D11C4E"/>
    <w:rsid w:val="00D12DE0"/>
    <w:rsid w:val="00D12FCA"/>
    <w:rsid w:val="00D1432D"/>
    <w:rsid w:val="00D14E81"/>
    <w:rsid w:val="00D152A1"/>
    <w:rsid w:val="00D1647F"/>
    <w:rsid w:val="00D16C96"/>
    <w:rsid w:val="00D20F95"/>
    <w:rsid w:val="00D212BE"/>
    <w:rsid w:val="00D21496"/>
    <w:rsid w:val="00D21689"/>
    <w:rsid w:val="00D23C8A"/>
    <w:rsid w:val="00D300C1"/>
    <w:rsid w:val="00D30273"/>
    <w:rsid w:val="00D34891"/>
    <w:rsid w:val="00D36B04"/>
    <w:rsid w:val="00D37137"/>
    <w:rsid w:val="00D3779C"/>
    <w:rsid w:val="00D37DCA"/>
    <w:rsid w:val="00D412C0"/>
    <w:rsid w:val="00D4578C"/>
    <w:rsid w:val="00D46343"/>
    <w:rsid w:val="00D46512"/>
    <w:rsid w:val="00D52016"/>
    <w:rsid w:val="00D54373"/>
    <w:rsid w:val="00D56244"/>
    <w:rsid w:val="00D569DF"/>
    <w:rsid w:val="00D60037"/>
    <w:rsid w:val="00D62225"/>
    <w:rsid w:val="00D62C67"/>
    <w:rsid w:val="00D63D3B"/>
    <w:rsid w:val="00D6531D"/>
    <w:rsid w:val="00D65D20"/>
    <w:rsid w:val="00D67EE3"/>
    <w:rsid w:val="00D70A4B"/>
    <w:rsid w:val="00D71586"/>
    <w:rsid w:val="00D72EF2"/>
    <w:rsid w:val="00D72FB9"/>
    <w:rsid w:val="00D74323"/>
    <w:rsid w:val="00D745DA"/>
    <w:rsid w:val="00D74CB4"/>
    <w:rsid w:val="00D76062"/>
    <w:rsid w:val="00D77DA5"/>
    <w:rsid w:val="00D84420"/>
    <w:rsid w:val="00D85438"/>
    <w:rsid w:val="00D8732D"/>
    <w:rsid w:val="00D927DB"/>
    <w:rsid w:val="00D9290F"/>
    <w:rsid w:val="00D92966"/>
    <w:rsid w:val="00D9586E"/>
    <w:rsid w:val="00D973D7"/>
    <w:rsid w:val="00D97759"/>
    <w:rsid w:val="00DA0CBF"/>
    <w:rsid w:val="00DA0D76"/>
    <w:rsid w:val="00DA0DE1"/>
    <w:rsid w:val="00DA1274"/>
    <w:rsid w:val="00DA133C"/>
    <w:rsid w:val="00DA2B1D"/>
    <w:rsid w:val="00DA30A3"/>
    <w:rsid w:val="00DA3FAB"/>
    <w:rsid w:val="00DB0048"/>
    <w:rsid w:val="00DB1C4C"/>
    <w:rsid w:val="00DB3E5D"/>
    <w:rsid w:val="00DB4081"/>
    <w:rsid w:val="00DB4836"/>
    <w:rsid w:val="00DB4CD1"/>
    <w:rsid w:val="00DB5512"/>
    <w:rsid w:val="00DB79EE"/>
    <w:rsid w:val="00DB7EE7"/>
    <w:rsid w:val="00DC0474"/>
    <w:rsid w:val="00DC1F30"/>
    <w:rsid w:val="00DC3E82"/>
    <w:rsid w:val="00DC529B"/>
    <w:rsid w:val="00DC6746"/>
    <w:rsid w:val="00DD042A"/>
    <w:rsid w:val="00DD448A"/>
    <w:rsid w:val="00DD563C"/>
    <w:rsid w:val="00DD5FCA"/>
    <w:rsid w:val="00DE06EE"/>
    <w:rsid w:val="00DE2E9F"/>
    <w:rsid w:val="00DE5F96"/>
    <w:rsid w:val="00DF0141"/>
    <w:rsid w:val="00DF0807"/>
    <w:rsid w:val="00DF0CE9"/>
    <w:rsid w:val="00DF280D"/>
    <w:rsid w:val="00DF4D8D"/>
    <w:rsid w:val="00DF513B"/>
    <w:rsid w:val="00DF71E8"/>
    <w:rsid w:val="00DF7446"/>
    <w:rsid w:val="00E00128"/>
    <w:rsid w:val="00E01588"/>
    <w:rsid w:val="00E01FE2"/>
    <w:rsid w:val="00E0211B"/>
    <w:rsid w:val="00E0352C"/>
    <w:rsid w:val="00E03EE0"/>
    <w:rsid w:val="00E04FAE"/>
    <w:rsid w:val="00E0759C"/>
    <w:rsid w:val="00E07BB2"/>
    <w:rsid w:val="00E11E1A"/>
    <w:rsid w:val="00E12AAE"/>
    <w:rsid w:val="00E12C95"/>
    <w:rsid w:val="00E14566"/>
    <w:rsid w:val="00E14911"/>
    <w:rsid w:val="00E15B22"/>
    <w:rsid w:val="00E1739A"/>
    <w:rsid w:val="00E218B6"/>
    <w:rsid w:val="00E218D7"/>
    <w:rsid w:val="00E21F4D"/>
    <w:rsid w:val="00E22660"/>
    <w:rsid w:val="00E23256"/>
    <w:rsid w:val="00E232E0"/>
    <w:rsid w:val="00E237C3"/>
    <w:rsid w:val="00E23A5B"/>
    <w:rsid w:val="00E25456"/>
    <w:rsid w:val="00E257EA"/>
    <w:rsid w:val="00E30241"/>
    <w:rsid w:val="00E3030C"/>
    <w:rsid w:val="00E30426"/>
    <w:rsid w:val="00E3108E"/>
    <w:rsid w:val="00E32EAF"/>
    <w:rsid w:val="00E32FB2"/>
    <w:rsid w:val="00E34BF8"/>
    <w:rsid w:val="00E34DFC"/>
    <w:rsid w:val="00E357C3"/>
    <w:rsid w:val="00E40FCB"/>
    <w:rsid w:val="00E41BE2"/>
    <w:rsid w:val="00E42C7F"/>
    <w:rsid w:val="00E43EAA"/>
    <w:rsid w:val="00E443FA"/>
    <w:rsid w:val="00E44D7F"/>
    <w:rsid w:val="00E44F7F"/>
    <w:rsid w:val="00E452FD"/>
    <w:rsid w:val="00E45651"/>
    <w:rsid w:val="00E45EBD"/>
    <w:rsid w:val="00E466EF"/>
    <w:rsid w:val="00E479EE"/>
    <w:rsid w:val="00E50CC8"/>
    <w:rsid w:val="00E51FE8"/>
    <w:rsid w:val="00E5244F"/>
    <w:rsid w:val="00E52E05"/>
    <w:rsid w:val="00E535AB"/>
    <w:rsid w:val="00E558A1"/>
    <w:rsid w:val="00E55E57"/>
    <w:rsid w:val="00E56249"/>
    <w:rsid w:val="00E57D09"/>
    <w:rsid w:val="00E61C85"/>
    <w:rsid w:val="00E61F86"/>
    <w:rsid w:val="00E63B11"/>
    <w:rsid w:val="00E6466E"/>
    <w:rsid w:val="00E67ACE"/>
    <w:rsid w:val="00E67BA7"/>
    <w:rsid w:val="00E7033F"/>
    <w:rsid w:val="00E71C0C"/>
    <w:rsid w:val="00E71F82"/>
    <w:rsid w:val="00E7273E"/>
    <w:rsid w:val="00E757FD"/>
    <w:rsid w:val="00E77068"/>
    <w:rsid w:val="00E81ABF"/>
    <w:rsid w:val="00E8252B"/>
    <w:rsid w:val="00E82A77"/>
    <w:rsid w:val="00E84140"/>
    <w:rsid w:val="00E85123"/>
    <w:rsid w:val="00E85D36"/>
    <w:rsid w:val="00E8692C"/>
    <w:rsid w:val="00E91480"/>
    <w:rsid w:val="00E93D69"/>
    <w:rsid w:val="00E940B2"/>
    <w:rsid w:val="00E94FA8"/>
    <w:rsid w:val="00E95AEC"/>
    <w:rsid w:val="00EA23C9"/>
    <w:rsid w:val="00EA5AD5"/>
    <w:rsid w:val="00EB28EC"/>
    <w:rsid w:val="00EB4FD7"/>
    <w:rsid w:val="00EB5722"/>
    <w:rsid w:val="00EC0817"/>
    <w:rsid w:val="00EC0B9F"/>
    <w:rsid w:val="00EC564B"/>
    <w:rsid w:val="00EC6F58"/>
    <w:rsid w:val="00EC7AA8"/>
    <w:rsid w:val="00EC7C4A"/>
    <w:rsid w:val="00ED4634"/>
    <w:rsid w:val="00ED56A6"/>
    <w:rsid w:val="00ED7CB3"/>
    <w:rsid w:val="00EE1123"/>
    <w:rsid w:val="00EE1706"/>
    <w:rsid w:val="00EE3A4F"/>
    <w:rsid w:val="00EF0C91"/>
    <w:rsid w:val="00EF1A72"/>
    <w:rsid w:val="00EF2660"/>
    <w:rsid w:val="00EF26A2"/>
    <w:rsid w:val="00EF3222"/>
    <w:rsid w:val="00EF3CD2"/>
    <w:rsid w:val="00EF596D"/>
    <w:rsid w:val="00F0275C"/>
    <w:rsid w:val="00F03E0D"/>
    <w:rsid w:val="00F04C75"/>
    <w:rsid w:val="00F06892"/>
    <w:rsid w:val="00F06BF6"/>
    <w:rsid w:val="00F106A0"/>
    <w:rsid w:val="00F10861"/>
    <w:rsid w:val="00F13345"/>
    <w:rsid w:val="00F144C3"/>
    <w:rsid w:val="00F15AC5"/>
    <w:rsid w:val="00F161B2"/>
    <w:rsid w:val="00F1668A"/>
    <w:rsid w:val="00F17F34"/>
    <w:rsid w:val="00F23446"/>
    <w:rsid w:val="00F23515"/>
    <w:rsid w:val="00F269DE"/>
    <w:rsid w:val="00F26A4B"/>
    <w:rsid w:val="00F31636"/>
    <w:rsid w:val="00F35955"/>
    <w:rsid w:val="00F368BA"/>
    <w:rsid w:val="00F376E3"/>
    <w:rsid w:val="00F37ED4"/>
    <w:rsid w:val="00F40A46"/>
    <w:rsid w:val="00F41682"/>
    <w:rsid w:val="00F41D12"/>
    <w:rsid w:val="00F424B7"/>
    <w:rsid w:val="00F42731"/>
    <w:rsid w:val="00F4500F"/>
    <w:rsid w:val="00F45235"/>
    <w:rsid w:val="00F46752"/>
    <w:rsid w:val="00F46C34"/>
    <w:rsid w:val="00F50B3C"/>
    <w:rsid w:val="00F51CE4"/>
    <w:rsid w:val="00F5341E"/>
    <w:rsid w:val="00F5592A"/>
    <w:rsid w:val="00F57E9D"/>
    <w:rsid w:val="00F603F9"/>
    <w:rsid w:val="00F6052B"/>
    <w:rsid w:val="00F619E3"/>
    <w:rsid w:val="00F65F75"/>
    <w:rsid w:val="00F66E1A"/>
    <w:rsid w:val="00F66FEF"/>
    <w:rsid w:val="00F70031"/>
    <w:rsid w:val="00F71EBB"/>
    <w:rsid w:val="00F722CD"/>
    <w:rsid w:val="00F728DA"/>
    <w:rsid w:val="00F74DCB"/>
    <w:rsid w:val="00F7554D"/>
    <w:rsid w:val="00F8166E"/>
    <w:rsid w:val="00F83985"/>
    <w:rsid w:val="00F8554D"/>
    <w:rsid w:val="00F86770"/>
    <w:rsid w:val="00F87ADF"/>
    <w:rsid w:val="00F95740"/>
    <w:rsid w:val="00FA2BCD"/>
    <w:rsid w:val="00FB46B7"/>
    <w:rsid w:val="00FB4B09"/>
    <w:rsid w:val="00FB4E60"/>
    <w:rsid w:val="00FC0BED"/>
    <w:rsid w:val="00FC260F"/>
    <w:rsid w:val="00FC2C92"/>
    <w:rsid w:val="00FC4ACC"/>
    <w:rsid w:val="00FD0892"/>
    <w:rsid w:val="00FD0A6B"/>
    <w:rsid w:val="00FD1A94"/>
    <w:rsid w:val="00FD4A59"/>
    <w:rsid w:val="00FD6782"/>
    <w:rsid w:val="00FD78F9"/>
    <w:rsid w:val="00FD7BC9"/>
    <w:rsid w:val="00FE1C9F"/>
    <w:rsid w:val="00FE41BE"/>
    <w:rsid w:val="00FE429D"/>
    <w:rsid w:val="00FE49FC"/>
    <w:rsid w:val="00FE6ED4"/>
    <w:rsid w:val="00FE70FD"/>
    <w:rsid w:val="00FE781F"/>
    <w:rsid w:val="00FF0758"/>
    <w:rsid w:val="00FF2937"/>
    <w:rsid w:val="00FF3898"/>
    <w:rsid w:val="00FF3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E4E2"/>
  <w15:docId w15:val="{514C9A36-BB42-4106-9E6D-3A36BD44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9D5"/>
    <w:rPr>
      <w:lang w:val="en-US" w:eastAsia="en-US"/>
    </w:rPr>
  </w:style>
  <w:style w:type="paragraph" w:styleId="1">
    <w:name w:val="heading 1"/>
    <w:basedOn w:val="a"/>
    <w:next w:val="a"/>
    <w:link w:val="10"/>
    <w:qFormat/>
    <w:rsid w:val="008949D5"/>
    <w:pPr>
      <w:keepNext/>
      <w:spacing w:before="240" w:after="60"/>
      <w:outlineLvl w:val="0"/>
    </w:pPr>
    <w:rPr>
      <w:rFonts w:ascii="Arial" w:hAnsi="Arial"/>
      <w:b/>
      <w:sz w:val="28"/>
    </w:rPr>
  </w:style>
  <w:style w:type="paragraph" w:styleId="2">
    <w:name w:val="heading 2"/>
    <w:basedOn w:val="a"/>
    <w:next w:val="a"/>
    <w:link w:val="20"/>
    <w:qFormat/>
    <w:rsid w:val="008949D5"/>
    <w:pPr>
      <w:keepNext/>
      <w:jc w:val="center"/>
      <w:outlineLvl w:val="1"/>
    </w:pPr>
    <w:rPr>
      <w:rFonts w:ascii="$ Benguiat_Bold" w:hAnsi="$ Benguiat_Bold"/>
      <w:b/>
      <w:sz w:val="132"/>
    </w:rPr>
  </w:style>
  <w:style w:type="paragraph" w:styleId="3">
    <w:name w:val="heading 3"/>
    <w:basedOn w:val="a"/>
    <w:next w:val="a"/>
    <w:link w:val="30"/>
    <w:qFormat/>
    <w:rsid w:val="008949D5"/>
    <w:pPr>
      <w:keepNext/>
      <w:jc w:val="center"/>
      <w:outlineLvl w:val="2"/>
    </w:pPr>
    <w:rPr>
      <w:rFonts w:ascii="$Caslon" w:hAnsi="$Caslon"/>
      <w:b/>
    </w:rPr>
  </w:style>
  <w:style w:type="paragraph" w:styleId="4">
    <w:name w:val="heading 4"/>
    <w:basedOn w:val="a"/>
    <w:next w:val="a"/>
    <w:link w:val="40"/>
    <w:qFormat/>
    <w:rsid w:val="008949D5"/>
    <w:pPr>
      <w:keepNext/>
      <w:jc w:val="center"/>
      <w:outlineLvl w:val="3"/>
    </w:pPr>
    <w:rPr>
      <w:rFonts w:ascii="$Caslon" w:hAnsi="$Caslon"/>
      <w:b/>
      <w:sz w:val="26"/>
    </w:rPr>
  </w:style>
  <w:style w:type="paragraph" w:styleId="5">
    <w:name w:val="heading 5"/>
    <w:basedOn w:val="a"/>
    <w:next w:val="a"/>
    <w:link w:val="50"/>
    <w:qFormat/>
    <w:rsid w:val="008949D5"/>
    <w:pPr>
      <w:keepNext/>
      <w:jc w:val="center"/>
      <w:outlineLvl w:val="4"/>
    </w:pPr>
    <w:rPr>
      <w:rFonts w:ascii="$Caslon" w:hAnsi="$Caslon"/>
      <w:sz w:val="24"/>
    </w:rPr>
  </w:style>
  <w:style w:type="paragraph" w:styleId="6">
    <w:name w:val="heading 6"/>
    <w:basedOn w:val="a"/>
    <w:next w:val="a"/>
    <w:link w:val="60"/>
    <w:qFormat/>
    <w:rsid w:val="008949D5"/>
    <w:pPr>
      <w:keepNext/>
      <w:jc w:val="center"/>
      <w:outlineLvl w:val="5"/>
    </w:pPr>
    <w:rPr>
      <w:rFonts w:ascii="$Caslon" w:hAnsi="$Caslon"/>
      <w:b/>
      <w:sz w:val="22"/>
    </w:rPr>
  </w:style>
  <w:style w:type="paragraph" w:styleId="7">
    <w:name w:val="heading 7"/>
    <w:basedOn w:val="a"/>
    <w:next w:val="a"/>
    <w:link w:val="70"/>
    <w:qFormat/>
    <w:rsid w:val="008949D5"/>
    <w:pPr>
      <w:keepNext/>
      <w:jc w:val="center"/>
      <w:outlineLvl w:val="6"/>
    </w:pPr>
    <w:rPr>
      <w:rFonts w:ascii="Garamond" w:hAnsi="Garamond"/>
      <w:b/>
      <w:sz w:val="28"/>
    </w:rPr>
  </w:style>
  <w:style w:type="paragraph" w:styleId="8">
    <w:name w:val="heading 8"/>
    <w:basedOn w:val="a"/>
    <w:next w:val="a"/>
    <w:link w:val="80"/>
    <w:qFormat/>
    <w:rsid w:val="008949D5"/>
    <w:pPr>
      <w:keepNext/>
      <w:jc w:val="center"/>
      <w:outlineLvl w:val="7"/>
    </w:pPr>
    <w:rPr>
      <w:rFonts w:ascii="$Caslon" w:hAnsi="$Caslon"/>
      <w:b/>
      <w:sz w:val="24"/>
    </w:rPr>
  </w:style>
  <w:style w:type="paragraph" w:styleId="9">
    <w:name w:val="heading 9"/>
    <w:basedOn w:val="a"/>
    <w:next w:val="a"/>
    <w:link w:val="90"/>
    <w:uiPriority w:val="9"/>
    <w:unhideWhenUsed/>
    <w:qFormat/>
    <w:rsid w:val="008949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9D5"/>
    <w:rPr>
      <w:rFonts w:ascii="Arial" w:eastAsia="Arial" w:hAnsi="Arial" w:cs="Arial"/>
      <w:sz w:val="40"/>
      <w:szCs w:val="40"/>
    </w:rPr>
  </w:style>
  <w:style w:type="character" w:customStyle="1" w:styleId="20">
    <w:name w:val="Заголовок 2 Знак"/>
    <w:basedOn w:val="a0"/>
    <w:link w:val="2"/>
    <w:uiPriority w:val="9"/>
    <w:rsid w:val="008949D5"/>
    <w:rPr>
      <w:rFonts w:ascii="Arial" w:eastAsia="Arial" w:hAnsi="Arial" w:cs="Arial"/>
      <w:sz w:val="34"/>
    </w:rPr>
  </w:style>
  <w:style w:type="character" w:customStyle="1" w:styleId="30">
    <w:name w:val="Заголовок 3 Знак"/>
    <w:basedOn w:val="a0"/>
    <w:link w:val="3"/>
    <w:uiPriority w:val="9"/>
    <w:rsid w:val="008949D5"/>
    <w:rPr>
      <w:rFonts w:ascii="Arial" w:eastAsia="Arial" w:hAnsi="Arial" w:cs="Arial"/>
      <w:sz w:val="30"/>
      <w:szCs w:val="30"/>
    </w:rPr>
  </w:style>
  <w:style w:type="character" w:customStyle="1" w:styleId="40">
    <w:name w:val="Заголовок 4 Знак"/>
    <w:basedOn w:val="a0"/>
    <w:link w:val="4"/>
    <w:uiPriority w:val="9"/>
    <w:rsid w:val="008949D5"/>
    <w:rPr>
      <w:rFonts w:ascii="Arial" w:eastAsia="Arial" w:hAnsi="Arial" w:cs="Arial"/>
      <w:b/>
      <w:bCs/>
      <w:sz w:val="26"/>
      <w:szCs w:val="26"/>
    </w:rPr>
  </w:style>
  <w:style w:type="character" w:customStyle="1" w:styleId="50">
    <w:name w:val="Заголовок 5 Знак"/>
    <w:basedOn w:val="a0"/>
    <w:link w:val="5"/>
    <w:uiPriority w:val="9"/>
    <w:rsid w:val="008949D5"/>
    <w:rPr>
      <w:rFonts w:ascii="Arial" w:eastAsia="Arial" w:hAnsi="Arial" w:cs="Arial"/>
      <w:b/>
      <w:bCs/>
      <w:sz w:val="24"/>
      <w:szCs w:val="24"/>
    </w:rPr>
  </w:style>
  <w:style w:type="character" w:customStyle="1" w:styleId="60">
    <w:name w:val="Заголовок 6 Знак"/>
    <w:basedOn w:val="a0"/>
    <w:link w:val="6"/>
    <w:uiPriority w:val="9"/>
    <w:rsid w:val="008949D5"/>
    <w:rPr>
      <w:rFonts w:ascii="Arial" w:eastAsia="Arial" w:hAnsi="Arial" w:cs="Arial"/>
      <w:b/>
      <w:bCs/>
      <w:sz w:val="22"/>
      <w:szCs w:val="22"/>
    </w:rPr>
  </w:style>
  <w:style w:type="character" w:customStyle="1" w:styleId="70">
    <w:name w:val="Заголовок 7 Знак"/>
    <w:basedOn w:val="a0"/>
    <w:link w:val="7"/>
    <w:uiPriority w:val="9"/>
    <w:rsid w:val="008949D5"/>
    <w:rPr>
      <w:rFonts w:ascii="Arial" w:eastAsia="Arial" w:hAnsi="Arial" w:cs="Arial"/>
      <w:b/>
      <w:bCs/>
      <w:i/>
      <w:iCs/>
      <w:sz w:val="22"/>
      <w:szCs w:val="22"/>
    </w:rPr>
  </w:style>
  <w:style w:type="character" w:customStyle="1" w:styleId="80">
    <w:name w:val="Заголовок 8 Знак"/>
    <w:basedOn w:val="a0"/>
    <w:link w:val="8"/>
    <w:uiPriority w:val="9"/>
    <w:rsid w:val="008949D5"/>
    <w:rPr>
      <w:rFonts w:ascii="Arial" w:eastAsia="Arial" w:hAnsi="Arial" w:cs="Arial"/>
      <w:i/>
      <w:iCs/>
      <w:sz w:val="22"/>
      <w:szCs w:val="22"/>
    </w:rPr>
  </w:style>
  <w:style w:type="character" w:customStyle="1" w:styleId="90">
    <w:name w:val="Заголовок 9 Знак"/>
    <w:basedOn w:val="a0"/>
    <w:link w:val="9"/>
    <w:uiPriority w:val="9"/>
    <w:rsid w:val="008949D5"/>
    <w:rPr>
      <w:rFonts w:ascii="Arial" w:eastAsia="Arial" w:hAnsi="Arial" w:cs="Arial"/>
      <w:i/>
      <w:iCs/>
      <w:sz w:val="21"/>
      <w:szCs w:val="21"/>
    </w:rPr>
  </w:style>
  <w:style w:type="paragraph" w:styleId="a3">
    <w:name w:val="No Spacing"/>
    <w:uiPriority w:val="1"/>
    <w:qFormat/>
    <w:rsid w:val="008949D5"/>
  </w:style>
  <w:style w:type="paragraph" w:styleId="a4">
    <w:name w:val="Title"/>
    <w:basedOn w:val="a"/>
    <w:next w:val="a"/>
    <w:link w:val="a5"/>
    <w:uiPriority w:val="10"/>
    <w:qFormat/>
    <w:rsid w:val="008949D5"/>
    <w:pPr>
      <w:spacing w:before="300" w:after="200"/>
      <w:contextualSpacing/>
    </w:pPr>
    <w:rPr>
      <w:sz w:val="48"/>
      <w:szCs w:val="48"/>
    </w:rPr>
  </w:style>
  <w:style w:type="character" w:customStyle="1" w:styleId="a5">
    <w:name w:val="Заголовок Знак"/>
    <w:basedOn w:val="a0"/>
    <w:link w:val="a4"/>
    <w:uiPriority w:val="10"/>
    <w:rsid w:val="008949D5"/>
    <w:rPr>
      <w:sz w:val="48"/>
      <w:szCs w:val="48"/>
    </w:rPr>
  </w:style>
  <w:style w:type="paragraph" w:styleId="a6">
    <w:name w:val="Subtitle"/>
    <w:basedOn w:val="a"/>
    <w:next w:val="a"/>
    <w:link w:val="a7"/>
    <w:uiPriority w:val="11"/>
    <w:qFormat/>
    <w:rsid w:val="008949D5"/>
    <w:pPr>
      <w:spacing w:before="200" w:after="200"/>
    </w:pPr>
    <w:rPr>
      <w:sz w:val="24"/>
      <w:szCs w:val="24"/>
    </w:rPr>
  </w:style>
  <w:style w:type="character" w:customStyle="1" w:styleId="a7">
    <w:name w:val="Подзаголовок Знак"/>
    <w:basedOn w:val="a0"/>
    <w:link w:val="a6"/>
    <w:uiPriority w:val="11"/>
    <w:rsid w:val="008949D5"/>
    <w:rPr>
      <w:sz w:val="24"/>
      <w:szCs w:val="24"/>
    </w:rPr>
  </w:style>
  <w:style w:type="paragraph" w:styleId="21">
    <w:name w:val="Quote"/>
    <w:basedOn w:val="a"/>
    <w:next w:val="a"/>
    <w:link w:val="22"/>
    <w:uiPriority w:val="29"/>
    <w:qFormat/>
    <w:rsid w:val="008949D5"/>
    <w:pPr>
      <w:ind w:left="720" w:right="720"/>
    </w:pPr>
    <w:rPr>
      <w:i/>
    </w:rPr>
  </w:style>
  <w:style w:type="character" w:customStyle="1" w:styleId="22">
    <w:name w:val="Цитата 2 Знак"/>
    <w:link w:val="21"/>
    <w:uiPriority w:val="29"/>
    <w:rsid w:val="008949D5"/>
    <w:rPr>
      <w:i/>
    </w:rPr>
  </w:style>
  <w:style w:type="paragraph" w:styleId="a8">
    <w:name w:val="Intense Quote"/>
    <w:basedOn w:val="a"/>
    <w:next w:val="a"/>
    <w:link w:val="a9"/>
    <w:uiPriority w:val="30"/>
    <w:qFormat/>
    <w:rsid w:val="008949D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949D5"/>
    <w:rPr>
      <w:i/>
    </w:rPr>
  </w:style>
  <w:style w:type="paragraph" w:styleId="aa">
    <w:name w:val="caption"/>
    <w:basedOn w:val="a"/>
    <w:next w:val="a"/>
    <w:uiPriority w:val="35"/>
    <w:semiHidden/>
    <w:unhideWhenUsed/>
    <w:qFormat/>
    <w:rsid w:val="008949D5"/>
    <w:pPr>
      <w:spacing w:line="276" w:lineRule="auto"/>
    </w:pPr>
    <w:rPr>
      <w:b/>
      <w:bCs/>
      <w:color w:val="4F81BD" w:themeColor="accent1"/>
      <w:sz w:val="18"/>
      <w:szCs w:val="18"/>
    </w:rPr>
  </w:style>
  <w:style w:type="character" w:customStyle="1" w:styleId="CaptionChar">
    <w:name w:val="Caption Char"/>
    <w:uiPriority w:val="99"/>
    <w:rsid w:val="008949D5"/>
  </w:style>
  <w:style w:type="table" w:customStyle="1" w:styleId="TableGridLight1">
    <w:name w:val="Table Grid Light1"/>
    <w:basedOn w:val="a1"/>
    <w:uiPriority w:val="59"/>
    <w:rsid w:val="008949D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8949D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8949D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8949D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8949D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8949D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8949D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8949D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8949D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8949D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8949D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8949D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8949D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rsid w:val="008949D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8949D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8949D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8949D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8949D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8949D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8949D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rsid w:val="008949D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8949D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8949D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8949D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8949D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8949D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8949D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rsid w:val="008949D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8949D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8949D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8949D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8949D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8949D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8949D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rsid w:val="008949D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8949D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8949D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8949D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8949D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8949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8949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rsid w:val="008949D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8949D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8949D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8949D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8949D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8949D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8949D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rsid w:val="008949D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8949D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8949D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8949D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8949D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8949D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8949D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rsid w:val="008949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8949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8949D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8949D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8949D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8949D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8949D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rsid w:val="008949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8949D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8949D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8949D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8949D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8949D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8949D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rsid w:val="008949D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8949D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8949D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8949D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8949D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8949D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8949D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rsid w:val="008949D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8949D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8949D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8949D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8949D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8949D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8949D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rsid w:val="008949D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8949D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8949D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8949D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8949D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8949D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8949D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949D5"/>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949D5"/>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949D5"/>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949D5"/>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949D5"/>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949D5"/>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949D5"/>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949D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949D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949D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949D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949D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949D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949D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8949D5"/>
    <w:pPr>
      <w:spacing w:after="40"/>
    </w:pPr>
    <w:rPr>
      <w:sz w:val="18"/>
    </w:rPr>
  </w:style>
  <w:style w:type="character" w:customStyle="1" w:styleId="ac">
    <w:name w:val="Текст сноски Знак"/>
    <w:link w:val="ab"/>
    <w:uiPriority w:val="99"/>
    <w:rsid w:val="008949D5"/>
    <w:rPr>
      <w:sz w:val="18"/>
    </w:rPr>
  </w:style>
  <w:style w:type="character" w:styleId="ad">
    <w:name w:val="footnote reference"/>
    <w:basedOn w:val="a0"/>
    <w:uiPriority w:val="99"/>
    <w:unhideWhenUsed/>
    <w:rsid w:val="008949D5"/>
    <w:rPr>
      <w:vertAlign w:val="superscript"/>
    </w:rPr>
  </w:style>
  <w:style w:type="paragraph" w:styleId="ae">
    <w:name w:val="endnote text"/>
    <w:basedOn w:val="a"/>
    <w:link w:val="af"/>
    <w:uiPriority w:val="99"/>
    <w:semiHidden/>
    <w:unhideWhenUsed/>
    <w:rsid w:val="008949D5"/>
  </w:style>
  <w:style w:type="character" w:customStyle="1" w:styleId="af">
    <w:name w:val="Текст концевой сноски Знак"/>
    <w:link w:val="ae"/>
    <w:uiPriority w:val="99"/>
    <w:rsid w:val="008949D5"/>
    <w:rPr>
      <w:sz w:val="20"/>
    </w:rPr>
  </w:style>
  <w:style w:type="character" w:styleId="af0">
    <w:name w:val="endnote reference"/>
    <w:basedOn w:val="a0"/>
    <w:uiPriority w:val="99"/>
    <w:semiHidden/>
    <w:unhideWhenUsed/>
    <w:rsid w:val="008949D5"/>
    <w:rPr>
      <w:vertAlign w:val="superscript"/>
    </w:rPr>
  </w:style>
  <w:style w:type="paragraph" w:styleId="11">
    <w:name w:val="toc 1"/>
    <w:basedOn w:val="a"/>
    <w:next w:val="a"/>
    <w:uiPriority w:val="39"/>
    <w:unhideWhenUsed/>
    <w:rsid w:val="008949D5"/>
    <w:pPr>
      <w:spacing w:after="57"/>
      <w:ind w:firstLine="0"/>
    </w:pPr>
  </w:style>
  <w:style w:type="paragraph" w:styleId="23">
    <w:name w:val="toc 2"/>
    <w:basedOn w:val="a"/>
    <w:next w:val="a"/>
    <w:uiPriority w:val="39"/>
    <w:unhideWhenUsed/>
    <w:rsid w:val="008949D5"/>
    <w:pPr>
      <w:spacing w:after="57"/>
      <w:ind w:left="283" w:firstLine="0"/>
    </w:pPr>
  </w:style>
  <w:style w:type="paragraph" w:styleId="31">
    <w:name w:val="toc 3"/>
    <w:basedOn w:val="a"/>
    <w:next w:val="a"/>
    <w:uiPriority w:val="39"/>
    <w:unhideWhenUsed/>
    <w:rsid w:val="008949D5"/>
    <w:pPr>
      <w:spacing w:after="57"/>
      <w:ind w:left="567" w:firstLine="0"/>
    </w:pPr>
  </w:style>
  <w:style w:type="paragraph" w:styleId="41">
    <w:name w:val="toc 4"/>
    <w:basedOn w:val="a"/>
    <w:next w:val="a"/>
    <w:uiPriority w:val="39"/>
    <w:unhideWhenUsed/>
    <w:rsid w:val="008949D5"/>
    <w:pPr>
      <w:spacing w:after="57"/>
      <w:ind w:left="850" w:firstLine="0"/>
    </w:pPr>
  </w:style>
  <w:style w:type="paragraph" w:styleId="51">
    <w:name w:val="toc 5"/>
    <w:basedOn w:val="a"/>
    <w:next w:val="a"/>
    <w:uiPriority w:val="39"/>
    <w:unhideWhenUsed/>
    <w:rsid w:val="008949D5"/>
    <w:pPr>
      <w:spacing w:after="57"/>
      <w:ind w:left="1134" w:firstLine="0"/>
    </w:pPr>
  </w:style>
  <w:style w:type="paragraph" w:styleId="61">
    <w:name w:val="toc 6"/>
    <w:basedOn w:val="a"/>
    <w:next w:val="a"/>
    <w:uiPriority w:val="39"/>
    <w:unhideWhenUsed/>
    <w:rsid w:val="008949D5"/>
    <w:pPr>
      <w:spacing w:after="57"/>
      <w:ind w:left="1417" w:firstLine="0"/>
    </w:pPr>
  </w:style>
  <w:style w:type="paragraph" w:styleId="71">
    <w:name w:val="toc 7"/>
    <w:basedOn w:val="a"/>
    <w:next w:val="a"/>
    <w:uiPriority w:val="39"/>
    <w:unhideWhenUsed/>
    <w:rsid w:val="008949D5"/>
    <w:pPr>
      <w:spacing w:after="57"/>
      <w:ind w:left="1701" w:firstLine="0"/>
    </w:pPr>
  </w:style>
  <w:style w:type="paragraph" w:styleId="81">
    <w:name w:val="toc 8"/>
    <w:basedOn w:val="a"/>
    <w:next w:val="a"/>
    <w:uiPriority w:val="39"/>
    <w:unhideWhenUsed/>
    <w:rsid w:val="008949D5"/>
    <w:pPr>
      <w:spacing w:after="57"/>
      <w:ind w:left="1984" w:firstLine="0"/>
    </w:pPr>
  </w:style>
  <w:style w:type="paragraph" w:styleId="91">
    <w:name w:val="toc 9"/>
    <w:basedOn w:val="a"/>
    <w:next w:val="a"/>
    <w:uiPriority w:val="39"/>
    <w:unhideWhenUsed/>
    <w:rsid w:val="008949D5"/>
    <w:pPr>
      <w:spacing w:after="57"/>
      <w:ind w:left="2268" w:firstLine="0"/>
    </w:pPr>
  </w:style>
  <w:style w:type="paragraph" w:styleId="af1">
    <w:name w:val="TOC Heading"/>
    <w:uiPriority w:val="39"/>
    <w:unhideWhenUsed/>
    <w:rsid w:val="008949D5"/>
  </w:style>
  <w:style w:type="paragraph" w:styleId="af2">
    <w:name w:val="table of figures"/>
    <w:basedOn w:val="a"/>
    <w:next w:val="a"/>
    <w:uiPriority w:val="99"/>
    <w:unhideWhenUsed/>
    <w:rsid w:val="008949D5"/>
  </w:style>
  <w:style w:type="paragraph" w:styleId="af3">
    <w:name w:val="Balloon Text"/>
    <w:basedOn w:val="a"/>
    <w:link w:val="af4"/>
    <w:uiPriority w:val="99"/>
    <w:rsid w:val="008949D5"/>
    <w:rPr>
      <w:rFonts w:ascii="Tahoma" w:hAnsi="Tahoma"/>
      <w:sz w:val="16"/>
      <w:szCs w:val="16"/>
    </w:rPr>
  </w:style>
  <w:style w:type="character" w:customStyle="1" w:styleId="af4">
    <w:name w:val="Текст выноски Знак"/>
    <w:link w:val="af3"/>
    <w:uiPriority w:val="99"/>
    <w:rsid w:val="008949D5"/>
    <w:rPr>
      <w:rFonts w:ascii="Tahoma" w:hAnsi="Tahoma" w:cs="Tahoma"/>
      <w:sz w:val="16"/>
      <w:szCs w:val="16"/>
      <w:lang w:val="en-US" w:eastAsia="en-US"/>
    </w:rPr>
  </w:style>
  <w:style w:type="paragraph" w:customStyle="1" w:styleId="CharChar">
    <w:name w:val="Знак Знак Char Char Знак"/>
    <w:basedOn w:val="a"/>
    <w:rsid w:val="008949D5"/>
    <w:pPr>
      <w:spacing w:after="160" w:line="240" w:lineRule="exact"/>
      <w:ind w:firstLine="0"/>
      <w:jc w:val="left"/>
    </w:pPr>
    <w:rPr>
      <w:rFonts w:ascii="Arial" w:eastAsia="Batang" w:hAnsi="Arial" w:cs="Arial"/>
    </w:rPr>
  </w:style>
  <w:style w:type="paragraph" w:styleId="af5">
    <w:name w:val="Normal (Web)"/>
    <w:basedOn w:val="a"/>
    <w:uiPriority w:val="99"/>
    <w:unhideWhenUsed/>
    <w:rsid w:val="008949D5"/>
    <w:pPr>
      <w:ind w:firstLine="567"/>
    </w:pPr>
    <w:rPr>
      <w:sz w:val="24"/>
      <w:szCs w:val="24"/>
      <w:lang w:val="ru-RU" w:eastAsia="ru-RU"/>
    </w:rPr>
  </w:style>
  <w:style w:type="paragraph" w:customStyle="1" w:styleId="cn">
    <w:name w:val="cn"/>
    <w:basedOn w:val="a"/>
    <w:rsid w:val="008949D5"/>
    <w:pPr>
      <w:ind w:firstLine="0"/>
      <w:jc w:val="center"/>
    </w:pPr>
    <w:rPr>
      <w:sz w:val="24"/>
      <w:szCs w:val="24"/>
      <w:lang w:val="ru-RU" w:eastAsia="ru-RU"/>
    </w:rPr>
  </w:style>
  <w:style w:type="paragraph" w:customStyle="1" w:styleId="cb">
    <w:name w:val="cb"/>
    <w:basedOn w:val="a"/>
    <w:uiPriority w:val="99"/>
    <w:semiHidden/>
    <w:rsid w:val="008949D5"/>
    <w:pPr>
      <w:ind w:firstLine="0"/>
      <w:jc w:val="center"/>
    </w:pPr>
    <w:rPr>
      <w:b/>
      <w:bCs/>
      <w:sz w:val="24"/>
      <w:szCs w:val="24"/>
      <w:lang w:val="ru-RU" w:eastAsia="ru-RU"/>
    </w:rPr>
  </w:style>
  <w:style w:type="paragraph" w:styleId="af6">
    <w:name w:val="header"/>
    <w:basedOn w:val="a"/>
    <w:link w:val="af7"/>
    <w:uiPriority w:val="99"/>
    <w:rsid w:val="008949D5"/>
    <w:pPr>
      <w:tabs>
        <w:tab w:val="center" w:pos="4677"/>
        <w:tab w:val="right" w:pos="9355"/>
      </w:tabs>
    </w:pPr>
  </w:style>
  <w:style w:type="character" w:customStyle="1" w:styleId="af7">
    <w:name w:val="Верхний колонтитул Знак"/>
    <w:link w:val="af6"/>
    <w:uiPriority w:val="99"/>
    <w:rsid w:val="008949D5"/>
    <w:rPr>
      <w:lang w:val="en-US" w:eastAsia="en-US"/>
    </w:rPr>
  </w:style>
  <w:style w:type="paragraph" w:styleId="af8">
    <w:name w:val="footer"/>
    <w:basedOn w:val="a"/>
    <w:link w:val="af9"/>
    <w:uiPriority w:val="99"/>
    <w:rsid w:val="008949D5"/>
    <w:pPr>
      <w:tabs>
        <w:tab w:val="center" w:pos="4677"/>
        <w:tab w:val="right" w:pos="9355"/>
      </w:tabs>
    </w:pPr>
  </w:style>
  <w:style w:type="character" w:customStyle="1" w:styleId="af9">
    <w:name w:val="Нижний колонтитул Знак"/>
    <w:link w:val="af8"/>
    <w:uiPriority w:val="99"/>
    <w:rsid w:val="008949D5"/>
    <w:rPr>
      <w:lang w:val="en-US" w:eastAsia="en-US"/>
    </w:rPr>
  </w:style>
  <w:style w:type="table" w:styleId="afa">
    <w:name w:val="Table Grid"/>
    <w:basedOn w:val="a1"/>
    <w:uiPriority w:val="39"/>
    <w:rsid w:val="008949D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rsid w:val="008949D5"/>
    <w:pPr>
      <w:ind w:firstLine="0"/>
      <w:jc w:val="left"/>
    </w:pPr>
    <w:rPr>
      <w:rFonts w:ascii="Arial" w:hAnsi="Arial" w:cs="Arial"/>
      <w:lang w:val="ru-RU" w:eastAsia="ru-RU"/>
    </w:rPr>
  </w:style>
  <w:style w:type="table" w:customStyle="1" w:styleId="GrilTabel1">
    <w:name w:val="Grilă Tabel1"/>
    <w:basedOn w:val="a1"/>
    <w:next w:val="afa"/>
    <w:uiPriority w:val="59"/>
    <w:rsid w:val="008949D5"/>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8949D5"/>
    <w:pPr>
      <w:ind w:left="720"/>
      <w:contextualSpacing/>
    </w:pPr>
  </w:style>
  <w:style w:type="numbering" w:customStyle="1" w:styleId="FrListare1">
    <w:name w:val="Fără Listare1"/>
    <w:next w:val="a2"/>
    <w:semiHidden/>
    <w:rsid w:val="008949D5"/>
  </w:style>
  <w:style w:type="character" w:styleId="afc">
    <w:name w:val="page number"/>
    <w:basedOn w:val="a0"/>
    <w:rsid w:val="008949D5"/>
  </w:style>
  <w:style w:type="paragraph" w:customStyle="1" w:styleId="tt">
    <w:name w:val="tt"/>
    <w:basedOn w:val="a"/>
    <w:rsid w:val="008949D5"/>
    <w:pPr>
      <w:ind w:firstLine="0"/>
      <w:jc w:val="center"/>
    </w:pPr>
    <w:rPr>
      <w:b/>
      <w:bCs/>
      <w:sz w:val="24"/>
      <w:szCs w:val="24"/>
      <w:lang w:val="ru-RU" w:eastAsia="ru-RU"/>
    </w:rPr>
  </w:style>
  <w:style w:type="paragraph" w:customStyle="1" w:styleId="CharChar0">
    <w:name w:val="Char Char Знак Знак"/>
    <w:basedOn w:val="a"/>
    <w:rsid w:val="008949D5"/>
    <w:pPr>
      <w:spacing w:after="160" w:line="240" w:lineRule="exact"/>
      <w:ind w:firstLine="0"/>
      <w:jc w:val="left"/>
    </w:pPr>
    <w:rPr>
      <w:rFonts w:ascii="Arial" w:eastAsia="Batang" w:hAnsi="Arial" w:cs="Arial"/>
    </w:rPr>
  </w:style>
  <w:style w:type="character" w:customStyle="1" w:styleId="docheader1">
    <w:name w:val="doc_header1"/>
    <w:rsid w:val="008949D5"/>
    <w:rPr>
      <w:rFonts w:ascii="Times New Roman" w:hAnsi="Times New Roman" w:cs="Times New Roman" w:hint="default"/>
      <w:b/>
      <w:bCs/>
      <w:color w:val="000000"/>
      <w:sz w:val="24"/>
      <w:szCs w:val="24"/>
    </w:rPr>
  </w:style>
  <w:style w:type="character" w:styleId="afd">
    <w:name w:val="Strong"/>
    <w:uiPriority w:val="22"/>
    <w:qFormat/>
    <w:rsid w:val="008949D5"/>
    <w:rPr>
      <w:b/>
      <w:bCs/>
    </w:rPr>
  </w:style>
  <w:style w:type="character" w:customStyle="1" w:styleId="docsign11">
    <w:name w:val="doc_sign11"/>
    <w:rsid w:val="008949D5"/>
    <w:rPr>
      <w:rFonts w:ascii="Times New Roman" w:hAnsi="Times New Roman" w:cs="Times New Roman" w:hint="default"/>
      <w:b/>
      <w:bCs/>
      <w:color w:val="000000"/>
      <w:sz w:val="22"/>
      <w:szCs w:val="22"/>
    </w:rPr>
  </w:style>
  <w:style w:type="character" w:customStyle="1" w:styleId="sttart">
    <w:name w:val="st_tart"/>
    <w:basedOn w:val="a0"/>
    <w:rsid w:val="008949D5"/>
  </w:style>
  <w:style w:type="character" w:customStyle="1" w:styleId="tal1">
    <w:name w:val="tal1"/>
    <w:rsid w:val="008949D5"/>
  </w:style>
  <w:style w:type="table" w:customStyle="1" w:styleId="GrilTabel2">
    <w:name w:val="Grilă Tabel2"/>
    <w:basedOn w:val="a1"/>
    <w:next w:val="afa"/>
    <w:rsid w:val="008949D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rsid w:val="008949D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8949D5"/>
  </w:style>
  <w:style w:type="paragraph" w:customStyle="1" w:styleId="cnam1">
    <w:name w:val="cnam1"/>
    <w:basedOn w:val="a"/>
    <w:rsid w:val="008949D5"/>
    <w:pPr>
      <w:spacing w:before="100" w:beforeAutospacing="1" w:after="100" w:afterAutospacing="1"/>
      <w:ind w:firstLine="0"/>
      <w:jc w:val="left"/>
    </w:pPr>
    <w:rPr>
      <w:color w:val="2D2D2D"/>
      <w:sz w:val="29"/>
      <w:szCs w:val="29"/>
      <w:lang w:eastAsia="zh-CN"/>
    </w:rPr>
  </w:style>
  <w:style w:type="character" w:styleId="afe">
    <w:name w:val="annotation reference"/>
    <w:uiPriority w:val="99"/>
    <w:rsid w:val="008949D5"/>
    <w:rPr>
      <w:sz w:val="16"/>
      <w:szCs w:val="16"/>
    </w:rPr>
  </w:style>
  <w:style w:type="paragraph" w:styleId="aff">
    <w:name w:val="annotation text"/>
    <w:basedOn w:val="a"/>
    <w:link w:val="aff0"/>
    <w:uiPriority w:val="99"/>
    <w:rsid w:val="008949D5"/>
    <w:pPr>
      <w:ind w:firstLine="0"/>
      <w:jc w:val="left"/>
    </w:pPr>
    <w:rPr>
      <w:lang w:val="ro-RO" w:eastAsia="ru-RU"/>
    </w:rPr>
  </w:style>
  <w:style w:type="character" w:customStyle="1" w:styleId="aff0">
    <w:name w:val="Текст примечания Знак"/>
    <w:basedOn w:val="a0"/>
    <w:link w:val="aff"/>
    <w:uiPriority w:val="99"/>
    <w:rsid w:val="008949D5"/>
    <w:rPr>
      <w:lang w:val="ro-RO"/>
    </w:rPr>
  </w:style>
  <w:style w:type="paragraph" w:styleId="aff1">
    <w:name w:val="annotation subject"/>
    <w:basedOn w:val="aff"/>
    <w:next w:val="aff"/>
    <w:link w:val="aff2"/>
    <w:uiPriority w:val="99"/>
    <w:rsid w:val="008949D5"/>
    <w:rPr>
      <w:b/>
      <w:bCs/>
    </w:rPr>
  </w:style>
  <w:style w:type="character" w:customStyle="1" w:styleId="aff2">
    <w:name w:val="Тема примечания Знак"/>
    <w:basedOn w:val="aff0"/>
    <w:link w:val="aff1"/>
    <w:uiPriority w:val="99"/>
    <w:rsid w:val="008949D5"/>
    <w:rPr>
      <w:b/>
      <w:bCs/>
      <w:lang w:val="ro-RO"/>
    </w:rPr>
  </w:style>
  <w:style w:type="character" w:customStyle="1" w:styleId="apple-converted-space">
    <w:name w:val="apple-converted-space"/>
    <w:rsid w:val="008949D5"/>
  </w:style>
  <w:style w:type="character" w:customStyle="1" w:styleId="docheader">
    <w:name w:val="doc_header"/>
    <w:rsid w:val="008949D5"/>
  </w:style>
  <w:style w:type="paragraph" w:customStyle="1" w:styleId="Style2">
    <w:name w:val="Style2"/>
    <w:basedOn w:val="a"/>
    <w:uiPriority w:val="99"/>
    <w:rsid w:val="008949D5"/>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8949D5"/>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8949D5"/>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8949D5"/>
    <w:rPr>
      <w:rFonts w:ascii="Times New Roman" w:hAnsi="Times New Roman" w:cs="Times New Roman"/>
      <w:sz w:val="24"/>
      <w:szCs w:val="24"/>
    </w:rPr>
  </w:style>
  <w:style w:type="character" w:styleId="aff3">
    <w:name w:val="Hyperlink"/>
    <w:basedOn w:val="a0"/>
    <w:uiPriority w:val="99"/>
    <w:rsid w:val="008949D5"/>
    <w:rPr>
      <w:color w:val="0000FF"/>
      <w:u w:val="single"/>
    </w:rPr>
  </w:style>
  <w:style w:type="paragraph" w:customStyle="1" w:styleId="cp">
    <w:name w:val="cp"/>
    <w:basedOn w:val="a"/>
    <w:rsid w:val="008949D5"/>
    <w:pPr>
      <w:spacing w:before="100" w:beforeAutospacing="1" w:after="100" w:afterAutospacing="1"/>
      <w:ind w:firstLine="0"/>
      <w:jc w:val="left"/>
    </w:pPr>
    <w:rPr>
      <w:sz w:val="24"/>
      <w:szCs w:val="24"/>
      <w:lang w:val="ru-RU" w:eastAsia="ru-RU"/>
    </w:rPr>
  </w:style>
  <w:style w:type="character" w:customStyle="1" w:styleId="object">
    <w:name w:val="object"/>
    <w:basedOn w:val="a0"/>
    <w:rsid w:val="008949D5"/>
  </w:style>
  <w:style w:type="paragraph" w:styleId="HTML">
    <w:name w:val="HTML Preformatted"/>
    <w:basedOn w:val="a"/>
    <w:link w:val="HTML0"/>
    <w:uiPriority w:val="99"/>
    <w:unhideWhenUsed/>
    <w:rsid w:val="008949D5"/>
    <w:pPr>
      <w:ind w:firstLine="0"/>
      <w:jc w:val="left"/>
    </w:pPr>
    <w:rPr>
      <w:rFonts w:ascii="Consolas" w:hAnsi="Consolas"/>
    </w:rPr>
  </w:style>
  <w:style w:type="character" w:customStyle="1" w:styleId="HTML0">
    <w:name w:val="Стандартный HTML Знак"/>
    <w:basedOn w:val="a0"/>
    <w:link w:val="HTML"/>
    <w:uiPriority w:val="99"/>
    <w:rsid w:val="008949D5"/>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792540"/>
    <w:rPr>
      <w:color w:val="800080" w:themeColor="followedHyperlink"/>
      <w:u w:val="single"/>
    </w:rPr>
  </w:style>
  <w:style w:type="character" w:styleId="aff7">
    <w:name w:val="Unresolved Mention"/>
    <w:basedOn w:val="a0"/>
    <w:uiPriority w:val="99"/>
    <w:semiHidden/>
    <w:unhideWhenUsed/>
    <w:rsid w:val="00516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1918">
      <w:bodyDiv w:val="1"/>
      <w:marLeft w:val="0"/>
      <w:marRight w:val="0"/>
      <w:marTop w:val="0"/>
      <w:marBottom w:val="0"/>
      <w:divBdr>
        <w:top w:val="none" w:sz="0" w:space="0" w:color="auto"/>
        <w:left w:val="none" w:sz="0" w:space="0" w:color="auto"/>
        <w:bottom w:val="none" w:sz="0" w:space="0" w:color="auto"/>
        <w:right w:val="none" w:sz="0" w:space="0" w:color="auto"/>
      </w:divBdr>
    </w:div>
    <w:div w:id="284968160">
      <w:bodyDiv w:val="1"/>
      <w:marLeft w:val="0"/>
      <w:marRight w:val="0"/>
      <w:marTop w:val="0"/>
      <w:marBottom w:val="0"/>
      <w:divBdr>
        <w:top w:val="none" w:sz="0" w:space="0" w:color="auto"/>
        <w:left w:val="none" w:sz="0" w:space="0" w:color="auto"/>
        <w:bottom w:val="none" w:sz="0" w:space="0" w:color="auto"/>
        <w:right w:val="none" w:sz="0" w:space="0" w:color="auto"/>
      </w:divBdr>
    </w:div>
    <w:div w:id="582645498">
      <w:bodyDiv w:val="1"/>
      <w:marLeft w:val="0"/>
      <w:marRight w:val="0"/>
      <w:marTop w:val="0"/>
      <w:marBottom w:val="0"/>
      <w:divBdr>
        <w:top w:val="none" w:sz="0" w:space="0" w:color="auto"/>
        <w:left w:val="none" w:sz="0" w:space="0" w:color="auto"/>
        <w:bottom w:val="none" w:sz="0" w:space="0" w:color="auto"/>
        <w:right w:val="none" w:sz="0" w:space="0" w:color="auto"/>
      </w:divBdr>
    </w:div>
    <w:div w:id="617953093">
      <w:bodyDiv w:val="1"/>
      <w:marLeft w:val="0"/>
      <w:marRight w:val="0"/>
      <w:marTop w:val="0"/>
      <w:marBottom w:val="0"/>
      <w:divBdr>
        <w:top w:val="none" w:sz="0" w:space="0" w:color="auto"/>
        <w:left w:val="none" w:sz="0" w:space="0" w:color="auto"/>
        <w:bottom w:val="none" w:sz="0" w:space="0" w:color="auto"/>
        <w:right w:val="none" w:sz="0" w:space="0" w:color="auto"/>
      </w:divBdr>
    </w:div>
    <w:div w:id="876312322">
      <w:bodyDiv w:val="1"/>
      <w:marLeft w:val="0"/>
      <w:marRight w:val="0"/>
      <w:marTop w:val="0"/>
      <w:marBottom w:val="0"/>
      <w:divBdr>
        <w:top w:val="none" w:sz="0" w:space="0" w:color="auto"/>
        <w:left w:val="none" w:sz="0" w:space="0" w:color="auto"/>
        <w:bottom w:val="none" w:sz="0" w:space="0" w:color="auto"/>
        <w:right w:val="none" w:sz="0" w:space="0" w:color="auto"/>
      </w:divBdr>
    </w:div>
    <w:div w:id="947078109">
      <w:bodyDiv w:val="1"/>
      <w:marLeft w:val="0"/>
      <w:marRight w:val="0"/>
      <w:marTop w:val="0"/>
      <w:marBottom w:val="0"/>
      <w:divBdr>
        <w:top w:val="none" w:sz="0" w:space="0" w:color="auto"/>
        <w:left w:val="none" w:sz="0" w:space="0" w:color="auto"/>
        <w:bottom w:val="none" w:sz="0" w:space="0" w:color="auto"/>
        <w:right w:val="none" w:sz="0" w:space="0" w:color="auto"/>
      </w:divBdr>
    </w:div>
    <w:div w:id="954629144">
      <w:bodyDiv w:val="1"/>
      <w:marLeft w:val="0"/>
      <w:marRight w:val="0"/>
      <w:marTop w:val="0"/>
      <w:marBottom w:val="0"/>
      <w:divBdr>
        <w:top w:val="none" w:sz="0" w:space="0" w:color="auto"/>
        <w:left w:val="none" w:sz="0" w:space="0" w:color="auto"/>
        <w:bottom w:val="none" w:sz="0" w:space="0" w:color="auto"/>
        <w:right w:val="none" w:sz="0" w:space="0" w:color="auto"/>
      </w:divBdr>
    </w:div>
    <w:div w:id="1314142446">
      <w:bodyDiv w:val="1"/>
      <w:marLeft w:val="0"/>
      <w:marRight w:val="0"/>
      <w:marTop w:val="0"/>
      <w:marBottom w:val="0"/>
      <w:divBdr>
        <w:top w:val="none" w:sz="0" w:space="0" w:color="auto"/>
        <w:left w:val="none" w:sz="0" w:space="0" w:color="auto"/>
        <w:bottom w:val="none" w:sz="0" w:space="0" w:color="auto"/>
        <w:right w:val="none" w:sz="0" w:space="0" w:color="auto"/>
      </w:divBdr>
    </w:div>
    <w:div w:id="146928217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13129873">
      <w:bodyDiv w:val="1"/>
      <w:marLeft w:val="0"/>
      <w:marRight w:val="0"/>
      <w:marTop w:val="0"/>
      <w:marBottom w:val="0"/>
      <w:divBdr>
        <w:top w:val="none" w:sz="0" w:space="0" w:color="auto"/>
        <w:left w:val="none" w:sz="0" w:space="0" w:color="auto"/>
        <w:bottom w:val="none" w:sz="0" w:space="0" w:color="auto"/>
        <w:right w:val="none" w:sz="0" w:space="0" w:color="auto"/>
      </w:divBdr>
    </w:div>
    <w:div w:id="1735542389">
      <w:bodyDiv w:val="1"/>
      <w:marLeft w:val="0"/>
      <w:marRight w:val="0"/>
      <w:marTop w:val="0"/>
      <w:marBottom w:val="0"/>
      <w:divBdr>
        <w:top w:val="none" w:sz="0" w:space="0" w:color="auto"/>
        <w:left w:val="none" w:sz="0" w:space="0" w:color="auto"/>
        <w:bottom w:val="none" w:sz="0" w:space="0" w:color="auto"/>
        <w:right w:val="none" w:sz="0" w:space="0" w:color="auto"/>
      </w:divBdr>
    </w:div>
    <w:div w:id="1739283374">
      <w:bodyDiv w:val="1"/>
      <w:marLeft w:val="0"/>
      <w:marRight w:val="0"/>
      <w:marTop w:val="0"/>
      <w:marBottom w:val="0"/>
      <w:divBdr>
        <w:top w:val="none" w:sz="0" w:space="0" w:color="auto"/>
        <w:left w:val="none" w:sz="0" w:space="0" w:color="auto"/>
        <w:bottom w:val="none" w:sz="0" w:space="0" w:color="auto"/>
        <w:right w:val="none" w:sz="0" w:space="0" w:color="auto"/>
      </w:divBdr>
    </w:div>
    <w:div w:id="1836728813">
      <w:bodyDiv w:val="1"/>
      <w:marLeft w:val="0"/>
      <w:marRight w:val="0"/>
      <w:marTop w:val="0"/>
      <w:marBottom w:val="0"/>
      <w:divBdr>
        <w:top w:val="none" w:sz="0" w:space="0" w:color="auto"/>
        <w:left w:val="none" w:sz="0" w:space="0" w:color="auto"/>
        <w:bottom w:val="none" w:sz="0" w:space="0" w:color="auto"/>
        <w:right w:val="none" w:sz="0" w:space="0" w:color="auto"/>
      </w:divBdr>
    </w:div>
    <w:div w:id="1886529302">
      <w:bodyDiv w:val="1"/>
      <w:marLeft w:val="0"/>
      <w:marRight w:val="0"/>
      <w:marTop w:val="0"/>
      <w:marBottom w:val="0"/>
      <w:divBdr>
        <w:top w:val="none" w:sz="0" w:space="0" w:color="auto"/>
        <w:left w:val="none" w:sz="0" w:space="0" w:color="auto"/>
        <w:bottom w:val="none" w:sz="0" w:space="0" w:color="auto"/>
        <w:right w:val="none" w:sz="0" w:space="0" w:color="auto"/>
      </w:divBdr>
    </w:div>
    <w:div w:id="2038659591">
      <w:bodyDiv w:val="1"/>
      <w:marLeft w:val="0"/>
      <w:marRight w:val="0"/>
      <w:marTop w:val="0"/>
      <w:marBottom w:val="0"/>
      <w:divBdr>
        <w:top w:val="none" w:sz="0" w:space="0" w:color="auto"/>
        <w:left w:val="none" w:sz="0" w:space="0" w:color="auto"/>
        <w:bottom w:val="none" w:sz="0" w:space="0" w:color="auto"/>
        <w:right w:val="none" w:sz="0" w:space="0" w:color="auto"/>
      </w:divBdr>
    </w:div>
    <w:div w:id="2131705462">
      <w:bodyDiv w:val="1"/>
      <w:marLeft w:val="0"/>
      <w:marRight w:val="0"/>
      <w:marTop w:val="0"/>
      <w:marBottom w:val="0"/>
      <w:divBdr>
        <w:top w:val="none" w:sz="0" w:space="0" w:color="auto"/>
        <w:left w:val="none" w:sz="0" w:space="0" w:color="auto"/>
        <w:bottom w:val="none" w:sz="0" w:space="0" w:color="auto"/>
        <w:right w:val="none" w:sz="0" w:space="0" w:color="auto"/>
      </w:divBdr>
    </w:div>
    <w:div w:id="2131824516">
      <w:bodyDiv w:val="1"/>
      <w:marLeft w:val="0"/>
      <w:marRight w:val="0"/>
      <w:marTop w:val="0"/>
      <w:marBottom w:val="0"/>
      <w:divBdr>
        <w:top w:val="none" w:sz="0" w:space="0" w:color="auto"/>
        <w:left w:val="none" w:sz="0" w:space="0" w:color="auto"/>
        <w:bottom w:val="none" w:sz="0" w:space="0" w:color="auto"/>
        <w:right w:val="none" w:sz="0" w:space="0" w:color="auto"/>
      </w:divBdr>
    </w:div>
    <w:div w:id="21329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a.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e.bucor@maia.gov.md" TargetMode="External"/><Relationship Id="rId5" Type="http://schemas.openxmlformats.org/officeDocument/2006/relationships/numbering" Target="numbering.xml"/><Relationship Id="rId15" Type="http://schemas.openxmlformats.org/officeDocument/2006/relationships/hyperlink" Target="https://particip.gov.md/ro/document/stages/anunt-de-initiere-a-procesului-de-elaborare-a-proiectului-de-ordin-cu-privire-la-aprobarea-categoriilor-functionale-de-produse-si-a-categoriilor-de-materii-componente-pentru-produsele-fertilizante-ue/14313"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4782C-FBBE-45F3-A5A0-8733C537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3949</Words>
  <Characters>22512</Characters>
  <Application>Microsoft Office Word</Application>
  <DocSecurity>0</DocSecurity>
  <Lines>187</Lines>
  <Paragraphs>52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AngajatMAIA</cp:lastModifiedBy>
  <cp:revision>8</cp:revision>
  <cp:lastPrinted>2025-03-25T11:15:00Z</cp:lastPrinted>
  <dcterms:created xsi:type="dcterms:W3CDTF">2025-08-04T07:16:00Z</dcterms:created>
  <dcterms:modified xsi:type="dcterms:W3CDTF">2025-08-07T08:25:00Z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