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2AED" w14:textId="77777777" w:rsidR="00914285" w:rsidRPr="00AC33E5" w:rsidRDefault="00177035" w:rsidP="00AC33E5">
      <w:pPr>
        <w:pBdr>
          <w:top w:val="none" w:sz="4" w:space="0" w:color="000000"/>
          <w:left w:val="none" w:sz="4" w:space="0" w:color="000000"/>
          <w:bottom w:val="none" w:sz="4" w:space="0" w:color="000000"/>
          <w:right w:val="none" w:sz="4" w:space="0" w:color="000000"/>
        </w:pBdr>
        <w:spacing w:line="276" w:lineRule="auto"/>
        <w:ind w:firstLine="0"/>
        <w:jc w:val="center"/>
        <w:rPr>
          <w:sz w:val="24"/>
          <w:szCs w:val="24"/>
          <w:lang w:val="ro-MD"/>
        </w:rPr>
      </w:pPr>
      <w:r w:rsidRPr="00AC33E5">
        <w:rPr>
          <w:b/>
          <w:sz w:val="24"/>
          <w:szCs w:val="24"/>
          <w:lang w:val="ro-MD"/>
        </w:rPr>
        <w:t>Tabelul comparativ</w:t>
      </w:r>
      <w:r w:rsidR="005A0F1F" w:rsidRPr="00AC33E5">
        <w:rPr>
          <w:sz w:val="24"/>
          <w:szCs w:val="24"/>
          <w:lang w:val="ro-MD"/>
        </w:rPr>
        <w:t xml:space="preserve"> </w:t>
      </w:r>
    </w:p>
    <w:p w14:paraId="697B6F92" w14:textId="4E1B6837" w:rsidR="007F74DB" w:rsidRPr="00AC33E5" w:rsidRDefault="00177035" w:rsidP="00AC33E5">
      <w:pPr>
        <w:pBdr>
          <w:top w:val="none" w:sz="4" w:space="0" w:color="000000"/>
          <w:left w:val="none" w:sz="4" w:space="0" w:color="000000"/>
          <w:bottom w:val="none" w:sz="4" w:space="0" w:color="000000"/>
          <w:right w:val="none" w:sz="4" w:space="0" w:color="000000"/>
        </w:pBdr>
        <w:spacing w:line="276" w:lineRule="auto"/>
        <w:ind w:firstLine="0"/>
        <w:jc w:val="center"/>
        <w:rPr>
          <w:sz w:val="24"/>
          <w:szCs w:val="24"/>
          <w:lang w:val="ro-MD"/>
        </w:rPr>
      </w:pPr>
      <w:r w:rsidRPr="00AC33E5">
        <w:rPr>
          <w:bCs/>
          <w:sz w:val="24"/>
          <w:szCs w:val="24"/>
          <w:lang w:val="ro-MD"/>
        </w:rPr>
        <w:t xml:space="preserve">la proiectul </w:t>
      </w:r>
      <w:r w:rsidR="0034365B">
        <w:rPr>
          <w:bCs/>
          <w:sz w:val="24"/>
          <w:szCs w:val="24"/>
          <w:lang w:val="ro-RO"/>
        </w:rPr>
        <w:t xml:space="preserve">Hotărîrii Guvernului </w:t>
      </w:r>
      <w:r w:rsidR="0034365B" w:rsidRPr="00B15E4E">
        <w:rPr>
          <w:bCs/>
          <w:sz w:val="24"/>
          <w:szCs w:val="24"/>
          <w:lang w:val="ro-RO"/>
        </w:rPr>
        <w:t>cu privire la modificarea Reglementării tehnice privind echipamentele sub presiune transportabile, aprobată prin Hotărârea Guvernului nr. 1094/2017</w:t>
      </w:r>
    </w:p>
    <w:p w14:paraId="5CCB25DB" w14:textId="77777777" w:rsidR="00DE0E87" w:rsidRPr="00AC33E5" w:rsidRDefault="00DE0E87" w:rsidP="00AC33E5">
      <w:pPr>
        <w:pBdr>
          <w:top w:val="none" w:sz="4" w:space="0" w:color="000000"/>
          <w:left w:val="none" w:sz="4" w:space="0" w:color="000000"/>
          <w:bottom w:val="none" w:sz="4" w:space="0" w:color="000000"/>
          <w:right w:val="none" w:sz="4" w:space="0" w:color="000000"/>
        </w:pBdr>
        <w:spacing w:line="276" w:lineRule="auto"/>
        <w:ind w:firstLine="0"/>
        <w:jc w:val="center"/>
        <w:rPr>
          <w:b/>
          <w:sz w:val="24"/>
          <w:szCs w:val="24"/>
          <w:lang w:val="ro-MD" w:eastAsia="ru-RU"/>
        </w:rPr>
      </w:pPr>
    </w:p>
    <w:p w14:paraId="2EEECF7B" w14:textId="1AA0B396" w:rsidR="00177035" w:rsidRPr="00AC33E5" w:rsidRDefault="00177035" w:rsidP="00AC33E5">
      <w:pPr>
        <w:pBdr>
          <w:top w:val="none" w:sz="4" w:space="0" w:color="000000"/>
          <w:left w:val="none" w:sz="4" w:space="0" w:color="000000"/>
          <w:bottom w:val="none" w:sz="4" w:space="0" w:color="000000"/>
          <w:right w:val="none" w:sz="4" w:space="0" w:color="000000"/>
        </w:pBdr>
        <w:spacing w:line="276" w:lineRule="auto"/>
        <w:ind w:firstLine="0"/>
        <w:rPr>
          <w:sz w:val="24"/>
          <w:szCs w:val="24"/>
          <w:lang w:val="ro-MD"/>
        </w:rPr>
      </w:pPr>
    </w:p>
    <w:tbl>
      <w:tblPr>
        <w:tblStyle w:val="TableGrid"/>
        <w:tblW w:w="1410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35"/>
        <w:gridCol w:w="3969"/>
        <w:gridCol w:w="4905"/>
      </w:tblGrid>
      <w:tr w:rsidR="00CE0F29" w:rsidRPr="00AC33E5" w14:paraId="29BCF5A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074B9C" w14:textId="77777777" w:rsidR="00C434CD" w:rsidRPr="00AC33E5" w:rsidRDefault="00C434CD"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r w:rsidRPr="00AC33E5">
              <w:rPr>
                <w:rFonts w:ascii="Times New Roman" w:hAnsi="Times New Roman"/>
                <w:b/>
                <w:sz w:val="24"/>
                <w:szCs w:val="24"/>
                <w:lang w:val="ro-MD"/>
              </w:rPr>
              <w:t>Conținutul normei în vigoare</w:t>
            </w:r>
          </w:p>
          <w:p w14:paraId="1A9A7BAD" w14:textId="77777777" w:rsidR="00DE0E87" w:rsidRPr="00AC33E5" w:rsidRDefault="00DE0E87"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9E550F" w14:textId="77777777" w:rsidR="00C434CD" w:rsidRPr="00AC33E5" w:rsidRDefault="00C434CD"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r w:rsidRPr="00AC33E5">
              <w:rPr>
                <w:rFonts w:ascii="Times New Roman" w:hAnsi="Times New Roman"/>
                <w:b/>
                <w:sz w:val="24"/>
                <w:szCs w:val="24"/>
                <w:lang w:val="ro-MD"/>
              </w:rPr>
              <w:t>Modificarea propusă</w:t>
            </w:r>
          </w:p>
          <w:p w14:paraId="33875518" w14:textId="77777777" w:rsidR="00DE0E87" w:rsidRPr="00AC33E5" w:rsidRDefault="00DE0E87"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07B5ED" w14:textId="77777777" w:rsidR="00C434CD" w:rsidRPr="00AC33E5" w:rsidRDefault="00C434CD"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r w:rsidRPr="00AC33E5">
              <w:rPr>
                <w:rFonts w:ascii="Times New Roman" w:hAnsi="Times New Roman"/>
                <w:b/>
                <w:sz w:val="24"/>
                <w:szCs w:val="24"/>
                <w:lang w:val="ro-MD"/>
              </w:rPr>
              <w:t>Conținutul normei după modificare</w:t>
            </w:r>
          </w:p>
          <w:p w14:paraId="69D84ADD" w14:textId="77777777" w:rsidR="00DE0E87" w:rsidRPr="00AC33E5" w:rsidRDefault="00DE0E87"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r>
      <w:tr w:rsidR="00A175C4" w:rsidRPr="00AC33E5" w14:paraId="59A0DB6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3E91DB" w14:textId="77777777" w:rsidR="00A175C4" w:rsidRPr="00AC33E5" w:rsidRDefault="00A175C4"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D6E74F1" w14:textId="7F53C75A" w:rsidR="00A175C4" w:rsidRPr="00AC33E5" w:rsidRDefault="00A175C4" w:rsidP="00AC33E5">
            <w:pPr>
              <w:pStyle w:val="ListParagraph"/>
              <w:numPr>
                <w:ilvl w:val="0"/>
                <w:numId w:val="43"/>
              </w:numPr>
              <w:spacing w:line="276" w:lineRule="auto"/>
              <w:ind w:left="0" w:firstLine="27"/>
              <w:rPr>
                <w:rFonts w:ascii="Times New Roman" w:hAnsi="Times New Roman"/>
                <w:b/>
                <w:sz w:val="24"/>
                <w:szCs w:val="24"/>
                <w:lang w:val="ro-MD"/>
              </w:rPr>
            </w:pPr>
            <w:r w:rsidRPr="00AC33E5">
              <w:rPr>
                <w:rFonts w:ascii="Times New Roman" w:hAnsi="Times New Roman"/>
                <w:sz w:val="24"/>
                <w:szCs w:val="24"/>
                <w:lang w:val="ro-MD"/>
              </w:rPr>
              <w:t xml:space="preserve">Hotărârea Guvernului </w:t>
            </w:r>
            <w:r w:rsidRPr="00AC33E5">
              <w:rPr>
                <w:rFonts w:ascii="Times New Roman" w:hAnsi="Times New Roman"/>
                <w:bCs/>
                <w:sz w:val="24"/>
                <w:szCs w:val="24"/>
                <w:lang w:val="ro-MD" w:eastAsia="ru-RU"/>
              </w:rPr>
              <w:t xml:space="preserve">nr. 1094/2017 cu privire la aprobarea </w:t>
            </w:r>
            <w:r w:rsidRPr="00AC33E5">
              <w:rPr>
                <w:rFonts w:ascii="Times New Roman" w:hAnsi="Times New Roman"/>
                <w:sz w:val="24"/>
                <w:szCs w:val="24"/>
                <w:lang w:val="ro-MD"/>
              </w:rPr>
              <w:t>Reglementării tehnice privind echipamentele sub presiune transportabile se modifică după cum urmează:</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94175" w14:textId="77777777" w:rsidR="00A175C4" w:rsidRPr="00AC33E5" w:rsidRDefault="00A175C4"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r>
      <w:tr w:rsidR="00A175C4" w:rsidRPr="0034365B" w14:paraId="05725E44"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E7706" w14:textId="77777777" w:rsidR="00A175C4" w:rsidRPr="00AC33E5" w:rsidRDefault="00A175C4"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8FA1E" w14:textId="2F543FA0" w:rsidR="00A175C4" w:rsidRPr="00AC33E5" w:rsidRDefault="00A175C4" w:rsidP="00AC33E5">
            <w:pPr>
              <w:pStyle w:val="ListParagraph"/>
              <w:numPr>
                <w:ilvl w:val="1"/>
                <w:numId w:val="43"/>
              </w:numPr>
              <w:spacing w:line="276" w:lineRule="auto"/>
              <w:ind w:left="0" w:firstLine="0"/>
              <w:rPr>
                <w:rFonts w:ascii="Times New Roman" w:hAnsi="Times New Roman"/>
                <w:b/>
                <w:sz w:val="24"/>
                <w:szCs w:val="24"/>
                <w:lang w:val="ro-MD"/>
              </w:rPr>
            </w:pPr>
            <w:r w:rsidRPr="00AC33E5">
              <w:rPr>
                <w:rFonts w:ascii="Times New Roman" w:hAnsi="Times New Roman"/>
                <w:sz w:val="24"/>
                <w:szCs w:val="24"/>
                <w:lang w:val="ro-MD"/>
              </w:rPr>
              <w:t>pe tot parcursul textului hotărârii și al anexelor: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80420A" w14:textId="77777777" w:rsidR="00A175C4" w:rsidRPr="00AC33E5" w:rsidRDefault="00A175C4"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sz w:val="24"/>
                <w:szCs w:val="24"/>
                <w:lang w:val="ro-MD"/>
              </w:rPr>
            </w:pPr>
          </w:p>
        </w:tc>
      </w:tr>
      <w:tr w:rsidR="00A175C4" w:rsidRPr="00AC33E5" w14:paraId="01251655"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1F294"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În hotărâre:</w:t>
            </w:r>
          </w:p>
          <w:p w14:paraId="16861328" w14:textId="77777777" w:rsidR="00A175C4" w:rsidRPr="00AC33E5" w:rsidRDefault="00F40909"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5. Cuvintele „organism de evaluare a conformității notificat” sînt echivalente cu cuvintele „organism de evaluare a conformității recunoscut”, entitățile avînd regim juridic similar, conform prevederilor Legii nr. 235 din 1 decembrie 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certificate de reevaluare a conformității, rapoarte privind </w:t>
            </w:r>
            <w:r w:rsidRPr="00AC33E5">
              <w:rPr>
                <w:rFonts w:ascii="Times New Roman" w:hAnsi="Times New Roman"/>
                <w:color w:val="333333"/>
                <w:sz w:val="24"/>
                <w:szCs w:val="24"/>
                <w:shd w:val="clear" w:color="auto" w:fill="FFFFFF"/>
              </w:rPr>
              <w:lastRenderedPageBreak/>
              <w:t>inspecțiile periodice, inspecțiile intermediare și verificările excepționale.</w:t>
            </w:r>
          </w:p>
          <w:p w14:paraId="1C687C57" w14:textId="77777777" w:rsidR="00F40909" w:rsidRPr="00AC33E5" w:rsidRDefault="00F40909"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6. Prin derogare de la prevederile din anexă la prezenta hotărîre, pînă la data intrării în vigoare a Acordului privind evaluarea conformităţii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corespunzătoare și aplică pe echipamente, după caz, marcajul prevăzut de actele normative din domeniul securității industriale a obiectelor industriale periculoase.</w:t>
            </w:r>
          </w:p>
          <w:p w14:paraId="34C1D1EB" w14:textId="1435D7BE" w:rsidR="00E6557B" w:rsidRPr="00AC33E5" w:rsidRDefault="00F40909"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7. În scopul punerii în aplicare a prevederilor din prezenta hotărîre, în ceea ce ține de asigurarea conformității, respectiv inspecția periodică și verificarea excepțională a echipamentelor sub presiune transportabile, organismele de evaluare a conformității recunoscute se ghidează de (în stabilirea perioadei de inspecție periodică) și recunosc certificatele de evaluare și reevaluare a conformității, precum și marcajul „pi” corespunzător, emise conform standardelor europene armonizate de organismele de evaluare a conformității notificate.</w:t>
            </w:r>
          </w:p>
          <w:p w14:paraId="70A24F70" w14:textId="77777777" w:rsidR="001D38A0" w:rsidRPr="00AC33E5" w:rsidRDefault="001D38A0" w:rsidP="00AC33E5">
            <w:pPr>
              <w:shd w:val="clear" w:color="auto" w:fill="FFFFFF"/>
              <w:spacing w:line="276" w:lineRule="auto"/>
              <w:ind w:firstLine="0"/>
              <w:rPr>
                <w:rFonts w:ascii="Times New Roman" w:hAnsi="Times New Roman"/>
                <w:color w:val="333333"/>
                <w:sz w:val="24"/>
                <w:szCs w:val="24"/>
              </w:rPr>
            </w:pPr>
          </w:p>
          <w:p w14:paraId="0DD38E97"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În Reglementare tehnică:</w:t>
            </w:r>
          </w:p>
          <w:p w14:paraId="5D1DA9EE"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2. Prevederile prezentei Reglementări tehnice se aplică:</w:t>
            </w:r>
          </w:p>
          <w:p w14:paraId="560D02C6"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noilor echipamente sub presiune transportabile, așa cum sînt definite la pct. 5 subpct. 1), care nu poartă marcajele de conformitate prevăzute de prezenta Reglementare tehnică, în scopul punerii la dispoziție pe piață a echipamentelor respective;</w:t>
            </w:r>
          </w:p>
          <w:p w14:paraId="4C3054AC"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echipamentelor sub presiune transportabile, așa cum sînt definite la pct. 5 subpct. 1), care poartă marcajele de conformitate prevăzute de prezenta Reglementare tehnică, în scopul inspecțiilor periodice, al inspecțiilor intermediare, alverificărilor excepționaleși al utilizării acestora;</w:t>
            </w:r>
          </w:p>
          <w:p w14:paraId="752D3627"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echipamentelor sub presiune transportabile, așa cum sînt definite la pct. 5subpct. 1), care nu poartă marcajele de conformitateprevăzute de prezenta Reglementare tehnică, în scopul reevaluării conformității.</w:t>
            </w:r>
          </w:p>
          <w:p w14:paraId="577A8356"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41. Echipamentele sub presiune transportabile menționate la pct.2 subpct.1) din prezenta Reglementare tehnică trebuie să îndeplinească cerințele pertinente privind evaluarea conformității, inspecțiile periodice, inspecțiile intermediare, si verificările excepționale, prevăzute în anexele A și B la ADR și în capitolele IV și V din prezenta Reglementare tehnică.</w:t>
            </w:r>
          </w:p>
          <w:p w14:paraId="120D6C23"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42. Echipamentele sub presiune transportabile menționate la pct. 2 subpct. 2) trebuie să respecte </w:t>
            </w:r>
            <w:r w:rsidRPr="00AC33E5">
              <w:rPr>
                <w:rFonts w:ascii="Times New Roman" w:hAnsi="Times New Roman"/>
                <w:color w:val="333333"/>
                <w:sz w:val="24"/>
                <w:szCs w:val="24"/>
              </w:rPr>
              <w:lastRenderedPageBreak/>
              <w:t>specificațiile pe baza cărora au fost fabricate. Echipamentele respective trebuie să facă obiectul unor inspecții periodice, al unor inspecții intermediare, și al unor verificări excepționale în corespundere cu anexele A și B la ADR și să se conformeze cerințelor prevăzute în capitoleleIV și V din prezenta Reglementare tehnică.</w:t>
            </w:r>
          </w:p>
          <w:p w14:paraId="27FA31CA"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43. Certificatele de conformitate și certificatele de reevaluare a conformității, rapoartele privind inspecțiile periodice,inspecțiile intermediare și verificările excepționale, emise de un organism de evaluare a conformităţii notificat în statele membre UE,sînt valabile pe teritoriul Republicii Moldova.</w:t>
            </w:r>
          </w:p>
          <w:p w14:paraId="5F5D581E"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73. Solicitarea de recunoaștere în vederea notificării este însoțită de o descriere a următoarelor aspecte:</w:t>
            </w:r>
          </w:p>
          <w:p w14:paraId="1B0A5D07" w14:textId="1C36E43D"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activitățile legate de evaluarea conformității, de inspecțiile periodice și de inspecțiile intermediare, de verificările inopinate, și de reevaluarea conformității;</w:t>
            </w:r>
          </w:p>
          <w:p w14:paraId="779F9F1F"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procedurile legate de activitățile menționate la subpct. 1) din prezentul punct;</w:t>
            </w:r>
          </w:p>
          <w:p w14:paraId="41A85056"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echipamentele sub presiune transportabile despre care organismul susține că țin de competența sa;</w:t>
            </w:r>
          </w:p>
          <w:p w14:paraId="711ED89E"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4) certificatul de acreditare, eliberat de organismul național de acreditare, care atestă că organismul de evaluare a conformității satisface cerințele aplicabile acestora stabilite în pct. 69-71 din prezenta Reglementare tehnică.</w:t>
            </w:r>
          </w:p>
          <w:p w14:paraId="18F016CD" w14:textId="1AD4ACD5"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shd w:val="clear" w:color="auto" w:fill="FFFFFF"/>
              </w:rPr>
              <w:lastRenderedPageBreak/>
              <w:t>84. Organismele notificate efectuează evaluări ale conformităţii, inspecții periodice, inspecții intermediareși de verificările excepționale, în conformitate cu termenii notificării acestora și cu procedurile prevăzute în anexele A și B la ADR.</w:t>
            </w:r>
          </w:p>
          <w:p w14:paraId="3E83708D" w14:textId="344D8728" w:rsidR="00F40909" w:rsidRPr="00AC33E5" w:rsidRDefault="00E6557B" w:rsidP="00AC33E5">
            <w:pPr>
              <w:shd w:val="clear" w:color="auto" w:fill="FFFFFF"/>
              <w:spacing w:line="276" w:lineRule="auto"/>
              <w:ind w:firstLine="0"/>
              <w:rPr>
                <w:rFonts w:ascii="Times New Roman" w:hAnsi="Times New Roman"/>
                <w:b/>
                <w:sz w:val="24"/>
                <w:szCs w:val="24"/>
              </w:rPr>
            </w:pPr>
            <w:r w:rsidRPr="00AC33E5">
              <w:rPr>
                <w:rFonts w:ascii="Times New Roman" w:hAnsi="Times New Roman"/>
                <w:color w:val="333333"/>
                <w:sz w:val="24"/>
                <w:szCs w:val="24"/>
                <w:shd w:val="clear" w:color="auto" w:fill="FFFFFF"/>
              </w:rPr>
              <w:t>87. Organismele notificate în conformitate cu prezenta Reglementare tehnică oferă celorlalte organisme notificate, care îndeplinesc activităţi similare de evaluare a conformităţii, de inspecții periodice, de inspecții intermediare și verificări excepționale vizînd aceleaşi echipamente sub presiune transportabile, informaţii relevante cu privire la aspecte legate de rezultatele negative şi, la cerere, de rezultatele pozitive ale evaluăriiconformităţii.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D3A9C" w14:textId="77777777" w:rsidR="00A175C4" w:rsidRPr="00AC33E5" w:rsidRDefault="00A175C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1.1.1. cuvântul „excepționale” la orice formă gramaticală, se substituie cu cuvântul „inopinate”, la forma gramaticală corespunzătoare;</w:t>
            </w:r>
          </w:p>
          <w:p w14:paraId="5381AB23" w14:textId="77777777" w:rsidR="00A175C4" w:rsidRPr="00AC33E5" w:rsidRDefault="00A175C4" w:rsidP="00AC33E5">
            <w:pP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BC6BE"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În hotărâre:</w:t>
            </w:r>
          </w:p>
          <w:p w14:paraId="45BB90E7" w14:textId="487299F8" w:rsidR="00A175C4" w:rsidRPr="00AC33E5" w:rsidRDefault="00A175C4"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5. Cuvintele „organism de evaluare a conformității notificat” sînt echivalente cu cuvintele „organism de evaluare a conformității recunoscut”, entitățile avînd regim juridic similar, conform prevederilor Legii nr. 235 din 1 decembrie 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w:t>
            </w:r>
            <w:r w:rsidR="002A7DCC" w:rsidRPr="00AC33E5">
              <w:rPr>
                <w:rFonts w:ascii="Times New Roman" w:hAnsi="Times New Roman"/>
                <w:sz w:val="24"/>
                <w:szCs w:val="24"/>
                <w:lang w:val="ro-MD"/>
              </w:rPr>
              <w:t>rapoartele de inspecție</w:t>
            </w:r>
            <w:r w:rsidRPr="00AC33E5">
              <w:rPr>
                <w:rFonts w:ascii="Times New Roman" w:hAnsi="Times New Roman"/>
                <w:color w:val="333333"/>
                <w:sz w:val="24"/>
                <w:szCs w:val="24"/>
              </w:rPr>
              <w:t xml:space="preserve">, rapoarte </w:t>
            </w:r>
            <w:r w:rsidRPr="00AC33E5">
              <w:rPr>
                <w:rFonts w:ascii="Times New Roman" w:hAnsi="Times New Roman"/>
                <w:color w:val="333333"/>
                <w:sz w:val="24"/>
                <w:szCs w:val="24"/>
              </w:rPr>
              <w:lastRenderedPageBreak/>
              <w:t xml:space="preserve">privind inspecțiile periodice, inspecțiile intermediare și verificările </w:t>
            </w:r>
            <w:r w:rsidR="00123952" w:rsidRPr="00AC33E5">
              <w:rPr>
                <w:rFonts w:ascii="Times New Roman" w:hAnsi="Times New Roman"/>
                <w:color w:val="333333"/>
                <w:sz w:val="24"/>
                <w:szCs w:val="24"/>
              </w:rPr>
              <w:t>inopinat</w:t>
            </w:r>
            <w:r w:rsidRPr="00AC33E5">
              <w:rPr>
                <w:rFonts w:ascii="Times New Roman" w:hAnsi="Times New Roman"/>
                <w:color w:val="333333"/>
                <w:sz w:val="24"/>
                <w:szCs w:val="24"/>
              </w:rPr>
              <w:t>e.</w:t>
            </w:r>
          </w:p>
          <w:p w14:paraId="47B2BA6B" w14:textId="611D2214" w:rsidR="00A175C4" w:rsidRPr="00AC33E5" w:rsidRDefault="00A175C4"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6. Prin derogare de la prevederile din anexă la prezenta hotărîre, pînă la data intrării în vigoare a Acordului privind evaluarea conformităţii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w:t>
            </w:r>
            <w:r w:rsidR="00123952" w:rsidRPr="00AC33E5">
              <w:rPr>
                <w:rFonts w:ascii="Times New Roman" w:hAnsi="Times New Roman"/>
                <w:color w:val="333333"/>
                <w:sz w:val="24"/>
                <w:szCs w:val="24"/>
              </w:rPr>
              <w:t>inopinate</w:t>
            </w:r>
            <w:r w:rsidRPr="00AC33E5">
              <w:rPr>
                <w:rFonts w:ascii="Times New Roman" w:hAnsi="Times New Roman"/>
                <w:color w:val="333333"/>
                <w:sz w:val="24"/>
                <w:szCs w:val="24"/>
              </w:rPr>
              <w:t>, nu aplică marcajul „pi”, însă eliberează certificatele corespunzătoare și aplică pe echipamente, după caz, marcajul prevăzut de actele normative din domeniul securității industriale a obiectelor industriale periculoase.</w:t>
            </w:r>
          </w:p>
          <w:p w14:paraId="2EA6862B" w14:textId="6FDBA0DE" w:rsidR="00A175C4" w:rsidRPr="00AC33E5" w:rsidRDefault="00A175C4"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7. În scopul punerii în aplicare a prevederilor din prezenta hotărîre, în ceea ce ține de asigurarea conformității, respectiv inspecția periodică și verificarea </w:t>
            </w:r>
            <w:r w:rsidR="00123952" w:rsidRPr="00AC33E5">
              <w:rPr>
                <w:rFonts w:ascii="Times New Roman" w:hAnsi="Times New Roman"/>
                <w:color w:val="333333"/>
                <w:sz w:val="24"/>
                <w:szCs w:val="24"/>
              </w:rPr>
              <w:t>inopinat</w:t>
            </w:r>
            <w:r w:rsidRPr="00AC33E5">
              <w:rPr>
                <w:rFonts w:ascii="Times New Roman" w:hAnsi="Times New Roman"/>
                <w:color w:val="333333"/>
                <w:sz w:val="24"/>
                <w:szCs w:val="24"/>
              </w:rPr>
              <w:t xml:space="preserve">ă a echipamentelor sub presiune transportabile, organismele de evaluare a conformității recunoscute se ghidează de (în stabilirea perioadei de inspecție periodică) și recunosc certificatele de evaluare și </w:t>
            </w:r>
            <w:r w:rsidR="006D1FF4" w:rsidRPr="00AC33E5">
              <w:rPr>
                <w:rFonts w:ascii="Times New Roman" w:hAnsi="Times New Roman"/>
                <w:sz w:val="24"/>
                <w:szCs w:val="24"/>
                <w:lang w:val="ro-MD"/>
              </w:rPr>
              <w:t>rapoartele de inspecție</w:t>
            </w:r>
            <w:r w:rsidRPr="00AC33E5">
              <w:rPr>
                <w:rFonts w:ascii="Times New Roman" w:hAnsi="Times New Roman"/>
                <w:color w:val="333333"/>
                <w:sz w:val="24"/>
                <w:szCs w:val="24"/>
              </w:rPr>
              <w:t>, precum și marcajul „pi” corespunzător, emise conform standardelor europene armonizate de organismele de evaluare a conformității notificate.</w:t>
            </w:r>
          </w:p>
          <w:p w14:paraId="4D43BCEE" w14:textId="3668731B"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În Reglementare tehnică:</w:t>
            </w:r>
          </w:p>
          <w:p w14:paraId="51E3725A"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2. Prevederile prezentei Reglementări tehnice se aplică:</w:t>
            </w:r>
          </w:p>
          <w:p w14:paraId="1DA6B958"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noilor echipamente sub presiune transportabile, așa cum sînt definite la pct. 5 subpct. 1), care nu poartă marcajele de conformitate prevăzute de prezenta Reglementare tehnică, în scopul punerii la dispoziție pe piață a echipamentelor respective;</w:t>
            </w:r>
          </w:p>
          <w:p w14:paraId="202125DC" w14:textId="45E5B8D1"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echipamentelor sub presiune transportabile, așa cum sînt definite la pct. 5 subpct. 1), care poartă marcajele de conformitate prevăzute de prezenta Reglementare tehnică, în scopul inspecțiilor periodice, al inspecțiilor intermediare, alverificărilor inopinate și al utilizării acestora;</w:t>
            </w:r>
          </w:p>
          <w:p w14:paraId="32B627F0"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echipamentelor sub presiune transportabile, așa cum sînt definite la pct. 5subpct. 1), care nu poartă marcajele de conformitateprevăzute de prezenta Reglementare tehnică, în scopul reevaluării conformității.</w:t>
            </w:r>
          </w:p>
          <w:p w14:paraId="01C5516D" w14:textId="651B0CC5"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41. Echipamentele sub presiune transportabile menționate la pct.2 subpct.1) din prezenta Reglementare tehnică trebuie să îndeplinească cerințele pertinente privind evaluarea conformității, inspecțiile periodice, inspecțiile intermediare, si verificările inopinate, prevăzute în anexele A și B la ADR și în capitolele IV și V din prezenta Reglementare tehnică.</w:t>
            </w:r>
          </w:p>
          <w:p w14:paraId="09D1703C" w14:textId="130C8888"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42. Echipamentele sub presiune transportabile menționate la pct. 2 subpct. 2) trebuie să respecte specificațiile pe baza cărora au fost fabricate. Echipamentele respective trebuie să facă obiectul unor inspecții periodice, al unor inspecții intermediare, și al unor verificări inopinate în corespundere cu anexele A și B la ADR și să se conformeze cerințelor prevăzute în capitoleleIV și V din prezenta Reglementare tehnică.</w:t>
            </w:r>
          </w:p>
          <w:p w14:paraId="42CB52AA" w14:textId="2E9CB3DD"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43. Certificatele de conformitate și </w:t>
            </w:r>
            <w:r w:rsidR="006D1FF4" w:rsidRPr="00AC33E5">
              <w:rPr>
                <w:rFonts w:ascii="Times New Roman" w:hAnsi="Times New Roman"/>
                <w:sz w:val="24"/>
                <w:szCs w:val="24"/>
                <w:lang w:val="ro-MD"/>
              </w:rPr>
              <w:t>rapoartele de inspecție</w:t>
            </w:r>
            <w:r w:rsidRPr="00AC33E5">
              <w:rPr>
                <w:rFonts w:ascii="Times New Roman" w:hAnsi="Times New Roman"/>
                <w:color w:val="333333"/>
                <w:sz w:val="24"/>
                <w:szCs w:val="24"/>
              </w:rPr>
              <w:t>, rapoartele privind inspecțiile periodice, inspecțiile intermediare și verificările inopinate, emise de un organism de evaluare a conformităţii notificat în statele membre UE,sînt valabile pe teritoriul Republicii Moldova.</w:t>
            </w:r>
          </w:p>
          <w:p w14:paraId="5A1B6C55" w14:textId="77777777" w:rsidR="00E6557B" w:rsidRPr="00AC33E5" w:rsidRDefault="00E6557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73. Solicitarea de recunoaștere în vederea notificării este însoțită de o descriere a următoarelor aspecte:</w:t>
            </w:r>
          </w:p>
          <w:p w14:paraId="6917DC28" w14:textId="782D8F8B"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activitățile legate de evaluarea conformității, de inspecțiile periodice și de inspecțiile intermediare, de verificările inopinate, și de reevaluarea conformității;</w:t>
            </w:r>
          </w:p>
          <w:p w14:paraId="5365DE38"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procedurile legate de activitățile menționate la subpct. 1) din prezentul punct;</w:t>
            </w:r>
          </w:p>
          <w:p w14:paraId="060AF592"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echipamentele sub presiune transportabile despre care organismul susține că țin de competența sa;</w:t>
            </w:r>
          </w:p>
          <w:p w14:paraId="6D7B92BD" w14:textId="77777777" w:rsidR="00E6557B" w:rsidRPr="00AC33E5" w:rsidRDefault="00E6557B"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 xml:space="preserve">4) certificatul de acreditare, eliberat de organismul național de acreditare, care atestă că organismul de evaluare a conformității satisface </w:t>
            </w:r>
            <w:r w:rsidRPr="00AC33E5">
              <w:rPr>
                <w:rFonts w:ascii="Times New Roman" w:hAnsi="Times New Roman"/>
                <w:color w:val="333333"/>
                <w:sz w:val="24"/>
                <w:szCs w:val="24"/>
              </w:rPr>
              <w:lastRenderedPageBreak/>
              <w:t>cerințele aplicabile acestora stabilite în pct. 69-71 din prezenta Reglementare tehnică.</w:t>
            </w:r>
          </w:p>
          <w:p w14:paraId="54B2B40E" w14:textId="10641A31" w:rsidR="00E6557B" w:rsidRPr="00AC33E5" w:rsidRDefault="00E6557B"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84. Organismele notificate efectuează evaluări ale conformităţii, inspecții periodice, inspecții intermediareși de verificările inopinate, în conformitate cu termenii notificării acestora și cu procedurile prevăzute în anexele A și B la ADR.</w:t>
            </w:r>
          </w:p>
          <w:p w14:paraId="308F365B" w14:textId="4E2E5B50" w:rsidR="00A175C4" w:rsidRPr="00AC33E5" w:rsidRDefault="00E6557B" w:rsidP="00AC33E5">
            <w:pPr>
              <w:shd w:val="clear" w:color="auto" w:fill="FFFFFF"/>
              <w:spacing w:line="276" w:lineRule="auto"/>
              <w:ind w:firstLine="0"/>
              <w:rPr>
                <w:rFonts w:ascii="Times New Roman" w:hAnsi="Times New Roman"/>
                <w:b/>
                <w:sz w:val="24"/>
                <w:szCs w:val="24"/>
              </w:rPr>
            </w:pPr>
            <w:r w:rsidRPr="00AC33E5">
              <w:rPr>
                <w:rFonts w:ascii="Times New Roman" w:hAnsi="Times New Roman"/>
                <w:color w:val="333333"/>
                <w:sz w:val="24"/>
                <w:szCs w:val="24"/>
                <w:shd w:val="clear" w:color="auto" w:fill="FFFFFF"/>
              </w:rPr>
              <w:t>87. Organismele notificate în conformitate cu prezenta Reglementare tehnică oferă celorlalte organisme notificate, care îndeplinesc activităţi similare de evaluare a conformităţii, de inspecții periodice, de inspecții intermediare și verificări inopinate vizînd aceleaşi echipamente sub presiune transportabile, informaţii relevante cu privire la aspecte legate de rezultatele negative şi, la cerere, de rezultatele pozitive ale evaluării</w:t>
            </w:r>
            <w:r w:rsidR="001D38A0"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conformităţii.</w:t>
            </w:r>
          </w:p>
        </w:tc>
      </w:tr>
      <w:tr w:rsidR="00CE0F29" w:rsidRPr="00AC33E5" w14:paraId="7787F19E"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A8E75" w14:textId="77777777"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În Hotărâre:</w:t>
            </w:r>
          </w:p>
          <w:p w14:paraId="63CCC32D" w14:textId="064806F5"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4. Ministerul Infrastructurii și Dezvoltării Regionale recunoaşte organismele care realizează evaluarea conformităţii echipamentelor sub presiune transportabile destinate pieţei naţionale în concordanță cu procedurile prevăzute la capitolul IV din Reglementarea tehnică privind echipamentele sub presiune transportabile. Activitatea de notificare se realizează prin procedura de recunoaștere specificată în Legea nr. 235 din 1 decembrie 2011 privind activitățile de acreditare și evaluare a conformității.</w:t>
            </w:r>
          </w:p>
          <w:p w14:paraId="03F29CCE" w14:textId="41688A76" w:rsidR="00F40909" w:rsidRPr="00AC33E5" w:rsidRDefault="00F40909"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5. Cuvintele „organism de evaluare a conformității notificat” sînt echivalente cu cuvintele „organism de evaluare a conformității recunoscut”, entitățile avînd regim juridic similar, conform prevederilor Legii nr. 235 din 1 decembrie 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certificate de reevaluare a conformității, rapoarte privind inspecțiile periodice, inspecțiile intermediare și verificările excepționale.</w:t>
            </w:r>
          </w:p>
          <w:p w14:paraId="643C4EB0" w14:textId="77777777"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p>
          <w:p w14:paraId="3985837F" w14:textId="385306E5"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În Reglementare tehnică:</w:t>
            </w:r>
          </w:p>
          <w:p w14:paraId="4958B4A8" w14:textId="4A369AE1"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5. În sensul prezentei Reglementări tehnice se utilizează noţiunile definite în Legea nr.235 din 1 decembrie 2011 privind activităţile de acreditare şi de evaluare a conformităţii, Legea nr. 420-XVI din 22 decembrie 2006 privind activitatea de reglementare tehnică, Legea nr.162/2023 privind supravegherea pieței și conformitatea produselor, Codul civil al Republicii Moldova nr. 1107-XV din 6 iunie 2002, precum şi următoarele noțiuni:….</w:t>
            </w:r>
          </w:p>
          <w:p w14:paraId="5B1C9593" w14:textId="18D5269D" w:rsidR="0023762A" w:rsidRPr="00AC33E5" w:rsidRDefault="0023762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13. Reprezentantul autorizat este numit de producător în temeiul art. 27 alin. (1) din Legea </w:t>
            </w:r>
            <w:r w:rsidRPr="00AC33E5">
              <w:rPr>
                <w:rFonts w:ascii="Times New Roman" w:hAnsi="Times New Roman"/>
                <w:color w:val="333333"/>
                <w:sz w:val="24"/>
                <w:szCs w:val="24"/>
                <w:shd w:val="clear" w:color="auto" w:fill="FFFFFF"/>
              </w:rPr>
              <w:lastRenderedPageBreak/>
              <w:t>nr.235 din 1 decembrie 2011 privind activităţile de acreditare şi de evaluare a conformităţii.</w:t>
            </w:r>
          </w:p>
          <w:p w14:paraId="44370477" w14:textId="5545D34E" w:rsidR="0023762A" w:rsidRPr="00AC33E5" w:rsidRDefault="0023762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69. În scopul notificării, un organism de evaluare a conformităţii trebuie să îndeplinească cerinţele prevăzute în standardele de referinţă aplicabile acestora, care se confirmă prin acreditare în condiţiile Legii nr. 235 din 1 decembrie 2011 privind activităţile de acreditare şi de evaluare a conformităţii.</w:t>
            </w:r>
          </w:p>
          <w:p w14:paraId="7BE7BC6D" w14:textId="310A62B6"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72. În scopul notificării pentru activitate în domeniul reglementat, organismul de evaluare a conformităţii solicită recunoașterea în vederea notificării în conformitate cu Legea nr.235 din 1 decembrie 2011 privind activităţile de acreditare şi de evaluare a conformităţii.</w:t>
            </w:r>
          </w:p>
          <w:p w14:paraId="709838D9" w14:textId="7AE02EC5" w:rsidR="00F919D5" w:rsidRPr="00AC33E5" w:rsidRDefault="0023762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rPr>
            </w:pPr>
            <w:r w:rsidRPr="00AC33E5">
              <w:rPr>
                <w:rFonts w:ascii="Times New Roman" w:hAnsi="Times New Roman"/>
                <w:color w:val="333333"/>
                <w:sz w:val="24"/>
                <w:szCs w:val="24"/>
                <w:shd w:val="clear" w:color="auto" w:fill="FFFFFF"/>
              </w:rPr>
              <w:t>81. În cazul în care a constatat sau a fost informat că un organism notificat nu mai respectă cerințele prevăzute la pct. 69-71 sau că acesta nu își îndeplinește obligațiile, Ministerul Infrastructurii și Dezvoltării Regionale suspendă, restrînge sau retrage recunoașterea (notificarea) în conformitate cu Legea nr. 235 din 1 decembrie 2011 privind activităţile de acreditare şi de evaluare a conformităţii.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AC9D4F2" w14:textId="220C0B79" w:rsidR="00F919D5" w:rsidRPr="00AC33E5" w:rsidRDefault="00264D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1.1.2.</w:t>
            </w:r>
            <w:r w:rsidR="00F919D5" w:rsidRPr="00AC33E5">
              <w:rPr>
                <w:rFonts w:ascii="Times New Roman" w:hAnsi="Times New Roman"/>
                <w:sz w:val="24"/>
                <w:szCs w:val="24"/>
                <w:lang w:val="ro-MD"/>
              </w:rPr>
              <w:t xml:space="preserve"> </w:t>
            </w:r>
            <w:r w:rsidR="00EB68CE" w:rsidRPr="00AC33E5">
              <w:rPr>
                <w:rFonts w:ascii="Times New Roman" w:hAnsi="Times New Roman"/>
                <w:sz w:val="24"/>
                <w:szCs w:val="24"/>
                <w:lang w:val="ro-MD"/>
              </w:rPr>
              <w:t>textul</w:t>
            </w:r>
            <w:r w:rsidR="00F919D5" w:rsidRPr="00AC33E5">
              <w:rPr>
                <w:rFonts w:ascii="Times New Roman" w:hAnsi="Times New Roman"/>
                <w:sz w:val="24"/>
                <w:szCs w:val="24"/>
                <w:lang w:val="ro-MD"/>
              </w:rPr>
              <w:t xml:space="preserve"> „Legea nr. 235 din 1 decembrie 2011 privind activitățile de acreditare și evaluare a conformității” la orice formă gramaticală, se substituie cu </w:t>
            </w:r>
            <w:r w:rsidR="00EB68CE" w:rsidRPr="00AC33E5">
              <w:rPr>
                <w:rFonts w:ascii="Times New Roman" w:hAnsi="Times New Roman"/>
                <w:sz w:val="24"/>
                <w:szCs w:val="24"/>
                <w:lang w:val="ro-MD"/>
              </w:rPr>
              <w:t>textul</w:t>
            </w:r>
            <w:r w:rsidR="00F919D5" w:rsidRPr="00AC33E5">
              <w:rPr>
                <w:rFonts w:ascii="Times New Roman" w:hAnsi="Times New Roman"/>
                <w:sz w:val="24"/>
                <w:szCs w:val="24"/>
                <w:lang w:val="ro-MD"/>
              </w:rPr>
              <w:t xml:space="preserve"> „Legea nr. 235/2011 privind activitățile de acreditare și evaluare a conformității”, la forma gramaticală corespunzătoare;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342ECDD" w14:textId="77777777"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lang w:val="ro-MD"/>
              </w:rPr>
            </w:pPr>
            <w:r w:rsidRPr="00AC33E5">
              <w:rPr>
                <w:rFonts w:ascii="Times New Roman" w:hAnsi="Times New Roman"/>
                <w:color w:val="333333"/>
                <w:sz w:val="24"/>
                <w:szCs w:val="24"/>
                <w:shd w:val="clear" w:color="auto" w:fill="FFFFFF"/>
                <w:lang w:val="ro-MD"/>
              </w:rPr>
              <w:t>În Hotărâre:</w:t>
            </w:r>
          </w:p>
          <w:p w14:paraId="7E563C62" w14:textId="21DB941F" w:rsidR="00743E56" w:rsidRPr="00AC33E5" w:rsidRDefault="001D38A0"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lang w:val="ro-MD"/>
              </w:rPr>
              <w:t xml:space="preserve">4. Ministerul </w:t>
            </w:r>
            <w:r w:rsidR="00743E56" w:rsidRPr="00AC33E5">
              <w:rPr>
                <w:rFonts w:ascii="Times New Roman" w:hAnsi="Times New Roman"/>
                <w:color w:val="333333"/>
                <w:sz w:val="24"/>
                <w:szCs w:val="24"/>
                <w:shd w:val="clear" w:color="auto" w:fill="FFFFFF"/>
                <w:lang w:val="ro-MD"/>
              </w:rPr>
              <w:t xml:space="preserve">Infrastructurii și Dezvoltării Regionale recunoaşte organismele care realizează evaluarea conformităţii echipamentelor sub presiune transportabile destinate pieţei naţionale în concordanță cu procedurile prevăzute la capitolul IV din Reglementarea tehnică privind echipamentele sub presiune transportabile. </w:t>
            </w:r>
            <w:r w:rsidR="00743E56" w:rsidRPr="00AC33E5">
              <w:rPr>
                <w:rFonts w:ascii="Times New Roman" w:hAnsi="Times New Roman"/>
                <w:color w:val="333333"/>
                <w:sz w:val="24"/>
                <w:szCs w:val="24"/>
                <w:shd w:val="clear" w:color="auto" w:fill="FFFFFF"/>
              </w:rPr>
              <w:t>Activitatea de notificare se realizează prin procedura de recunoaștere specificată în Legea nr. 235/2011 privind activitățile de acreditare și evaluare a conformității.</w:t>
            </w:r>
          </w:p>
          <w:p w14:paraId="15C27317" w14:textId="54729ABD" w:rsidR="00F919D5" w:rsidRPr="00AC33E5" w:rsidRDefault="00EB68CE"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 xml:space="preserve">5. Cuvintele „organism de evaluare a conformității notificat” sînt echivalente cu cuvintele „organism de evaluare a conformității recunoscut”, entitățile avînd regim juridic similar, conform prevederilor Legii nr. 235/2011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w:t>
            </w:r>
            <w:r w:rsidR="006D1FF4" w:rsidRPr="00AC33E5">
              <w:rPr>
                <w:rFonts w:ascii="Times New Roman" w:hAnsi="Times New Roman"/>
                <w:sz w:val="24"/>
                <w:szCs w:val="24"/>
                <w:lang w:val="ro-MD"/>
              </w:rPr>
              <w:t>rapoarte de inspecție,</w:t>
            </w:r>
            <w:r w:rsidRPr="00AC33E5">
              <w:rPr>
                <w:rFonts w:ascii="Times New Roman" w:hAnsi="Times New Roman"/>
                <w:color w:val="333333"/>
                <w:sz w:val="24"/>
                <w:szCs w:val="24"/>
                <w:shd w:val="clear" w:color="auto" w:fill="FFFFFF"/>
              </w:rPr>
              <w:t xml:space="preserve"> rapoarte privind inspecțiile periodice, inspecțiile intermediare și verificările excepționale.</w:t>
            </w:r>
          </w:p>
          <w:p w14:paraId="0FB9FD2E" w14:textId="77777777"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p>
          <w:p w14:paraId="6D329A5C" w14:textId="77777777"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În Reglementare tehnică:</w:t>
            </w:r>
          </w:p>
          <w:p w14:paraId="6B1766F9" w14:textId="4B0F55FC" w:rsidR="00743E56" w:rsidRPr="00AC33E5" w:rsidRDefault="00743E56"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5. În sensul prezentei Reglementări tehnice se utilizează noţiunile definite în Legea nr.235/2011 privind activităţile de acreditare şi de evaluare a conformităţii, Legea nr. 420-XVI din 22 decembrie 2006 privind activitatea de reglementare tehnică, Legea nr.162/2023 privind supravegherea pieței și conformitatea produselor, Codul civil al Republicii Moldova nr. 1107-XV din 6 iunie 2002, precum şi următoarele noțiuni:…</w:t>
            </w:r>
          </w:p>
          <w:p w14:paraId="6C480FE9" w14:textId="26D1D672" w:rsidR="0023762A" w:rsidRPr="00AC33E5" w:rsidRDefault="0023762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13. Reprezentantul autorizat este numit de producător în temeiul art. 27 alin. (1) din Legea nr.235/2011 privind activităţile de acreditare şi de evaluare a conformităţii.</w:t>
            </w:r>
          </w:p>
          <w:p w14:paraId="72C82DBA" w14:textId="3873CC79" w:rsidR="0023762A" w:rsidRPr="00AC33E5" w:rsidRDefault="0023762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69. În scopul notificării, un organism de evaluare a conformităţii trebuie să îndeplinească cerinţele prevăzute în standardele de referinţă aplicabile acestora, care se confirmă prin acreditare în condiţiile Legii nr. 235/2011 privind activităţile de acreditare şi de evaluare a conformităţii.</w:t>
            </w:r>
          </w:p>
          <w:p w14:paraId="2FA7CF08" w14:textId="77777777" w:rsidR="00743E56" w:rsidRPr="00AC33E5" w:rsidRDefault="00743E56"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72. În scopul notificării pentru activitate în domeniul reglementat, organismul de evaluare a conformităţii solicită recunoașterea în vederea notificării în conformitate cu Legea nr.235/2011 privind activităţile de acreditare şi de evaluare a conformităţii.</w:t>
            </w:r>
          </w:p>
          <w:p w14:paraId="4BFB01FC" w14:textId="1C114280" w:rsidR="0023762A" w:rsidRPr="00AC33E5" w:rsidRDefault="0023762A" w:rsidP="00AC33E5">
            <w:pPr>
              <w:spacing w:line="276" w:lineRule="auto"/>
              <w:ind w:firstLine="0"/>
              <w:rPr>
                <w:rFonts w:ascii="Times New Roman" w:hAnsi="Times New Roman"/>
                <w:sz w:val="24"/>
                <w:szCs w:val="24"/>
                <w:lang w:val="ro-MD"/>
              </w:rPr>
            </w:pPr>
            <w:r w:rsidRPr="00AC33E5">
              <w:rPr>
                <w:rFonts w:ascii="Times New Roman" w:hAnsi="Times New Roman"/>
                <w:color w:val="333333"/>
                <w:sz w:val="24"/>
                <w:szCs w:val="24"/>
                <w:shd w:val="clear" w:color="auto" w:fill="FFFFFF"/>
              </w:rPr>
              <w:t>81. În cazul în care a constatat sau a fost informat că un organism notificat nu mai respectă cerințele prevăzute la pct. 69-71 sau că acesta nu își îndeplinește obligațiile, Ministerul Infrastructurii și Dezvoltării Regionale suspendă, restrînge sau retrage recunoașterea (notificarea) în conformitate cu Legea nr. 235/2011 privind activităţile de acreditare şi de evaluare a conformităţii.</w:t>
            </w:r>
          </w:p>
        </w:tc>
      </w:tr>
      <w:tr w:rsidR="00F40909" w:rsidRPr="00AC33E5" w14:paraId="65C1004A"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DF739" w14:textId="1D9FB8C1" w:rsidR="00F40909" w:rsidRPr="00AC33E5" w:rsidRDefault="00E27C27"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 xml:space="preserve">9. Producătorii care consideră sau au motive să creadă că echipamentele sub presiune transportabile pe care le-au introdus pe piață nu sînt conforme cu anexele A și B la ADR sau cu prezenta Reglementare tehnică iau măsurile corective necesare pentru a </w:t>
            </w:r>
            <w:r w:rsidRPr="00AC33E5">
              <w:rPr>
                <w:rFonts w:ascii="Times New Roman" w:hAnsi="Times New Roman"/>
                <w:color w:val="333333"/>
                <w:sz w:val="24"/>
                <w:szCs w:val="24"/>
                <w:shd w:val="clear" w:color="auto" w:fill="FFFFFF"/>
              </w:rPr>
              <w:lastRenderedPageBreak/>
              <w:t>aduce respectivele echipamente în conformitate, pentru a le retrage sau pentru a le rechema conform Legii nr.162/2023 privind supravegherea pieței și conformitatea produselor. Dacă echipamentele sub presiune transportabile prezintă un risc, producătorii informează imediat în acest sens autoritatea de supraveghere a pieţei</w:t>
            </w:r>
            <w:r w:rsidR="001D38A0" w:rsidRPr="00AC33E5">
              <w:rPr>
                <w:rFonts w:ascii="Times New Roman" w:hAnsi="Times New Roman"/>
                <w:color w:val="333333"/>
                <w:sz w:val="24"/>
                <w:szCs w:val="24"/>
                <w:shd w:val="clear" w:color="auto" w:fill="FFFFFF"/>
              </w:rPr>
              <w:t>, indicînd</w:t>
            </w:r>
            <w:r w:rsidRPr="00AC33E5">
              <w:rPr>
                <w:rFonts w:ascii="Times New Roman" w:hAnsi="Times New Roman"/>
                <w:color w:val="333333"/>
                <w:sz w:val="24"/>
                <w:szCs w:val="24"/>
                <w:shd w:val="clear" w:color="auto" w:fill="FFFFFF"/>
              </w:rPr>
              <w:t xml:space="preserve"> detaliile, în special cu privire la neconformitate şi la măsurile corective luate.</w:t>
            </w:r>
          </w:p>
          <w:p w14:paraId="30F1FC32" w14:textId="77777777" w:rsidR="00E27C27" w:rsidRPr="00AC33E5" w:rsidRDefault="00E27C27"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11. Producătorii, în urma unei cereri motivate din partea autorității de supraveghere a pieței, furnizează acesteia toate informațiile și documentația necesară, pe suport de hîrtie sau în format electronic, în limba de stat, pentru a demonstra conformitatea echipamentului sub presiune transportabile. Producătorii cooperează cu autoritatea de supraveghere a pieței, la cererea acesteia, cu privire la orice acțiune întreprinsă pentru eliminarea riscurilor prezentate de echipamentele sub presiune transportabile pe care aceștia le-au introdus pe piață.</w:t>
            </w:r>
          </w:p>
          <w:p w14:paraId="11E80F9E"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15. Reprezentantul autorizat îndeplinește sarcinile prevăzute în mandatul primit de la producător. Mandatul permite reprezentantului autorizat să îndeplinească minimum următoarele acțiuni:</w:t>
            </w:r>
          </w:p>
          <w:p w14:paraId="0EABE363"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să mențină documentația tehnică la dispoziția autorității de supraveghere a pieței cel puțin pentru perioada prevăzută în anexele A și B la ADR pentru producători;</w:t>
            </w:r>
          </w:p>
          <w:p w14:paraId="733F0F46"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 xml:space="preserve">2) să prezinte autorității de supraveghere a pieței, în urma unei cereri motivate din partea </w:t>
            </w:r>
            <w:r w:rsidRPr="00AC33E5">
              <w:rPr>
                <w:rFonts w:ascii="Times New Roman" w:hAnsi="Times New Roman"/>
                <w:color w:val="333333"/>
                <w:sz w:val="24"/>
                <w:szCs w:val="24"/>
              </w:rPr>
              <w:lastRenderedPageBreak/>
              <w:t>acesteia, toate informațiile și documentele necesare pentru a demonstra conformitatea echipamentelor sub presiune transportabile, în limba de stat;</w:t>
            </w:r>
          </w:p>
          <w:p w14:paraId="5539E71D"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să coopereze cu autoritatea de supraveghere a pieţei, la cererea acesteia, cu privire la orice acțiune întreprinsă pentru eliminarea riscurilor reprezentate de echipamentele sub presiune transportabile care fac obiectul mandatului reprezentantului autorizat.</w:t>
            </w:r>
          </w:p>
          <w:p w14:paraId="3F2C1F76"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19. Înainte de introducerea pe piață a echipamentelor sub presiune transportabile, importatorii garantează că producătorul a efectuat procedura de evaluare a conformității. Aceștia garantează că producătorul a întocmit documentația tehnică, iar echipamentele sub presiune transportabile poartă marcajul ,,pi” și sînt însoțite de certificatul de conformitate menționat în anexele A și B la ADR.</w:t>
            </w:r>
          </w:p>
          <w:p w14:paraId="1ABFC9FC"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Dacă importatorii consideră sau au motive să creadă că echipamentele sub presiune transportabile nu sînt conforme cu anexele A și B la ADR și cu prezenta Reglementare tehnică, aceștia nu introduc echipamentele sub presiune transportabile pe piață înainte ca acestea să fie aduse în conformitate. Dacă echipamentele sub presiune transportabile prezintă un risc, importatorii informează imediat în acest sens producătorul și autoritatea de supraveghere a pieţei.</w:t>
            </w:r>
          </w:p>
          <w:p w14:paraId="54A03505"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22. Importatorii care consideră sau au motive să creadă că echipamentele sub presiune transportabile pe care le-au introdus pe piață nu sînt conforme cu anexele A și B la ADR și cu prezenta Reglementare </w:t>
            </w:r>
            <w:r w:rsidRPr="00AC33E5">
              <w:rPr>
                <w:rFonts w:ascii="Times New Roman" w:hAnsi="Times New Roman"/>
                <w:color w:val="333333"/>
                <w:sz w:val="24"/>
                <w:szCs w:val="24"/>
              </w:rPr>
              <w:lastRenderedPageBreak/>
              <w:t>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autoritatea de supraveghere a pieței, indicînd detalii, în special cu privire la neconformitate și la măsurile corective luate.</w:t>
            </w:r>
          </w:p>
          <w:p w14:paraId="211EF3E9"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Importatorii trebuie să documenteze toate neconformitățile și măsurile corective.</w:t>
            </w:r>
          </w:p>
          <w:p w14:paraId="22949846" w14:textId="77777777" w:rsidR="00E27C27" w:rsidRPr="00AC33E5" w:rsidRDefault="00E27C27"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24. Importatorii, în urma unei cereri motivate din partea autorității de supraveghere a pieței, furnizează acesteia toate informațiile și documentația necesară, pe suport de hîrtie sau în format electronic, în limba de stat, pentru a demonstra conformitatea echipamentului sub presiune transportabile. Importatorii cooperează cu autoritatea de supraveghere a pieței, la cererea acesteia, cu privire la orice acțiune întreprinsă pentru eliminarea riscurilor prezentate de echipamentele sub presiune transportabile pe care aceștia le-au introdus pe piață.</w:t>
            </w:r>
          </w:p>
          <w:p w14:paraId="67B2F072"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29. Distribuitorii care consideră sau au motive să creadă că echipamentele sub presiune transportabile pe care le-au pus la dispoziție pe piață nu sînt conforme cu anexele A și B la ADR și cu prezenta Reglementare tehnică se asigură că sînt luate măsurile corective necesare pentru a aduce respectivele echipamente în conformitate, pentru a le retrage sau pentru a le rechema, după caz. În cazul în </w:t>
            </w:r>
            <w:r w:rsidRPr="00AC33E5">
              <w:rPr>
                <w:rFonts w:ascii="Times New Roman" w:hAnsi="Times New Roman"/>
                <w:color w:val="333333"/>
                <w:sz w:val="24"/>
                <w:szCs w:val="24"/>
              </w:rPr>
              <w:lastRenderedPageBreak/>
              <w:t>care echipamentele sub presiune transportabile prezintă un risc, distribuitorii informează imediat în acest sens producătorul, importatorul șiautoritatea de supraveghere a pieţei, oferind informații detaliate, în special cu privire la neconformitate și la orice măsură corectivă luată.</w:t>
            </w:r>
          </w:p>
          <w:p w14:paraId="56BF40F8"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Distribuitorii trebuie să documenteze toate neconformitățile și măsurile corective.</w:t>
            </w:r>
          </w:p>
          <w:p w14:paraId="5367AC7A" w14:textId="7EDFD832" w:rsidR="00E27C27" w:rsidRPr="00AC33E5" w:rsidRDefault="00E27C27"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30. Distribuitorii, în urma unei cereri motivate din partea autorității de supraveghere a pieţei, furnizează acesteia toate informațiile și documentația necesară pe suport de hîrtie sau în format electronic,</w:t>
            </w:r>
            <w:r w:rsidR="005876FB"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în limba de stat,</w:t>
            </w:r>
            <w:r w:rsidR="005876FB"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pentru a demonstra conformitatea echipamentelor sub presiune transportabile.</w:t>
            </w:r>
            <w:r w:rsidR="007544BA"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Distribuitorii cooperează cu autoritatea de supraveghere a pieţei, la cererea acesteia, cu privire la orice acțiune întreprinsă pentru eliminarea riscurilor prezentate de echipamentele sub presiune transportabile pe care le-au pus la dispoziție pe piață.</w:t>
            </w:r>
          </w:p>
          <w:p w14:paraId="073CED96"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39. Agenții economici transmit, la cerere, către autoritatea de supraveghere a pieței datele de identificare:</w:t>
            </w:r>
          </w:p>
          <w:p w14:paraId="47734073"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ale oricărui agent economic care le-a furnizat echipamente sub presiune transportabile;</w:t>
            </w:r>
          </w:p>
          <w:p w14:paraId="2B7C5505"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ale oricărui agent economic căruia i-au furnizat echipamente sub presiune transportabile.</w:t>
            </w:r>
          </w:p>
          <w:p w14:paraId="0E118E0F"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82. În caz de suspendare, restrîngere sau retragere a notificării ori în cazul în care organismul notificat şi-a încetat activitatea, Ministerul Infrastructurii și Dezvoltării Regionale ia măsurile adecvate pentru a </w:t>
            </w:r>
            <w:r w:rsidRPr="00AC33E5">
              <w:rPr>
                <w:rFonts w:ascii="Times New Roman" w:hAnsi="Times New Roman"/>
                <w:color w:val="333333"/>
                <w:sz w:val="24"/>
                <w:szCs w:val="24"/>
              </w:rPr>
              <w:lastRenderedPageBreak/>
              <w:t>se asigura că dosarele organismului respectiv fie sîntpreluate de un alt organism notificat, fie sînt puse la dispoziţia autorităţii de supraveghere a pieţei, la cererea ministerului.</w:t>
            </w:r>
          </w:p>
          <w:p w14:paraId="52839E5B"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83. În situaţia în care organismul de evaluare a conformităţii notificat şi-a încetat activitatea, acesta va asigura predarea către un alt organism notificat din domeniu a documentelor şi a înregistrărilor privind evaluările realizate ori în curs de realizare din perioada în care a fost recunoscut, informînd Ministerul Infrastructurii și Dezvoltării Regionale în legătură cu aceasta, sau le va pune la dispoziţia Ministerului Infrastructurii și Dezvoltării Regionale şi a autorităţii de supraveghere a pieţei, la cererea acestora.</w:t>
            </w:r>
          </w:p>
          <w:p w14:paraId="4C73D7F6"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86. Organismele notificate informează Ministerul Infrastructurii și Dezvoltării Regionale în legătură cu:</w:t>
            </w:r>
          </w:p>
          <w:p w14:paraId="1330D14F"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orice refuz, restricţie, suspendare sau retragere a certificatelor;</w:t>
            </w:r>
          </w:p>
          <w:p w14:paraId="52DA8E7A"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orice circumstanţă care afectează domeniul de aplicare și condiţiile notificării;</w:t>
            </w:r>
          </w:p>
          <w:p w14:paraId="2598C2CD"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orice cerere de informare cu privire la activităţile de evaluare a conformităţii primită de la autoritatea de supraveghere a pieţei;</w:t>
            </w:r>
          </w:p>
          <w:p w14:paraId="7075FC33"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4) la cerere, activitățile de evaluare a conformităţii realizate în limita domeniului de aplicare al notificării și orice altă activitate realizată, inclusiv activitățile și subcontractările transfrontaliere.</w:t>
            </w:r>
          </w:p>
          <w:p w14:paraId="2852D7CF"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90. În cazul în care autoritatea de supraveghere a pieței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Agenții economici implicați cooperează cu autoritățile de supraveghere a pieței, inclusiv permițîndu-le accesul în incintele lor și furnizîndu-le eșantioane în acest scop.</w:t>
            </w:r>
          </w:p>
          <w:p w14:paraId="0D2DD939"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91. În cazul în care, pe parcursul evaluării menționate, autoritatea de supraveghere a pieței constată că echipamentele sub presiune transportabile nu sînt conforme cu cerințele stabilite în prezenta Reglementare tehnică și în anexele A și B la ADR, aceasta solicită agentului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autoritatea de supraveghere a pieței.</w:t>
            </w:r>
          </w:p>
          <w:p w14:paraId="32F31BF3"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Autoritatea de supraveghere a pieţei informează organismul notificat relevant.</w:t>
            </w:r>
          </w:p>
          <w:p w14:paraId="3384149E"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92. În cazul în care autoritatea de supraveghere a pieței consideră că neconformitatea nu se limitează la teritoriul ei național, aceasta informează Ministerul Infrastructurii și Dezvoltării Regionale cu privire la rezultatele evaluării și la acțiunile pe care le-a solicitat din partea agentului economic.</w:t>
            </w:r>
          </w:p>
          <w:p w14:paraId="06FC729D"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94. În cazul în care agentul economic relevant nu întreprinde măsurile corective, autoritatea de supraveghere a pieței ia toate măsurile corective pentru a interzice sau a restrînge punerea la dispoziție a echipamentelor sub presiune pe piață ori pentru a retrage sau rechema echipamentele respective de pe piață.</w:t>
            </w:r>
          </w:p>
          <w:p w14:paraId="1DC5A842" w14:textId="73FAF742"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95. </w:t>
            </w:r>
            <w:r w:rsidR="007544BA" w:rsidRPr="00AC33E5">
              <w:rPr>
                <w:rFonts w:ascii="Times New Roman" w:hAnsi="Times New Roman"/>
                <w:color w:val="333333"/>
                <w:sz w:val="24"/>
                <w:szCs w:val="24"/>
              </w:rPr>
              <w:t>M</w:t>
            </w:r>
            <w:r w:rsidRPr="00AC33E5">
              <w:rPr>
                <w:rFonts w:ascii="Times New Roman" w:hAnsi="Times New Roman"/>
                <w:color w:val="333333"/>
                <w:sz w:val="24"/>
                <w:szCs w:val="24"/>
              </w:rPr>
              <w:t>inisterul Infrastructurii și Dezvoltării Regionale, la propunerea autorității de supraveghere a pieței, informează Comisia Europeană cu privire la astfel de măsuri.</w:t>
            </w:r>
          </w:p>
          <w:p w14:paraId="42D4C0CC" w14:textId="77777777" w:rsidR="00E27C27" w:rsidRPr="00AC33E5" w:rsidRDefault="00E27C2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14:paraId="76F51D42"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lastRenderedPageBreak/>
              <w:t>1) echipamentele sub presiune transportabile nu îndeplinesc cerințele cu privire la sănătatea sau siguranța persoanelor ori la alte aspecte ale protecției interesului public;</w:t>
            </w:r>
          </w:p>
          <w:p w14:paraId="3470744C"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există deficiențe ale standardelor armonizate care conferă prezumția de conformitate.</w:t>
            </w:r>
          </w:p>
          <w:p w14:paraId="5FBB1095" w14:textId="77777777" w:rsidR="00E27C27" w:rsidRPr="00AC33E5" w:rsidRDefault="00E27C27"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autoritatea de supraveghere a pieţei solicită agentului economic relevant să ia toate măsurile corespunzătoare pentru a se asigura că echipamentele sub presiune transportabile în cauză, în momentul introducerii pe piaţă, nu mai prezintă respectivul risc sau pentru a-l retrage ori rechema într-un termen rezonabil, proporţional cu natura riscului.</w:t>
            </w:r>
          </w:p>
          <w:p w14:paraId="11B6EC10"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102. Fără a aduce atingere pct. 88-99, autoritatea de supraveghere a pieţei solicită agentului economic să remedieze neconformităţile respective în cazul în care constată una dintre următoarele situaţii:</w:t>
            </w:r>
          </w:p>
          <w:p w14:paraId="318AD477"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marcajul „pi” a fost aplicat prin încălcarea pct. 41-59 din prezenta Reglementare tehnică;</w:t>
            </w:r>
          </w:p>
          <w:p w14:paraId="3605AAFA"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marcajul „pi” nu a fost aplicat;</w:t>
            </w:r>
          </w:p>
          <w:p w14:paraId="127D192E"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lastRenderedPageBreak/>
              <w:t>3) documentația tehnică nu este disponibilă sau este incompletă;</w:t>
            </w:r>
          </w:p>
          <w:p w14:paraId="643BC3D0" w14:textId="77777777" w:rsidR="00E27C27" w:rsidRPr="00AC33E5" w:rsidRDefault="00E27C2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4) nu se respectă cerințele prevăzute în anexele A și B la ADR și în prezenta Reglementare tehnică.</w:t>
            </w:r>
          </w:p>
          <w:p w14:paraId="4FDC8BC4" w14:textId="556CE28A" w:rsidR="00E27C27" w:rsidRPr="00AC33E5" w:rsidRDefault="00E27C27" w:rsidP="00AC33E5">
            <w:pPr>
              <w:shd w:val="clear" w:color="auto" w:fill="FFFFFF"/>
              <w:spacing w:line="276" w:lineRule="auto"/>
              <w:ind w:firstLine="0"/>
              <w:rPr>
                <w:rFonts w:ascii="Times New Roman" w:hAnsi="Times New Roman"/>
                <w:sz w:val="24"/>
                <w:szCs w:val="24"/>
              </w:rPr>
            </w:pPr>
            <w:r w:rsidRPr="00AC33E5">
              <w:rPr>
                <w:rFonts w:ascii="Times New Roman" w:hAnsi="Times New Roman"/>
                <w:color w:val="333333"/>
                <w:sz w:val="24"/>
                <w:szCs w:val="24"/>
              </w:rPr>
              <w:t>103. Dacă neconformitatea menționată la pct.102 se menține, autoritatea de supraveghere a pieţei ia toate măsurile corective pentru a restricționa sau a interzice punerea la dispoziție pe piață a echipamentelor sub presiune transportabile în cauză ori pentru a se asigura că acesta este rechemat sau retras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EEBB24" w14:textId="77777777" w:rsidR="00C572C0" w:rsidRPr="00AC33E5" w:rsidRDefault="00C572C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1.1.3. cuvintele „autoritatea de supraveghere a pieței”, la orice formă gramaticală, se substituie cu cuvintele „Inspectoratul Național pentru </w:t>
            </w:r>
            <w:r w:rsidRPr="00AC33E5">
              <w:rPr>
                <w:rFonts w:ascii="Times New Roman" w:hAnsi="Times New Roman"/>
                <w:sz w:val="24"/>
                <w:szCs w:val="24"/>
                <w:lang w:val="ro-MD"/>
              </w:rPr>
              <w:lastRenderedPageBreak/>
              <w:t>Supravegherea Tehnică”, la forma gramaticală corespunzătoare;</w:t>
            </w:r>
          </w:p>
          <w:p w14:paraId="5AEAB831" w14:textId="77777777" w:rsidR="00F40909" w:rsidRPr="00AC33E5" w:rsidRDefault="00F40909" w:rsidP="00AC33E5">
            <w:pP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792EB62" w14:textId="1351E8A6" w:rsidR="004F0E23" w:rsidRPr="00AC33E5" w:rsidRDefault="004F0E23"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lastRenderedPageBreak/>
              <w:t xml:space="preserve">9. Producătorii care consideră sau au motive să creadă că echipamentele sub presiune transportabile pe care le-au introdus pe piață nu sînt conforme cu anexele A și B la ADR sau cu prezenta Reglementare tehnică iau măsurile </w:t>
            </w:r>
            <w:r w:rsidRPr="00AC33E5">
              <w:rPr>
                <w:rFonts w:ascii="Times New Roman" w:hAnsi="Times New Roman"/>
                <w:color w:val="333333"/>
                <w:sz w:val="24"/>
                <w:szCs w:val="24"/>
                <w:shd w:val="clear" w:color="auto" w:fill="FFFFFF"/>
              </w:rPr>
              <w:lastRenderedPageBreak/>
              <w:t xml:space="preserve">corective necesare pentru a aduce respectivele echipamente în conformitate, pentru a le retrage sau pentru a le rechema conform Legii nr.162/2023 privind supravegherea pieței și conformitatea produselor. Dacă echipamentele sub presiune transportabile prezintă un risc, producătorii informează imediat în acest </w:t>
            </w:r>
            <w:r w:rsidR="001D38A0" w:rsidRPr="00AC33E5">
              <w:rPr>
                <w:rFonts w:ascii="Times New Roman" w:hAnsi="Times New Roman"/>
                <w:color w:val="333333"/>
                <w:sz w:val="24"/>
                <w:szCs w:val="24"/>
                <w:shd w:val="clear" w:color="auto" w:fill="FFFFFF"/>
              </w:rPr>
              <w:t xml:space="preserve">sens </w:t>
            </w:r>
            <w:r w:rsidR="001D38A0" w:rsidRPr="00AC33E5">
              <w:rPr>
                <w:rFonts w:ascii="Times New Roman" w:hAnsi="Times New Roman"/>
                <w:sz w:val="24"/>
                <w:szCs w:val="24"/>
                <w:lang w:val="ro-MD"/>
              </w:rPr>
              <w:t>Inspectoratul</w:t>
            </w:r>
            <w:r w:rsidRPr="00AC33E5">
              <w:rPr>
                <w:rFonts w:ascii="Times New Roman" w:hAnsi="Times New Roman"/>
                <w:sz w:val="24"/>
                <w:szCs w:val="24"/>
                <w:lang w:val="ro-MD"/>
              </w:rPr>
              <w:t xml:space="preserve"> Național pentru Supravegherea Tehnică</w:t>
            </w:r>
            <w:r w:rsidRPr="00AC33E5">
              <w:rPr>
                <w:rFonts w:ascii="Times New Roman" w:hAnsi="Times New Roman"/>
                <w:color w:val="333333"/>
                <w:sz w:val="24"/>
                <w:szCs w:val="24"/>
                <w:shd w:val="clear" w:color="auto" w:fill="FFFFFF"/>
              </w:rPr>
              <w:t>, indicînd detaliile, în special cu privire la neconformitate şi la măsurile corective luate.</w:t>
            </w:r>
          </w:p>
          <w:p w14:paraId="4A5CCDB1" w14:textId="1DCA4200" w:rsidR="004F0E23" w:rsidRPr="00AC33E5" w:rsidRDefault="004F0E23"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11. Producătorii, în urma unei cereri motivate din partea </w:t>
            </w:r>
            <w:r w:rsidR="005360AE" w:rsidRPr="00AC33E5">
              <w:rPr>
                <w:rFonts w:ascii="Times New Roman" w:hAnsi="Times New Roman"/>
                <w:sz w:val="24"/>
                <w:szCs w:val="24"/>
                <w:lang w:val="ro-MD"/>
              </w:rPr>
              <w:t>Inspectoratului Național pentru Supravegherea Tehnică</w:t>
            </w:r>
            <w:r w:rsidRPr="00AC33E5">
              <w:rPr>
                <w:rFonts w:ascii="Times New Roman" w:hAnsi="Times New Roman"/>
                <w:color w:val="333333"/>
                <w:sz w:val="24"/>
                <w:szCs w:val="24"/>
                <w:shd w:val="clear" w:color="auto" w:fill="FFFFFF"/>
              </w:rPr>
              <w:t xml:space="preserve">, furnizează acesteia toate informațiile și documentația necesară, pe suport de hîrtie sau în format electronic, în limba de stat, pentru a demonstra conformitatea echipamentului sub presiune transportabile. Producătorii cooperează </w:t>
            </w:r>
            <w:r w:rsidR="001D38A0" w:rsidRPr="00AC33E5">
              <w:rPr>
                <w:rFonts w:ascii="Times New Roman" w:hAnsi="Times New Roman"/>
                <w:color w:val="333333"/>
                <w:sz w:val="24"/>
                <w:szCs w:val="24"/>
                <w:shd w:val="clear" w:color="auto" w:fill="FFFFFF"/>
              </w:rPr>
              <w:t xml:space="preserve">cu </w:t>
            </w:r>
            <w:r w:rsidR="001D38A0" w:rsidRPr="00AC33E5">
              <w:rPr>
                <w:rFonts w:ascii="Times New Roman" w:hAnsi="Times New Roman"/>
                <w:sz w:val="24"/>
                <w:szCs w:val="24"/>
                <w:lang w:val="ro-MD"/>
              </w:rPr>
              <w:t>Inspectoratul</w:t>
            </w:r>
            <w:r w:rsidRPr="00AC33E5">
              <w:rPr>
                <w:rFonts w:ascii="Times New Roman" w:hAnsi="Times New Roman"/>
                <w:sz w:val="24"/>
                <w:szCs w:val="24"/>
                <w:lang w:val="ro-MD"/>
              </w:rPr>
              <w:t xml:space="preserve"> Național pentru Supravegherea Tehnică</w:t>
            </w:r>
            <w:r w:rsidRPr="00AC33E5">
              <w:rPr>
                <w:rFonts w:ascii="Times New Roman" w:hAnsi="Times New Roman"/>
                <w:color w:val="333333"/>
                <w:sz w:val="24"/>
                <w:szCs w:val="24"/>
                <w:shd w:val="clear" w:color="auto" w:fill="FFFFFF"/>
              </w:rPr>
              <w:t>, la cererea acesteia, cu privire la orice acțiune întreprinsă pentru eliminarea riscurilor prezentate de echipamentele sub presiune transportabile pe care aceștia le-au introdus pe piață.</w:t>
            </w:r>
          </w:p>
          <w:p w14:paraId="654BD6E4" w14:textId="77777777"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15. Reprezentantul autorizat îndeplinește sarcinile prevăzute în mandatul primit de la producător. Mandatul permite reprezentantului autorizat să îndeplinească minimum următoarele acțiuni:</w:t>
            </w:r>
          </w:p>
          <w:p w14:paraId="297FCFA2" w14:textId="38D07682"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lastRenderedPageBreak/>
              <w:t xml:space="preserve">1) să mențină documentația tehnică la dispoziția </w:t>
            </w:r>
            <w:r w:rsidR="00E27C27" w:rsidRPr="00AC33E5">
              <w:rPr>
                <w:rFonts w:ascii="Times New Roman" w:hAnsi="Times New Roman"/>
                <w:sz w:val="24"/>
                <w:szCs w:val="24"/>
                <w:lang w:val="ro-MD"/>
              </w:rPr>
              <w:t>Inspectoratului Național pentru Supravegherea Tehnică</w:t>
            </w:r>
            <w:r w:rsidR="00E27C27" w:rsidRPr="00AC33E5">
              <w:rPr>
                <w:rFonts w:ascii="Times New Roman" w:eastAsia="Times New Roman" w:hAnsi="Times New Roman"/>
                <w:color w:val="333333"/>
                <w:sz w:val="24"/>
                <w:szCs w:val="24"/>
              </w:rPr>
              <w:t xml:space="preserve"> </w:t>
            </w:r>
            <w:r w:rsidRPr="00AC33E5">
              <w:rPr>
                <w:rFonts w:ascii="Times New Roman" w:eastAsia="Times New Roman" w:hAnsi="Times New Roman"/>
                <w:color w:val="333333"/>
                <w:sz w:val="24"/>
                <w:szCs w:val="24"/>
              </w:rPr>
              <w:t>cel puțin pentru perioada prevăzută în anexele A și B la ADR pentru producători;</w:t>
            </w:r>
          </w:p>
          <w:p w14:paraId="274D356C" w14:textId="3465ED1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2) să prezinte </w:t>
            </w:r>
            <w:r w:rsidR="00E27C27" w:rsidRPr="00AC33E5">
              <w:rPr>
                <w:rFonts w:ascii="Times New Roman" w:hAnsi="Times New Roman"/>
                <w:sz w:val="24"/>
                <w:szCs w:val="24"/>
                <w:lang w:val="ro-MD"/>
              </w:rPr>
              <w:t>Inspectoratului Național pentru Supravegherea Tehnică</w:t>
            </w:r>
            <w:r w:rsidR="00E27C27" w:rsidRPr="00AC33E5">
              <w:rPr>
                <w:rFonts w:ascii="Times New Roman" w:eastAsia="Times New Roman" w:hAnsi="Times New Roman"/>
                <w:color w:val="333333"/>
                <w:sz w:val="24"/>
                <w:szCs w:val="24"/>
              </w:rPr>
              <w:t xml:space="preserve"> </w:t>
            </w:r>
            <w:r w:rsidRPr="00AC33E5">
              <w:rPr>
                <w:rFonts w:ascii="Times New Roman" w:eastAsia="Times New Roman" w:hAnsi="Times New Roman"/>
                <w:color w:val="333333"/>
                <w:sz w:val="24"/>
                <w:szCs w:val="24"/>
              </w:rPr>
              <w:t>în urma unei cereri motivate din partea acesteia, toate informațiile și documentele necesare pentru a demonstra conformitatea echipamentelor sub presiune transportabile, în limba de stat;</w:t>
            </w:r>
          </w:p>
          <w:p w14:paraId="58073338"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3) să coopereze cu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la cererea acesteia, cu privire la orice acțiune întreprinsă pentru eliminarea riscurilor reprezentate de echipamentele sub presiune transportabile care fac obiectul mandatului reprezentantului autorizat.</w:t>
            </w:r>
          </w:p>
          <w:p w14:paraId="2744D405" w14:textId="77777777"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19. Înainte de introducerea pe piață a echipamentelor sub presiune transportabile, importatorii garantează că producătorul a efectuat procedura de evaluare a conformității. Aceștia garantează că producătorul a întocmit documentația tehnică, iar echipamentele sub presiune transportabile poartă marcajul ,,pi” și sînt însoțite de certificatul de conformitate menționat în anexele A și B la ADR.</w:t>
            </w:r>
          </w:p>
          <w:p w14:paraId="16869424" w14:textId="77777777"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Dacă importatorii consideră sau au motive să creadă că echipamentele sub presiune transportabile nu sînt conforme cu anexele A și B </w:t>
            </w:r>
            <w:r w:rsidRPr="00AC33E5">
              <w:rPr>
                <w:rFonts w:ascii="Times New Roman" w:eastAsia="Times New Roman" w:hAnsi="Times New Roman"/>
                <w:color w:val="333333"/>
                <w:sz w:val="24"/>
                <w:szCs w:val="24"/>
              </w:rPr>
              <w:lastRenderedPageBreak/>
              <w:t xml:space="preserve">la ADR și cu prezenta Reglementare tehnică, aceștia nu introduc echipamentele sub presiune transportabile pe piață înainte ca acestea să fie aduse în conformitate. Dacă echipamentele sub presiune transportabile prezintă un risc, importatorii informează imediat în acest sens producătorul și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w:t>
            </w:r>
          </w:p>
          <w:p w14:paraId="43EDF821" w14:textId="77777777"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22. Importatorii care consideră sau au motive să creadă că echipamentele sub presiune transportabile pe care le-au introdus pe piață nu sînt conforme cu anexele A și B la ADR și cu prezenta Reglementare 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indicînd detalii, în special cu privire la neconformitate și la măsurile corective luate.</w:t>
            </w:r>
          </w:p>
          <w:p w14:paraId="1B54D5AB" w14:textId="77777777"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Importatorii trebuie să documenteze toate neconformitățile și măsurile corective.</w:t>
            </w:r>
          </w:p>
          <w:p w14:paraId="2095C622" w14:textId="5330F654"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24. Importatorii, în urma unei cereri motivate din partea </w:t>
            </w:r>
            <w:r w:rsidR="00D31080" w:rsidRPr="00AC33E5">
              <w:rPr>
                <w:rFonts w:ascii="Times New Roman" w:hAnsi="Times New Roman"/>
                <w:sz w:val="24"/>
                <w:szCs w:val="24"/>
                <w:lang w:val="ro-MD"/>
              </w:rPr>
              <w:t>Inspectoratului Național pentru Supravegherea Tehnică</w:t>
            </w:r>
            <w:r w:rsidRPr="00AC33E5">
              <w:rPr>
                <w:rFonts w:ascii="Times New Roman" w:hAnsi="Times New Roman"/>
                <w:color w:val="333333"/>
                <w:sz w:val="24"/>
                <w:szCs w:val="24"/>
                <w:shd w:val="clear" w:color="auto" w:fill="FFFFFF"/>
              </w:rPr>
              <w:t xml:space="preserve">, furnizează acesteia toate informațiile și documentația necesară, pe suport de hîrtie sau în format electronic, în limba de stat, pentru a demonstra conformitatea </w:t>
            </w:r>
            <w:r w:rsidRPr="00AC33E5">
              <w:rPr>
                <w:rFonts w:ascii="Times New Roman" w:hAnsi="Times New Roman"/>
                <w:color w:val="333333"/>
                <w:sz w:val="24"/>
                <w:szCs w:val="24"/>
                <w:shd w:val="clear" w:color="auto" w:fill="FFFFFF"/>
              </w:rPr>
              <w:lastRenderedPageBreak/>
              <w:t xml:space="preserve">echipamentului sub presiune transportabile. Importatorii cooperează cu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la cererea acest</w:t>
            </w:r>
            <w:r w:rsidR="00D31080" w:rsidRPr="00AC33E5">
              <w:rPr>
                <w:rFonts w:ascii="Times New Roman" w:hAnsi="Times New Roman"/>
                <w:color w:val="333333"/>
                <w:sz w:val="24"/>
                <w:szCs w:val="24"/>
                <w:shd w:val="clear" w:color="auto" w:fill="FFFFFF"/>
              </w:rPr>
              <w:t>u</w:t>
            </w:r>
            <w:r w:rsidRPr="00AC33E5">
              <w:rPr>
                <w:rFonts w:ascii="Times New Roman" w:hAnsi="Times New Roman"/>
                <w:color w:val="333333"/>
                <w:sz w:val="24"/>
                <w:szCs w:val="24"/>
                <w:shd w:val="clear" w:color="auto" w:fill="FFFFFF"/>
              </w:rPr>
              <w:t>ia, cu privire la orice acțiune întreprinsă pentru eliminarea riscurilor prezentate de echipamentele sub presiune transportabile pe care aceștia le-au introdus pe piață.</w:t>
            </w:r>
          </w:p>
          <w:p w14:paraId="2CDEC4FE" w14:textId="77777777"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29. Distribuitorii care consideră sau au motive să creadă că echipamentele sub presiune transportabile pe care le-au pus la dispoziție pe piață nu sînt conforme cu anexele A și B la ADR și cu prezenta Reglementare tehnică se asigură că sînt luate măsurile corective necesare pentru a aduce respectivele echipamente în conformitate, pentru a le retrage sau pentru a le rechema, după caz. În cazul în care echipamentele sub presiune transportabile prezintă un risc, distribuitorii informează imediat în acest sens producătorul, importatorul și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xml:space="preserve"> oferind informații detaliate, în special cu privire la neconformitate și la orice măsură corectivă luată.</w:t>
            </w:r>
          </w:p>
          <w:p w14:paraId="7938186A" w14:textId="3D155310"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30. Distribuitorii, în urma unei cereri motivate din partea autorității de supraveghere a pieţei, furnizează acesteia toate informațiile și documentația necesară pe suport de hîrtie sau în format electronic,</w:t>
            </w:r>
            <w:r w:rsidR="005876FB"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în limba de stat,</w:t>
            </w:r>
            <w:r w:rsidR="005876FB" w:rsidRPr="00AC33E5">
              <w:rPr>
                <w:rFonts w:ascii="Times New Roman" w:hAnsi="Times New Roman"/>
                <w:color w:val="333333"/>
                <w:sz w:val="24"/>
                <w:szCs w:val="24"/>
                <w:shd w:val="clear" w:color="auto" w:fill="FFFFFF"/>
              </w:rPr>
              <w:t xml:space="preserve"> </w:t>
            </w:r>
            <w:r w:rsidRPr="00AC33E5">
              <w:rPr>
                <w:rFonts w:ascii="Times New Roman" w:hAnsi="Times New Roman"/>
                <w:color w:val="333333"/>
                <w:sz w:val="24"/>
                <w:szCs w:val="24"/>
                <w:shd w:val="clear" w:color="auto" w:fill="FFFFFF"/>
              </w:rPr>
              <w:t xml:space="preserve">pentru a demonstra conformitatea echipamentelor sub presiune transportabile. Distribuitorii cooperează </w:t>
            </w:r>
            <w:r w:rsidRPr="00AC33E5">
              <w:rPr>
                <w:rFonts w:ascii="Times New Roman" w:hAnsi="Times New Roman"/>
                <w:color w:val="333333"/>
                <w:sz w:val="24"/>
                <w:szCs w:val="24"/>
                <w:shd w:val="clear" w:color="auto" w:fill="FFFFFF"/>
              </w:rPr>
              <w:lastRenderedPageBreak/>
              <w:t xml:space="preserve">cu autoritatea de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la cererea acest</w:t>
            </w:r>
            <w:r w:rsidR="00D31080" w:rsidRPr="00AC33E5">
              <w:rPr>
                <w:rFonts w:ascii="Times New Roman" w:hAnsi="Times New Roman"/>
                <w:color w:val="333333"/>
                <w:sz w:val="24"/>
                <w:szCs w:val="24"/>
                <w:shd w:val="clear" w:color="auto" w:fill="FFFFFF"/>
              </w:rPr>
              <w:t>u</w:t>
            </w:r>
            <w:r w:rsidRPr="00AC33E5">
              <w:rPr>
                <w:rFonts w:ascii="Times New Roman" w:hAnsi="Times New Roman"/>
                <w:color w:val="333333"/>
                <w:sz w:val="24"/>
                <w:szCs w:val="24"/>
                <w:shd w:val="clear" w:color="auto" w:fill="FFFFFF"/>
              </w:rPr>
              <w:t>ia, cu privire la orice acțiune întreprinsă pentru eliminarea riscurilor prezentate de echipamentele sub presiune transportabile pe care le-au pus la dispoziție pe piață.</w:t>
            </w:r>
          </w:p>
          <w:p w14:paraId="780D9A08" w14:textId="0BD46F7C"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39.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 xml:space="preserve">ii economici transmit, la cerere, către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w:t>
            </w:r>
            <w:r w:rsidRPr="00AC33E5">
              <w:rPr>
                <w:rFonts w:ascii="Times New Roman" w:eastAsia="Times New Roman" w:hAnsi="Times New Roman"/>
                <w:color w:val="333333"/>
                <w:sz w:val="24"/>
                <w:szCs w:val="24"/>
              </w:rPr>
              <w:t xml:space="preserve"> datele de identificare:</w:t>
            </w:r>
          </w:p>
          <w:p w14:paraId="3CDB2B1A" w14:textId="4C0E8CAD"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1) ale oricărui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 xml:space="preserve"> economic care le-a furnizat echipamente sub presiune transportabile;</w:t>
            </w:r>
          </w:p>
          <w:p w14:paraId="6101CD0B" w14:textId="4C445F6D"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2) ale oricărui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 xml:space="preserve"> economic căruia i-au furnizat echipamente sub presiune transportabile.</w:t>
            </w:r>
          </w:p>
          <w:p w14:paraId="23137E50" w14:textId="0D95FD6C" w:rsidR="004F0E23" w:rsidRPr="00AC33E5" w:rsidRDefault="004F0E23"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shd w:val="clear" w:color="auto" w:fill="FFFFFF"/>
              </w:rPr>
              <w:t xml:space="preserve">82. În caz de suspendare, restrîngere sau retragere a notificării ori în cazul în care organismul notificat şi-a încetat activitatea, Ministerul Infrastructurii și Dezvoltării Regionale ia măsurile adecvate pentru a se asigura că dosarele organismului respectiv fie sîntpreluate de un alt organism notificat, fie sînt puse la dispoziţia </w:t>
            </w:r>
            <w:r w:rsidRPr="00AC33E5">
              <w:rPr>
                <w:rFonts w:ascii="Times New Roman" w:hAnsi="Times New Roman"/>
                <w:sz w:val="24"/>
                <w:szCs w:val="24"/>
                <w:lang w:val="ro-MD"/>
              </w:rPr>
              <w:t>Inspectoratului Național pentru Supravegherea Tehnică</w:t>
            </w:r>
            <w:r w:rsidRPr="00AC33E5">
              <w:rPr>
                <w:rFonts w:ascii="Times New Roman" w:hAnsi="Times New Roman"/>
                <w:color w:val="333333"/>
                <w:sz w:val="24"/>
                <w:szCs w:val="24"/>
                <w:shd w:val="clear" w:color="auto" w:fill="FFFFFF"/>
              </w:rPr>
              <w:t>, la cererea ministerului.</w:t>
            </w:r>
            <w:r w:rsidRPr="00AC33E5">
              <w:rPr>
                <w:rFonts w:ascii="Times New Roman" w:hAnsi="Times New Roman"/>
                <w:color w:val="333333"/>
                <w:sz w:val="24"/>
                <w:szCs w:val="24"/>
              </w:rPr>
              <w:t xml:space="preserve"> </w:t>
            </w:r>
          </w:p>
          <w:p w14:paraId="28A35A15" w14:textId="04DDE173" w:rsidR="004F0E23" w:rsidRPr="00AC33E5" w:rsidRDefault="004F0E23"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83. În situaţia în care organismul de evaluare a conformităţii notificat şi-a încetat activitatea, acesta va asigura predarea către un alt organism notificat din domeniu a documentelor şi a înregistrărilor privind evaluările realizate ori în curs de realizare din perioada în care a fost </w:t>
            </w:r>
            <w:r w:rsidRPr="00AC33E5">
              <w:rPr>
                <w:rFonts w:ascii="Times New Roman" w:hAnsi="Times New Roman"/>
                <w:color w:val="333333"/>
                <w:sz w:val="24"/>
                <w:szCs w:val="24"/>
              </w:rPr>
              <w:lastRenderedPageBreak/>
              <w:t xml:space="preserve">recunoscut, informînd Ministerul Infrastructurii și Dezvoltării Regionale în legătură cu aceasta, sau le va </w:t>
            </w:r>
            <w:r w:rsidR="005876FB" w:rsidRPr="00AC33E5">
              <w:rPr>
                <w:rFonts w:ascii="Times New Roman" w:hAnsi="Times New Roman"/>
                <w:color w:val="333333"/>
                <w:sz w:val="24"/>
                <w:szCs w:val="24"/>
              </w:rPr>
              <w:t xml:space="preserve">pune la dispoziţia Ministerului </w:t>
            </w:r>
            <w:r w:rsidRPr="00AC33E5">
              <w:rPr>
                <w:rFonts w:ascii="Times New Roman" w:hAnsi="Times New Roman"/>
                <w:color w:val="333333"/>
                <w:sz w:val="24"/>
                <w:szCs w:val="24"/>
              </w:rPr>
              <w:t xml:space="preserve">Infrastructurii și Dezvoltării Regionale şi a </w:t>
            </w:r>
            <w:r w:rsidRPr="00AC33E5">
              <w:rPr>
                <w:rFonts w:ascii="Times New Roman" w:hAnsi="Times New Roman"/>
                <w:sz w:val="24"/>
                <w:szCs w:val="24"/>
                <w:lang w:val="ro-MD"/>
              </w:rPr>
              <w:t>Inspectoratului Național pentru Supravegherea Tehnică</w:t>
            </w:r>
            <w:r w:rsidRPr="00AC33E5">
              <w:rPr>
                <w:rFonts w:ascii="Times New Roman" w:hAnsi="Times New Roman"/>
                <w:color w:val="333333"/>
                <w:sz w:val="24"/>
                <w:szCs w:val="24"/>
              </w:rPr>
              <w:t xml:space="preserve"> la cererea acestora.</w:t>
            </w:r>
          </w:p>
          <w:p w14:paraId="1A3252FC" w14:textId="2FEB36B2"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86. Organismele n</w:t>
            </w:r>
            <w:r w:rsidR="005876FB" w:rsidRPr="00AC33E5">
              <w:rPr>
                <w:rFonts w:ascii="Times New Roman" w:eastAsia="Times New Roman" w:hAnsi="Times New Roman"/>
                <w:color w:val="333333"/>
                <w:sz w:val="24"/>
                <w:szCs w:val="24"/>
              </w:rPr>
              <w:t xml:space="preserve">otificate informează Ministerul </w:t>
            </w:r>
            <w:r w:rsidRPr="00AC33E5">
              <w:rPr>
                <w:rFonts w:ascii="Times New Roman" w:eastAsia="Times New Roman" w:hAnsi="Times New Roman"/>
                <w:color w:val="333333"/>
                <w:sz w:val="24"/>
                <w:szCs w:val="24"/>
              </w:rPr>
              <w:t>Infrastru</w:t>
            </w:r>
            <w:r w:rsidR="005876FB" w:rsidRPr="00AC33E5">
              <w:rPr>
                <w:rFonts w:ascii="Times New Roman" w:eastAsia="Times New Roman" w:hAnsi="Times New Roman"/>
                <w:color w:val="333333"/>
                <w:sz w:val="24"/>
                <w:szCs w:val="24"/>
              </w:rPr>
              <w:t xml:space="preserve">cturii și Dezvoltării Regionale </w:t>
            </w:r>
            <w:r w:rsidRPr="00AC33E5">
              <w:rPr>
                <w:rFonts w:ascii="Times New Roman" w:eastAsia="Times New Roman" w:hAnsi="Times New Roman"/>
                <w:color w:val="333333"/>
                <w:sz w:val="24"/>
                <w:szCs w:val="24"/>
              </w:rPr>
              <w:t>în legătură cu:</w:t>
            </w:r>
          </w:p>
          <w:p w14:paraId="17A64F43"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 orice refuz, restricţie, suspendare sau retragere a certificatelor;</w:t>
            </w:r>
          </w:p>
          <w:p w14:paraId="623B7C47"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orice circumstanţă care afectează domeniul de aplicare și condiţiile notificării;</w:t>
            </w:r>
          </w:p>
          <w:p w14:paraId="1F1B9FD0" w14:textId="77777777" w:rsidR="004F0E23" w:rsidRPr="00AC33E5" w:rsidRDefault="004F0E23" w:rsidP="00AC33E5">
            <w:pPr>
              <w:shd w:val="clear" w:color="auto" w:fill="FFFFFF"/>
              <w:spacing w:line="276" w:lineRule="auto"/>
              <w:ind w:firstLine="851"/>
              <w:rPr>
                <w:rFonts w:ascii="Times New Roman" w:hAnsi="Times New Roman"/>
                <w:color w:val="333333"/>
                <w:sz w:val="24"/>
                <w:szCs w:val="24"/>
                <w:shd w:val="clear" w:color="auto" w:fill="FFFFFF"/>
              </w:rPr>
            </w:pPr>
            <w:r w:rsidRPr="00AC33E5">
              <w:rPr>
                <w:rFonts w:ascii="Times New Roman" w:eastAsia="Times New Roman" w:hAnsi="Times New Roman"/>
                <w:color w:val="333333"/>
                <w:sz w:val="24"/>
                <w:szCs w:val="24"/>
              </w:rPr>
              <w:t xml:space="preserve">3) orice cerere de informare cu privire la activităţile de evaluare a conformităţii primită de la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w:t>
            </w:r>
            <w:r w:rsidRPr="00AC33E5">
              <w:rPr>
                <w:rFonts w:ascii="Times New Roman" w:hAnsi="Times New Roman"/>
                <w:color w:val="333333"/>
                <w:sz w:val="24"/>
                <w:szCs w:val="24"/>
                <w:shd w:val="clear" w:color="auto" w:fill="FFFFFF"/>
              </w:rPr>
              <w:t xml:space="preserve"> </w:t>
            </w:r>
          </w:p>
          <w:p w14:paraId="01CEB73F"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hAnsi="Times New Roman"/>
                <w:color w:val="333333"/>
                <w:sz w:val="24"/>
                <w:szCs w:val="24"/>
                <w:shd w:val="clear" w:color="auto" w:fill="FFFFFF"/>
              </w:rPr>
              <w:t>4) la cerere, activitățile de evaluare a conformităţii realizate în limita domeniului de aplicare al notificării și orice altă activitate realizată, inclusiv activitățile și subcontractările transfrontaliere.</w:t>
            </w:r>
            <w:r w:rsidRPr="00AC33E5">
              <w:rPr>
                <w:rFonts w:ascii="Times New Roman" w:eastAsia="Times New Roman" w:hAnsi="Times New Roman"/>
                <w:color w:val="333333"/>
                <w:sz w:val="24"/>
                <w:szCs w:val="24"/>
              </w:rPr>
              <w:t xml:space="preserve"> </w:t>
            </w:r>
          </w:p>
          <w:p w14:paraId="3B43D0DF" w14:textId="35DE66EB"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hAnsi="Times New Roman"/>
                <w:color w:val="333333"/>
                <w:sz w:val="24"/>
                <w:szCs w:val="24"/>
                <w:shd w:val="clear" w:color="auto" w:fill="FFFFFF"/>
              </w:rPr>
              <w:t xml:space="preserve">90. În cazul în care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xml:space="preserve">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w:t>
            </w:r>
            <w:r w:rsidRPr="00AC33E5">
              <w:rPr>
                <w:rFonts w:ascii="Times New Roman" w:hAnsi="Times New Roman"/>
                <w:color w:val="333333"/>
                <w:sz w:val="24"/>
                <w:szCs w:val="24"/>
                <w:shd w:val="clear" w:color="auto" w:fill="FFFFFF"/>
              </w:rPr>
              <w:lastRenderedPageBreak/>
              <w:t>echipamentele sub presiune transportabile în cauză, acoperind toate cerințele relevante stabilite în prezenta Reglementare tehnică. Operatorii economici implicați cooperează cu autoritățile de supraveghere a pieței, inclusiv permițîndu-le accesul în incintele lor și furnizîndu-le eșantioane în acest scop.</w:t>
            </w:r>
          </w:p>
          <w:p w14:paraId="7258A6B4" w14:textId="697A2B55"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91. În cazul în care, pe parcursul evaluării menționate,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constată că echipamentele sub presiune transportabile nu sînt conforme cu cerințele stabilite în prezenta Reglementare tehnică și în anexele A și B la ADR, aceasta solicită </w:t>
            </w:r>
            <w:r w:rsidR="007544BA" w:rsidRPr="00AC33E5">
              <w:rPr>
                <w:rFonts w:ascii="Times New Roman" w:eastAsia="Times New Roman" w:hAnsi="Times New Roman"/>
                <w:color w:val="333333"/>
                <w:sz w:val="24"/>
                <w:szCs w:val="24"/>
              </w:rPr>
              <w:t>operatorului</w:t>
            </w:r>
            <w:r w:rsidRPr="00AC33E5">
              <w:rPr>
                <w:rFonts w:ascii="Times New Roman" w:eastAsia="Times New Roman" w:hAnsi="Times New Roman"/>
                <w:color w:val="333333"/>
                <w:sz w:val="24"/>
                <w:szCs w:val="24"/>
              </w:rPr>
              <w:t xml:space="preserve">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w:t>
            </w:r>
          </w:p>
          <w:p w14:paraId="4E0037C9"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informează organismul notificat relevant.</w:t>
            </w:r>
          </w:p>
          <w:p w14:paraId="7968F641" w14:textId="25C59949"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92. În cazul în care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consideră că neconformitatea nu se limitează la teritoriul ei național, aceasta informează </w:t>
            </w:r>
            <w:r w:rsidRPr="00AC33E5">
              <w:rPr>
                <w:rFonts w:ascii="Times New Roman" w:eastAsia="Times New Roman" w:hAnsi="Times New Roman"/>
                <w:color w:val="333333"/>
                <w:sz w:val="24"/>
                <w:szCs w:val="24"/>
              </w:rPr>
              <w:lastRenderedPageBreak/>
              <w:t xml:space="preserve">Ministerul Infrastructurii și Dezvoltării Regionale cu privire la rezultatele evaluării și la acțiunile pe care le-a solicitat din partea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ului economic.</w:t>
            </w:r>
          </w:p>
          <w:p w14:paraId="4ABC0C74" w14:textId="550D2BA6"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94. În cazul în care </w:t>
            </w:r>
            <w:r w:rsidR="007544BA" w:rsidRPr="00AC33E5">
              <w:rPr>
                <w:rFonts w:ascii="Times New Roman" w:hAnsi="Times New Roman"/>
                <w:color w:val="333333"/>
                <w:sz w:val="24"/>
                <w:szCs w:val="24"/>
                <w:shd w:val="clear" w:color="auto" w:fill="FFFFFF"/>
              </w:rPr>
              <w:t>operatorul</w:t>
            </w:r>
            <w:r w:rsidRPr="00AC33E5">
              <w:rPr>
                <w:rFonts w:ascii="Times New Roman" w:hAnsi="Times New Roman"/>
                <w:color w:val="333333"/>
                <w:sz w:val="24"/>
                <w:szCs w:val="24"/>
                <w:shd w:val="clear" w:color="auto" w:fill="FFFFFF"/>
              </w:rPr>
              <w:t xml:space="preserve"> economic relevant nu întreprinde măsurile corective,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xml:space="preserve"> ia toate măsurile corective pentru a interzice sau a restrînge punerea la dispoziție a echipamentelor sub presiune pe piață ori pentru a retrage sau rechema echipamentele respective de pe piață.</w:t>
            </w:r>
          </w:p>
          <w:p w14:paraId="2ED6D788" w14:textId="7D7383E6"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95. Ministerul Infrastructurii și Dezvoltării Regionale, la propunerea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informează Comisia Europeană cu privire la astfel de măsuri.</w:t>
            </w:r>
          </w:p>
          <w:p w14:paraId="2B36AD43" w14:textId="14FC5746"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 xml:space="preserve">ul economic relevant.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indică, în special, dacă neconformitatea se datorează uneia dintre următoarele situații:</w:t>
            </w:r>
          </w:p>
          <w:p w14:paraId="6BA1A520"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1) echipamentele sub presiune transportabile nu îndeplinesc cerințele cu privire </w:t>
            </w:r>
            <w:r w:rsidRPr="00AC33E5">
              <w:rPr>
                <w:rFonts w:ascii="Times New Roman" w:eastAsia="Times New Roman" w:hAnsi="Times New Roman"/>
                <w:color w:val="333333"/>
                <w:sz w:val="24"/>
                <w:szCs w:val="24"/>
              </w:rPr>
              <w:lastRenderedPageBreak/>
              <w:t>la sănătatea sau siguranța persoanelor ori la alte aspecte ale protecției interesului public;</w:t>
            </w:r>
          </w:p>
          <w:p w14:paraId="3348A8E6"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există deficiențe ale standardelor armonizate care conferă prezumția de conformitate.</w:t>
            </w:r>
          </w:p>
          <w:p w14:paraId="0584452B" w14:textId="28C139B3" w:rsidR="004F0E23" w:rsidRPr="00AC33E5" w:rsidRDefault="004F0E23"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xml:space="preserve"> solicită </w:t>
            </w:r>
            <w:r w:rsidR="007544BA" w:rsidRPr="00AC33E5">
              <w:rPr>
                <w:rFonts w:ascii="Times New Roman" w:hAnsi="Times New Roman"/>
                <w:color w:val="333333"/>
                <w:sz w:val="24"/>
                <w:szCs w:val="24"/>
                <w:shd w:val="clear" w:color="auto" w:fill="FFFFFF"/>
              </w:rPr>
              <w:t>operator</w:t>
            </w:r>
            <w:r w:rsidRPr="00AC33E5">
              <w:rPr>
                <w:rFonts w:ascii="Times New Roman" w:hAnsi="Times New Roman"/>
                <w:color w:val="333333"/>
                <w:sz w:val="24"/>
                <w:szCs w:val="24"/>
                <w:shd w:val="clear" w:color="auto" w:fill="FFFFFF"/>
              </w:rPr>
              <w:t>ului economic relevant să ia toate măsurile corespunzătoare pentru a se asigura că echipamentele sub presiune transportabile în cauză, în momentul introducerii pe piaţă, nu mai prezintă respectivul risc sau pentru a-l retrage ori rechema într-un termen rezonabil, proporţional cu natura riscului.</w:t>
            </w:r>
          </w:p>
          <w:p w14:paraId="3E5E2C48" w14:textId="1909B0D3" w:rsidR="004F0E23" w:rsidRPr="00AC33E5" w:rsidRDefault="004F0E23"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102. Fără a aduce atingere pct. 88-99,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solicită </w:t>
            </w:r>
            <w:r w:rsidR="007544BA" w:rsidRPr="00AC33E5">
              <w:rPr>
                <w:rFonts w:ascii="Times New Roman" w:eastAsia="Times New Roman" w:hAnsi="Times New Roman"/>
                <w:color w:val="333333"/>
                <w:sz w:val="24"/>
                <w:szCs w:val="24"/>
              </w:rPr>
              <w:t>operator</w:t>
            </w:r>
            <w:r w:rsidRPr="00AC33E5">
              <w:rPr>
                <w:rFonts w:ascii="Times New Roman" w:eastAsia="Times New Roman" w:hAnsi="Times New Roman"/>
                <w:color w:val="333333"/>
                <w:sz w:val="24"/>
                <w:szCs w:val="24"/>
              </w:rPr>
              <w:t>ului economic să remedieze neconformităţile respective în cazul în care constată una dintre următoarele situaţii:</w:t>
            </w:r>
          </w:p>
          <w:p w14:paraId="3DD59FB2"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 marcajul „pi” a fost aplicat prin încălcarea pct. 41-59 din prezenta Reglementare tehnică;</w:t>
            </w:r>
          </w:p>
          <w:p w14:paraId="475C4BD3"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marcajul „pi” nu a fost aplicat;</w:t>
            </w:r>
          </w:p>
          <w:p w14:paraId="3AD5C787"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lastRenderedPageBreak/>
              <w:t>3) documentația tehnică nu este disponibilă sau este incompletă;</w:t>
            </w:r>
          </w:p>
          <w:p w14:paraId="365452C5" w14:textId="77777777" w:rsidR="004F0E23" w:rsidRPr="00AC33E5" w:rsidRDefault="004F0E23"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4) nu se respectă cerințele prevăzute în anexele A și B la ADR și în prezenta Reglementare tehnică.</w:t>
            </w:r>
          </w:p>
          <w:p w14:paraId="79A90F68" w14:textId="5BF82967" w:rsidR="00F40909" w:rsidRPr="00AC33E5" w:rsidRDefault="004F0E23" w:rsidP="00AC33E5">
            <w:pPr>
              <w:spacing w:line="276" w:lineRule="auto"/>
              <w:ind w:firstLine="0"/>
              <w:rPr>
                <w:rFonts w:ascii="Times New Roman" w:hAnsi="Times New Roman"/>
                <w:color w:val="333333"/>
                <w:sz w:val="24"/>
                <w:szCs w:val="24"/>
                <w:shd w:val="clear" w:color="auto" w:fill="FFFFFF"/>
              </w:rPr>
            </w:pPr>
            <w:r w:rsidRPr="00AC33E5">
              <w:rPr>
                <w:rFonts w:ascii="Times New Roman" w:eastAsia="Times New Roman" w:hAnsi="Times New Roman"/>
                <w:color w:val="333333"/>
                <w:sz w:val="24"/>
                <w:szCs w:val="24"/>
              </w:rPr>
              <w:t xml:space="preserve">103. Dacă neconformitatea menționată la pct.102 se menține,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ia toate măsurile corective pentru a restricționa sau a interzice punerea la dispoziție pe piață a echipamentelor sub presiune transportabile în cauză ori pentru a se asigura că acesta este rechemat sau retras</w:t>
            </w:r>
          </w:p>
        </w:tc>
      </w:tr>
      <w:tr w:rsidR="008E41BE" w:rsidRPr="00AC33E5" w14:paraId="0FB1E98B"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E8E64" w14:textId="77777777" w:rsidR="008E41BE" w:rsidRPr="00AC33E5" w:rsidRDefault="008E41BE"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lastRenderedPageBreak/>
              <w:t>Capitolul III</w:t>
            </w:r>
          </w:p>
          <w:p w14:paraId="72C94640" w14:textId="77777777" w:rsidR="008E41BE" w:rsidRPr="00AC33E5" w:rsidRDefault="008E41BE"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OBLIGAŢIILE AGENŢILOR ECONOMICI</w:t>
            </w:r>
          </w:p>
          <w:p w14:paraId="2E9900BC" w14:textId="77777777" w:rsidR="008E41BE" w:rsidRPr="00AC33E5" w:rsidRDefault="008E41BE"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Secțiunea 1</w:t>
            </w:r>
          </w:p>
          <w:p w14:paraId="3EBDECF6" w14:textId="77777777" w:rsidR="008E41BE" w:rsidRPr="00AC33E5" w:rsidRDefault="008E41BE" w:rsidP="00AC33E5">
            <w:pPr>
              <w:shd w:val="clear" w:color="auto" w:fill="FFFFFF"/>
              <w:spacing w:line="276" w:lineRule="auto"/>
              <w:ind w:firstLine="851"/>
              <w:jc w:val="center"/>
              <w:rPr>
                <w:rFonts w:ascii="Times New Roman" w:eastAsia="Times New Roman" w:hAnsi="Times New Roman"/>
                <w:b/>
                <w:bCs/>
                <w:color w:val="333333"/>
                <w:sz w:val="24"/>
                <w:szCs w:val="24"/>
              </w:rPr>
            </w:pPr>
            <w:r w:rsidRPr="00AC33E5">
              <w:rPr>
                <w:rFonts w:ascii="Times New Roman" w:eastAsia="Times New Roman" w:hAnsi="Times New Roman"/>
                <w:b/>
                <w:bCs/>
                <w:color w:val="333333"/>
                <w:sz w:val="24"/>
                <w:szCs w:val="24"/>
              </w:rPr>
              <w:t>Obligațiile producătorilor</w:t>
            </w:r>
          </w:p>
          <w:p w14:paraId="11A8A885" w14:textId="4AC28586" w:rsidR="003A6207" w:rsidRPr="00AC33E5" w:rsidRDefault="003A6207" w:rsidP="00AC33E5">
            <w:pPr>
              <w:shd w:val="clear" w:color="auto" w:fill="FFFFFF"/>
              <w:spacing w:line="276" w:lineRule="auto"/>
              <w:ind w:firstLine="851"/>
              <w:jc w:val="center"/>
              <w:rPr>
                <w:rFonts w:ascii="Times New Roman" w:eastAsia="Times New Roman" w:hAnsi="Times New Roman"/>
                <w:b/>
                <w:bCs/>
                <w:color w:val="333333"/>
                <w:sz w:val="24"/>
                <w:szCs w:val="24"/>
              </w:rPr>
            </w:pPr>
            <w:r w:rsidRPr="00AC33E5">
              <w:rPr>
                <w:rFonts w:ascii="Times New Roman" w:eastAsia="Times New Roman" w:hAnsi="Times New Roman"/>
                <w:b/>
                <w:bCs/>
                <w:color w:val="333333"/>
                <w:sz w:val="24"/>
                <w:szCs w:val="24"/>
              </w:rPr>
              <w:t>……</w:t>
            </w:r>
          </w:p>
          <w:p w14:paraId="08F86BF7" w14:textId="77777777" w:rsidR="003A6207" w:rsidRPr="00AC33E5" w:rsidRDefault="003A6207"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Secțiunea a 7-a</w:t>
            </w:r>
          </w:p>
          <w:p w14:paraId="3D529ED3" w14:textId="77777777" w:rsidR="003A6207" w:rsidRPr="00AC33E5" w:rsidRDefault="003A6207"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Identificarea agenților economici</w:t>
            </w:r>
          </w:p>
          <w:p w14:paraId="25A3D20E"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39. Agenții economici transmit, la cerere, către autoritatea de supraveghere a pieței datele de identificare:</w:t>
            </w:r>
          </w:p>
          <w:p w14:paraId="18BE2EEB"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ale oricărui agent economic care le-a furnizat echipamente sub presiune transportabile;</w:t>
            </w:r>
          </w:p>
          <w:p w14:paraId="531A99F4"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ale oricărui agent economic căruia i-au furnizat echipamente sub presiune transportabile.</w:t>
            </w:r>
          </w:p>
          <w:p w14:paraId="3E910267"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40. Agenţii economici trebuie să poată prezenta informaţiile prevăzute la pct. 39 pentru o perioadă de 10 ani de la data intrării în vigoare a prezentei </w:t>
            </w:r>
            <w:r w:rsidRPr="00AC33E5">
              <w:rPr>
                <w:rFonts w:ascii="Times New Roman" w:hAnsi="Times New Roman"/>
                <w:color w:val="333333"/>
                <w:sz w:val="24"/>
                <w:szCs w:val="24"/>
              </w:rPr>
              <w:lastRenderedPageBreak/>
              <w:t>Reglementări tehnice, după ce le-au fost furnizate echipamentele sub presiune transportabile şi pentru o perioadă de 10 ani de la data intrării în vigoare a prezentei Reglementări tehnice, după ce au furnizat echipamentele sub presiune transportabile.</w:t>
            </w:r>
          </w:p>
          <w:p w14:paraId="08B55481"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90. În cazul în care autoritatea de supraveghere a pieței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Agenții economici implicați cooperează cu autoritățile de supraveghere a pieței, inclusiv permițîndu-le accesul în incintele lor și furnizîndu-le eșantioane în acest scop.</w:t>
            </w:r>
          </w:p>
          <w:p w14:paraId="2F779AF4"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91. În cazul în care, pe parcursul evaluării menționate, autoritatea de supraveghere a pieței constată că echipamentele sub presiune transportabile nu sînt conforme cu cerințele stabilite în prezenta Reglementare tehnică și în anexele A și B la ADR, aceasta solicită agentului economic relevant să întreprindă toate măsurile corective adecvate pentru a aduce echipamentele în conformitate cu cerințele stabilite în prezenta Reglementare tehnică și în anexele A și B la ADR sau să retragă echipamentele de pe piață, sau să le </w:t>
            </w:r>
            <w:r w:rsidRPr="00AC33E5">
              <w:rPr>
                <w:rFonts w:ascii="Times New Roman" w:hAnsi="Times New Roman"/>
                <w:color w:val="333333"/>
                <w:sz w:val="24"/>
                <w:szCs w:val="24"/>
              </w:rPr>
              <w:lastRenderedPageBreak/>
              <w:t>recheme în decursul unei perioade rezonabile, proporționale cu natura riscului, stabilită de către autoritatea de supraveghere a pieței.</w:t>
            </w:r>
          </w:p>
          <w:p w14:paraId="1A803E10"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Autoritatea de supraveghere a pieţei informează organismul notificat relevant.</w:t>
            </w:r>
          </w:p>
          <w:p w14:paraId="44D9A0DD"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92. În cazul în care autoritatea de supraveghere a pieței consideră că neconformitatea nu se limitează la teritoriul ei național, aceasta informează Ministerul Infrastructurii și Dezvoltării Regionale cu privire la rezultatele evaluării și la acțiunile pe care le-a solicitat din partea agentului economic.</w:t>
            </w:r>
          </w:p>
          <w:p w14:paraId="6BFD08D6"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93. Agentul economic este obligat să întreprindă toate măsurile corective adecvate pentru toate echipamentele sub presiune transportabile pe care acesta le-a pus la dispoziție pe piață.</w:t>
            </w:r>
          </w:p>
          <w:p w14:paraId="6548EFAD"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94. În cazul în care agentul economic relevant nu întreprinde măsurile corective, autoritatea de supraveghere a pieței ia toate măsurile corective pentru a interzice sau a restrînge punerea la dispoziție a echipamentelor sub presiune pe piață ori pentru a retrage sau rechema echipamentele respective de pe piață.</w:t>
            </w:r>
          </w:p>
          <w:p w14:paraId="79FF5C87"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w:t>
            </w:r>
            <w:r w:rsidRPr="00AC33E5">
              <w:rPr>
                <w:rFonts w:ascii="Times New Roman" w:hAnsi="Times New Roman"/>
                <w:color w:val="333333"/>
                <w:sz w:val="24"/>
                <w:szCs w:val="24"/>
              </w:rPr>
              <w:lastRenderedPageBreak/>
              <w:t>argumentele prezentate de agentul economic relevant. Autoritatea de supraveghere a pieței indică, în special, dacă neconformitatea se datorează uneia dintre următoarele situații:</w:t>
            </w:r>
          </w:p>
          <w:p w14:paraId="548DB136"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1) echipamentele sub presiune transportabile nu îndeplinesc cerințele cu privire la sănătatea sau siguranța persoanelor ori la alte aspecte ale protecției interesului public;</w:t>
            </w:r>
          </w:p>
          <w:p w14:paraId="5AD43C5B"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există deficiențe ale standardelor armonizate care conferă prezumția de conformitate.</w:t>
            </w:r>
          </w:p>
          <w:p w14:paraId="2389327C" w14:textId="039181EB"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shd w:val="clear" w:color="auto" w:fill="FFFFFF"/>
              </w:rPr>
              <w:t>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autoritatea de supraveghere a pieţei solicită agentului economic relevant să ia toate măsurile corespunzătoare pentru a se asigura că echipamentele sub presiune transportabile în cauză, în momentul introducerii pe piaţă, nu mai prezintă respectivul risc sau pentru a-l retrage ori rechema într-un termen rezonabil, proporţional cu natura riscului.</w:t>
            </w:r>
          </w:p>
          <w:p w14:paraId="0D80FB93" w14:textId="77777777" w:rsidR="003A6207" w:rsidRPr="00AC33E5" w:rsidRDefault="003A6207"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102. Fără a aduce atingere pct. 88-99, autoritatea de supraveghere a pieţei solicită agentului economic să remedieze neconformităţile respective în cazul în care constată una dintre următoarele situaţii:</w:t>
            </w:r>
          </w:p>
          <w:p w14:paraId="283FFB1D"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lastRenderedPageBreak/>
              <w:t>1) marcajul „pi” a fost aplicat prin încălcarea pct. 41-59 din prezenta Reglementare tehnică;</w:t>
            </w:r>
          </w:p>
          <w:p w14:paraId="399150AA"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2) marcajul „pi” nu a fost aplicat;</w:t>
            </w:r>
          </w:p>
          <w:p w14:paraId="16D06E64"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3) documentația tehnică nu este disponibilă sau este incompletă;</w:t>
            </w:r>
          </w:p>
          <w:p w14:paraId="5527A3A1" w14:textId="77777777" w:rsidR="003A6207" w:rsidRPr="00AC33E5" w:rsidRDefault="003A6207" w:rsidP="00AC33E5">
            <w:pPr>
              <w:shd w:val="clear" w:color="auto" w:fill="FFFFFF"/>
              <w:spacing w:line="276" w:lineRule="auto"/>
              <w:ind w:firstLine="851"/>
              <w:rPr>
                <w:rFonts w:ascii="Times New Roman" w:hAnsi="Times New Roman"/>
                <w:color w:val="333333"/>
                <w:sz w:val="24"/>
                <w:szCs w:val="24"/>
              </w:rPr>
            </w:pPr>
            <w:r w:rsidRPr="00AC33E5">
              <w:rPr>
                <w:rFonts w:ascii="Times New Roman" w:hAnsi="Times New Roman"/>
                <w:color w:val="333333"/>
                <w:sz w:val="24"/>
                <w:szCs w:val="24"/>
              </w:rPr>
              <w:t>4) nu se respectă cerințele prevăzute în anexele A și B la ADR și în prezenta Reglementare tehnică.</w:t>
            </w:r>
          </w:p>
          <w:p w14:paraId="712C5488" w14:textId="77777777" w:rsidR="008E41BE" w:rsidRPr="00AC33E5" w:rsidRDefault="008E41BE"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color w:val="333333"/>
                <w:sz w:val="24"/>
                <w:szCs w:val="24"/>
                <w:shd w:val="clear" w:color="auto" w:fill="FFFFFF"/>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63CAEB" w14:textId="77777777" w:rsidR="008E41BE" w:rsidRPr="00AC33E5" w:rsidRDefault="008E41B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1.1.4. cuvintele „agent economic”, la orice formă gramaticală, se substituie cu cuvintele „operator economic”, la forma gramaticală corespunzătoare;</w:t>
            </w:r>
          </w:p>
          <w:p w14:paraId="4CB3E4B5" w14:textId="77777777" w:rsidR="008E41BE" w:rsidRPr="00AC33E5" w:rsidRDefault="008E41BE" w:rsidP="00AC33E5">
            <w:pP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67B52FB" w14:textId="77777777" w:rsidR="008E41BE" w:rsidRPr="00AC33E5" w:rsidRDefault="008E41BE" w:rsidP="00AC33E5">
            <w:pPr>
              <w:shd w:val="clear" w:color="auto" w:fill="FFFFFF"/>
              <w:spacing w:line="276" w:lineRule="auto"/>
              <w:ind w:firstLine="851"/>
              <w:jc w:val="center"/>
              <w:rPr>
                <w:rFonts w:ascii="Times New Roman" w:eastAsia="Times New Roman" w:hAnsi="Times New Roman"/>
                <w:color w:val="333333"/>
                <w:sz w:val="24"/>
                <w:szCs w:val="24"/>
              </w:rPr>
            </w:pPr>
            <w:r w:rsidRPr="00AC33E5">
              <w:rPr>
                <w:rFonts w:ascii="Times New Roman" w:eastAsia="Times New Roman" w:hAnsi="Times New Roman"/>
                <w:b/>
                <w:bCs/>
                <w:color w:val="333333"/>
                <w:sz w:val="24"/>
                <w:szCs w:val="24"/>
              </w:rPr>
              <w:t>Capitolul III</w:t>
            </w:r>
          </w:p>
          <w:p w14:paraId="242B45AC" w14:textId="77777777" w:rsidR="008E41BE" w:rsidRPr="00AC33E5" w:rsidRDefault="008E41BE" w:rsidP="00AC33E5">
            <w:pPr>
              <w:shd w:val="clear" w:color="auto" w:fill="FFFFFF"/>
              <w:spacing w:line="276" w:lineRule="auto"/>
              <w:ind w:firstLine="851"/>
              <w:jc w:val="center"/>
              <w:rPr>
                <w:rFonts w:ascii="Times New Roman" w:eastAsia="Times New Roman" w:hAnsi="Times New Roman"/>
                <w:b/>
                <w:bCs/>
                <w:color w:val="333333"/>
                <w:sz w:val="24"/>
                <w:szCs w:val="24"/>
              </w:rPr>
            </w:pPr>
            <w:r w:rsidRPr="00AC33E5">
              <w:rPr>
                <w:rFonts w:ascii="Times New Roman" w:eastAsia="Times New Roman" w:hAnsi="Times New Roman"/>
                <w:b/>
                <w:bCs/>
                <w:color w:val="333333"/>
                <w:sz w:val="24"/>
                <w:szCs w:val="24"/>
              </w:rPr>
              <w:t>OBLIGAŢIILE OPERATORILOR ECONOMICI</w:t>
            </w:r>
          </w:p>
          <w:p w14:paraId="635E6E27" w14:textId="77777777" w:rsidR="008E41BE" w:rsidRPr="00AC33E5" w:rsidRDefault="008E41BE"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Secțiunea 1</w:t>
            </w:r>
          </w:p>
          <w:p w14:paraId="38B4BA4A" w14:textId="77777777" w:rsidR="008E41BE" w:rsidRPr="00AC33E5" w:rsidRDefault="008E41BE" w:rsidP="00AC33E5">
            <w:pPr>
              <w:shd w:val="clear" w:color="auto" w:fill="FFFFFF"/>
              <w:spacing w:line="276" w:lineRule="auto"/>
              <w:ind w:firstLine="851"/>
              <w:jc w:val="center"/>
              <w:rPr>
                <w:rFonts w:ascii="Times New Roman" w:hAnsi="Times New Roman"/>
                <w:color w:val="333333"/>
                <w:sz w:val="24"/>
                <w:szCs w:val="24"/>
              </w:rPr>
            </w:pPr>
            <w:r w:rsidRPr="00AC33E5">
              <w:rPr>
                <w:rFonts w:ascii="Times New Roman" w:eastAsia="Times New Roman" w:hAnsi="Times New Roman"/>
                <w:b/>
                <w:bCs/>
                <w:color w:val="333333"/>
                <w:sz w:val="24"/>
                <w:szCs w:val="24"/>
              </w:rPr>
              <w:t>Obligațiile producătorilor</w:t>
            </w:r>
          </w:p>
          <w:p w14:paraId="2B1C8CD6" w14:textId="21758321" w:rsidR="008E41BE" w:rsidRPr="00AC33E5" w:rsidRDefault="003A6207" w:rsidP="00AC33E5">
            <w:pPr>
              <w:shd w:val="clear" w:color="auto" w:fill="FFFFFF"/>
              <w:spacing w:line="276" w:lineRule="auto"/>
              <w:ind w:firstLine="851"/>
              <w:jc w:val="center"/>
              <w:rPr>
                <w:rFonts w:ascii="Times New Roman" w:eastAsia="Times New Roman" w:hAnsi="Times New Roman"/>
                <w:b/>
                <w:bCs/>
                <w:color w:val="333333"/>
                <w:sz w:val="24"/>
                <w:szCs w:val="24"/>
              </w:rPr>
            </w:pPr>
            <w:r w:rsidRPr="00AC33E5">
              <w:rPr>
                <w:rFonts w:ascii="Times New Roman" w:eastAsia="Times New Roman" w:hAnsi="Times New Roman"/>
                <w:b/>
                <w:bCs/>
                <w:color w:val="333333"/>
                <w:sz w:val="24"/>
                <w:szCs w:val="24"/>
              </w:rPr>
              <w:t>……</w:t>
            </w:r>
          </w:p>
          <w:p w14:paraId="7939EFC6" w14:textId="77777777" w:rsidR="003A6207" w:rsidRPr="00AC33E5" w:rsidRDefault="003A6207" w:rsidP="00AC33E5">
            <w:pPr>
              <w:shd w:val="clear" w:color="auto" w:fill="FFFFFF"/>
              <w:spacing w:line="276" w:lineRule="auto"/>
              <w:ind w:firstLine="851"/>
              <w:jc w:val="center"/>
              <w:rPr>
                <w:rStyle w:val="Strong"/>
                <w:rFonts w:ascii="Times New Roman" w:hAnsi="Times New Roman"/>
                <w:color w:val="333333"/>
                <w:sz w:val="24"/>
                <w:szCs w:val="24"/>
                <w:shd w:val="clear" w:color="auto" w:fill="FFFFFF"/>
              </w:rPr>
            </w:pPr>
            <w:r w:rsidRPr="00AC33E5">
              <w:rPr>
                <w:rStyle w:val="Strong"/>
                <w:rFonts w:ascii="Times New Roman" w:hAnsi="Times New Roman"/>
                <w:color w:val="333333"/>
                <w:sz w:val="24"/>
                <w:szCs w:val="24"/>
                <w:shd w:val="clear" w:color="auto" w:fill="FFFFFF"/>
              </w:rPr>
              <w:t>Secțiunea a 7-a</w:t>
            </w:r>
          </w:p>
          <w:p w14:paraId="0153ADCF" w14:textId="3EB06F3F" w:rsidR="008E41BE" w:rsidRPr="00AC33E5" w:rsidRDefault="008E41BE" w:rsidP="00AC33E5">
            <w:pPr>
              <w:shd w:val="clear" w:color="auto" w:fill="FFFFFF"/>
              <w:spacing w:line="276" w:lineRule="auto"/>
              <w:ind w:firstLine="851"/>
              <w:jc w:val="center"/>
              <w:rPr>
                <w:rFonts w:ascii="Times New Roman" w:eastAsia="Times New Roman" w:hAnsi="Times New Roman"/>
                <w:color w:val="333333"/>
                <w:sz w:val="24"/>
                <w:szCs w:val="24"/>
              </w:rPr>
            </w:pPr>
            <w:r w:rsidRPr="00AC33E5">
              <w:rPr>
                <w:rFonts w:ascii="Times New Roman" w:eastAsia="Times New Roman" w:hAnsi="Times New Roman"/>
                <w:b/>
                <w:bCs/>
                <w:color w:val="333333"/>
                <w:sz w:val="24"/>
                <w:szCs w:val="24"/>
              </w:rPr>
              <w:t>Identificarea operatorilor economici</w:t>
            </w:r>
          </w:p>
          <w:p w14:paraId="023F9D4B"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39. Operatorii economici transmit, la cerere, către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datele de identificare:</w:t>
            </w:r>
          </w:p>
          <w:p w14:paraId="5D81F779"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 ale oricărui operator economic care le-a furnizat echipamente sub presiune transportabile;</w:t>
            </w:r>
          </w:p>
          <w:p w14:paraId="5DFFCF42"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ale oricărui operator economic căruia i-au furnizat echipamente sub presiune transportabile.</w:t>
            </w:r>
          </w:p>
          <w:p w14:paraId="39BEF097"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lastRenderedPageBreak/>
              <w:t>40. Operatorii economici trebuie să poată prezenta informaţiile prevăzute la pct. 39 pentru o perioadă de 10 ani de la data intrării în vigoare a prezentei Reglementări tehnice, după ce le-au fost furnizate echipamentele sub presiune transportabile şi pentru o perioadă de 10 ani de la data intrării în vigoare a prezentei Reglementări tehnice, după ce au furnizat echipamentele sub presiune transportabile.</w:t>
            </w:r>
          </w:p>
          <w:p w14:paraId="6D20B3FC" w14:textId="77777777" w:rsidR="008E41BE" w:rsidRPr="00AC33E5" w:rsidRDefault="008E41BE"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 xml:space="preserve">90. În cazul în care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rPr>
              <w:t xml:space="preserve"> depistează în cadrul controlului că echipamentele sub presiune transportabile care cad sub incidența prezentei Reglementări tehnice prezintă un risc pentru sănătatea sau securitatea persoanelor ori pentru alte aspecte ale protecției interesului public, aceasta efectuează o evaluare cu privire la echipamentele sub presiune transportabile în cauză, acoperind toate cerințele relevante stabilite în prezenta Reglementare tehnică. Operatorii economici implicați cooperează cu autoritățile de supraveghere a pieței, inclusiv permițîndu-le accesul în incintele lor și furnizîndu-le eșantioane în acest scop.</w:t>
            </w:r>
          </w:p>
          <w:p w14:paraId="1AA5B04D"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91. În cazul în care, pe parcursul evaluării menționate,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constată că echipamentele sub presiune transportabile nu sînt conforme cu cerințele stabilite în prezenta Reglementare tehnică și în anexele A și B la </w:t>
            </w:r>
            <w:r w:rsidRPr="00AC33E5">
              <w:rPr>
                <w:rFonts w:ascii="Times New Roman" w:eastAsia="Times New Roman" w:hAnsi="Times New Roman"/>
                <w:color w:val="333333"/>
                <w:sz w:val="24"/>
                <w:szCs w:val="24"/>
              </w:rPr>
              <w:lastRenderedPageBreak/>
              <w:t xml:space="preserve">ADR, aceasta solicită operatorului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w:t>
            </w:r>
          </w:p>
          <w:p w14:paraId="61694739"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informează organismul notificat relevant.</w:t>
            </w:r>
          </w:p>
          <w:p w14:paraId="1EDE39F7"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92. În cazul în care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consideră că neconformitatea nu se limitează la teritoriul ei național, aceasta informează Ministerul Infrastructurii și Dezvoltării Regionale cu privire la rezultatele evaluării și la acțiunile pe care le-a solicitat din partea operatorului economic.</w:t>
            </w:r>
          </w:p>
          <w:p w14:paraId="4E626D8E"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93. Operatorul economic este obligat să întreprindă toate măsurile corective adecvate pentru toate echipamentele sub presiune transportabile pe care acesta le-a pus la dispoziție pe piață.</w:t>
            </w:r>
          </w:p>
          <w:p w14:paraId="3111BC99"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94. În cazul în care operatorul economic relevant nu întreprinde măsurile corective,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ia toate măsurile corective pentru a interzice sau a </w:t>
            </w:r>
            <w:r w:rsidRPr="00AC33E5">
              <w:rPr>
                <w:rFonts w:ascii="Times New Roman" w:eastAsia="Times New Roman" w:hAnsi="Times New Roman"/>
                <w:color w:val="333333"/>
                <w:sz w:val="24"/>
                <w:szCs w:val="24"/>
              </w:rPr>
              <w:lastRenderedPageBreak/>
              <w:t>restrînge punerea la dispoziție a echipamentelor sub presiune pe piață ori pentru a retrage sau rechema echipamentele respective de pe piață.</w:t>
            </w:r>
          </w:p>
          <w:p w14:paraId="107D1586" w14:textId="43F7D2D8"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w:t>
            </w:r>
            <w:r w:rsidR="003A6207" w:rsidRPr="00AC33E5">
              <w:rPr>
                <w:rFonts w:ascii="Times New Roman" w:eastAsia="Times New Roman" w:hAnsi="Times New Roman"/>
                <w:color w:val="333333"/>
                <w:sz w:val="24"/>
                <w:szCs w:val="24"/>
              </w:rPr>
              <w:t>operatorul</w:t>
            </w:r>
            <w:r w:rsidRPr="00AC33E5">
              <w:rPr>
                <w:rFonts w:ascii="Times New Roman" w:eastAsia="Times New Roman" w:hAnsi="Times New Roman"/>
                <w:color w:val="333333"/>
                <w:sz w:val="24"/>
                <w:szCs w:val="24"/>
              </w:rPr>
              <w:t xml:space="preserve"> economic relevant.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indică, în special, dacă neconformitatea se datorează uneia dintre următoarele situații:</w:t>
            </w:r>
          </w:p>
          <w:p w14:paraId="29AF6449"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 echipamentele sub presiune transportabile nu îndeplinesc cerințele cu privire la sănătatea sau siguranța persoanelor ori la alte aspecte ale protecției interesului public;</w:t>
            </w:r>
          </w:p>
          <w:p w14:paraId="48A71D9C"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există deficiențe ale standardelor armonizate care conferă prezumția de conformitate.</w:t>
            </w:r>
          </w:p>
          <w:p w14:paraId="4E27C263"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hAnsi="Times New Roman"/>
                <w:color w:val="333333"/>
                <w:sz w:val="24"/>
                <w:szCs w:val="24"/>
                <w:shd w:val="clear" w:color="auto" w:fill="FFFFFF"/>
              </w:rPr>
              <w:t xml:space="preserve">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w:t>
            </w:r>
            <w:r w:rsidRPr="00AC33E5">
              <w:rPr>
                <w:rFonts w:ascii="Times New Roman" w:hAnsi="Times New Roman"/>
                <w:sz w:val="24"/>
                <w:szCs w:val="24"/>
                <w:lang w:val="ro-MD"/>
              </w:rPr>
              <w:t xml:space="preserve">Inspectoratul </w:t>
            </w:r>
            <w:r w:rsidRPr="00AC33E5">
              <w:rPr>
                <w:rFonts w:ascii="Times New Roman" w:hAnsi="Times New Roman"/>
                <w:sz w:val="24"/>
                <w:szCs w:val="24"/>
                <w:lang w:val="ro-MD"/>
              </w:rPr>
              <w:lastRenderedPageBreak/>
              <w:t>Național pentru Supravegherea Tehnică</w:t>
            </w:r>
            <w:r w:rsidRPr="00AC33E5">
              <w:rPr>
                <w:rFonts w:ascii="Times New Roman" w:eastAsia="Times New Roman" w:hAnsi="Times New Roman"/>
                <w:color w:val="333333"/>
                <w:sz w:val="24"/>
                <w:szCs w:val="24"/>
              </w:rPr>
              <w:t xml:space="preserve"> </w:t>
            </w:r>
            <w:r w:rsidRPr="00AC33E5">
              <w:rPr>
                <w:rFonts w:ascii="Times New Roman" w:hAnsi="Times New Roman"/>
                <w:color w:val="333333"/>
                <w:sz w:val="24"/>
                <w:szCs w:val="24"/>
                <w:shd w:val="clear" w:color="auto" w:fill="FFFFFF"/>
              </w:rPr>
              <w:t>solicită operatorului economic relevant să ia toate măsurile corespunzătoare pentru a se asigura că echipamentele sub presiune transportabile în cauză, în momentul introducerii pe piaţă, nu mai prezintă respectivul risc sau pentru a-l retrage ori rechema într-un termen rezonabil, proporţional cu natura riscului.</w:t>
            </w:r>
          </w:p>
          <w:p w14:paraId="66592C33" w14:textId="77777777" w:rsidR="008E41BE" w:rsidRPr="00AC33E5" w:rsidRDefault="008E41BE" w:rsidP="00AC33E5">
            <w:pPr>
              <w:shd w:val="clear" w:color="auto" w:fill="FFFFFF"/>
              <w:spacing w:line="276" w:lineRule="auto"/>
              <w:ind w:firstLine="0"/>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 xml:space="preserve">102. Fără a aduce atingere pct. 88-99, </w:t>
            </w:r>
            <w:r w:rsidRPr="00AC33E5">
              <w:rPr>
                <w:rFonts w:ascii="Times New Roman" w:hAnsi="Times New Roman"/>
                <w:sz w:val="24"/>
                <w:szCs w:val="24"/>
                <w:lang w:val="ro-MD"/>
              </w:rPr>
              <w:t>Inspectoratul Național pentru Supravegherea Tehnică</w:t>
            </w:r>
            <w:r w:rsidRPr="00AC33E5">
              <w:rPr>
                <w:rFonts w:ascii="Times New Roman" w:eastAsia="Times New Roman" w:hAnsi="Times New Roman"/>
                <w:color w:val="333333"/>
                <w:sz w:val="24"/>
                <w:szCs w:val="24"/>
              </w:rPr>
              <w:t xml:space="preserve"> solicită operatorului economic să remedieze neconformităţile respective în cazul în care constată una dintre următoarele situaţii:</w:t>
            </w:r>
          </w:p>
          <w:p w14:paraId="06019160"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1) marcajul „pi” a fost aplicat prin încălcarea pct. 41-59 din prezenta Reglementare tehnică;</w:t>
            </w:r>
          </w:p>
          <w:p w14:paraId="0532B21F"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2) marcajul „pi” nu a fost aplicat;</w:t>
            </w:r>
          </w:p>
          <w:p w14:paraId="04E8031E" w14:textId="77777777" w:rsidR="008E41BE" w:rsidRPr="00AC33E5" w:rsidRDefault="008E41BE" w:rsidP="00AC33E5">
            <w:pPr>
              <w:shd w:val="clear" w:color="auto" w:fill="FFFFFF"/>
              <w:spacing w:line="276" w:lineRule="auto"/>
              <w:ind w:firstLine="851"/>
              <w:rPr>
                <w:rFonts w:ascii="Times New Roman" w:eastAsia="Times New Roman" w:hAnsi="Times New Roman"/>
                <w:color w:val="333333"/>
                <w:sz w:val="24"/>
                <w:szCs w:val="24"/>
              </w:rPr>
            </w:pPr>
            <w:r w:rsidRPr="00AC33E5">
              <w:rPr>
                <w:rFonts w:ascii="Times New Roman" w:eastAsia="Times New Roman" w:hAnsi="Times New Roman"/>
                <w:color w:val="333333"/>
                <w:sz w:val="24"/>
                <w:szCs w:val="24"/>
              </w:rPr>
              <w:t>3) documentația tehnică nu este disponibilă sau este incompletă;</w:t>
            </w:r>
          </w:p>
          <w:p w14:paraId="2C59E4F9" w14:textId="6D9E1A03" w:rsidR="008E41BE" w:rsidRPr="00AC33E5" w:rsidRDefault="008E41BE" w:rsidP="00AC33E5">
            <w:pPr>
              <w:shd w:val="clear" w:color="auto" w:fill="FFFFFF"/>
              <w:spacing w:line="276" w:lineRule="auto"/>
              <w:ind w:firstLine="851"/>
              <w:rPr>
                <w:rFonts w:ascii="Times New Roman" w:hAnsi="Times New Roman"/>
                <w:color w:val="333333"/>
                <w:sz w:val="24"/>
                <w:szCs w:val="24"/>
                <w:shd w:val="clear" w:color="auto" w:fill="FFFFFF"/>
              </w:rPr>
            </w:pPr>
            <w:r w:rsidRPr="00AC33E5">
              <w:rPr>
                <w:rFonts w:ascii="Times New Roman" w:eastAsia="Times New Roman" w:hAnsi="Times New Roman"/>
                <w:color w:val="333333"/>
                <w:sz w:val="24"/>
                <w:szCs w:val="24"/>
              </w:rPr>
              <w:t>4) nu se respectă cerințele prevăzute în anexele A și B la ADR și în prezenta Reglementare tehnică.</w:t>
            </w:r>
          </w:p>
        </w:tc>
      </w:tr>
      <w:tr w:rsidR="001E7C7F" w:rsidRPr="00AC33E5" w14:paraId="7B358C8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36E5D" w14:textId="5018C683" w:rsidR="001E7C7F" w:rsidRPr="00AC33E5" w:rsidRDefault="001E7C7F"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 xml:space="preserve">2. Prezenta hotărîre intră în vigoare la expirarea a 24 de luni de la data publicării, cu excepţia punctelor 62, 74, 75, 78, 79, 95, 97, 98, 101 din Reglementarea tehnică privind echipamentele sub presiune transportabile, care vor intra în vigoare odată cu Acordul privind evaluarea conformităţii şi acceptarea produselor industriale (ECA), protocol la Acordul de Asociere dintre Republica Moldova, pe </w:t>
            </w:r>
            <w:r w:rsidRPr="00AC33E5">
              <w:rPr>
                <w:rFonts w:ascii="Times New Roman" w:hAnsi="Times New Roman"/>
                <w:color w:val="333333"/>
                <w:sz w:val="24"/>
                <w:szCs w:val="24"/>
              </w:rPr>
              <w:lastRenderedPageBreak/>
              <w:t>de o parte, şi Uniunea Europeană şi Comunitatea Europeană a Energiei Atomice şi statele membre ale acestora, pe de altă parte.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8559E9" w14:textId="77777777" w:rsidR="001E7C7F" w:rsidRPr="00AC33E5" w:rsidRDefault="001E7C7F"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1.3. La hotărâre:</w:t>
            </w:r>
          </w:p>
          <w:p w14:paraId="74D72851" w14:textId="77777777" w:rsidR="001E7C7F" w:rsidRPr="00AC33E5" w:rsidRDefault="001E7C7F" w:rsidP="00AC33E5">
            <w:pPr>
              <w:spacing w:line="276" w:lineRule="auto"/>
              <w:ind w:firstLine="0"/>
              <w:rPr>
                <w:rFonts w:ascii="Times New Roman" w:hAnsi="Times New Roman"/>
                <w:sz w:val="24"/>
                <w:szCs w:val="24"/>
              </w:rPr>
            </w:pPr>
            <w:r w:rsidRPr="00AC33E5">
              <w:rPr>
                <w:rFonts w:ascii="Times New Roman" w:hAnsi="Times New Roman"/>
                <w:sz w:val="24"/>
                <w:szCs w:val="24"/>
                <w:lang w:val="ro-MD"/>
              </w:rPr>
              <w:t>1.3.1. la punctul 2, textul: „</w:t>
            </w:r>
            <w:r w:rsidRPr="00AC33E5">
              <w:rPr>
                <w:rFonts w:ascii="Times New Roman" w:hAnsi="Times New Roman"/>
                <w:sz w:val="24"/>
                <w:szCs w:val="24"/>
              </w:rPr>
              <w:t>62, 74, 75, 78, 79, 95, 97, 98, 100, 101</w:t>
            </w:r>
            <w:r w:rsidRPr="00AC33E5">
              <w:rPr>
                <w:rFonts w:ascii="Times New Roman" w:hAnsi="Times New Roman"/>
                <w:sz w:val="24"/>
                <w:szCs w:val="24"/>
                <w:lang w:val="ro-MD"/>
              </w:rPr>
              <w:t>” se substituie cu textul „62, 68</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74, 75, 78, 79, 81, 83</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83</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87</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87</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94, 95, 97, 98, 99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99</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101”;</w:t>
            </w:r>
          </w:p>
          <w:p w14:paraId="07FDBD88" w14:textId="77777777" w:rsidR="001E7C7F" w:rsidRPr="00AC33E5" w:rsidRDefault="001E7C7F" w:rsidP="00AC33E5">
            <w:pPr>
              <w:spacing w:line="276" w:lineRule="auto"/>
              <w:ind w:firstLine="0"/>
              <w:rPr>
                <w:rFonts w:ascii="Times New Roman" w:hAnsi="Times New Roman"/>
                <w:sz w:val="24"/>
                <w:szCs w:val="24"/>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C5CB26B" w14:textId="723B3A86" w:rsidR="001E7C7F" w:rsidRPr="00AC33E5" w:rsidRDefault="001E7C7F" w:rsidP="00AC33E5">
            <w:pPr>
              <w:shd w:val="clear" w:color="auto" w:fill="FFFFFF"/>
              <w:spacing w:line="276" w:lineRule="auto"/>
              <w:ind w:firstLine="0"/>
              <w:rPr>
                <w:rFonts w:ascii="Times New Roman" w:hAnsi="Times New Roman"/>
                <w:b/>
                <w:bCs/>
                <w:color w:val="333333"/>
                <w:sz w:val="24"/>
                <w:szCs w:val="24"/>
              </w:rPr>
            </w:pPr>
            <w:r w:rsidRPr="00AC33E5">
              <w:rPr>
                <w:rFonts w:ascii="Times New Roman" w:hAnsi="Times New Roman"/>
                <w:color w:val="333333"/>
                <w:sz w:val="24"/>
                <w:szCs w:val="24"/>
              </w:rPr>
              <w:t xml:space="preserve">2. Prezenta hotărîre intră în vigoare la expirarea a 24 de luni de la data publicării, cu excepţia punctelor </w:t>
            </w:r>
            <w:r w:rsidRPr="00AC33E5">
              <w:rPr>
                <w:rFonts w:ascii="Times New Roman" w:hAnsi="Times New Roman"/>
                <w:sz w:val="24"/>
                <w:szCs w:val="24"/>
                <w:lang w:val="ro-MD"/>
              </w:rPr>
              <w:t>62, 68</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74, 75, 78, 79, 81, 83</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83</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87</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87</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94, 95, 97, 98, 99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99</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101 </w:t>
            </w:r>
            <w:r w:rsidRPr="00AC33E5">
              <w:rPr>
                <w:rFonts w:ascii="Times New Roman" w:hAnsi="Times New Roman"/>
                <w:color w:val="333333"/>
                <w:sz w:val="24"/>
                <w:szCs w:val="24"/>
              </w:rPr>
              <w:t xml:space="preserve">din Reglementarea tehnică privind echipamentele sub presiune transportabile, care vor intra în vigoare odată cu Acordul privind evaluarea conformităţii şi acceptarea produselor industriale </w:t>
            </w:r>
            <w:r w:rsidRPr="00AC33E5">
              <w:rPr>
                <w:rFonts w:ascii="Times New Roman" w:hAnsi="Times New Roman"/>
                <w:color w:val="333333"/>
                <w:sz w:val="24"/>
                <w:szCs w:val="24"/>
              </w:rPr>
              <w:lastRenderedPageBreak/>
              <w:t>(ECA), protocol la Acordul de Asociere dintre Republica Moldova, pe de o parte, şi Uniunea Europeană şi Comunitatea Europeană a Energiei Atomice şi statele membre ale acestora, pe de altă parte.</w:t>
            </w:r>
          </w:p>
        </w:tc>
      </w:tr>
      <w:tr w:rsidR="001E7C7F" w:rsidRPr="00AC33E5" w14:paraId="56EBA0FB"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72DAB4" w14:textId="1BE51126" w:rsidR="001E7C7F" w:rsidRPr="00AC33E5" w:rsidRDefault="001E7C7F"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3. Ministerul Economiei și Infrastructurii, în termen de 6 luni de la data publicării prezentei hotărîri, va elabora şi va aproba lista standardelor armonizate la Reglementarea tehnică privind echipamentele sub presiune transportabile.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3D2646" w14:textId="6B31229A" w:rsidR="001E7C7F" w:rsidRPr="00AC33E5" w:rsidRDefault="001E7C7F"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1.3.2. punctul 3, se exclude;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FF22113" w14:textId="77777777" w:rsidR="001E7C7F" w:rsidRPr="00AC33E5" w:rsidRDefault="001E7C7F" w:rsidP="00AC33E5">
            <w:pPr>
              <w:shd w:val="clear" w:color="auto" w:fill="FFFFFF"/>
              <w:spacing w:line="276" w:lineRule="auto"/>
              <w:ind w:firstLine="0"/>
              <w:rPr>
                <w:rFonts w:ascii="Times New Roman" w:hAnsi="Times New Roman"/>
                <w:color w:val="333333"/>
                <w:sz w:val="24"/>
                <w:szCs w:val="24"/>
              </w:rPr>
            </w:pPr>
          </w:p>
        </w:tc>
      </w:tr>
      <w:tr w:rsidR="00671A0A" w:rsidRPr="00AC33E5" w14:paraId="1B55B5CE"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C0EE50" w14:textId="4187D2E5" w:rsidR="00671A0A" w:rsidRPr="00AC33E5" w:rsidRDefault="004634AC"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5. Cuvintele „organism de evaluare a conformității notificat” sînt echivalente cu cuvintele „organism de evaluare a conformității recunoscut”, entitățile avînd regim juridic similar, conform prevederilor Legii nr. 235 din 1 decembrie 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certificate de reevaluare a conformității, rapoarte privind inspecțiile periodice, inspecțiile intermediare și verificările excepționale.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F833ED0" w14:textId="5BF9F693" w:rsidR="00671A0A" w:rsidRPr="00AC33E5" w:rsidRDefault="00671A0A"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1.3.3. la punctul 5, cuvintele „certificate de reevaluare a conformității” se substituie cu cuvintele ,,rapoarte de inspecție”;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0DA3E6" w14:textId="4C1E0AD3" w:rsidR="00671A0A" w:rsidRPr="00AC33E5" w:rsidRDefault="004634AC"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5. Cuvintele „organism de evaluare a conformității notificat” sînt echivalente cu cuvintele „organism de evaluare a conformității recunoscut”, entitățile avînd regim juridic similar, conform prevederilor Legii nr. 235 din 1 decembrie 2011 privind activitățile de acreditare și evaluare a conformității.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echipamentelor sub presiune transportabile eliberează certificate de conformitate, </w:t>
            </w:r>
            <w:r w:rsidRPr="00AC33E5">
              <w:rPr>
                <w:rFonts w:ascii="Times New Roman" w:hAnsi="Times New Roman"/>
                <w:sz w:val="24"/>
                <w:szCs w:val="24"/>
                <w:lang w:val="ro-MD"/>
              </w:rPr>
              <w:t>rapoarte de inspecție</w:t>
            </w:r>
            <w:r w:rsidRPr="00AC33E5">
              <w:rPr>
                <w:rFonts w:ascii="Times New Roman" w:hAnsi="Times New Roman"/>
                <w:color w:val="333333"/>
                <w:sz w:val="24"/>
                <w:szCs w:val="24"/>
              </w:rPr>
              <w:t>, rapoarte privind inspecțiile periodice, inspecțiile intermediare și verificările inopinate.</w:t>
            </w:r>
          </w:p>
        </w:tc>
      </w:tr>
      <w:tr w:rsidR="004634AC" w:rsidRPr="0034365B" w14:paraId="69EA5766"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45BB7F" w14:textId="0822E5D6" w:rsidR="004634AC" w:rsidRPr="00AC33E5" w:rsidRDefault="004634AC"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6. Prin derogare de la prevederile din anexă la prezenta hotărîre, pînă la data intrării în vigoare a Acordului privind evaluarea conformităţii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corespunzătoare și aplică pe echipamente, după caz, marcajul prevăzut de actele normative din domeniul securității industriale a obiectelor industriale periculoase.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298B4C" w14:textId="77777777" w:rsidR="004634AC" w:rsidRPr="00AC33E5" w:rsidRDefault="004634AC"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1.3.4. la punctul 6, după cuvântul „certificatele” se completează cu cuvintele „de conformitate”;</w:t>
            </w:r>
          </w:p>
          <w:p w14:paraId="19369E1A" w14:textId="77777777" w:rsidR="004634AC" w:rsidRPr="00AC33E5" w:rsidRDefault="004634AC"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F5C104E" w14:textId="5E450141" w:rsidR="004634AC" w:rsidRPr="00AC33E5" w:rsidRDefault="004634AC" w:rsidP="00AC33E5">
            <w:pPr>
              <w:shd w:val="clear" w:color="auto" w:fill="FFFFFF"/>
              <w:spacing w:line="276" w:lineRule="auto"/>
              <w:ind w:firstLine="0"/>
              <w:rPr>
                <w:rFonts w:ascii="Times New Roman" w:hAnsi="Times New Roman"/>
                <w:color w:val="333333"/>
                <w:sz w:val="24"/>
                <w:szCs w:val="24"/>
                <w:lang w:val="ro-MD"/>
              </w:rPr>
            </w:pPr>
            <w:r w:rsidRPr="00AC33E5">
              <w:rPr>
                <w:rFonts w:ascii="Times New Roman" w:hAnsi="Times New Roman"/>
                <w:color w:val="333333"/>
                <w:sz w:val="24"/>
                <w:szCs w:val="24"/>
                <w:lang w:val="ro-MD"/>
              </w:rPr>
              <w:t xml:space="preserve">6. Prin derogare de la prevederile din anexă la prezenta hotărîre, pînă la data intrării în vigoare a Acordului privind evaluarea conformităţii şi acceptarea produselor industriale (ECA), protocol la Acordul de Asociere dintre Republica Moldova, pe de o parte, şi Uniunea Europeană şi Comunitatea Europeană a Energiei Atomice şi statele membre ale acestora, pe de altă parte, organismele de evaluare a conformității recunoscute, în urma evaluării/reevaluării conformității, inspecției, verificărilor excepționale, nu aplică marcajul „pi”, însă eliberează certificatele </w:t>
            </w:r>
            <w:r w:rsidRPr="00AC33E5">
              <w:rPr>
                <w:rFonts w:ascii="Times New Roman" w:hAnsi="Times New Roman"/>
                <w:sz w:val="24"/>
                <w:szCs w:val="24"/>
                <w:lang w:val="ro-MD"/>
              </w:rPr>
              <w:t>de conformitate</w:t>
            </w:r>
            <w:r w:rsidRPr="00AC33E5">
              <w:rPr>
                <w:rFonts w:ascii="Times New Roman" w:hAnsi="Times New Roman"/>
                <w:color w:val="333333"/>
                <w:sz w:val="24"/>
                <w:szCs w:val="24"/>
                <w:lang w:val="ro-MD"/>
              </w:rPr>
              <w:t xml:space="preserve"> corespunzătoare și aplică pe echipamente, după caz, marcajul prevăzut de actele normative din domeniul securității industriale a obiectelor industriale periculoase.</w:t>
            </w:r>
          </w:p>
        </w:tc>
      </w:tr>
      <w:tr w:rsidR="004634AC" w:rsidRPr="0034365B" w14:paraId="3F4A404A"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BC24F" w14:textId="7AE4952F" w:rsidR="004634AC" w:rsidRPr="00AC33E5" w:rsidRDefault="004634AC"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7. În scopul punerii în aplicare a prevederilor din prezenta hotărîre, în ceea ce ține de asigurarea conformității, respectiv inspecția periodică și verificarea excepțională a echipamentelor sub presiune transportabile, organismele de evaluare a conformității recunoscute se ghidează de (în stabilirea perioadei de inspecție periodică) și recunosc certificatele de evaluare și reevaluare a conformității, precum și marcajul „pi” corespunzător, emise conform standardelor europene armonizate de organismele de evaluare a conformității notificate.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A2871" w14:textId="350D0933" w:rsidR="004634AC" w:rsidRPr="00AC33E5" w:rsidRDefault="004634AC"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1.3.5. la punctul 7, textul ”ghidează de (în stabilirea perioadei de inspecție periodică) și recunosc certificatele de evaluare și reevaluarea conformității, precum și marcajul „pi” corespunzător, emise conform standardelor europene armonizate de organismele de evaluare a conformității notificate” se substituie cu cuvintele ”ghidează (în stabilirea perioadei de inspecție periodică) și recunosc certificatele de conformitate privind evaluarea conformității și rapoartele de inspecție, precum și </w:t>
            </w:r>
            <w:r w:rsidRPr="00AC33E5">
              <w:rPr>
                <w:rFonts w:ascii="Times New Roman" w:hAnsi="Times New Roman"/>
                <w:sz w:val="24"/>
                <w:szCs w:val="24"/>
                <w:lang w:val="ro-MD"/>
              </w:rPr>
              <w:lastRenderedPageBreak/>
              <w:t>marcajul „pi” corespunzător, emise conform standardelor sau codurilor tehnice din anexele A și B din ADR de către organismele de evaluare a conformității notificate”.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CE456C" w14:textId="1EC3CDF3" w:rsidR="004634AC" w:rsidRPr="00AC33E5" w:rsidRDefault="004634AC" w:rsidP="00AC33E5">
            <w:pPr>
              <w:shd w:val="clear" w:color="auto" w:fill="FFFFFF"/>
              <w:spacing w:line="276" w:lineRule="auto"/>
              <w:ind w:firstLine="0"/>
              <w:rPr>
                <w:rFonts w:ascii="Times New Roman" w:hAnsi="Times New Roman"/>
                <w:color w:val="333333"/>
                <w:sz w:val="24"/>
                <w:szCs w:val="24"/>
                <w:lang w:val="ro-MD"/>
              </w:rPr>
            </w:pPr>
            <w:r w:rsidRPr="00AC33E5">
              <w:rPr>
                <w:rFonts w:ascii="Times New Roman" w:hAnsi="Times New Roman"/>
                <w:color w:val="333333"/>
                <w:sz w:val="24"/>
                <w:szCs w:val="24"/>
                <w:lang w:val="ro-MD"/>
              </w:rPr>
              <w:lastRenderedPageBreak/>
              <w:t xml:space="preserve">7. În scopul punerii în aplicare a prevederilor din prezenta hotărîre, în ceea ce ține de asigurarea conformității, respectiv inspecția periodică și verificarea excepțională a echipamentelor sub presiune transportabile, organismele de evaluare a conformității recunoscute se </w:t>
            </w:r>
            <w:r w:rsidRPr="00AC33E5">
              <w:rPr>
                <w:rFonts w:ascii="Times New Roman" w:hAnsi="Times New Roman"/>
                <w:sz w:val="24"/>
                <w:szCs w:val="24"/>
                <w:lang w:val="ro-MD"/>
              </w:rPr>
              <w:t>ghidează (în stabilirea perioadei de inspecție periodică) și recunosc certificatele de conformitate privind evaluarea conformității și rapoartele de inspecție, precum și marcajul „pi” corespunzător, emise conform standardelor sau codurilor tehnice din anexele A și B din ADR de către organismele de evaluare a conformității notificate</w:t>
            </w:r>
            <w:r w:rsidRPr="00AC33E5">
              <w:rPr>
                <w:rFonts w:ascii="Times New Roman" w:hAnsi="Times New Roman"/>
                <w:color w:val="333333"/>
                <w:sz w:val="24"/>
                <w:szCs w:val="24"/>
                <w:lang w:val="ro-MD"/>
              </w:rPr>
              <w:t>.</w:t>
            </w:r>
          </w:p>
        </w:tc>
      </w:tr>
      <w:tr w:rsidR="00276DB4" w:rsidRPr="00AC33E5" w14:paraId="6A14EE61"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0A858" w14:textId="77777777" w:rsidR="00276DB4" w:rsidRPr="00AC33E5" w:rsidRDefault="00276DB4" w:rsidP="00AC33E5">
            <w:pPr>
              <w:pBdr>
                <w:top w:val="none" w:sz="4" w:space="0" w:color="000000"/>
                <w:left w:val="none" w:sz="4" w:space="0" w:color="000000"/>
                <w:bottom w:val="none" w:sz="4" w:space="0" w:color="000000"/>
                <w:right w:val="none" w:sz="4" w:space="0" w:color="000000"/>
              </w:pBdr>
              <w:spacing w:line="276" w:lineRule="auto"/>
              <w:ind w:firstLine="0"/>
              <w:jc w:val="center"/>
              <w:rPr>
                <w:rFonts w:ascii="Times New Roman" w:hAnsi="Times New Roman"/>
                <w:b/>
                <w:bCs/>
                <w:sz w:val="24"/>
                <w:szCs w:val="24"/>
                <w:lang w:val="ro-MD"/>
              </w:rPr>
            </w:pPr>
            <w:r w:rsidRPr="00AC33E5">
              <w:rPr>
                <w:rFonts w:ascii="Times New Roman" w:hAnsi="Times New Roman"/>
                <w:b/>
                <w:bCs/>
                <w:sz w:val="24"/>
                <w:szCs w:val="24"/>
                <w:lang w:val="ro-MD"/>
              </w:rPr>
              <w:t>Capitolul I</w:t>
            </w:r>
          </w:p>
          <w:p w14:paraId="6AA730AD" w14:textId="77777777" w:rsidR="00276DB4" w:rsidRPr="00AC33E5" w:rsidRDefault="00276DB4" w:rsidP="00AC33E5">
            <w:pPr>
              <w:spacing w:line="276" w:lineRule="auto"/>
              <w:rPr>
                <w:rFonts w:ascii="Times New Roman" w:hAnsi="Times New Roman"/>
                <w:bCs/>
                <w:sz w:val="24"/>
                <w:szCs w:val="24"/>
                <w:lang w:val="ro-MD"/>
              </w:rPr>
            </w:pPr>
            <w:r w:rsidRPr="00AC33E5">
              <w:rPr>
                <w:rFonts w:ascii="Times New Roman" w:hAnsi="Times New Roman"/>
                <w:b/>
                <w:bCs/>
                <w:sz w:val="24"/>
                <w:szCs w:val="24"/>
                <w:lang w:val="ro-MD"/>
              </w:rPr>
              <w:t>DOMENIUL DE APLICARE</w:t>
            </w:r>
          </w:p>
          <w:p w14:paraId="1FC0D52B" w14:textId="2B034E97" w:rsidR="00276DB4" w:rsidRPr="00AC33E5" w:rsidRDefault="00276DB4"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sidRPr="00AC33E5">
              <w:rPr>
                <w:rFonts w:ascii="Times New Roman" w:hAnsi="Times New Roman"/>
                <w:bCs/>
                <w:sz w:val="24"/>
                <w:szCs w:val="24"/>
                <w:lang w:val="ro-MD"/>
              </w:rPr>
              <w:t>Prevederile prezentei Reglementări tehnice stabilește norme detaliate privind echipamentele sub presiune transportabile cu scopul de a îmbunătăți siguranța și de a asigura libera circulație a acestor echipamente pe teritoriul Republicii Moldova.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AC65B" w14:textId="77777777"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 în Reglementarea tehnică:</w:t>
            </w:r>
          </w:p>
          <w:p w14:paraId="43BE8F17" w14:textId="21C8602F"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bCs/>
                <w:sz w:val="24"/>
                <w:szCs w:val="24"/>
                <w:lang w:val="ro-MD"/>
              </w:rPr>
              <w:t>1.4.1. la punctul 1, cuvântul ”stabilește” se substituie cu cuvântul ”stabilesc”;</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1EBDB9" w14:textId="77777777" w:rsidR="00276DB4" w:rsidRPr="00AC33E5" w:rsidRDefault="00276DB4" w:rsidP="00AC33E5">
            <w:pPr>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b/>
                <w:bCs/>
                <w:sz w:val="24"/>
                <w:szCs w:val="24"/>
                <w:lang w:val="ro-MD"/>
              </w:rPr>
            </w:pPr>
            <w:r w:rsidRPr="00AC33E5">
              <w:rPr>
                <w:rFonts w:ascii="Times New Roman" w:hAnsi="Times New Roman"/>
                <w:b/>
                <w:bCs/>
                <w:sz w:val="24"/>
                <w:szCs w:val="24"/>
                <w:lang w:val="ro-MD"/>
              </w:rPr>
              <w:t>Capitolul I</w:t>
            </w:r>
          </w:p>
          <w:p w14:paraId="79612317" w14:textId="77777777" w:rsidR="00276DB4" w:rsidRPr="00AC33E5" w:rsidRDefault="00276DB4" w:rsidP="00AC33E5">
            <w:pPr>
              <w:spacing w:line="276" w:lineRule="auto"/>
              <w:jc w:val="center"/>
              <w:rPr>
                <w:rFonts w:ascii="Times New Roman" w:hAnsi="Times New Roman"/>
                <w:bCs/>
                <w:sz w:val="24"/>
                <w:szCs w:val="24"/>
                <w:lang w:val="ro-MD"/>
              </w:rPr>
            </w:pPr>
            <w:r w:rsidRPr="00AC33E5">
              <w:rPr>
                <w:rFonts w:ascii="Times New Roman" w:hAnsi="Times New Roman"/>
                <w:b/>
                <w:bCs/>
                <w:sz w:val="24"/>
                <w:szCs w:val="24"/>
                <w:lang w:val="ro-MD"/>
              </w:rPr>
              <w:t>DOMENIUL DE APLICARE</w:t>
            </w:r>
          </w:p>
          <w:p w14:paraId="00842F3D" w14:textId="1E8C3519"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bCs/>
                <w:sz w:val="24"/>
                <w:szCs w:val="24"/>
                <w:lang w:val="ro-MD"/>
              </w:rPr>
              <w:t>1.Prevederile prezentei Reglementări tehnice stabilesc norme detaliate privind echipamentele sub presiune transportabile cu scopul de a îmbunătăți siguranța și de a asigura libera circulație a acestor echipamente pe teritoriul Republicii Moldova.</w:t>
            </w:r>
          </w:p>
        </w:tc>
      </w:tr>
      <w:tr w:rsidR="00276DB4" w:rsidRPr="00AC33E5" w14:paraId="4C412B85" w14:textId="77777777" w:rsidTr="008E41BE">
        <w:trPr>
          <w:trHeight w:val="2343"/>
        </w:trPr>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A757D4" w14:textId="77777777" w:rsidR="00276DB4" w:rsidRPr="00AC33E5" w:rsidRDefault="00276DB4" w:rsidP="00AC33E5">
            <w:pPr>
              <w:spacing w:line="276" w:lineRule="auto"/>
              <w:ind w:left="330" w:firstLine="0"/>
              <w:rPr>
                <w:rFonts w:ascii="Times New Roman" w:hAnsi="Times New Roman"/>
                <w:bCs/>
                <w:sz w:val="24"/>
                <w:szCs w:val="24"/>
                <w:lang w:val="ro-MD"/>
              </w:rPr>
            </w:pPr>
            <w:r w:rsidRPr="00AC33E5">
              <w:rPr>
                <w:rFonts w:ascii="Times New Roman" w:hAnsi="Times New Roman"/>
                <w:bCs/>
                <w:sz w:val="24"/>
                <w:szCs w:val="24"/>
                <w:lang w:val="ro-MD"/>
              </w:rPr>
              <w:t>2. Prevederile prezentei Reglementări tehnice se aplică:</w:t>
            </w:r>
          </w:p>
          <w:p w14:paraId="40E1251A" w14:textId="77777777" w:rsidR="00276DB4" w:rsidRPr="00AC33E5" w:rsidRDefault="00276DB4" w:rsidP="00AC33E5">
            <w:pPr>
              <w:spacing w:line="276" w:lineRule="auto"/>
              <w:ind w:left="330" w:firstLine="0"/>
              <w:rPr>
                <w:rFonts w:ascii="Times New Roman" w:hAnsi="Times New Roman"/>
                <w:bCs/>
                <w:sz w:val="24"/>
                <w:szCs w:val="24"/>
                <w:lang w:val="ro-MD"/>
              </w:rPr>
            </w:pPr>
            <w:r w:rsidRPr="00AC33E5">
              <w:rPr>
                <w:rFonts w:ascii="Times New Roman" w:hAnsi="Times New Roman"/>
                <w:bCs/>
                <w:sz w:val="24"/>
                <w:szCs w:val="24"/>
                <w:lang w:val="ro-MD"/>
              </w:rPr>
              <w:t>1) noilor echipamente sub presiune transportabile, așa cum sînt definite la pct. 5 subpct. 1), care nu poartă marcajele de conformitate prevăzute de prezenta Reglementare tehnică, în scopul punerii la dispoziție pe piață a echipamentelor respective;</w:t>
            </w:r>
          </w:p>
          <w:p w14:paraId="18591C0E" w14:textId="77777777" w:rsidR="00276DB4" w:rsidRPr="00AC33E5" w:rsidRDefault="00276DB4" w:rsidP="00AC33E5">
            <w:pPr>
              <w:spacing w:line="276" w:lineRule="auto"/>
              <w:ind w:left="330" w:firstLine="0"/>
              <w:rPr>
                <w:rFonts w:ascii="Times New Roman" w:hAnsi="Times New Roman"/>
                <w:bCs/>
                <w:sz w:val="24"/>
                <w:szCs w:val="24"/>
                <w:lang w:val="ro-MD"/>
              </w:rPr>
            </w:pPr>
            <w:r w:rsidRPr="00AC33E5">
              <w:rPr>
                <w:rFonts w:ascii="Times New Roman" w:hAnsi="Times New Roman"/>
                <w:bCs/>
                <w:sz w:val="24"/>
                <w:szCs w:val="24"/>
                <w:lang w:val="ro-MD"/>
              </w:rPr>
              <w:t>2) echipamentelor sub presiune transportabile, așa cum sînt definite la pct. 5 subpct. 1), care poartă marcajele de conformitate prevăzute de prezenta Reglementare tehnică, în scopul inspecțiilor periodice, al inspecțiilor intermediare, al verificărilor inopinate și al utilizării acestora;</w:t>
            </w:r>
          </w:p>
          <w:p w14:paraId="115FA08E" w14:textId="2D96151C" w:rsidR="00276DB4" w:rsidRPr="00AC33E5" w:rsidRDefault="00276DB4" w:rsidP="00AC33E5">
            <w:pPr>
              <w:pStyle w:val="ListParagraph"/>
              <w:spacing w:line="276" w:lineRule="auto"/>
              <w:ind w:left="360" w:firstLine="0"/>
              <w:rPr>
                <w:rFonts w:ascii="Times New Roman" w:hAnsi="Times New Roman"/>
                <w:bCs/>
                <w:sz w:val="24"/>
                <w:szCs w:val="24"/>
                <w:lang w:val="ro-MD"/>
              </w:rPr>
            </w:pPr>
            <w:r w:rsidRPr="00AC33E5">
              <w:rPr>
                <w:rFonts w:ascii="Times New Roman" w:hAnsi="Times New Roman"/>
                <w:bCs/>
                <w:sz w:val="24"/>
                <w:szCs w:val="24"/>
                <w:lang w:val="ro-MD"/>
              </w:rPr>
              <w:t xml:space="preserve">3) echipamentelor sub presiune transportabile, așa cum sînt definite la pct. 5 subpct. 1), care nu </w:t>
            </w:r>
            <w:r w:rsidRPr="00AC33E5">
              <w:rPr>
                <w:rFonts w:ascii="Times New Roman" w:hAnsi="Times New Roman"/>
                <w:bCs/>
                <w:sz w:val="24"/>
                <w:szCs w:val="24"/>
                <w:lang w:val="ro-MD"/>
              </w:rPr>
              <w:lastRenderedPageBreak/>
              <w:t>poartă marcajele de conformitate prevăzute de prezenta Reglementare tehnică, în scopul reevaluării conformității.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1B4ACB5" w14:textId="4C6A3650" w:rsidR="00276DB4" w:rsidRPr="00AC33E5" w:rsidRDefault="00276DB4" w:rsidP="00AC33E5">
            <w:pPr>
              <w:spacing w:line="276" w:lineRule="auto"/>
              <w:ind w:firstLine="0"/>
              <w:rPr>
                <w:rFonts w:ascii="Times New Roman" w:hAnsi="Times New Roman"/>
                <w:bCs/>
                <w:sz w:val="24"/>
                <w:szCs w:val="24"/>
                <w:lang w:val="ro-MD"/>
              </w:rPr>
            </w:pPr>
            <w:bookmarkStart w:id="0" w:name="_Hlk191997184"/>
            <w:r w:rsidRPr="00AC33E5">
              <w:rPr>
                <w:rFonts w:ascii="Times New Roman" w:hAnsi="Times New Roman"/>
                <w:sz w:val="24"/>
                <w:szCs w:val="24"/>
                <w:lang w:val="ro-MD"/>
              </w:rPr>
              <w:lastRenderedPageBreak/>
              <w:t>1.4.2.</w:t>
            </w:r>
            <w:r w:rsidRPr="00AC33E5">
              <w:rPr>
                <w:rFonts w:ascii="Times New Roman" w:hAnsi="Times New Roman"/>
                <w:bCs/>
                <w:sz w:val="24"/>
                <w:szCs w:val="24"/>
                <w:lang w:val="ro-MD"/>
              </w:rPr>
              <w:t xml:space="preserve"> la punctul 2 subpunctul </w:t>
            </w:r>
            <w:r w:rsidR="00085EEF" w:rsidRPr="00AC33E5">
              <w:rPr>
                <w:rFonts w:ascii="Times New Roman" w:hAnsi="Times New Roman"/>
                <w:bCs/>
                <w:sz w:val="24"/>
                <w:szCs w:val="24"/>
                <w:lang w:val="ro-MD"/>
              </w:rPr>
              <w:t>2</w:t>
            </w:r>
            <w:r w:rsidRPr="00AC33E5">
              <w:rPr>
                <w:rFonts w:ascii="Times New Roman" w:hAnsi="Times New Roman"/>
                <w:bCs/>
                <w:sz w:val="24"/>
                <w:szCs w:val="24"/>
                <w:lang w:val="ro-MD"/>
              </w:rPr>
              <w:t>), textul ”inspecțiilor periodice, al inspecțiilor intermediare,” se substituie cu textul ”inspecțiilor periodice și intermediare,”;</w:t>
            </w:r>
          </w:p>
          <w:bookmarkEnd w:id="0"/>
          <w:p w14:paraId="1C9F2807" w14:textId="27D7DA5B" w:rsidR="00276DB4" w:rsidRPr="00AC33E5" w:rsidRDefault="00276DB4" w:rsidP="00AC33E5">
            <w:pPr>
              <w:spacing w:line="276" w:lineRule="auto"/>
              <w:ind w:left="222" w:firstLine="0"/>
              <w:rPr>
                <w:rFonts w:ascii="Times New Roman" w:hAnsi="Times New Roman"/>
                <w:bCs/>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529E48" w14:textId="77777777" w:rsidR="00276DB4" w:rsidRPr="00AC33E5" w:rsidRDefault="00276DB4" w:rsidP="00AC33E5">
            <w:pPr>
              <w:spacing w:line="276" w:lineRule="auto"/>
              <w:ind w:left="282" w:firstLine="0"/>
              <w:rPr>
                <w:rFonts w:ascii="Times New Roman" w:hAnsi="Times New Roman"/>
                <w:bCs/>
                <w:sz w:val="24"/>
                <w:szCs w:val="24"/>
                <w:lang w:val="ro-MD"/>
              </w:rPr>
            </w:pPr>
            <w:r w:rsidRPr="00AC33E5">
              <w:rPr>
                <w:rFonts w:ascii="Times New Roman" w:hAnsi="Times New Roman"/>
                <w:bCs/>
                <w:sz w:val="24"/>
                <w:szCs w:val="24"/>
                <w:lang w:val="ro-MD"/>
              </w:rPr>
              <w:t>2. Prevederile prezentei Reglementări tehnice se aplică:</w:t>
            </w:r>
          </w:p>
          <w:p w14:paraId="6B8EF3D0" w14:textId="77777777" w:rsidR="00276DB4" w:rsidRPr="00AC33E5" w:rsidRDefault="00276DB4" w:rsidP="00AC33E5">
            <w:pPr>
              <w:spacing w:line="276" w:lineRule="auto"/>
              <w:ind w:left="282" w:firstLine="0"/>
              <w:rPr>
                <w:rFonts w:ascii="Times New Roman" w:hAnsi="Times New Roman"/>
                <w:bCs/>
                <w:sz w:val="24"/>
                <w:szCs w:val="24"/>
                <w:lang w:val="ro-MD"/>
              </w:rPr>
            </w:pPr>
            <w:r w:rsidRPr="00AC33E5">
              <w:rPr>
                <w:rFonts w:ascii="Times New Roman" w:hAnsi="Times New Roman"/>
                <w:bCs/>
                <w:sz w:val="24"/>
                <w:szCs w:val="24"/>
                <w:lang w:val="ro-MD"/>
              </w:rPr>
              <w:t>1) noilor echipamente sub presiune transportabile, așa cum sînt definite la pct. 5 subpct. 1), care nu poartă marcajele de conformitate prevăzute de prezenta Reglementare tehnică, în scopul punerii la dispoziție pe piață a echipamentelor respective;</w:t>
            </w:r>
          </w:p>
          <w:p w14:paraId="662C7396" w14:textId="77777777" w:rsidR="00276DB4" w:rsidRPr="00AC33E5" w:rsidRDefault="00276DB4" w:rsidP="00AC33E5">
            <w:pPr>
              <w:spacing w:line="276" w:lineRule="auto"/>
              <w:ind w:left="282" w:firstLine="0"/>
              <w:rPr>
                <w:rFonts w:ascii="Times New Roman" w:hAnsi="Times New Roman"/>
                <w:bCs/>
                <w:sz w:val="24"/>
                <w:szCs w:val="24"/>
                <w:lang w:val="ro-MD"/>
              </w:rPr>
            </w:pPr>
            <w:r w:rsidRPr="00AC33E5">
              <w:rPr>
                <w:rFonts w:ascii="Times New Roman" w:hAnsi="Times New Roman"/>
                <w:bCs/>
                <w:sz w:val="24"/>
                <w:szCs w:val="24"/>
                <w:lang w:val="ro-MD"/>
              </w:rPr>
              <w:t>2) echipamentelor sub presiune transportabile, așa cum sînt definite la pct. 5 subpct. 1), care poartă marcajele de conformitate prevăzute de prezenta Reglementare tehnică, în scopul inspecțiilor periodice și intermediare, al verificărilor inopinate și al utilizării acestora;</w:t>
            </w:r>
          </w:p>
          <w:p w14:paraId="20CF501D" w14:textId="15250951" w:rsidR="00276DB4" w:rsidRPr="00AC33E5" w:rsidRDefault="00085EEF" w:rsidP="00AC33E5">
            <w:pPr>
              <w:spacing w:line="276" w:lineRule="auto"/>
              <w:ind w:left="282" w:hanging="90"/>
              <w:rPr>
                <w:rFonts w:ascii="Times New Roman" w:hAnsi="Times New Roman"/>
                <w:bCs/>
                <w:sz w:val="24"/>
                <w:szCs w:val="24"/>
                <w:lang w:val="ro-MD"/>
              </w:rPr>
            </w:pPr>
            <w:r w:rsidRPr="00AC33E5">
              <w:rPr>
                <w:rFonts w:ascii="Times New Roman" w:hAnsi="Times New Roman"/>
                <w:bCs/>
                <w:sz w:val="24"/>
                <w:szCs w:val="24"/>
                <w:lang w:val="ro-MD"/>
              </w:rPr>
              <w:t xml:space="preserve">  </w:t>
            </w:r>
            <w:r w:rsidR="00276DB4" w:rsidRPr="00AC33E5">
              <w:rPr>
                <w:rFonts w:ascii="Times New Roman" w:hAnsi="Times New Roman"/>
                <w:bCs/>
                <w:sz w:val="24"/>
                <w:szCs w:val="24"/>
                <w:lang w:val="ro-MD"/>
              </w:rPr>
              <w:t xml:space="preserve">3) echipamentelor sub presiune transportabile, așa cum sînt definite la pct. 5 </w:t>
            </w:r>
            <w:r w:rsidR="00276DB4" w:rsidRPr="00AC33E5">
              <w:rPr>
                <w:rFonts w:ascii="Times New Roman" w:hAnsi="Times New Roman"/>
                <w:bCs/>
                <w:sz w:val="24"/>
                <w:szCs w:val="24"/>
                <w:lang w:val="ro-MD"/>
              </w:rPr>
              <w:lastRenderedPageBreak/>
              <w:t>subpct. 1), care nu poartă marcajele de conformitate prevăzute de prezenta Reglementare tehnică, în scopul reevaluării conformității.</w:t>
            </w:r>
          </w:p>
        </w:tc>
      </w:tr>
      <w:tr w:rsidR="00276DB4" w:rsidRPr="0034365B" w14:paraId="35F7EEE0" w14:textId="77777777" w:rsidTr="008E41BE">
        <w:trPr>
          <w:trHeight w:val="468"/>
        </w:trPr>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7FB4E" w14:textId="26819C33" w:rsidR="00276DB4" w:rsidRPr="00AC33E5" w:rsidRDefault="00276DB4" w:rsidP="00AC33E5">
            <w:pPr>
              <w:spacing w:line="276" w:lineRule="auto"/>
              <w:ind w:left="330" w:firstLine="0"/>
              <w:rPr>
                <w:rFonts w:ascii="Times New Roman" w:hAnsi="Times New Roman"/>
                <w:bCs/>
                <w:sz w:val="24"/>
                <w:szCs w:val="24"/>
                <w:lang w:val="ro-MD"/>
              </w:rPr>
            </w:pPr>
            <w:r w:rsidRPr="00AC33E5">
              <w:rPr>
                <w:rFonts w:ascii="Times New Roman" w:hAnsi="Times New Roman"/>
                <w:bCs/>
                <w:sz w:val="24"/>
                <w:szCs w:val="24"/>
                <w:lang w:val="ro-MD"/>
              </w:rPr>
              <w:lastRenderedPageBreak/>
              <w:t>Prezenta Reglementare tehnică nu se aplică echipamentelor sub presiune transportabile care au fost introduse pe piață înainte de data punerii în aplicare a prezentei Reglementări tehnice și care încă nu au făcut obiectul unei evaluări și/sau reevaluări a conformității în corespundere cu standardele europene armonizate.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90B49B" w14:textId="56C68142" w:rsidR="00276DB4" w:rsidRPr="00AC33E5" w:rsidRDefault="00276DB4" w:rsidP="00AC33E5">
            <w:pPr>
              <w:spacing w:line="276" w:lineRule="auto"/>
              <w:ind w:firstLine="0"/>
              <w:rPr>
                <w:rFonts w:ascii="Times New Roman" w:hAnsi="Times New Roman"/>
                <w:bCs/>
                <w:sz w:val="24"/>
                <w:szCs w:val="24"/>
                <w:lang w:val="ro-MD"/>
              </w:rPr>
            </w:pPr>
            <w:r w:rsidRPr="00AC33E5">
              <w:rPr>
                <w:rFonts w:ascii="Times New Roman" w:hAnsi="Times New Roman"/>
                <w:bCs/>
                <w:sz w:val="24"/>
                <w:szCs w:val="24"/>
                <w:lang w:val="ro-MD"/>
              </w:rPr>
              <w:t>1.4.3. la punctul 3, textul ”unei evaluări și/sau reevaluări a conformității în corespundere cu standardele europene armonizate” se substituie cu textul ”unei reevaluări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96D6CE9" w14:textId="5127B667" w:rsidR="00276DB4" w:rsidRPr="00AC33E5" w:rsidRDefault="00276DB4" w:rsidP="00AC33E5">
            <w:pPr>
              <w:spacing w:line="276" w:lineRule="auto"/>
              <w:ind w:left="282" w:firstLine="0"/>
              <w:rPr>
                <w:rFonts w:ascii="Times New Roman" w:hAnsi="Times New Roman"/>
                <w:bCs/>
                <w:sz w:val="24"/>
                <w:szCs w:val="24"/>
                <w:lang w:val="ro-MD"/>
              </w:rPr>
            </w:pPr>
            <w:r w:rsidRPr="00AC33E5">
              <w:rPr>
                <w:rFonts w:ascii="Times New Roman" w:hAnsi="Times New Roman"/>
                <w:bCs/>
                <w:sz w:val="24"/>
                <w:szCs w:val="24"/>
                <w:lang w:val="ro-MD"/>
              </w:rPr>
              <w:t>3. Prezenta Reglementare tehnică nu se aplică echipamentelor sub presiune transportabile care au fost introduse pe piață înainte de data punerii în aplicare a prezentei Reglementări tehnice și care încă nu au făcut obiectul unei reevaluări a conformității.</w:t>
            </w:r>
          </w:p>
        </w:tc>
      </w:tr>
      <w:tr w:rsidR="00276DB4" w:rsidRPr="0034365B" w14:paraId="60EDC644" w14:textId="77777777" w:rsidTr="00276DB4">
        <w:trPr>
          <w:trHeight w:val="1648"/>
        </w:trPr>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EC0AF8" w14:textId="49E440F0" w:rsidR="00276DB4" w:rsidRPr="00AC33E5" w:rsidRDefault="00276DB4" w:rsidP="00AC33E5">
            <w:pPr>
              <w:pStyle w:val="ListParagraph"/>
              <w:spacing w:line="276" w:lineRule="auto"/>
              <w:ind w:left="360" w:firstLine="0"/>
              <w:rPr>
                <w:rFonts w:ascii="Times New Roman" w:hAnsi="Times New Roman"/>
                <w:bCs/>
                <w:sz w:val="24"/>
                <w:szCs w:val="24"/>
                <w:lang w:val="ro-MD"/>
              </w:rPr>
            </w:pPr>
            <w:r w:rsidRPr="00AC33E5">
              <w:rPr>
                <w:rFonts w:ascii="Times New Roman" w:hAnsi="Times New Roman"/>
                <w:bCs/>
                <w:sz w:val="24"/>
                <w:szCs w:val="24"/>
                <w:lang w:val="ro-MD"/>
              </w:rPr>
              <w:t>Prezenta Reglementare tehnică nu se aplică echipamentelor sub presiune transportabile utilizate exclusiv pentru transportul de mărfuri periculoase. Transportul de mărfuri periculoase între statele membre și țări terțe este autorizat în măsura în care acesta respectă cerințele Acordului european referitor la transportul rutier internaţional al mărfurilor periculoase (ADR), şi anexelor acestuia, încheiat la Geneva la 30 septembrie 1957, la care Republica Moldova a aderat prin Hotărîrea Parlamentului nr. 44-XIV din 4 iunie 1998 (Monitorul Oficial al Republicii Moldova, 1998, nr. 54-55, art. 388).</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49C0BEE" w14:textId="77777777" w:rsidR="00276DB4" w:rsidRPr="00AC33E5" w:rsidRDefault="00276DB4" w:rsidP="00AC33E5">
            <w:pPr>
              <w:spacing w:line="276" w:lineRule="auto"/>
              <w:ind w:firstLine="0"/>
              <w:rPr>
                <w:rFonts w:ascii="Times New Roman" w:hAnsi="Times New Roman"/>
                <w:bCs/>
                <w:sz w:val="24"/>
                <w:szCs w:val="24"/>
                <w:lang w:val="ro-MD"/>
              </w:rPr>
            </w:pPr>
            <w:r w:rsidRPr="00AC33E5">
              <w:rPr>
                <w:rFonts w:ascii="Times New Roman" w:hAnsi="Times New Roman"/>
                <w:bCs/>
                <w:sz w:val="24"/>
                <w:szCs w:val="24"/>
                <w:lang w:val="ro-MD"/>
              </w:rPr>
              <w:t xml:space="preserve">1.4.4. la punctul 4, </w:t>
            </w:r>
          </w:p>
          <w:p w14:paraId="01829403" w14:textId="48E8C85A" w:rsidR="00276DB4" w:rsidRPr="00AC33E5" w:rsidRDefault="00276DB4" w:rsidP="00AC33E5">
            <w:pPr>
              <w:spacing w:line="276" w:lineRule="auto"/>
              <w:ind w:firstLine="0"/>
              <w:rPr>
                <w:rFonts w:ascii="Times New Roman" w:hAnsi="Times New Roman"/>
                <w:bCs/>
                <w:sz w:val="24"/>
                <w:szCs w:val="24"/>
                <w:lang w:val="ro-MD"/>
              </w:rPr>
            </w:pPr>
            <w:r w:rsidRPr="00AC33E5">
              <w:rPr>
                <w:rFonts w:ascii="Times New Roman" w:hAnsi="Times New Roman"/>
                <w:bCs/>
                <w:sz w:val="24"/>
                <w:szCs w:val="24"/>
                <w:lang w:val="ro-MD"/>
              </w:rPr>
              <w:t>1.4.4.1. după cuvântul ”(ADR),” se completează cu textul ”şi anexelor acestuia,”;</w:t>
            </w:r>
          </w:p>
          <w:p w14:paraId="546D918D" w14:textId="20F66031" w:rsidR="00276DB4" w:rsidRPr="00AC33E5" w:rsidRDefault="00276DB4" w:rsidP="00AC33E5">
            <w:pPr>
              <w:spacing w:line="276" w:lineRule="auto"/>
              <w:ind w:firstLine="0"/>
              <w:rPr>
                <w:rFonts w:ascii="Times New Roman" w:hAnsi="Times New Roman"/>
                <w:bCs/>
                <w:sz w:val="24"/>
                <w:szCs w:val="24"/>
                <w:lang w:val="ro-MD"/>
              </w:rPr>
            </w:pPr>
            <w:r w:rsidRPr="00AC33E5">
              <w:rPr>
                <w:rFonts w:ascii="Times New Roman" w:hAnsi="Times New Roman"/>
                <w:bCs/>
                <w:sz w:val="24"/>
                <w:szCs w:val="24"/>
                <w:lang w:val="ro-MD"/>
              </w:rPr>
              <w:t>1.4.4.2. cuvintele ”Hotărîrea Parlamentului nr. 44-XIV din 4 iunie 1998” se substituie cu cuvintele ”Hotărîrea Parlamentului nr. 44/1998”;</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75B6AD" w14:textId="26D4EA28" w:rsidR="00276DB4" w:rsidRPr="00AC33E5" w:rsidRDefault="00276DB4" w:rsidP="00AC33E5">
            <w:pPr>
              <w:spacing w:line="276" w:lineRule="auto"/>
              <w:ind w:left="192" w:firstLine="0"/>
              <w:rPr>
                <w:rFonts w:ascii="Times New Roman" w:hAnsi="Times New Roman"/>
                <w:bCs/>
                <w:sz w:val="24"/>
                <w:szCs w:val="24"/>
                <w:lang w:val="ro-MD"/>
              </w:rPr>
            </w:pPr>
            <w:r w:rsidRPr="00AC33E5">
              <w:rPr>
                <w:rFonts w:ascii="Times New Roman" w:hAnsi="Times New Roman"/>
                <w:bCs/>
                <w:sz w:val="24"/>
                <w:szCs w:val="24"/>
                <w:lang w:val="ro-MD"/>
              </w:rPr>
              <w:t>4. Prezenta Reglementare tehnică nu se aplică echipamentelor sub presiune transportabile utilizate exclusiv pentru transportul de mărfuri periculoase. Transportul de mărfuri periculoase între statele membre și țări terțe este autorizat în măsura în care acesta respectă cerințele Acordului european referitor la transportul rutier internaţional al mărfurilor periculoase (ADR), şi anexelor acestuia, încheiat la Geneva la 30 septembrie 1957, la care Republica Moldova a aderat prin Hotărîrea Parlamentului nr. 44/1998 (Monitorul Oficial al Republicii Moldova, 1998, nr. 54-55, art. 388).</w:t>
            </w:r>
          </w:p>
        </w:tc>
      </w:tr>
      <w:tr w:rsidR="00276DB4" w:rsidRPr="00AC33E5" w14:paraId="7D0014A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6B0E0" w14:textId="77777777" w:rsidR="00276DB4" w:rsidRPr="00AC33E5" w:rsidRDefault="00276DB4" w:rsidP="00AC33E5">
            <w:pPr>
              <w:spacing w:line="276" w:lineRule="auto"/>
              <w:ind w:left="252"/>
              <w:rPr>
                <w:rFonts w:ascii="Times New Roman" w:hAnsi="Times New Roman"/>
                <w:sz w:val="24"/>
                <w:szCs w:val="24"/>
                <w:lang w:val="ro-MD"/>
              </w:rPr>
            </w:pPr>
            <w:r w:rsidRPr="00AC33E5">
              <w:rPr>
                <w:rFonts w:ascii="Times New Roman" w:hAnsi="Times New Roman"/>
                <w:b/>
                <w:bCs/>
                <w:sz w:val="24"/>
                <w:szCs w:val="24"/>
                <w:lang w:val="ro-MD"/>
              </w:rPr>
              <w:t>Capitolul II</w:t>
            </w:r>
          </w:p>
          <w:p w14:paraId="6DFC7237" w14:textId="77777777" w:rsidR="00276DB4" w:rsidRPr="00AC33E5" w:rsidRDefault="00276DB4" w:rsidP="00AC33E5">
            <w:pPr>
              <w:spacing w:line="276" w:lineRule="auto"/>
              <w:ind w:left="252"/>
              <w:rPr>
                <w:rFonts w:ascii="Times New Roman" w:hAnsi="Times New Roman"/>
                <w:sz w:val="24"/>
                <w:szCs w:val="24"/>
                <w:lang w:val="ro-MD"/>
              </w:rPr>
            </w:pPr>
            <w:r w:rsidRPr="00AC33E5">
              <w:rPr>
                <w:rFonts w:ascii="Times New Roman" w:hAnsi="Times New Roman"/>
                <w:b/>
                <w:bCs/>
                <w:sz w:val="24"/>
                <w:szCs w:val="24"/>
                <w:lang w:val="ro-MD"/>
              </w:rPr>
              <w:t>DEFINIȚII</w:t>
            </w:r>
          </w:p>
          <w:p w14:paraId="08B6971A" w14:textId="78001BDD" w:rsidR="00276DB4" w:rsidRPr="00AC33E5" w:rsidRDefault="00276DB4" w:rsidP="00AC33E5">
            <w:pPr>
              <w:pStyle w:val="ListParagraph"/>
              <w:numPr>
                <w:ilvl w:val="0"/>
                <w:numId w:val="42"/>
              </w:numPr>
              <w:spacing w:line="276" w:lineRule="auto"/>
              <w:ind w:left="240" w:firstLine="0"/>
              <w:rPr>
                <w:rFonts w:ascii="Times New Roman" w:hAnsi="Times New Roman"/>
                <w:sz w:val="24"/>
                <w:szCs w:val="24"/>
                <w:lang w:val="ro-MD"/>
              </w:rPr>
            </w:pPr>
            <w:r w:rsidRPr="00AC33E5">
              <w:rPr>
                <w:rFonts w:ascii="Times New Roman" w:hAnsi="Times New Roman"/>
                <w:sz w:val="24"/>
                <w:szCs w:val="24"/>
                <w:lang w:val="ro-MD"/>
              </w:rPr>
              <w:lastRenderedPageBreak/>
              <w:t>În sensul prezentei Reglementări tehnice se utilizează noţiunile definite în Legea nr.235 din 1 decembrie 2011 privind activităţile de acreditare şi de evaluare a conformităţii, Legea nr. 420-XVI din 22 decembrie 2006 privind activitatea de reglementare tehnică, Legea nr.162/2023 privind supravegherea pieței și conformitatea produselor, Codul civil al Republicii Moldova nr. 1107-XV din 6 iunie 2002, precum şi următoarele noțiuni:</w:t>
            </w:r>
          </w:p>
          <w:p w14:paraId="1B49076F"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1) echipamente sub presiune transportabile:</w:t>
            </w:r>
          </w:p>
          <w:p w14:paraId="5BAEE332"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a) toate recipientele sub presiune, ventilele acestora și alte accesorii, așa cum sînt prevăzute în capitolul 6.2 din anexele A și B la ADR;</w:t>
            </w:r>
          </w:p>
          <w:p w14:paraId="5F4EE601"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b) cisternele, vehiculele/vagoanele-baterie, containerele pentru gaze cu elemente multiple, ventilele acestora și alte accesorii, așa cum sînt prevăzute în capitolul 6.8 din anexele A și B la ADR, atunci cînd echipamentele menționate la literele a) sau b) sînt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
          <w:p w14:paraId="70DAA354"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 xml:space="preserve">În noțiunea de „echipamente sub presiune transportabile” sînt incluse buteliile de gaz (nr. ONU 2037), dar nu și aerosolii (nr. ONU 1950), recipientele criogenice deschise, buteliile de gaz pentru aparate respiratorii, stingătoarele de </w:t>
            </w:r>
            <w:r w:rsidRPr="00AC33E5">
              <w:rPr>
                <w:rFonts w:ascii="Times New Roman" w:hAnsi="Times New Roman"/>
                <w:sz w:val="24"/>
                <w:szCs w:val="24"/>
                <w:lang w:val="ro-MD"/>
              </w:rPr>
              <w:lastRenderedPageBreak/>
              <w:t>incendii (nr. ONU 1044), echipamentele sub presiune transportabile exceptate în conformitate cu punctul 1.1.3.2 din anexele A și B la ADR și echipamentele sub presiune transportabile exceptate de la normele privind confecționarea și testarea ambalajelor, în conformitate cu dispozițiile speciale de la punctul 3.3 din anexele A și B la ADR;</w:t>
            </w:r>
          </w:p>
          <w:p w14:paraId="0EB8CE19"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2) inspecții intermediare  – inspecții intermediare și proceduri care guvernează inspecțiile intermediare, după cum se prevede în anexele A și B la ADR;</w:t>
            </w:r>
          </w:p>
          <w:p w14:paraId="62C73CDE"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3) inspecții periodice – inspecții periodice și proceduri care guvernează inspecțiile periodice, după cum se prevede în anexele A și B la ADR;</w:t>
            </w:r>
          </w:p>
          <w:p w14:paraId="2E7137F3" w14:textId="0569BBBD" w:rsidR="00276DB4" w:rsidRPr="00AC33E5" w:rsidRDefault="00276DB4" w:rsidP="00AC33E5">
            <w:pPr>
              <w:spacing w:line="276" w:lineRule="auto"/>
              <w:ind w:left="150" w:firstLine="0"/>
              <w:rPr>
                <w:rFonts w:ascii="Times New Roman" w:hAnsi="Times New Roman"/>
                <w:sz w:val="24"/>
                <w:szCs w:val="24"/>
                <w:lang w:val="ro-MD"/>
              </w:rPr>
            </w:pPr>
            <w:r w:rsidRPr="00AC33E5">
              <w:rPr>
                <w:rFonts w:ascii="Times New Roman" w:hAnsi="Times New Roman"/>
                <w:sz w:val="24"/>
                <w:szCs w:val="24"/>
                <w:lang w:val="ro-MD"/>
              </w:rPr>
              <w:t>4) </w:t>
            </w:r>
            <w:r w:rsidRPr="00AC33E5">
              <w:rPr>
                <w:rFonts w:ascii="Times New Roman" w:hAnsi="Times New Roman"/>
                <w:iCs/>
                <w:sz w:val="24"/>
                <w:szCs w:val="24"/>
                <w:lang w:val="ro-MD"/>
              </w:rPr>
              <w:t>marcajul ,,pi” </w:t>
            </w:r>
            <w:r w:rsidRPr="00AC33E5">
              <w:rPr>
                <w:rFonts w:ascii="Times New Roman" w:hAnsi="Times New Roman"/>
                <w:sz w:val="24"/>
                <w:szCs w:val="24"/>
                <w:lang w:val="ro-MD"/>
              </w:rPr>
              <w:t>– marcaj care indică faptul că echipamentele sub presiune transportabile sînt conforme cu cerințele aplicabile de evaluare a conformității prevăzute de prezenta Reglementare tehnică;</w:t>
            </w:r>
          </w:p>
          <w:p w14:paraId="52D329B1" w14:textId="77777777"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5) operator – orice persoană fizică sau juridică care utilizează echipamente sub presiune transportabile;</w:t>
            </w:r>
          </w:p>
          <w:p w14:paraId="3D60566F" w14:textId="2CF6AAA3" w:rsidR="00276DB4" w:rsidRPr="00AC33E5" w:rsidRDefault="00276DB4" w:rsidP="00AC33E5">
            <w:pPr>
              <w:spacing w:line="276" w:lineRule="auto"/>
              <w:ind w:left="192" w:firstLine="0"/>
              <w:rPr>
                <w:rFonts w:ascii="Times New Roman" w:hAnsi="Times New Roman"/>
                <w:sz w:val="24"/>
                <w:szCs w:val="24"/>
                <w:lang w:val="ro-MD"/>
              </w:rPr>
            </w:pPr>
            <w:r w:rsidRPr="00AC33E5">
              <w:rPr>
                <w:rFonts w:ascii="Times New Roman" w:hAnsi="Times New Roman"/>
                <w:sz w:val="24"/>
                <w:szCs w:val="24"/>
                <w:lang w:val="ro-MD"/>
              </w:rPr>
              <w:t>6) reevaluarea conformității – procedură, inițiată la cererea proprietarului sau a operatorului, de evaluare ulterioară a conformității echipamentelor sub presiune transportabile fabricate și introduse pe piață înainte de data punerii în aplicare a prezentei Reglementări tehnice.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27757C" w14:textId="2E30ADFF"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1.4.5. la punctul 5, </w:t>
            </w:r>
          </w:p>
          <w:p w14:paraId="68D2D2D0" w14:textId="0C1B5713"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1.4.5.1. textul </w:t>
            </w:r>
            <w:r w:rsidR="009C441A" w:rsidRPr="00AC33E5">
              <w:rPr>
                <w:rFonts w:ascii="Times New Roman" w:hAnsi="Times New Roman"/>
                <w:sz w:val="24"/>
                <w:szCs w:val="24"/>
                <w:lang w:val="ro-MD"/>
              </w:rPr>
              <w:t>„</w:t>
            </w:r>
            <w:r w:rsidRPr="00AC33E5">
              <w:rPr>
                <w:rFonts w:ascii="Times New Roman" w:hAnsi="Times New Roman"/>
                <w:sz w:val="24"/>
                <w:szCs w:val="24"/>
                <w:lang w:val="ro-MD"/>
              </w:rPr>
              <w:t>Legea nr. 420-XVI din 22 decembrie 2006 privind activitatea de reglementare teh</w:t>
            </w:r>
            <w:r w:rsidR="009C441A" w:rsidRPr="00AC33E5">
              <w:rPr>
                <w:rFonts w:ascii="Times New Roman" w:hAnsi="Times New Roman"/>
                <w:sz w:val="24"/>
                <w:szCs w:val="24"/>
                <w:lang w:val="ro-MD"/>
              </w:rPr>
              <w:t>nică,” se substituie cu textul „</w:t>
            </w:r>
            <w:r w:rsidRPr="00AC33E5">
              <w:rPr>
                <w:rFonts w:ascii="Times New Roman" w:hAnsi="Times New Roman"/>
                <w:sz w:val="24"/>
                <w:szCs w:val="24"/>
                <w:lang w:val="ro-MD"/>
              </w:rPr>
              <w:t>Legea nr. 420/2006 privind activitatea de reglementare tehnică,”;</w:t>
            </w:r>
          </w:p>
          <w:p w14:paraId="3D2AF0B9" w14:textId="0CB168F5"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1.4.5.2. textul ”Codul civil al Republicii Moldova nr. 1107</w:t>
            </w:r>
            <w:r w:rsidRPr="00AC33E5">
              <w:rPr>
                <w:rFonts w:ascii="Times New Roman" w:hAnsi="Times New Roman"/>
                <w:strike/>
                <w:sz w:val="24"/>
                <w:szCs w:val="24"/>
                <w:lang w:val="ro-MD"/>
              </w:rPr>
              <w:t>-</w:t>
            </w:r>
            <w:r w:rsidRPr="00AC33E5">
              <w:rPr>
                <w:rFonts w:ascii="Times New Roman" w:hAnsi="Times New Roman"/>
                <w:sz w:val="24"/>
                <w:szCs w:val="24"/>
                <w:lang w:val="ro-MD"/>
              </w:rPr>
              <w:t>XV din 6 iunie 2002” se substituie cu textul ”Codul civil al Republicii Moldova nr. 1107/2002”;</w:t>
            </w:r>
          </w:p>
          <w:p w14:paraId="13A0238A" w14:textId="798CE1A9" w:rsidR="00276DB4" w:rsidRPr="00AC33E5" w:rsidRDefault="00276DB4"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1.4.5.</w:t>
            </w:r>
            <w:r w:rsidR="009C441A" w:rsidRPr="00AC33E5">
              <w:rPr>
                <w:rFonts w:ascii="Times New Roman" w:hAnsi="Times New Roman"/>
                <w:sz w:val="24"/>
                <w:szCs w:val="24"/>
                <w:lang w:val="ro-MD"/>
              </w:rPr>
              <w:t>3</w:t>
            </w:r>
            <w:r w:rsidRPr="00AC33E5">
              <w:rPr>
                <w:rFonts w:ascii="Times New Roman" w:hAnsi="Times New Roman"/>
                <w:sz w:val="24"/>
                <w:szCs w:val="24"/>
                <w:lang w:val="ro-MD"/>
              </w:rPr>
              <w:t xml:space="preserve">. alin. 4), </w:t>
            </w:r>
            <w:r w:rsidR="009C441A" w:rsidRPr="00AC33E5">
              <w:rPr>
                <w:rFonts w:ascii="Times New Roman" w:hAnsi="Times New Roman"/>
                <w:sz w:val="24"/>
                <w:szCs w:val="24"/>
                <w:lang w:val="ro-MD"/>
              </w:rPr>
              <w:t xml:space="preserve">definiția „marcajul „pi”, </w:t>
            </w:r>
            <w:r w:rsidRPr="00AC33E5">
              <w:rPr>
                <w:rFonts w:ascii="Times New Roman" w:hAnsi="Times New Roman"/>
                <w:sz w:val="24"/>
                <w:szCs w:val="24"/>
                <w:lang w:val="ro-MD"/>
              </w:rPr>
              <w:t xml:space="preserve">după cuvintele ”Reglementare tehnică”, se completează cu cuvintele ”și anexele A și B la ADR”; </w:t>
            </w:r>
          </w:p>
          <w:p w14:paraId="1FF19BAA" w14:textId="04BB5980" w:rsidR="00276DB4"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1.4.5.4. </w:t>
            </w:r>
            <w:r w:rsidR="00276DB4" w:rsidRPr="00AC33E5">
              <w:rPr>
                <w:rFonts w:ascii="Times New Roman" w:hAnsi="Times New Roman"/>
                <w:sz w:val="24"/>
                <w:szCs w:val="24"/>
                <w:lang w:val="ro-MD"/>
              </w:rPr>
              <w:t xml:space="preserve">se completează cu următoarele </w:t>
            </w:r>
            <w:r w:rsidRPr="00AC33E5">
              <w:rPr>
                <w:rFonts w:ascii="Times New Roman" w:hAnsi="Times New Roman"/>
                <w:sz w:val="24"/>
                <w:szCs w:val="24"/>
                <w:lang w:val="ro-MD"/>
              </w:rPr>
              <w:t>definiții, în ordine alfabetică, după cum urmează</w:t>
            </w:r>
            <w:r w:rsidR="00276DB4" w:rsidRPr="00AC33E5">
              <w:rPr>
                <w:rFonts w:ascii="Times New Roman" w:hAnsi="Times New Roman"/>
                <w:sz w:val="24"/>
                <w:szCs w:val="24"/>
                <w:lang w:val="ro-MD"/>
              </w:rPr>
              <w:t>:</w:t>
            </w:r>
          </w:p>
          <w:p w14:paraId="21A667B0" w14:textId="2031840A" w:rsidR="00276DB4" w:rsidRPr="00AC33E5" w:rsidRDefault="00276DB4"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w:t>
            </w:r>
            <w:r w:rsidR="009C441A" w:rsidRPr="00AC33E5">
              <w:rPr>
                <w:rFonts w:ascii="Times New Roman" w:hAnsi="Times New Roman"/>
                <w:sz w:val="24"/>
                <w:szCs w:val="24"/>
                <w:lang w:val="ro-MD"/>
              </w:rPr>
              <w:t>7</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acreditare</w:t>
            </w:r>
            <w:r w:rsidRPr="00AC33E5">
              <w:rPr>
                <w:rFonts w:ascii="Times New Roman" w:hAnsi="Times New Roman"/>
                <w:sz w:val="24"/>
                <w:szCs w:val="24"/>
                <w:lang w:val="ro-MD"/>
              </w:rPr>
              <w:t xml:space="preserve"> – acreditarea în sensul definiţiei de la art.2 din </w:t>
            </w:r>
            <w:hyperlink r:id="rId11" w:history="1">
              <w:r w:rsidRPr="00AC33E5">
                <w:rPr>
                  <w:rStyle w:val="Hyperlink"/>
                  <w:rFonts w:ascii="Times New Roman" w:hAnsi="Times New Roman"/>
                  <w:color w:val="auto"/>
                  <w:sz w:val="24"/>
                  <w:szCs w:val="24"/>
                  <w:u w:val="none"/>
                  <w:lang w:val="ro-MD"/>
                </w:rPr>
                <w:t>Legea nr.235/2011</w:t>
              </w:r>
            </w:hyperlink>
            <w:r w:rsidRPr="00AC33E5">
              <w:rPr>
                <w:rFonts w:ascii="Times New Roman" w:hAnsi="Times New Roman"/>
                <w:sz w:val="24"/>
                <w:szCs w:val="24"/>
                <w:lang w:val="ro-MD"/>
              </w:rPr>
              <w:t xml:space="preserve"> privind activităţile de acreditare şi de evaluare a conformităţii;</w:t>
            </w:r>
          </w:p>
          <w:p w14:paraId="07E48336" w14:textId="5BD29256"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8</w:t>
            </w:r>
            <w:r w:rsidR="00276DB4" w:rsidRPr="00AC33E5">
              <w:rPr>
                <w:rFonts w:ascii="Times New Roman" w:hAnsi="Times New Roman"/>
                <w:sz w:val="24"/>
                <w:szCs w:val="24"/>
                <w:lang w:val="ro-MD"/>
              </w:rPr>
              <w:t xml:space="preserve">) </w:t>
            </w:r>
            <w:r w:rsidR="00276DB4" w:rsidRPr="00AC33E5">
              <w:rPr>
                <w:rFonts w:ascii="Times New Roman" w:hAnsi="Times New Roman"/>
                <w:i/>
                <w:iCs/>
                <w:sz w:val="24"/>
                <w:szCs w:val="24"/>
                <w:lang w:val="ro-MD"/>
              </w:rPr>
              <w:t>autoritate de notificare</w:t>
            </w:r>
            <w:r w:rsidR="00276DB4" w:rsidRPr="00AC33E5">
              <w:rPr>
                <w:rFonts w:ascii="Times New Roman" w:hAnsi="Times New Roman"/>
                <w:sz w:val="24"/>
                <w:szCs w:val="24"/>
                <w:lang w:val="ro-MD"/>
              </w:rPr>
              <w:t xml:space="preserve"> - autoritatea desemnată responsabilă, în limitele competențelor sale, pentru notificarea organismelor de evaluare a conformităţii acreditate în sensul prezentei Reglementări tehnice;</w:t>
            </w:r>
          </w:p>
          <w:p w14:paraId="648A71E7" w14:textId="40F269AC"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9</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distribuitor</w:t>
            </w:r>
            <w:r w:rsidR="00276DB4" w:rsidRPr="00AC33E5">
              <w:rPr>
                <w:rFonts w:ascii="Times New Roman" w:hAnsi="Times New Roman"/>
                <w:sz w:val="24"/>
                <w:szCs w:val="24"/>
                <w:lang w:val="ro-MD"/>
              </w:rPr>
              <w:t xml:space="preserve"> – orice persoană fizică sau juridică din lanţul de </w:t>
            </w:r>
            <w:r w:rsidR="00276DB4" w:rsidRPr="00AC33E5">
              <w:rPr>
                <w:rFonts w:ascii="Times New Roman" w:hAnsi="Times New Roman"/>
                <w:sz w:val="24"/>
                <w:szCs w:val="24"/>
                <w:lang w:val="ro-MD"/>
              </w:rPr>
              <w:lastRenderedPageBreak/>
              <w:t>aprovizionare, alta decât producătorul sau importatorul, care pune la dispoziţie pe piaţă un echipament sub presiune transportabil;</w:t>
            </w:r>
          </w:p>
          <w:p w14:paraId="2E40891B" w14:textId="27E455D0"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10</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evaluare a conformităţii</w:t>
            </w:r>
            <w:r w:rsidR="00276DB4" w:rsidRPr="00AC33E5">
              <w:rPr>
                <w:rFonts w:ascii="Times New Roman" w:hAnsi="Times New Roman"/>
                <w:sz w:val="24"/>
                <w:szCs w:val="24"/>
                <w:lang w:val="ro-MD"/>
              </w:rPr>
              <w:t xml:space="preserve"> – procesul prin care se verifică dacă au fost îndeplinite cerinţele esenţiale prevăzute de prezenta Reglementare tehnică cu privire la un echipament sub presiune transportabil;</w:t>
            </w:r>
          </w:p>
          <w:p w14:paraId="7CD890A5" w14:textId="4E95CBFE" w:rsidR="00276DB4" w:rsidRPr="00AC33E5" w:rsidRDefault="00276DB4"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w:t>
            </w:r>
            <w:r w:rsidR="009C441A" w:rsidRPr="00AC33E5">
              <w:rPr>
                <w:rFonts w:ascii="Times New Roman" w:hAnsi="Times New Roman"/>
                <w:sz w:val="24"/>
                <w:szCs w:val="24"/>
                <w:lang w:val="ro-MD"/>
              </w:rPr>
              <w:t>1</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importator</w:t>
            </w:r>
            <w:r w:rsidRPr="00AC33E5">
              <w:rPr>
                <w:rFonts w:ascii="Times New Roman" w:hAnsi="Times New Roman"/>
                <w:sz w:val="24"/>
                <w:szCs w:val="24"/>
                <w:lang w:val="ro-MD"/>
              </w:rPr>
              <w:t xml:space="preserve"> – orice persoană fizică sau juridică stabilită în Republica Moldova care introduce pe piaţa Republicii Moldova un echipament sub presiune transportabil dintr-o ţară terţă;</w:t>
            </w:r>
          </w:p>
          <w:p w14:paraId="1B3200DB" w14:textId="7E03C6E6"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12</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introducere pe piaţă</w:t>
            </w:r>
            <w:r w:rsidR="00276DB4" w:rsidRPr="00AC33E5">
              <w:rPr>
                <w:rFonts w:ascii="Times New Roman" w:hAnsi="Times New Roman"/>
                <w:sz w:val="24"/>
                <w:szCs w:val="24"/>
                <w:lang w:val="ro-MD"/>
              </w:rPr>
              <w:t xml:space="preserve"> – punerea la dispoziţie pentru prima dată a unui echipament sub presiune transportabil pe piaţa Republicii Moldova;</w:t>
            </w:r>
          </w:p>
          <w:p w14:paraId="68578F39" w14:textId="17C92D78"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13</w:t>
            </w:r>
            <w:r w:rsidR="00276DB4" w:rsidRPr="00AC33E5">
              <w:rPr>
                <w:rFonts w:ascii="Times New Roman" w:hAnsi="Times New Roman"/>
                <w:sz w:val="24"/>
                <w:szCs w:val="24"/>
                <w:lang w:val="ro-MD"/>
              </w:rPr>
              <w:t xml:space="preserve">) </w:t>
            </w:r>
            <w:r w:rsidR="00276DB4" w:rsidRPr="00AC33E5">
              <w:rPr>
                <w:rFonts w:ascii="Times New Roman" w:hAnsi="Times New Roman"/>
                <w:i/>
                <w:iCs/>
                <w:sz w:val="24"/>
                <w:szCs w:val="24"/>
                <w:lang w:val="ro-MD"/>
              </w:rPr>
              <w:t>notificare</w:t>
            </w:r>
            <w:r w:rsidR="00276DB4" w:rsidRPr="00AC33E5">
              <w:rPr>
                <w:rFonts w:ascii="Times New Roman" w:hAnsi="Times New Roman"/>
                <w:sz w:val="24"/>
                <w:szCs w:val="24"/>
                <w:lang w:val="ro-MD"/>
              </w:rPr>
              <w:t xml:space="preserve"> - este procesul prin care se acordă unui organism de evaluare a conformității recunoscut în vederea notificării statutul de organism notificat și include comunicarea acestor informații Comisiei și statelor membre; </w:t>
            </w:r>
          </w:p>
          <w:p w14:paraId="021E6A5B" w14:textId="6B6707B4"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lastRenderedPageBreak/>
              <w:t>14</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operator economic</w:t>
            </w:r>
            <w:r w:rsidR="00276DB4" w:rsidRPr="00AC33E5">
              <w:rPr>
                <w:rFonts w:ascii="Times New Roman" w:hAnsi="Times New Roman"/>
                <w:sz w:val="24"/>
                <w:szCs w:val="24"/>
                <w:lang w:val="ro-MD"/>
              </w:rPr>
              <w:t xml:space="preserve"> - este producătorul, reprezentantul autorizat, importatorul, distribuitorul, proprietarul sau operatorul care intervine în cursul unei activități comerciale sau al unui serviciu public, fie contra unei plăți, fie în mod gratuit; </w:t>
            </w:r>
          </w:p>
          <w:p w14:paraId="63E2E712" w14:textId="00BD9A4A" w:rsidR="00276DB4" w:rsidRPr="00AC33E5" w:rsidRDefault="009C441A" w:rsidP="00AC33E5">
            <w:pPr>
              <w:tabs>
                <w:tab w:val="left" w:pos="810"/>
              </w:tabs>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w:t>
            </w:r>
            <w:r w:rsidR="00276DB4" w:rsidRPr="00AC33E5">
              <w:rPr>
                <w:rFonts w:ascii="Times New Roman" w:hAnsi="Times New Roman"/>
                <w:sz w:val="24"/>
                <w:szCs w:val="24"/>
                <w:lang w:val="ro-MD"/>
              </w:rPr>
              <w:t>5)</w:t>
            </w:r>
            <w:r w:rsidR="00276DB4" w:rsidRPr="00AC33E5">
              <w:rPr>
                <w:rFonts w:ascii="Times New Roman" w:hAnsi="Times New Roman"/>
                <w:i/>
                <w:iCs/>
                <w:sz w:val="24"/>
                <w:szCs w:val="24"/>
                <w:lang w:val="ro-MD"/>
              </w:rPr>
              <w:t xml:space="preserve"> organism de evaluare a conformităţii</w:t>
            </w:r>
            <w:r w:rsidR="00276DB4" w:rsidRPr="00AC33E5">
              <w:rPr>
                <w:rFonts w:ascii="Times New Roman" w:hAnsi="Times New Roman"/>
                <w:sz w:val="24"/>
                <w:szCs w:val="24"/>
                <w:lang w:val="ro-MD"/>
              </w:rPr>
              <w:t xml:space="preserve"> – este organismul care efectuează activităţi de evaluare a conformităţii, inclusiv etalonare, testare, certificare şi inspecţie;</w:t>
            </w:r>
          </w:p>
          <w:p w14:paraId="12C7785C" w14:textId="636177C5" w:rsidR="00276DB4" w:rsidRPr="00AC33E5" w:rsidRDefault="009C441A" w:rsidP="00AC33E5">
            <w:pPr>
              <w:tabs>
                <w:tab w:val="left" w:pos="810"/>
              </w:tabs>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16</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organism naţional de acreditare</w:t>
            </w:r>
            <w:r w:rsidR="00276DB4" w:rsidRPr="00AC33E5">
              <w:rPr>
                <w:rFonts w:ascii="Times New Roman" w:hAnsi="Times New Roman"/>
                <w:sz w:val="24"/>
                <w:szCs w:val="24"/>
                <w:lang w:val="ro-MD"/>
              </w:rPr>
              <w:t xml:space="preserve"> – este organismul naţional de acreditare în sensul definiţiei de la art.2 din </w:t>
            </w:r>
            <w:hyperlink r:id="rId12" w:history="1">
              <w:r w:rsidR="00276DB4" w:rsidRPr="00AC33E5">
                <w:rPr>
                  <w:rStyle w:val="Hyperlink"/>
                  <w:rFonts w:ascii="Times New Roman" w:hAnsi="Times New Roman"/>
                  <w:color w:val="auto"/>
                  <w:sz w:val="24"/>
                  <w:szCs w:val="24"/>
                  <w:u w:val="none"/>
                  <w:lang w:val="ro-MD"/>
                </w:rPr>
                <w:t>Legea nr.235/2011</w:t>
              </w:r>
            </w:hyperlink>
            <w:r w:rsidR="00276DB4" w:rsidRPr="00AC33E5">
              <w:rPr>
                <w:rFonts w:ascii="Times New Roman" w:hAnsi="Times New Roman"/>
                <w:sz w:val="24"/>
                <w:szCs w:val="24"/>
                <w:lang w:val="ro-MD"/>
              </w:rPr>
              <w:t xml:space="preserve"> privind activităţile de acreditare şi de evaluare a conformităţii; </w:t>
            </w:r>
          </w:p>
          <w:p w14:paraId="09610B3C" w14:textId="00F63113" w:rsidR="00276DB4" w:rsidRPr="00AC33E5" w:rsidRDefault="009C441A" w:rsidP="00AC33E5">
            <w:pPr>
              <w:tabs>
                <w:tab w:val="left" w:pos="810"/>
              </w:tabs>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17</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producători</w:t>
            </w:r>
            <w:r w:rsidR="00276DB4" w:rsidRPr="00AC33E5">
              <w:rPr>
                <w:rFonts w:ascii="Times New Roman" w:hAnsi="Times New Roman"/>
                <w:sz w:val="24"/>
                <w:szCs w:val="24"/>
                <w:lang w:val="ro-MD"/>
              </w:rPr>
              <w:t xml:space="preserve"> – orice persoană fizică sau juridică care fabrică un aparat sau pentru care se proiectează sau se fabrică un astfel de aparat şi care comercializează aparatul în cauză sub numele sau marca sa;</w:t>
            </w:r>
          </w:p>
          <w:p w14:paraId="6AF8BDE8" w14:textId="71A5D83E" w:rsidR="00276DB4" w:rsidRPr="00AC33E5" w:rsidRDefault="009C441A" w:rsidP="00AC33E5">
            <w:pPr>
              <w:tabs>
                <w:tab w:val="left" w:pos="810"/>
              </w:tabs>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18</w:t>
            </w:r>
            <w:r w:rsidR="00276DB4" w:rsidRPr="00AC33E5">
              <w:rPr>
                <w:rFonts w:ascii="Times New Roman" w:hAnsi="Times New Roman"/>
                <w:sz w:val="24"/>
                <w:szCs w:val="24"/>
                <w:lang w:val="ro-MD"/>
              </w:rPr>
              <w:t>) proprietar – este orice persoană fizică sau juridică care deține echipamente sub presiune transportabile;</w:t>
            </w:r>
          </w:p>
          <w:p w14:paraId="639A6790" w14:textId="3969B704"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lastRenderedPageBreak/>
              <w:t>19</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punere la dispoziţie pe piaţă </w:t>
            </w:r>
            <w:r w:rsidR="00276DB4" w:rsidRPr="00AC33E5">
              <w:rPr>
                <w:rFonts w:ascii="Times New Roman" w:hAnsi="Times New Roman"/>
                <w:sz w:val="24"/>
                <w:szCs w:val="24"/>
                <w:lang w:val="ro-MD"/>
              </w:rPr>
              <w:t>– furnizarea unui aparat pentru distribuţie, consum sau uz pe piaţa Republicii Moldova în cursul unei activităţi comerciale, contra cost sau gratuit;</w:t>
            </w:r>
          </w:p>
          <w:p w14:paraId="3583E9F0" w14:textId="6EAE69F7"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20</w:t>
            </w:r>
            <w:r w:rsidR="00276DB4" w:rsidRPr="00AC33E5">
              <w:rPr>
                <w:rFonts w:ascii="Times New Roman" w:hAnsi="Times New Roman"/>
                <w:sz w:val="24"/>
                <w:szCs w:val="24"/>
                <w:lang w:val="ro-MD"/>
              </w:rPr>
              <w:t xml:space="preserve">) </w:t>
            </w:r>
            <w:r w:rsidR="00276DB4" w:rsidRPr="00AC33E5">
              <w:rPr>
                <w:rFonts w:ascii="Times New Roman" w:hAnsi="Times New Roman"/>
                <w:i/>
                <w:iCs/>
                <w:sz w:val="24"/>
                <w:szCs w:val="24"/>
                <w:lang w:val="ro-MD"/>
              </w:rPr>
              <w:t>rechemare</w:t>
            </w:r>
            <w:r w:rsidR="00276DB4" w:rsidRPr="00AC33E5">
              <w:rPr>
                <w:rFonts w:ascii="Times New Roman" w:hAnsi="Times New Roman"/>
                <w:sz w:val="24"/>
                <w:szCs w:val="24"/>
                <w:lang w:val="ro-MD"/>
              </w:rPr>
              <w:t xml:space="preserve"> – orice măsură cu scopul de a returna un echipament sub presiune transportabil care a fost pus deja la dispoziţia utilizatorului final;</w:t>
            </w:r>
          </w:p>
          <w:p w14:paraId="20B261E0" w14:textId="5B37185C"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21</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reprezentant autorizat</w:t>
            </w:r>
            <w:r w:rsidR="00276DB4" w:rsidRPr="00AC33E5">
              <w:rPr>
                <w:rFonts w:ascii="Times New Roman" w:hAnsi="Times New Roman"/>
                <w:sz w:val="24"/>
                <w:szCs w:val="24"/>
                <w:lang w:val="ro-MD"/>
              </w:rPr>
              <w:t xml:space="preserve"> – orice persoană fizică sau juridică stabilită în Republica Moldova care a primit un mandat scris din partea unui producător de a acţiona în numele acestuia sarcini specifice;</w:t>
            </w:r>
          </w:p>
          <w:p w14:paraId="76617F00" w14:textId="0836C776" w:rsidR="00276DB4" w:rsidRPr="00AC33E5" w:rsidRDefault="009C441A" w:rsidP="00AC33E5">
            <w:pPr>
              <w:spacing w:line="276" w:lineRule="auto"/>
              <w:ind w:left="174" w:firstLine="0"/>
              <w:rPr>
                <w:rFonts w:ascii="Times New Roman" w:hAnsi="Times New Roman"/>
                <w:sz w:val="24"/>
                <w:szCs w:val="24"/>
                <w:lang w:val="ro-MD"/>
              </w:rPr>
            </w:pPr>
            <w:r w:rsidRPr="00AC33E5">
              <w:rPr>
                <w:rFonts w:ascii="Times New Roman" w:hAnsi="Times New Roman"/>
                <w:sz w:val="24"/>
                <w:szCs w:val="24"/>
                <w:lang w:val="ro-MD"/>
              </w:rPr>
              <w:t>22</w:t>
            </w:r>
            <w:r w:rsidR="00276DB4" w:rsidRPr="00AC33E5">
              <w:rPr>
                <w:rFonts w:ascii="Times New Roman" w:hAnsi="Times New Roman"/>
                <w:sz w:val="24"/>
                <w:szCs w:val="24"/>
                <w:lang w:val="ro-MD"/>
              </w:rPr>
              <w:t>)</w:t>
            </w:r>
            <w:r w:rsidR="00276DB4" w:rsidRPr="00AC33E5">
              <w:rPr>
                <w:rFonts w:ascii="Times New Roman" w:hAnsi="Times New Roman"/>
                <w:i/>
                <w:iCs/>
                <w:sz w:val="24"/>
                <w:szCs w:val="24"/>
                <w:lang w:val="ro-MD"/>
              </w:rPr>
              <w:t xml:space="preserve"> retragere</w:t>
            </w:r>
            <w:r w:rsidR="00276DB4" w:rsidRPr="00AC33E5">
              <w:rPr>
                <w:rFonts w:ascii="Times New Roman" w:hAnsi="Times New Roman"/>
                <w:sz w:val="24"/>
                <w:szCs w:val="24"/>
                <w:lang w:val="ro-MD"/>
              </w:rPr>
              <w:t xml:space="preserve"> – orice măsură cu scopul de a împiedica punerea la dispoziţie pe piaţă a unui echipament sub presiune transportabil din lanţul de aprovizionare;</w:t>
            </w:r>
          </w:p>
          <w:p w14:paraId="33E0B585" w14:textId="6B4FDCA3" w:rsidR="00276DB4" w:rsidRPr="00AC33E5" w:rsidRDefault="009C441A" w:rsidP="00AC33E5">
            <w:pPr>
              <w:spacing w:line="276" w:lineRule="auto"/>
              <w:ind w:left="174" w:firstLine="0"/>
              <w:rPr>
                <w:rFonts w:ascii="Times New Roman" w:hAnsi="Times New Roman"/>
                <w:b/>
                <w:sz w:val="24"/>
                <w:szCs w:val="24"/>
                <w:lang w:val="ro-MD"/>
              </w:rPr>
            </w:pPr>
            <w:r w:rsidRPr="00AC33E5">
              <w:rPr>
                <w:rFonts w:ascii="Times New Roman" w:hAnsi="Times New Roman"/>
                <w:sz w:val="24"/>
                <w:szCs w:val="24"/>
                <w:lang w:val="ro-MD"/>
              </w:rPr>
              <w:t>23</w:t>
            </w:r>
            <w:r w:rsidR="00276DB4" w:rsidRPr="00AC33E5">
              <w:rPr>
                <w:rFonts w:ascii="Times New Roman" w:hAnsi="Times New Roman"/>
                <w:sz w:val="24"/>
                <w:szCs w:val="24"/>
                <w:lang w:val="ro-MD"/>
              </w:rPr>
              <w:t xml:space="preserve">) </w:t>
            </w:r>
            <w:r w:rsidR="00276DB4" w:rsidRPr="00AC33E5">
              <w:rPr>
                <w:rFonts w:ascii="Times New Roman" w:hAnsi="Times New Roman"/>
                <w:i/>
                <w:sz w:val="24"/>
                <w:szCs w:val="24"/>
                <w:lang w:val="ro-MD"/>
              </w:rPr>
              <w:t>utilizare</w:t>
            </w:r>
            <w:r w:rsidR="00276DB4" w:rsidRPr="00AC33E5">
              <w:rPr>
                <w:rFonts w:ascii="Times New Roman" w:hAnsi="Times New Roman"/>
                <w:sz w:val="24"/>
                <w:szCs w:val="24"/>
                <w:lang w:val="ro-MD"/>
              </w:rPr>
              <w:t xml:space="preserve"> este umplerea, depozitarea temporară legată de transport, golirea și reumplerea echipamentelor sub presiune transportabile.”;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9DDCC5" w14:textId="77777777" w:rsidR="00276DB4" w:rsidRPr="00AC33E5" w:rsidRDefault="00276DB4" w:rsidP="00AC33E5">
            <w:pPr>
              <w:spacing w:line="276" w:lineRule="auto"/>
              <w:ind w:left="246" w:firstLine="0"/>
              <w:jc w:val="center"/>
              <w:rPr>
                <w:rFonts w:ascii="Times New Roman" w:hAnsi="Times New Roman"/>
                <w:sz w:val="24"/>
                <w:szCs w:val="24"/>
                <w:lang w:val="ro-MD"/>
              </w:rPr>
            </w:pPr>
            <w:r w:rsidRPr="00AC33E5">
              <w:rPr>
                <w:rFonts w:ascii="Times New Roman" w:hAnsi="Times New Roman"/>
                <w:b/>
                <w:bCs/>
                <w:sz w:val="24"/>
                <w:szCs w:val="24"/>
                <w:lang w:val="ro-MD"/>
              </w:rPr>
              <w:lastRenderedPageBreak/>
              <w:t>Capitolul II</w:t>
            </w:r>
          </w:p>
          <w:p w14:paraId="622B33F3" w14:textId="77777777" w:rsidR="00276DB4" w:rsidRPr="00AC33E5" w:rsidRDefault="00276DB4" w:rsidP="00AC33E5">
            <w:pPr>
              <w:spacing w:line="276" w:lineRule="auto"/>
              <w:ind w:left="246" w:firstLine="0"/>
              <w:jc w:val="center"/>
              <w:rPr>
                <w:rFonts w:ascii="Times New Roman" w:hAnsi="Times New Roman"/>
                <w:sz w:val="24"/>
                <w:szCs w:val="24"/>
                <w:lang w:val="ro-MD"/>
              </w:rPr>
            </w:pPr>
            <w:r w:rsidRPr="00AC33E5">
              <w:rPr>
                <w:rFonts w:ascii="Times New Roman" w:hAnsi="Times New Roman"/>
                <w:b/>
                <w:bCs/>
                <w:sz w:val="24"/>
                <w:szCs w:val="24"/>
                <w:lang w:val="ro-MD"/>
              </w:rPr>
              <w:t>DEFINIȚII</w:t>
            </w:r>
          </w:p>
          <w:p w14:paraId="2E74EEEF"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lastRenderedPageBreak/>
              <w:t>5. În sensul prezentei Reglementări tehnice se utilizează noţiunile definite în Legea nr.235/2011 privind activităţile de acreditare şi de evaluare a conformităţii, Legea nr. 420/2006 privind activitatea de reglementare tehnică, Legea nr.162/2023 privind supravegherea pieței și conformitatea produselor, Codul civil al Republicii Moldova nr. 1107/2002, precum şi următoarele noțiuni:</w:t>
            </w:r>
          </w:p>
          <w:p w14:paraId="56FF11C0"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 echipamente sub presiune transportabile:</w:t>
            </w:r>
          </w:p>
          <w:p w14:paraId="1258E52B"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a) toate recipientele sub presiune, ventilele acestora și alte accesorii, așa cum sînt prevăzute în capitolul 6.2 din anexele A și B la ADR;</w:t>
            </w:r>
          </w:p>
          <w:p w14:paraId="775C641B"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b) cisternele, vehiculele/vagoanele-baterie, containerele pentru gaze cu elemente multiple, ventilele acestora și alte accesorii, așa cum sînt prevăzute în capitolul 6.8 din anexele A și B la ADR, atunci cînd echipamentele menționate la literele a) sau b) sînt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
          <w:p w14:paraId="2E795692"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 xml:space="preserve">În noțiunea de „echipamente sub presiune transportabile” sînt incluse buteliile de gaz (nr. ONU 2037), dar nu și aerosolii (nr. ONU </w:t>
            </w:r>
            <w:r w:rsidRPr="00AC33E5">
              <w:rPr>
                <w:rFonts w:ascii="Times New Roman" w:hAnsi="Times New Roman"/>
                <w:sz w:val="24"/>
                <w:szCs w:val="24"/>
                <w:lang w:val="ro-MD"/>
              </w:rPr>
              <w:lastRenderedPageBreak/>
              <w:t>1950), recipientele criogenice deschise, buteliile de gaz pentru aparate respiratorii, stingătoarele de incendii (nr. ONU 1044), echipamentele sub presiune transportabile exceptate în conformitate cu punctul 1.1.3.2 din anexele A și B la ADR și echipamentele sub presiune transportabile exceptate de la normele privind confecționarea și testarea ambalajelor, în conformitate cu dispozițiile speciale de la punctul 3.3 din anexele A și B la ADR;</w:t>
            </w:r>
          </w:p>
          <w:p w14:paraId="455516CA"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acreditare</w:t>
            </w:r>
            <w:r w:rsidRPr="00AC33E5">
              <w:rPr>
                <w:rFonts w:ascii="Times New Roman" w:hAnsi="Times New Roman"/>
                <w:sz w:val="24"/>
                <w:szCs w:val="24"/>
                <w:lang w:val="ro-MD"/>
              </w:rPr>
              <w:t xml:space="preserve"> – acreditarea în sensul definiţiei de la art.2 din </w:t>
            </w:r>
            <w:hyperlink r:id="rId13" w:history="1">
              <w:r w:rsidRPr="00AC33E5">
                <w:rPr>
                  <w:rStyle w:val="Hyperlink"/>
                  <w:rFonts w:ascii="Times New Roman" w:hAnsi="Times New Roman"/>
                  <w:color w:val="auto"/>
                  <w:sz w:val="24"/>
                  <w:szCs w:val="24"/>
                  <w:u w:val="none"/>
                  <w:lang w:val="ro-MD"/>
                </w:rPr>
                <w:t>Legea nr.235/2011</w:t>
              </w:r>
            </w:hyperlink>
            <w:r w:rsidRPr="00AC33E5">
              <w:rPr>
                <w:rFonts w:ascii="Times New Roman" w:hAnsi="Times New Roman"/>
                <w:sz w:val="24"/>
                <w:szCs w:val="24"/>
                <w:lang w:val="ro-MD"/>
              </w:rPr>
              <w:t xml:space="preserve"> privind activităţile de acreditare şi de evaluare a conformităţii;</w:t>
            </w:r>
          </w:p>
          <w:p w14:paraId="6C5829F5"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autoritate de notificare</w:t>
            </w:r>
            <w:r w:rsidRPr="00AC33E5">
              <w:rPr>
                <w:rFonts w:ascii="Times New Roman" w:hAnsi="Times New Roman"/>
                <w:sz w:val="24"/>
                <w:szCs w:val="24"/>
                <w:lang w:val="ro-MD"/>
              </w:rPr>
              <w:t xml:space="preserve"> - autoritatea desemnată responsabilă, în limitele competențelor sale, pentru notificarea organismelor de evaluare a conformităţii acreditate în sensul prezentei Reglementări tehnice;</w:t>
            </w:r>
          </w:p>
          <w:p w14:paraId="0D4E9ADC"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w:t>
            </w:r>
            <w:r w:rsidRPr="00AC33E5">
              <w:rPr>
                <w:rFonts w:ascii="Times New Roman" w:hAnsi="Times New Roman"/>
                <w:sz w:val="24"/>
                <w:szCs w:val="24"/>
                <w:vertAlign w:val="superscript"/>
                <w:lang w:val="ro-MD"/>
              </w:rPr>
              <w:t>3</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distribuitor</w:t>
            </w:r>
            <w:r w:rsidRPr="00AC33E5">
              <w:rPr>
                <w:rFonts w:ascii="Times New Roman" w:hAnsi="Times New Roman"/>
                <w:sz w:val="24"/>
                <w:szCs w:val="24"/>
                <w:lang w:val="ro-MD"/>
              </w:rPr>
              <w:t xml:space="preserve"> – orice persoană fizică sau juridică din lanţul de aprovizionare, alta decât producătorul sau importatorul, care pune la dispoziţie pe piaţă un echipament sub presiune transportabil;</w:t>
            </w:r>
          </w:p>
          <w:p w14:paraId="1B97B155"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w:t>
            </w:r>
            <w:r w:rsidRPr="00AC33E5">
              <w:rPr>
                <w:rFonts w:ascii="Times New Roman" w:hAnsi="Times New Roman"/>
                <w:sz w:val="24"/>
                <w:szCs w:val="24"/>
                <w:vertAlign w:val="superscript"/>
                <w:lang w:val="ro-MD"/>
              </w:rPr>
              <w:t>4</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evaluare a conformităţii</w:t>
            </w:r>
            <w:r w:rsidRPr="00AC33E5">
              <w:rPr>
                <w:rFonts w:ascii="Times New Roman" w:hAnsi="Times New Roman"/>
                <w:sz w:val="24"/>
                <w:szCs w:val="24"/>
                <w:lang w:val="ro-MD"/>
              </w:rPr>
              <w:t xml:space="preserve"> – procesul prin care se verifică dacă au fost îndeplinite cerinţele esenţiale prevăzute de prezenta </w:t>
            </w:r>
            <w:r w:rsidRPr="00AC33E5">
              <w:rPr>
                <w:rFonts w:ascii="Times New Roman" w:hAnsi="Times New Roman"/>
                <w:sz w:val="24"/>
                <w:szCs w:val="24"/>
                <w:lang w:val="ro-MD"/>
              </w:rPr>
              <w:lastRenderedPageBreak/>
              <w:t>Reglementare tehnică cu privire la un echipament sub presiune transportabil;</w:t>
            </w:r>
          </w:p>
          <w:p w14:paraId="257AC154"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1</w:t>
            </w:r>
            <w:r w:rsidRPr="00AC33E5">
              <w:rPr>
                <w:rFonts w:ascii="Times New Roman" w:hAnsi="Times New Roman"/>
                <w:sz w:val="24"/>
                <w:szCs w:val="24"/>
                <w:vertAlign w:val="superscript"/>
                <w:lang w:val="ro-MD"/>
              </w:rPr>
              <w:t>5</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importator</w:t>
            </w:r>
            <w:r w:rsidRPr="00AC33E5">
              <w:rPr>
                <w:rFonts w:ascii="Times New Roman" w:hAnsi="Times New Roman"/>
                <w:sz w:val="24"/>
                <w:szCs w:val="24"/>
                <w:lang w:val="ro-MD"/>
              </w:rPr>
              <w:t xml:space="preserve"> – orice persoană fizică sau juridică stabilită în Republica Moldova care introduce pe piaţa Republicii Moldova un echipament sub presiune transportabil dintr-o ţară terţă;</w:t>
            </w:r>
          </w:p>
          <w:p w14:paraId="715776E0" w14:textId="252E3E5E"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2) inspecții intermediare – inspecții intermediare și proceduri care guvernează inspecțiile intermediare, după cum se prevede în anexele A și B la ADR;</w:t>
            </w:r>
          </w:p>
          <w:p w14:paraId="43785487"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3) inspecții periodice – inspecții periodice și proceduri care guvernează inspecțiile periodice, după cum se prevede în anexele A și B la ADR;</w:t>
            </w:r>
          </w:p>
          <w:p w14:paraId="2124A450"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3</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introducere pe piaţă</w:t>
            </w:r>
            <w:r w:rsidRPr="00AC33E5">
              <w:rPr>
                <w:rFonts w:ascii="Times New Roman" w:hAnsi="Times New Roman"/>
                <w:sz w:val="24"/>
                <w:szCs w:val="24"/>
                <w:lang w:val="ro-MD"/>
              </w:rPr>
              <w:t xml:space="preserve"> – punerea la dispoziţie pentru prima dată a unui echipament sub presiune transportabil pe piaţa Republicii Moldova;</w:t>
            </w:r>
          </w:p>
          <w:p w14:paraId="15C067E8" w14:textId="77777777" w:rsidR="00276DB4" w:rsidRPr="00AC33E5" w:rsidRDefault="00276DB4" w:rsidP="00AC33E5">
            <w:pPr>
              <w:framePr w:hSpace="180" w:wrap="around" w:vAnchor="text" w:hAnchor="text" w:x="-176" w:y="1"/>
              <w:spacing w:line="276" w:lineRule="auto"/>
              <w:ind w:left="246" w:firstLine="0"/>
              <w:suppressOverlap/>
              <w:rPr>
                <w:rFonts w:ascii="Times New Roman" w:hAnsi="Times New Roman"/>
                <w:sz w:val="24"/>
                <w:szCs w:val="24"/>
                <w:lang w:val="ro-MD"/>
              </w:rPr>
            </w:pPr>
            <w:r w:rsidRPr="00AC33E5">
              <w:rPr>
                <w:rFonts w:ascii="Times New Roman" w:hAnsi="Times New Roman"/>
                <w:sz w:val="24"/>
                <w:szCs w:val="24"/>
                <w:lang w:val="ro-MD"/>
              </w:rPr>
              <w:t xml:space="preserve">4) </w:t>
            </w:r>
            <w:r w:rsidRPr="00AC33E5">
              <w:rPr>
                <w:rFonts w:ascii="Times New Roman" w:hAnsi="Times New Roman"/>
                <w:i/>
                <w:iCs/>
                <w:sz w:val="24"/>
                <w:szCs w:val="24"/>
                <w:lang w:val="ro-MD"/>
              </w:rPr>
              <w:t>marcajul ,,pi”</w:t>
            </w:r>
            <w:r w:rsidRPr="00AC33E5">
              <w:rPr>
                <w:rFonts w:ascii="Times New Roman" w:hAnsi="Times New Roman"/>
                <w:sz w:val="24"/>
                <w:szCs w:val="24"/>
                <w:lang w:val="ro-MD"/>
              </w:rPr>
              <w:t> – marcaj care indică faptul că echipamentele sub presiune transportabile sînt conforme cu cerințele aplicabile de evaluare a conformității prevăzute de prezenta Reglementare tehnică și anexele A și B la ADR;</w:t>
            </w:r>
          </w:p>
          <w:p w14:paraId="115EF6C4"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4</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notificare</w:t>
            </w:r>
            <w:r w:rsidRPr="00AC33E5">
              <w:rPr>
                <w:rFonts w:ascii="Times New Roman" w:hAnsi="Times New Roman"/>
                <w:sz w:val="24"/>
                <w:szCs w:val="24"/>
                <w:lang w:val="ro-MD"/>
              </w:rPr>
              <w:t xml:space="preserve"> - este procesul prin care se acordă unui organism de evaluare a conformității recunoscut în vederea notificării statutul de organism notificat și include </w:t>
            </w:r>
            <w:r w:rsidRPr="00AC33E5">
              <w:rPr>
                <w:rFonts w:ascii="Times New Roman" w:hAnsi="Times New Roman"/>
                <w:sz w:val="24"/>
                <w:szCs w:val="24"/>
                <w:lang w:val="ro-MD"/>
              </w:rPr>
              <w:lastRenderedPageBreak/>
              <w:t xml:space="preserve">comunicarea acestor informații Comisiei și statelor membre; </w:t>
            </w:r>
          </w:p>
          <w:p w14:paraId="032D7B9F" w14:textId="77777777" w:rsidR="00276DB4" w:rsidRPr="00AC33E5" w:rsidRDefault="00276DB4" w:rsidP="00AC33E5">
            <w:pPr>
              <w:framePr w:hSpace="180" w:wrap="around" w:vAnchor="text" w:hAnchor="text" w:x="-176" w:y="1"/>
              <w:spacing w:line="276" w:lineRule="auto"/>
              <w:ind w:left="246" w:firstLine="0"/>
              <w:suppressOverlap/>
              <w:rPr>
                <w:rFonts w:ascii="Times New Roman" w:hAnsi="Times New Roman"/>
                <w:sz w:val="24"/>
                <w:szCs w:val="24"/>
                <w:lang w:val="ro-MD"/>
              </w:rPr>
            </w:pPr>
            <w:r w:rsidRPr="00AC33E5">
              <w:rPr>
                <w:rFonts w:ascii="Times New Roman" w:hAnsi="Times New Roman"/>
                <w:sz w:val="24"/>
                <w:szCs w:val="24"/>
                <w:lang w:val="ro-MD"/>
              </w:rPr>
              <w:t xml:space="preserve">5)  </w:t>
            </w:r>
            <w:r w:rsidRPr="00AC33E5">
              <w:rPr>
                <w:rFonts w:ascii="Times New Roman" w:hAnsi="Times New Roman"/>
                <w:i/>
                <w:iCs/>
                <w:sz w:val="24"/>
                <w:szCs w:val="24"/>
                <w:lang w:val="ro-MD"/>
              </w:rPr>
              <w:t>operator </w:t>
            </w:r>
            <w:r w:rsidRPr="00AC33E5">
              <w:rPr>
                <w:rFonts w:ascii="Times New Roman" w:hAnsi="Times New Roman"/>
                <w:sz w:val="24"/>
                <w:szCs w:val="24"/>
                <w:lang w:val="ro-MD"/>
              </w:rPr>
              <w:t>– orice persoană fizică sau juridică care utilizează echipamente sub presiune transportabile;</w:t>
            </w:r>
          </w:p>
          <w:p w14:paraId="02EC4201"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operator economic</w:t>
            </w:r>
            <w:r w:rsidRPr="00AC33E5">
              <w:rPr>
                <w:rFonts w:ascii="Times New Roman" w:hAnsi="Times New Roman"/>
                <w:sz w:val="24"/>
                <w:szCs w:val="24"/>
                <w:lang w:val="ro-MD"/>
              </w:rPr>
              <w:t xml:space="preserve"> - este producătorul, reprezentantul autorizat, importatorul, distribuitorul, proprietarul sau operatorul care intervine în cursul unei activități comerciale sau al unui serviciu public, fie contra unei plăți, fie în mod gratuit; </w:t>
            </w:r>
          </w:p>
          <w:p w14:paraId="3CACDF88" w14:textId="77777777" w:rsidR="00276DB4" w:rsidRPr="00AC33E5" w:rsidRDefault="00276DB4" w:rsidP="00AC33E5">
            <w:pPr>
              <w:tabs>
                <w:tab w:val="left" w:pos="810"/>
              </w:tabs>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organism de evaluare a conformităţii</w:t>
            </w:r>
            <w:r w:rsidRPr="00AC33E5">
              <w:rPr>
                <w:rFonts w:ascii="Times New Roman" w:hAnsi="Times New Roman"/>
                <w:sz w:val="24"/>
                <w:szCs w:val="24"/>
                <w:lang w:val="ro-MD"/>
              </w:rPr>
              <w:t xml:space="preserve"> – este organismul care efectuează activităţi de evaluare a conformităţii, inclusiv etalonare, testare, certificare şi inspecţie;</w:t>
            </w:r>
          </w:p>
          <w:p w14:paraId="4F08339A" w14:textId="77777777" w:rsidR="00276DB4" w:rsidRPr="00AC33E5" w:rsidRDefault="00276DB4" w:rsidP="00AC33E5">
            <w:pPr>
              <w:tabs>
                <w:tab w:val="left" w:pos="810"/>
              </w:tabs>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3</w:t>
            </w:r>
            <w:r w:rsidRPr="00AC33E5">
              <w:rPr>
                <w:rFonts w:ascii="Times New Roman" w:hAnsi="Times New Roman"/>
                <w:sz w:val="24"/>
                <w:szCs w:val="24"/>
                <w:lang w:val="ro-MD"/>
              </w:rPr>
              <w:t>)</w:t>
            </w:r>
            <w:r w:rsidRPr="00AC33E5">
              <w:rPr>
                <w:rFonts w:ascii="Times New Roman" w:hAnsi="Times New Roman"/>
                <w:i/>
                <w:iCs/>
                <w:sz w:val="24"/>
                <w:szCs w:val="24"/>
                <w:lang w:val="ro-MD"/>
              </w:rPr>
              <w:t>organism naţional de acreditare</w:t>
            </w:r>
            <w:r w:rsidRPr="00AC33E5">
              <w:rPr>
                <w:rFonts w:ascii="Times New Roman" w:hAnsi="Times New Roman"/>
                <w:sz w:val="24"/>
                <w:szCs w:val="24"/>
                <w:lang w:val="ro-MD"/>
              </w:rPr>
              <w:t xml:space="preserve"> – este organismul naţional de acreditare în sensul definiţiei de la art.2 din </w:t>
            </w:r>
            <w:hyperlink r:id="rId14" w:history="1">
              <w:r w:rsidRPr="00AC33E5">
                <w:rPr>
                  <w:rStyle w:val="Hyperlink"/>
                  <w:rFonts w:ascii="Times New Roman" w:hAnsi="Times New Roman"/>
                  <w:color w:val="auto"/>
                  <w:sz w:val="24"/>
                  <w:szCs w:val="24"/>
                  <w:u w:val="none"/>
                  <w:lang w:val="ro-MD"/>
                </w:rPr>
                <w:t>Legea nr.235/2011</w:t>
              </w:r>
            </w:hyperlink>
            <w:r w:rsidRPr="00AC33E5">
              <w:rPr>
                <w:rFonts w:ascii="Times New Roman" w:hAnsi="Times New Roman"/>
                <w:sz w:val="24"/>
                <w:szCs w:val="24"/>
                <w:lang w:val="ro-MD"/>
              </w:rPr>
              <w:t xml:space="preserve"> privind activităţile de acreditare şi de evaluare a conformităţii; </w:t>
            </w:r>
          </w:p>
          <w:p w14:paraId="08B06CEC" w14:textId="77777777" w:rsidR="00276DB4" w:rsidRPr="00AC33E5" w:rsidRDefault="00276DB4" w:rsidP="00AC33E5">
            <w:pPr>
              <w:tabs>
                <w:tab w:val="left" w:pos="810"/>
              </w:tabs>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4</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producători</w:t>
            </w:r>
            <w:r w:rsidRPr="00AC33E5">
              <w:rPr>
                <w:rFonts w:ascii="Times New Roman" w:hAnsi="Times New Roman"/>
                <w:sz w:val="24"/>
                <w:szCs w:val="24"/>
                <w:lang w:val="ro-MD"/>
              </w:rPr>
              <w:t xml:space="preserve"> – orice persoană fizică sau juridică care fabrică un aparat sau pentru care se proiectează sau se fabrică un astfel de aparat şi care comercializează aparatul în cauză sub numele sau marca sa;</w:t>
            </w:r>
          </w:p>
          <w:p w14:paraId="7F91CDA1" w14:textId="77777777" w:rsidR="00276DB4" w:rsidRPr="00AC33E5" w:rsidRDefault="00276DB4" w:rsidP="00AC33E5">
            <w:pPr>
              <w:tabs>
                <w:tab w:val="left" w:pos="810"/>
              </w:tabs>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5</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proprietar</w:t>
            </w:r>
            <w:r w:rsidRPr="00AC33E5">
              <w:rPr>
                <w:rFonts w:ascii="Times New Roman" w:hAnsi="Times New Roman"/>
                <w:sz w:val="24"/>
                <w:szCs w:val="24"/>
                <w:lang w:val="ro-MD"/>
              </w:rPr>
              <w:t xml:space="preserve"> – este orice persoană fizică sau juridică care deține echipamente sub presiune transportabile;</w:t>
            </w:r>
          </w:p>
          <w:p w14:paraId="178A98DF"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5</w:t>
            </w:r>
            <w:r w:rsidRPr="00AC33E5">
              <w:rPr>
                <w:rFonts w:ascii="Times New Roman" w:hAnsi="Times New Roman"/>
                <w:sz w:val="24"/>
                <w:szCs w:val="24"/>
                <w:vertAlign w:val="superscript"/>
                <w:lang w:val="ro-MD"/>
              </w:rPr>
              <w:t>6</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punere la dispoziţie pe piaţă </w:t>
            </w:r>
            <w:r w:rsidRPr="00AC33E5">
              <w:rPr>
                <w:rFonts w:ascii="Times New Roman" w:hAnsi="Times New Roman"/>
                <w:sz w:val="24"/>
                <w:szCs w:val="24"/>
                <w:lang w:val="ro-MD"/>
              </w:rPr>
              <w:t xml:space="preserve">– furnizarea unui aparat pentru distribuţie, consum sau uz </w:t>
            </w:r>
            <w:r w:rsidRPr="00AC33E5">
              <w:rPr>
                <w:rFonts w:ascii="Times New Roman" w:hAnsi="Times New Roman"/>
                <w:sz w:val="24"/>
                <w:szCs w:val="24"/>
                <w:lang w:val="ro-MD"/>
              </w:rPr>
              <w:lastRenderedPageBreak/>
              <w:t>pe piaţa Republicii Moldova în cursul unei activităţi comerciale, contra cost sau gratuit;</w:t>
            </w:r>
          </w:p>
          <w:p w14:paraId="3B174E65" w14:textId="529EEDDD" w:rsidR="00276DB4" w:rsidRPr="00AC33E5" w:rsidRDefault="00276DB4" w:rsidP="00AC33E5">
            <w:pPr>
              <w:framePr w:hSpace="180" w:wrap="around" w:vAnchor="text" w:hAnchor="text" w:x="-176" w:y="1"/>
              <w:spacing w:line="276" w:lineRule="auto"/>
              <w:ind w:left="246" w:firstLine="0"/>
              <w:suppressOverlap/>
              <w:rPr>
                <w:rFonts w:ascii="Times New Roman" w:hAnsi="Times New Roman"/>
                <w:sz w:val="24"/>
                <w:szCs w:val="24"/>
                <w:lang w:val="ro-MD"/>
              </w:rPr>
            </w:pPr>
            <w:r w:rsidRPr="00AC33E5">
              <w:rPr>
                <w:rFonts w:ascii="Times New Roman" w:hAnsi="Times New Roman"/>
                <w:sz w:val="24"/>
                <w:szCs w:val="24"/>
                <w:lang w:val="ro-MD"/>
              </w:rPr>
              <w:t xml:space="preserve">6) </w:t>
            </w:r>
            <w:r w:rsidRPr="00AC33E5">
              <w:rPr>
                <w:rFonts w:ascii="Times New Roman" w:hAnsi="Times New Roman"/>
                <w:i/>
                <w:iCs/>
                <w:sz w:val="24"/>
                <w:szCs w:val="24"/>
                <w:lang w:val="ro-MD"/>
              </w:rPr>
              <w:t>reevaluarea conformității</w:t>
            </w:r>
            <w:r w:rsidRPr="00AC33E5">
              <w:rPr>
                <w:rFonts w:ascii="Times New Roman" w:hAnsi="Times New Roman"/>
                <w:sz w:val="24"/>
                <w:szCs w:val="24"/>
                <w:lang w:val="ro-MD"/>
              </w:rPr>
              <w:t> – procedură, inițiată la cererea proprietarului sau a operatorului, de evaluare ulterioară a conformității echipamentelor sub presiune transportabile fabricate și introduse pe piață înainte de data punerii în aplicare a prezentei Reglementări tehnice.</w:t>
            </w:r>
          </w:p>
          <w:p w14:paraId="0827590E"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6</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rechemare</w:t>
            </w:r>
            <w:r w:rsidRPr="00AC33E5">
              <w:rPr>
                <w:rFonts w:ascii="Times New Roman" w:hAnsi="Times New Roman"/>
                <w:sz w:val="24"/>
                <w:szCs w:val="24"/>
                <w:lang w:val="ro-MD"/>
              </w:rPr>
              <w:t xml:space="preserve"> – orice măsură cu scopul de a returna un echipament sub presiune transportabil care a fost pus deja la dispoziţia utilizatorului final;</w:t>
            </w:r>
          </w:p>
          <w:p w14:paraId="689011D3"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6</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reprezentant autorizat</w:t>
            </w:r>
            <w:r w:rsidRPr="00AC33E5">
              <w:rPr>
                <w:rFonts w:ascii="Times New Roman" w:hAnsi="Times New Roman"/>
                <w:sz w:val="24"/>
                <w:szCs w:val="24"/>
                <w:lang w:val="ro-MD"/>
              </w:rPr>
              <w:t xml:space="preserve"> – orice persoană fizică sau juridică stabilită în Republica Moldova care a primit un mandat scris din partea unui producător de a acţiona în numele acestuia sarcini specifice;</w:t>
            </w:r>
          </w:p>
          <w:p w14:paraId="7A08BE24" w14:textId="77777777"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6</w:t>
            </w:r>
            <w:r w:rsidRPr="00AC33E5">
              <w:rPr>
                <w:rFonts w:ascii="Times New Roman" w:hAnsi="Times New Roman"/>
                <w:sz w:val="24"/>
                <w:szCs w:val="24"/>
                <w:vertAlign w:val="superscript"/>
                <w:lang w:val="ro-MD"/>
              </w:rPr>
              <w:t>3</w:t>
            </w:r>
            <w:r w:rsidRPr="00AC33E5">
              <w:rPr>
                <w:rFonts w:ascii="Times New Roman" w:hAnsi="Times New Roman"/>
                <w:sz w:val="24"/>
                <w:szCs w:val="24"/>
                <w:lang w:val="ro-MD"/>
              </w:rPr>
              <w:t>)</w:t>
            </w:r>
            <w:r w:rsidRPr="00AC33E5">
              <w:rPr>
                <w:rFonts w:ascii="Times New Roman" w:hAnsi="Times New Roman"/>
                <w:i/>
                <w:iCs/>
                <w:sz w:val="24"/>
                <w:szCs w:val="24"/>
                <w:lang w:val="ro-MD"/>
              </w:rPr>
              <w:t xml:space="preserve"> retragere</w:t>
            </w:r>
            <w:r w:rsidRPr="00AC33E5">
              <w:rPr>
                <w:rFonts w:ascii="Times New Roman" w:hAnsi="Times New Roman"/>
                <w:sz w:val="24"/>
                <w:szCs w:val="24"/>
                <w:lang w:val="ro-MD"/>
              </w:rPr>
              <w:t xml:space="preserve"> – orice măsură cu scopul de a împiedica punerea la dispoziţie pe piaţă a unui echipament sub presiune transportabil din lanţul de aprovizionare;</w:t>
            </w:r>
          </w:p>
          <w:p w14:paraId="4EA076F3" w14:textId="1455BB0E" w:rsidR="00276DB4" w:rsidRPr="00AC33E5" w:rsidRDefault="00276DB4" w:rsidP="00AC33E5">
            <w:pPr>
              <w:spacing w:line="276" w:lineRule="auto"/>
              <w:ind w:left="246" w:firstLine="0"/>
              <w:rPr>
                <w:rFonts w:ascii="Times New Roman" w:hAnsi="Times New Roman"/>
                <w:sz w:val="24"/>
                <w:szCs w:val="24"/>
                <w:lang w:val="ro-MD"/>
              </w:rPr>
            </w:pPr>
            <w:r w:rsidRPr="00AC33E5">
              <w:rPr>
                <w:rFonts w:ascii="Times New Roman" w:hAnsi="Times New Roman"/>
                <w:sz w:val="24"/>
                <w:szCs w:val="24"/>
                <w:lang w:val="ro-MD"/>
              </w:rPr>
              <w:t>6</w:t>
            </w:r>
            <w:r w:rsidRPr="00AC33E5">
              <w:rPr>
                <w:rFonts w:ascii="Times New Roman" w:hAnsi="Times New Roman"/>
                <w:sz w:val="24"/>
                <w:szCs w:val="24"/>
                <w:vertAlign w:val="superscript"/>
                <w:lang w:val="ro-MD"/>
              </w:rPr>
              <w:t>4</w:t>
            </w:r>
            <w:r w:rsidRPr="00AC33E5">
              <w:rPr>
                <w:rFonts w:ascii="Times New Roman" w:hAnsi="Times New Roman"/>
                <w:sz w:val="24"/>
                <w:szCs w:val="24"/>
                <w:lang w:val="ro-MD"/>
              </w:rPr>
              <w:t xml:space="preserve">) </w:t>
            </w:r>
            <w:r w:rsidRPr="00AC33E5">
              <w:rPr>
                <w:rFonts w:ascii="Times New Roman" w:hAnsi="Times New Roman"/>
                <w:i/>
                <w:iCs/>
                <w:sz w:val="24"/>
                <w:szCs w:val="24"/>
                <w:lang w:val="ro-MD"/>
              </w:rPr>
              <w:t>utilizare</w:t>
            </w:r>
            <w:r w:rsidRPr="00AC33E5">
              <w:rPr>
                <w:rFonts w:ascii="Times New Roman" w:hAnsi="Times New Roman"/>
                <w:sz w:val="24"/>
                <w:szCs w:val="24"/>
                <w:lang w:val="ro-MD"/>
              </w:rPr>
              <w:t xml:space="preserve"> este umplerea, depozitarea temporară legată de transport, golirea și reumplerea echipamentelor sub presiune transportabile.”;</w:t>
            </w:r>
          </w:p>
        </w:tc>
      </w:tr>
      <w:tr w:rsidR="00D31080" w:rsidRPr="00AC33E5" w14:paraId="78B724D4"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2D9F45" w14:textId="77777777"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 xml:space="preserve">22. Importatorii care consideră sau au motive să creadă că echipamentele sub presiune transportabile pe care le-au introdus pe piață nu sînt conforme cu anexele A și B la ADR și cu prezenta Reglementare </w:t>
            </w:r>
            <w:r w:rsidRPr="00AC33E5">
              <w:rPr>
                <w:rFonts w:ascii="Times New Roman" w:hAnsi="Times New Roman"/>
                <w:color w:val="333333"/>
                <w:sz w:val="24"/>
                <w:szCs w:val="24"/>
              </w:rPr>
              <w:lastRenderedPageBreak/>
              <w:t>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autoritatea de supraveghere a pieței, indicînd detalii, în special cu privire la neconformitate și la măsurile corective luate.</w:t>
            </w:r>
          </w:p>
          <w:p w14:paraId="369DCED0" w14:textId="77777777"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Importatorii trebuie să documenteze toate neconformitățile și măsurile corective.</w:t>
            </w:r>
          </w:p>
          <w:p w14:paraId="48AF57CB" w14:textId="77777777" w:rsidR="00D31080" w:rsidRPr="00AC33E5" w:rsidRDefault="00D31080" w:rsidP="00AC33E5">
            <w:pPr>
              <w:shd w:val="clear" w:color="auto" w:fill="FFFFFF"/>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27. Dacă distribuitorii consideră sau au motive să creadă că echipamentele sub presiune transportabile nu sînt conforme cu cerințele prevăzute în anexele A și B la ADR și cu prezenta Reglementare tehnică, aceștia nu pot pune la dispoziție pe piață echipamentele respective înainte ca ele să fie aduse în conformitate. Atunci cînd echipamentele sub presiune transportabile prezintă un risc, distribuitorul informează producătorul sau importatorul în acest sens, precum și autoritățile de supraveghere a pieței.</w:t>
            </w:r>
          </w:p>
          <w:p w14:paraId="2EF5BB80" w14:textId="77777777"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29. Distribuitorii care consideră sau au motive să creadă că echipamentele sub presiune transportabile pe care le-au pus la dispoziție pe piață nu sînt conforme cu anexele A și B la ADR și cu prezenta Reglementare tehnică se asigură că sînt luate măsurile corective necesare pentru a aduce respectivele echipamente în conformitate, pentru a le retrage sau pentru a le rechema, după caz. În cazul în </w:t>
            </w:r>
            <w:r w:rsidRPr="00AC33E5">
              <w:rPr>
                <w:rFonts w:ascii="Times New Roman" w:hAnsi="Times New Roman"/>
                <w:color w:val="333333"/>
                <w:sz w:val="24"/>
                <w:szCs w:val="24"/>
              </w:rPr>
              <w:lastRenderedPageBreak/>
              <w:t>care echipamentele sub presiune transportabile prezintă un risc, distribuitorii informează imediat în acest sens producătorul, importatorul șiautoritatea de supraveghere a pieţei, oferind informații detaliate, în special cu privire la neconformitate și la orice măsură corectivă luată.</w:t>
            </w:r>
          </w:p>
          <w:p w14:paraId="6A29D952" w14:textId="2E0B2E5F" w:rsidR="00D31080" w:rsidRPr="00AC33E5" w:rsidRDefault="00D31080" w:rsidP="00AC33E5">
            <w:pPr>
              <w:shd w:val="clear" w:color="auto" w:fill="FFFFFF"/>
              <w:spacing w:line="276" w:lineRule="auto"/>
              <w:ind w:firstLine="0"/>
              <w:rPr>
                <w:rFonts w:ascii="Times New Roman" w:hAnsi="Times New Roman"/>
                <w:b/>
                <w:bCs/>
                <w:sz w:val="24"/>
                <w:szCs w:val="24"/>
              </w:rPr>
            </w:pPr>
            <w:r w:rsidRPr="00AC33E5">
              <w:rPr>
                <w:rFonts w:ascii="Times New Roman" w:hAnsi="Times New Roman"/>
                <w:color w:val="333333"/>
                <w:sz w:val="24"/>
                <w:szCs w:val="24"/>
              </w:rPr>
              <w:t>Distribuitorii trebuie să documenteze toate neconformitățile și măsurile corective.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977E7A0" w14:textId="77777777" w:rsidR="002A7DCC" w:rsidRPr="00AC33E5" w:rsidRDefault="002A7DCC"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1.4.6. la punctele 22, 27 și 29, cuvintele ,,ADR și” se substituie cu cuvintele ,,ADR sau”, la forma gramaticală corespunzătoare;</w:t>
            </w:r>
          </w:p>
          <w:p w14:paraId="62831925" w14:textId="77777777" w:rsidR="00D31080" w:rsidRPr="00AC33E5" w:rsidRDefault="00D31080" w:rsidP="00AC33E5">
            <w:pP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0CB8A5" w14:textId="7809831C"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lastRenderedPageBreak/>
              <w:t xml:space="preserve">22. Importatorii care consideră sau au motive să creadă că echipamentele sub presiune transportabile pe care le-au introdus pe piață nu sînt conforme cu anexele A și B la ADR sau cu </w:t>
            </w:r>
            <w:r w:rsidRPr="00AC33E5">
              <w:rPr>
                <w:rFonts w:ascii="Times New Roman" w:hAnsi="Times New Roman"/>
                <w:color w:val="333333"/>
                <w:sz w:val="24"/>
                <w:szCs w:val="24"/>
              </w:rPr>
              <w:lastRenderedPageBreak/>
              <w:t>prezenta Reglementare tehnică iau măsurile corective necesare pentru a aduce respectivele echipamente în conformitate, pentru a le retrage sau pentru a le rechema, după caz. În cazul în care echipamentele sub presiune transportabile prezintă un risc, importatorii informează imediat în acest sens producătorul și autoritatea de supraveghere a pieței, indicînd detalii, în special cu privire la neconformitate și la măsurile corective luate.</w:t>
            </w:r>
          </w:p>
          <w:p w14:paraId="6A2F0C0D" w14:textId="14BBD8D5"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shd w:val="clear" w:color="auto" w:fill="FFFFFF"/>
              </w:rPr>
              <w:t>27. Dacă distribuitorii consideră sau au motive să creadă că echipamentele sub presiune transportabile nu sînt conforme cu cerințele prevăzute în anexele A și B la ADR și cu prezenta Reglementare tehnică, aceștia nu pot pune la dispoziție pe piață echipamentele respective înainte ca ele să fie aduse în conformitate. Atunci cînd echipamentele sub presiune transportabile prezintă un risc, distribuitorul informează producătorul sau importatorul în acest sens, precum și autoritățile de supraveghere a pieței.</w:t>
            </w:r>
          </w:p>
          <w:p w14:paraId="5B1459CC" w14:textId="77777777"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Importatorii trebuie să documenteze toate neconformitățile și măsurile corective.</w:t>
            </w:r>
          </w:p>
          <w:p w14:paraId="4BD71C72" w14:textId="4961D183" w:rsidR="00D31080" w:rsidRPr="00AC33E5" w:rsidRDefault="00D31080"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 xml:space="preserve">29. Distribuitorii care consideră sau au motive să creadă că echipamentele sub presiune transportabile pe care le-au pus la dispoziție pe piață nu sînt conforme cu anexele A și B la ADR sau cu prezenta Reglementare tehnică se asigură că sînt luate măsurile corective necesare pentru a aduce respectivele echipamente în conformitate, </w:t>
            </w:r>
            <w:r w:rsidRPr="00AC33E5">
              <w:rPr>
                <w:rFonts w:ascii="Times New Roman" w:hAnsi="Times New Roman"/>
                <w:color w:val="333333"/>
                <w:sz w:val="24"/>
                <w:szCs w:val="24"/>
              </w:rPr>
              <w:lastRenderedPageBreak/>
              <w:t>pentru a le retrage sau pentru a le rechema, după caz. În cazul în care echipamentele sub presiune transportabile prezintă un risc, distribuitorii informează imediat în acest sens producătorul, importatorul șiautoritatea de supraveghere a pieţei, oferind informații detaliate, în special cu privire la neconformitate și la orice măsură corectivă luată.</w:t>
            </w:r>
          </w:p>
          <w:p w14:paraId="5A689208" w14:textId="066A1097" w:rsidR="00D31080" w:rsidRPr="00AC33E5" w:rsidRDefault="00D31080" w:rsidP="00AC33E5">
            <w:pPr>
              <w:shd w:val="clear" w:color="auto" w:fill="FFFFFF"/>
              <w:spacing w:line="276" w:lineRule="auto"/>
              <w:ind w:firstLine="0"/>
              <w:rPr>
                <w:rFonts w:ascii="Times New Roman" w:hAnsi="Times New Roman"/>
                <w:b/>
                <w:bCs/>
                <w:sz w:val="24"/>
                <w:szCs w:val="24"/>
              </w:rPr>
            </w:pPr>
            <w:r w:rsidRPr="00AC33E5">
              <w:rPr>
                <w:rFonts w:ascii="Times New Roman" w:hAnsi="Times New Roman"/>
                <w:color w:val="333333"/>
                <w:sz w:val="24"/>
                <w:szCs w:val="24"/>
              </w:rPr>
              <w:t>Distribuitorii trebuie să documenteze toate neconformitățile și măsurile corective.</w:t>
            </w:r>
          </w:p>
        </w:tc>
      </w:tr>
      <w:tr w:rsidR="002A7DCC" w:rsidRPr="00AC33E5" w14:paraId="6D439CD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4E932F" w14:textId="77777777" w:rsidR="002A7DCC" w:rsidRPr="00AC33E5" w:rsidRDefault="002A7DCC" w:rsidP="00AC33E5">
            <w:pPr>
              <w:shd w:val="clear" w:color="auto" w:fill="FFFFFF"/>
              <w:spacing w:line="276" w:lineRule="auto"/>
              <w:ind w:firstLine="0"/>
              <w:rPr>
                <w:rFonts w:ascii="Times New Roman" w:hAnsi="Times New Roman"/>
                <w:color w:val="333333"/>
                <w:sz w:val="24"/>
                <w:szCs w:val="24"/>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5E3D9C9" w14:textId="77777777" w:rsidR="002A7DCC" w:rsidRPr="00AC33E5" w:rsidRDefault="002A7DCC"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1.4.7. la punctele 24 și 30, cuvântul „acesteia” se substituie cu cuvântul „acestuia”, la forma gramaticală corespunzătoare;</w:t>
            </w:r>
          </w:p>
          <w:p w14:paraId="427146F8" w14:textId="77777777" w:rsidR="002A7DCC" w:rsidRPr="00AC33E5" w:rsidRDefault="002A7DCC" w:rsidP="00AC33E5">
            <w:pPr>
              <w:spacing w:line="276" w:lineRule="auto"/>
              <w:ind w:firstLine="0"/>
              <w:rPr>
                <w:rFonts w:ascii="Times New Roman" w:hAnsi="Times New Roman"/>
                <w:sz w:val="24"/>
                <w:szCs w:val="24"/>
                <w:highlight w:val="yellow"/>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7096647" w14:textId="77777777" w:rsidR="002A7DCC" w:rsidRPr="00AC33E5" w:rsidRDefault="002A7DCC" w:rsidP="00AC33E5">
            <w:pPr>
              <w:shd w:val="clear" w:color="auto" w:fill="FFFFFF"/>
              <w:spacing w:line="276" w:lineRule="auto"/>
              <w:ind w:firstLine="0"/>
              <w:rPr>
                <w:rFonts w:ascii="Times New Roman" w:hAnsi="Times New Roman"/>
                <w:color w:val="333333"/>
                <w:sz w:val="24"/>
                <w:szCs w:val="24"/>
                <w:shd w:val="clear" w:color="auto" w:fill="FFFFFF"/>
                <w:lang w:val="ro-MD"/>
              </w:rPr>
            </w:pPr>
            <w:r w:rsidRPr="00AC33E5">
              <w:rPr>
                <w:rFonts w:ascii="Times New Roman" w:hAnsi="Times New Roman"/>
                <w:color w:val="333333"/>
                <w:sz w:val="24"/>
                <w:szCs w:val="24"/>
                <w:shd w:val="clear" w:color="auto" w:fill="FFFFFF"/>
                <w:lang w:val="ro-MD"/>
              </w:rPr>
              <w:t xml:space="preserve">24. Importatorii, în urma unei cereri motivate din partea </w:t>
            </w:r>
            <w:r w:rsidRPr="00AC33E5">
              <w:rPr>
                <w:rFonts w:ascii="Times New Roman" w:hAnsi="Times New Roman"/>
                <w:sz w:val="24"/>
                <w:szCs w:val="24"/>
                <w:lang w:val="ro-MD"/>
              </w:rPr>
              <w:t>Inspectoratului Național pentru Supravegherea Tehnică</w:t>
            </w:r>
            <w:r w:rsidRPr="00AC33E5">
              <w:rPr>
                <w:rFonts w:ascii="Times New Roman" w:hAnsi="Times New Roman"/>
                <w:color w:val="333333"/>
                <w:sz w:val="24"/>
                <w:szCs w:val="24"/>
                <w:shd w:val="clear" w:color="auto" w:fill="FFFFFF"/>
                <w:lang w:val="ro-MD"/>
              </w:rPr>
              <w:t xml:space="preserve">, furnizează acesteia toate informațiile și documentația necesară, pe suport de hîrtie sau în format electronic, în limba de stat, pentru a demonstra conformitatea echipamentului sub presiune transportabile. Importatorii cooperează cu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lang w:val="ro-MD"/>
              </w:rPr>
              <w:t>, la cererea acestuia, cu privire la orice acțiune întreprinsă pentru eliminarea riscurilor prezentate de echipamentele sub presiune transportabile pe care aceștia le-au introdus pe piață.</w:t>
            </w:r>
          </w:p>
          <w:p w14:paraId="0EBC6A38" w14:textId="2C5AFB09" w:rsidR="002A7DCC" w:rsidRPr="00AC33E5" w:rsidRDefault="002A7DCC" w:rsidP="00AC33E5">
            <w:pPr>
              <w:shd w:val="clear" w:color="auto" w:fill="FFFFFF"/>
              <w:spacing w:line="276" w:lineRule="auto"/>
              <w:ind w:firstLine="0"/>
              <w:rPr>
                <w:rFonts w:ascii="Times New Roman" w:hAnsi="Times New Roman"/>
                <w:color w:val="333333"/>
                <w:sz w:val="24"/>
                <w:szCs w:val="24"/>
                <w:lang w:val="ro-MD"/>
              </w:rPr>
            </w:pPr>
            <w:r w:rsidRPr="00AC33E5">
              <w:rPr>
                <w:rFonts w:ascii="Times New Roman" w:hAnsi="Times New Roman"/>
                <w:color w:val="333333"/>
                <w:sz w:val="24"/>
                <w:szCs w:val="24"/>
                <w:shd w:val="clear" w:color="auto" w:fill="FFFFFF"/>
                <w:lang w:val="ro-MD"/>
              </w:rPr>
              <w:t xml:space="preserve">30. Distribuitorii, în urma unei cereri motivate din partea autorității de supraveghere a pieţei, furnizează acesteia toate informațiile și documentația necesară pe suport de hîrtie sau în format electronic, în limba de stat, pentru a demonstra conformitatea echipamentelor sub </w:t>
            </w:r>
            <w:r w:rsidRPr="00AC33E5">
              <w:rPr>
                <w:rFonts w:ascii="Times New Roman" w:hAnsi="Times New Roman"/>
                <w:color w:val="333333"/>
                <w:sz w:val="24"/>
                <w:szCs w:val="24"/>
                <w:shd w:val="clear" w:color="auto" w:fill="FFFFFF"/>
                <w:lang w:val="ro-MD"/>
              </w:rPr>
              <w:lastRenderedPageBreak/>
              <w:t xml:space="preserve">presiune transportabile. Distribuitorii cooperează cu autoritatea de </w:t>
            </w:r>
            <w:r w:rsidRPr="00AC33E5">
              <w:rPr>
                <w:rFonts w:ascii="Times New Roman" w:hAnsi="Times New Roman"/>
                <w:sz w:val="24"/>
                <w:szCs w:val="24"/>
                <w:lang w:val="ro-MD"/>
              </w:rPr>
              <w:t>Inspectoratul Național pentru Supravegherea Tehnică</w:t>
            </w:r>
            <w:r w:rsidRPr="00AC33E5">
              <w:rPr>
                <w:rFonts w:ascii="Times New Roman" w:hAnsi="Times New Roman"/>
                <w:color w:val="333333"/>
                <w:sz w:val="24"/>
                <w:szCs w:val="24"/>
                <w:shd w:val="clear" w:color="auto" w:fill="FFFFFF"/>
                <w:lang w:val="ro-MD"/>
              </w:rPr>
              <w:t>, la cererea acestuia, cu privire la orice acțiune întreprinsă pentru eliminarea riscurilor prezentate de echipamentele sub presiune transportabile pe care le-au pus la dispoziție pe piață.</w:t>
            </w:r>
          </w:p>
        </w:tc>
      </w:tr>
      <w:tr w:rsidR="009C441A" w:rsidRPr="00AC33E5" w14:paraId="5E24F13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F755E6" w14:textId="77777777" w:rsidR="009C441A" w:rsidRPr="00AC33E5" w:rsidRDefault="009C441A"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43. Certificatele de conformitate și certificatele de reevaluare a conformității, rapoartele privind inspecțiile periodice, inspecțiile intermediare și verificările excepționale, emise de un organism de evaluare a conformităţii notificat în statele membre UE, sînt valabile pe teritoriul Republicii Moldova.</w:t>
            </w:r>
          </w:p>
          <w:p w14:paraId="1EF57BB4" w14:textId="4CA70A3B" w:rsidR="009C441A" w:rsidRPr="00AC33E5" w:rsidRDefault="009C441A"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Părțile demontabile ale echipamentelor sub presiune transportabile reîncărcabile pot face obiectul unei alte evaluări a conformității.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3CF9C8" w14:textId="6C3FFAB9"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w:t>
            </w:r>
            <w:r w:rsidR="00512F04" w:rsidRPr="00AC33E5">
              <w:rPr>
                <w:rFonts w:ascii="Times New Roman" w:hAnsi="Times New Roman"/>
                <w:sz w:val="24"/>
                <w:szCs w:val="24"/>
                <w:lang w:val="ro-MD"/>
              </w:rPr>
              <w:t>8</w:t>
            </w:r>
            <w:r w:rsidRPr="00AC33E5">
              <w:rPr>
                <w:rFonts w:ascii="Times New Roman" w:hAnsi="Times New Roman"/>
                <w:sz w:val="24"/>
                <w:szCs w:val="24"/>
                <w:lang w:val="ro-MD"/>
              </w:rPr>
              <w:t>. la punctul 43,</w:t>
            </w:r>
            <w:r w:rsidR="005876FB" w:rsidRPr="00AC33E5">
              <w:rPr>
                <w:rFonts w:ascii="Times New Roman" w:hAnsi="Times New Roman"/>
                <w:sz w:val="24"/>
                <w:szCs w:val="24"/>
                <w:lang w:val="ro-MD"/>
              </w:rPr>
              <w:t xml:space="preserve"> </w:t>
            </w:r>
            <w:r w:rsidRPr="00AC33E5">
              <w:rPr>
                <w:rFonts w:ascii="Times New Roman" w:hAnsi="Times New Roman"/>
                <w:sz w:val="24"/>
                <w:szCs w:val="24"/>
                <w:lang w:val="ro-MD"/>
              </w:rPr>
              <w:t>cuvintele ”certificatele de reevaluare a conformității” se substituie cu cuvintele ”</w:t>
            </w:r>
            <w:r w:rsidR="002A7DCC" w:rsidRPr="00AC33E5">
              <w:rPr>
                <w:rFonts w:ascii="Times New Roman" w:hAnsi="Times New Roman"/>
                <w:sz w:val="24"/>
                <w:szCs w:val="24"/>
                <w:lang w:val="ro-MD"/>
              </w:rPr>
              <w:t>rapoartele de inspecție”;</w:t>
            </w:r>
          </w:p>
          <w:p w14:paraId="4A9773D8" w14:textId="01440290" w:rsidR="009C441A" w:rsidRPr="00AC33E5" w:rsidRDefault="009C441A" w:rsidP="00AC33E5">
            <w:pPr>
              <w:spacing w:line="276" w:lineRule="auto"/>
              <w:ind w:left="312" w:firstLine="0"/>
              <w:rPr>
                <w:rFonts w:ascii="Times New Roman" w:hAnsi="Times New Roman"/>
                <w:bCs/>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24732E4" w14:textId="086EFEAD"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43. Certificatele de conformitate și </w:t>
            </w:r>
            <w:r w:rsidR="002A7DCC" w:rsidRPr="00AC33E5">
              <w:rPr>
                <w:rFonts w:ascii="Times New Roman" w:hAnsi="Times New Roman"/>
                <w:sz w:val="24"/>
                <w:szCs w:val="24"/>
                <w:lang w:val="ro-MD"/>
              </w:rPr>
              <w:t>rapoartele de inspecție</w:t>
            </w:r>
            <w:r w:rsidRPr="00AC33E5">
              <w:rPr>
                <w:rFonts w:ascii="Times New Roman" w:hAnsi="Times New Roman"/>
                <w:sz w:val="24"/>
                <w:szCs w:val="24"/>
                <w:lang w:val="ro-MD"/>
              </w:rPr>
              <w:t>, rapoartele privind inspecțiile periodice, inspecțiile intermediare și verificările inopinate, emise de un organism de evaluare a conformităţii notificat în statele membre UE, sînt valabile pe teritoriul Republicii Moldova.</w:t>
            </w:r>
          </w:p>
          <w:p w14:paraId="2F43FBF0" w14:textId="10782860"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Părțile demontabile ale echipamentelor sub presiune transportabile reîncărcabile pot face obiectul unei alte evaluări separate a conformității.</w:t>
            </w:r>
          </w:p>
        </w:tc>
      </w:tr>
      <w:tr w:rsidR="009C441A" w:rsidRPr="00AC33E5" w14:paraId="76FB881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E30E5" w14:textId="77777777" w:rsidR="009C441A" w:rsidRPr="00AC33E5" w:rsidRDefault="009C441A"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47. Marcajul „pi” se aplică numai echipamentelor sub presiune transportabile care:</w:t>
            </w:r>
          </w:p>
          <w:p w14:paraId="79167411" w14:textId="77777777" w:rsidR="009C441A" w:rsidRPr="00AC33E5" w:rsidRDefault="009C441A"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 îndeplinesc cerințele de evaluare a conformității prevăzute în anexele A și B la ADR și în prezenta Reglementare tehnică;</w:t>
            </w:r>
          </w:p>
          <w:p w14:paraId="25128355" w14:textId="6D6F96D3" w:rsidR="009C441A" w:rsidRPr="00AC33E5" w:rsidRDefault="009C441A"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 xml:space="preserve">2) sau îndeplinesc cerințele de reevaluare a conformității menționate la pct. 44-45 din prezenta Reglementare tehnică. </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FA1728" w14:textId="4402CEB4" w:rsidR="009C441A" w:rsidRPr="00AC33E5" w:rsidRDefault="009E231B" w:rsidP="00AC33E5">
            <w:pPr>
              <w:spacing w:line="276" w:lineRule="auto"/>
              <w:ind w:firstLine="0"/>
              <w:rPr>
                <w:rFonts w:ascii="Times New Roman" w:hAnsi="Times New Roman"/>
                <w:sz w:val="24"/>
                <w:szCs w:val="24"/>
                <w:lang w:val="ro-MD"/>
              </w:rPr>
            </w:pPr>
            <w:bookmarkStart w:id="1" w:name="_Hlk192017624"/>
            <w:r w:rsidRPr="00AC33E5">
              <w:rPr>
                <w:rFonts w:ascii="Times New Roman" w:hAnsi="Times New Roman"/>
                <w:sz w:val="24"/>
                <w:szCs w:val="24"/>
                <w:lang w:val="ro-MD"/>
              </w:rPr>
              <w:t>1.</w:t>
            </w:r>
            <w:r w:rsidR="009C441A" w:rsidRPr="00AC33E5">
              <w:rPr>
                <w:rFonts w:ascii="Times New Roman" w:hAnsi="Times New Roman"/>
                <w:sz w:val="24"/>
                <w:szCs w:val="24"/>
                <w:lang w:val="ro-MD"/>
              </w:rPr>
              <w:t>4.</w:t>
            </w:r>
            <w:r w:rsidR="00512F04" w:rsidRPr="00AC33E5">
              <w:rPr>
                <w:rFonts w:ascii="Times New Roman" w:hAnsi="Times New Roman"/>
                <w:sz w:val="24"/>
                <w:szCs w:val="24"/>
                <w:lang w:val="ro-MD"/>
              </w:rPr>
              <w:t>9</w:t>
            </w:r>
            <w:r w:rsidR="009C441A" w:rsidRPr="00AC33E5">
              <w:rPr>
                <w:rFonts w:ascii="Times New Roman" w:hAnsi="Times New Roman"/>
                <w:sz w:val="24"/>
                <w:szCs w:val="24"/>
                <w:lang w:val="ro-MD"/>
              </w:rPr>
              <w:t>. punctul 47, se completează cu propoziția</w:t>
            </w:r>
            <w:r w:rsidR="009C441A" w:rsidRPr="00AC33E5">
              <w:rPr>
                <w:rFonts w:ascii="Times New Roman" w:hAnsi="Times New Roman"/>
                <w:sz w:val="24"/>
                <w:szCs w:val="24"/>
                <w:vertAlign w:val="superscript"/>
                <w:lang w:val="ro-MD"/>
              </w:rPr>
              <w:t xml:space="preserve"> </w:t>
            </w:r>
            <w:r w:rsidR="009C441A" w:rsidRPr="00AC33E5">
              <w:rPr>
                <w:rFonts w:ascii="Times New Roman" w:hAnsi="Times New Roman"/>
                <w:sz w:val="24"/>
                <w:szCs w:val="24"/>
                <w:lang w:val="ro-MD"/>
              </w:rPr>
              <w:t>cu următorul cuprins:</w:t>
            </w:r>
          </w:p>
          <w:bookmarkEnd w:id="1"/>
          <w:p w14:paraId="52450CF9" w14:textId="51575922"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”Marcajul „pi” nu se aplică niciunui alt echipament sub presiune transportabil.”;</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EADE1" w14:textId="77777777" w:rsidR="005876FB" w:rsidRPr="00AC33E5" w:rsidRDefault="009E231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47. Marcajul „pi” se aplică numai echipamentelor sub presiune transportabile care:</w:t>
            </w:r>
          </w:p>
          <w:p w14:paraId="147C363D" w14:textId="7CB1530C" w:rsidR="009E231B" w:rsidRPr="00AC33E5" w:rsidRDefault="009E231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1) îndeplinesc cerințele de evaluare a conformității prevăzute în anexele A și B la ADR și în prezenta Reglementare tehnică;</w:t>
            </w:r>
          </w:p>
          <w:p w14:paraId="7C398452" w14:textId="77777777" w:rsidR="009E231B" w:rsidRPr="00AC33E5" w:rsidRDefault="009E231B"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2) sau îndeplinesc cerințele de reevaluare a conformității menționate la pct. 44-45 din prezenta Reglementare tehnică.</w:t>
            </w:r>
          </w:p>
          <w:p w14:paraId="1F035415" w14:textId="4596268A"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Marcajul „pi” se aplică numai echipamentelor sub presiune transportabile care:</w:t>
            </w:r>
          </w:p>
          <w:p w14:paraId="5DBD5E3A" w14:textId="77777777"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 îndeplinesc cerințele de evaluare a conformității prevăzute în anexele A și B la ADR și în prezenta Reglementare tehnică;</w:t>
            </w:r>
          </w:p>
          <w:p w14:paraId="44D4C48A" w14:textId="77777777"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2) sau îndeplinesc cerințele de reevaluare a conformității menționate la pct. 44-45 din prezenta Reglementare tehnică.</w:t>
            </w:r>
          </w:p>
          <w:p w14:paraId="3E0F9608" w14:textId="3184CA6F" w:rsidR="009C441A" w:rsidRPr="00AC33E5" w:rsidRDefault="009C441A"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Marcajul „pi” nu se aplică niciunui alt echipament sub presiune transportabil</w:t>
            </w:r>
          </w:p>
        </w:tc>
      </w:tr>
      <w:tr w:rsidR="009E231B" w:rsidRPr="00AC33E5" w14:paraId="0875B30D"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95F17" w14:textId="4F0214BF" w:rsidR="009E231B" w:rsidRPr="00AC33E5" w:rsidRDefault="009E231B" w:rsidP="00AC33E5">
            <w:pPr>
              <w:spacing w:line="276" w:lineRule="auto"/>
              <w:ind w:left="252" w:firstLine="0"/>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AD0BAA" w14:textId="38AC3C27" w:rsidR="009E231B" w:rsidRPr="00AC33E5" w:rsidRDefault="00512F04" w:rsidP="00AC33E5">
            <w:pPr>
              <w:pStyle w:val="ListParagraph"/>
              <w:numPr>
                <w:ilvl w:val="2"/>
                <w:numId w:val="46"/>
              </w:numPr>
              <w:spacing w:line="276" w:lineRule="auto"/>
              <w:ind w:left="34" w:firstLine="0"/>
              <w:rPr>
                <w:rFonts w:ascii="Times New Roman" w:hAnsi="Times New Roman"/>
                <w:sz w:val="24"/>
                <w:szCs w:val="24"/>
                <w:lang w:val="ro-MD"/>
              </w:rPr>
            </w:pPr>
            <w:r w:rsidRPr="00AC33E5">
              <w:rPr>
                <w:rFonts w:ascii="Times New Roman" w:hAnsi="Times New Roman"/>
                <w:sz w:val="24"/>
                <w:szCs w:val="24"/>
                <w:lang w:val="ro-MD"/>
              </w:rPr>
              <w:t xml:space="preserve"> </w:t>
            </w:r>
            <w:r w:rsidR="009E231B" w:rsidRPr="00AC33E5">
              <w:rPr>
                <w:rFonts w:ascii="Times New Roman" w:hAnsi="Times New Roman"/>
                <w:sz w:val="24"/>
                <w:szCs w:val="24"/>
                <w:lang w:val="ro-MD"/>
              </w:rPr>
              <w:t>după punctul 51, se completează cu punctul 51</w:t>
            </w:r>
            <w:r w:rsidR="009E231B" w:rsidRPr="00AC33E5">
              <w:rPr>
                <w:rFonts w:ascii="Times New Roman" w:hAnsi="Times New Roman"/>
                <w:sz w:val="24"/>
                <w:szCs w:val="24"/>
                <w:vertAlign w:val="superscript"/>
                <w:lang w:val="ro-MD"/>
              </w:rPr>
              <w:t xml:space="preserve">1  </w:t>
            </w:r>
            <w:r w:rsidR="009E231B" w:rsidRPr="00AC33E5">
              <w:rPr>
                <w:rFonts w:ascii="Times New Roman" w:hAnsi="Times New Roman"/>
                <w:sz w:val="24"/>
                <w:szCs w:val="24"/>
                <w:lang w:val="ro-MD"/>
              </w:rPr>
              <w:t>cu următorul cuprins:</w:t>
            </w:r>
          </w:p>
          <w:p w14:paraId="3C61DE55" w14:textId="61A54AA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„51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Se interzice aplicarea</w:t>
            </w:r>
            <w:r w:rsidRPr="00AC33E5" w:rsidDel="005D4C86">
              <w:rPr>
                <w:rFonts w:ascii="Times New Roman" w:hAnsi="Times New Roman"/>
                <w:sz w:val="24"/>
                <w:szCs w:val="24"/>
                <w:lang w:val="ro-MD"/>
              </w:rPr>
              <w:t xml:space="preserve"> </w:t>
            </w:r>
            <w:r w:rsidRPr="00AC33E5">
              <w:rPr>
                <w:rFonts w:ascii="Times New Roman" w:hAnsi="Times New Roman"/>
                <w:sz w:val="24"/>
                <w:szCs w:val="24"/>
                <w:lang w:val="ro-MD"/>
              </w:rPr>
              <w:t>marcajului „pi” pe produsele neconforme. Nerespectarea acestor prevederi se sancționează contravențional și penal.”;</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F2D653" w14:textId="77777777" w:rsidR="009E231B" w:rsidRPr="00AC33E5" w:rsidRDefault="009E231B" w:rsidP="00AC33E5">
            <w:pPr>
              <w:spacing w:line="276" w:lineRule="auto"/>
              <w:ind w:firstLine="0"/>
              <w:rPr>
                <w:rFonts w:ascii="Times New Roman" w:hAnsi="Times New Roman"/>
                <w:color w:val="333333"/>
                <w:sz w:val="24"/>
                <w:szCs w:val="24"/>
                <w:shd w:val="clear" w:color="auto" w:fill="FFFFFF"/>
              </w:rPr>
            </w:pPr>
            <w:r w:rsidRPr="00AC33E5">
              <w:rPr>
                <w:rFonts w:ascii="Times New Roman" w:hAnsi="Times New Roman"/>
                <w:color w:val="333333"/>
                <w:sz w:val="24"/>
                <w:szCs w:val="24"/>
                <w:shd w:val="clear" w:color="auto" w:fill="FFFFFF"/>
              </w:rPr>
              <w:t>51. Marcajul „pi” se aplică și părților demontabile cu funcție directă de siguranță ale echipamentelor sub presiune transportabile reîncărcabile.</w:t>
            </w:r>
          </w:p>
          <w:p w14:paraId="119B28B7" w14:textId="4E19B70A"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51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Se interzice aplicarea</w:t>
            </w:r>
            <w:r w:rsidRPr="00AC33E5" w:rsidDel="005D4C86">
              <w:rPr>
                <w:rFonts w:ascii="Times New Roman" w:hAnsi="Times New Roman"/>
                <w:sz w:val="24"/>
                <w:szCs w:val="24"/>
                <w:lang w:val="ro-MD"/>
              </w:rPr>
              <w:t xml:space="preserve"> </w:t>
            </w:r>
            <w:r w:rsidRPr="00AC33E5">
              <w:rPr>
                <w:rFonts w:ascii="Times New Roman" w:hAnsi="Times New Roman"/>
                <w:sz w:val="24"/>
                <w:szCs w:val="24"/>
                <w:lang w:val="ro-MD"/>
              </w:rPr>
              <w:t>marcajului „pi” pe produsele neconforme. Nerespectarea acestor prevederi se sancționează contravențional și penal.</w:t>
            </w:r>
          </w:p>
        </w:tc>
      </w:tr>
      <w:tr w:rsidR="009E231B" w:rsidRPr="00AC33E5" w14:paraId="1F52922C"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FC7E36" w14:textId="75AAB073"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57. Marcajul „pi” este urmat de numărul de identificare al organismului de evaluare a conformităţii notificat implicat în faza de control al  producţiei.</w:t>
            </w:r>
          </w:p>
          <w:p w14:paraId="03DC2451" w14:textId="4F33E7E6"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Numărul de identificare al organismului de evaluare a conformităţii notificat este aplicat de către organismul de evaluare a conformităţii notificat sau, potrivit instrucțiunilor acestuia, de către producător ori reprezentantul său autorizat.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3F8B41F" w14:textId="7972802D"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w:t>
            </w:r>
            <w:r w:rsidR="00512F04" w:rsidRPr="00AC33E5">
              <w:rPr>
                <w:rFonts w:ascii="Times New Roman" w:hAnsi="Times New Roman"/>
                <w:sz w:val="24"/>
                <w:szCs w:val="24"/>
                <w:lang w:val="ro-MD"/>
              </w:rPr>
              <w:t>11</w:t>
            </w:r>
            <w:r w:rsidRPr="00AC33E5">
              <w:rPr>
                <w:rFonts w:ascii="Times New Roman" w:hAnsi="Times New Roman"/>
                <w:sz w:val="24"/>
                <w:szCs w:val="24"/>
                <w:lang w:val="ro-MD"/>
              </w:rPr>
              <w:t xml:space="preserve">. la punctul 57, </w:t>
            </w:r>
          </w:p>
          <w:p w14:paraId="1722BCBE" w14:textId="22A865F4"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w:t>
            </w:r>
            <w:r w:rsidR="00512F04" w:rsidRPr="00AC33E5">
              <w:rPr>
                <w:rFonts w:ascii="Times New Roman" w:hAnsi="Times New Roman"/>
                <w:sz w:val="24"/>
                <w:szCs w:val="24"/>
                <w:lang w:val="ro-MD"/>
              </w:rPr>
              <w:t>11</w:t>
            </w:r>
            <w:r w:rsidRPr="00AC33E5">
              <w:rPr>
                <w:rFonts w:ascii="Times New Roman" w:hAnsi="Times New Roman"/>
                <w:sz w:val="24"/>
                <w:szCs w:val="24"/>
                <w:lang w:val="ro-MD"/>
              </w:rPr>
              <w:t xml:space="preserve">.1. cuvintele ”faza de control al producţiei” se substituie cu cuvintele ”inspecțiile și testările inițiale”; </w:t>
            </w:r>
          </w:p>
          <w:p w14:paraId="2F69DA0C" w14:textId="1D6FE3E8"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w:t>
            </w:r>
            <w:r w:rsidR="00512F04" w:rsidRPr="00AC33E5">
              <w:rPr>
                <w:rFonts w:ascii="Times New Roman" w:hAnsi="Times New Roman"/>
                <w:sz w:val="24"/>
                <w:szCs w:val="24"/>
                <w:lang w:val="ro-MD"/>
              </w:rPr>
              <w:t>11.</w:t>
            </w:r>
            <w:r w:rsidRPr="00AC33E5">
              <w:rPr>
                <w:rFonts w:ascii="Times New Roman" w:hAnsi="Times New Roman"/>
                <w:sz w:val="24"/>
                <w:szCs w:val="24"/>
                <w:lang w:val="ro-MD"/>
              </w:rPr>
              <w:t>2. cuvintele ”ori reprezentantul său autorizat” se exclud;</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22B636" w14:textId="7777777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57. Marcajul „pi” este urmat de numărul de identificare al organismului de evaluare a conformităţii notificat implicat în inspecțiile și testările inițiale.</w:t>
            </w:r>
          </w:p>
          <w:p w14:paraId="0ADEC5AF" w14:textId="5A6FEDF1"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Numărul de identificare al organismului de evaluare a conformităţii notificat este aplicat de către organismul de evaluare a conformităţii notificat sau, potrivit instrucțiunilor acestuia, de către producător.</w:t>
            </w:r>
          </w:p>
        </w:tc>
      </w:tr>
      <w:tr w:rsidR="009E231B" w:rsidRPr="00AC33E5" w14:paraId="149952EC"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3A2E7" w14:textId="77777777" w:rsidR="009E231B" w:rsidRPr="00AC33E5" w:rsidRDefault="009E231B" w:rsidP="00AC33E5">
            <w:pPr>
              <w:spacing w:line="276" w:lineRule="auto"/>
              <w:ind w:left="252" w:firstLine="0"/>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AF7A2C" w14:textId="1BFDF497" w:rsidR="009E231B" w:rsidRPr="00AC33E5" w:rsidRDefault="009E231B" w:rsidP="00AC33E5">
            <w:pPr>
              <w:spacing w:line="276" w:lineRule="auto"/>
              <w:ind w:firstLine="0"/>
              <w:rPr>
                <w:rFonts w:ascii="Times New Roman" w:hAnsi="Times New Roman"/>
                <w:sz w:val="24"/>
                <w:szCs w:val="24"/>
                <w:lang w:val="ro-MD"/>
              </w:rPr>
            </w:pPr>
            <w:bookmarkStart w:id="2" w:name="_Hlk192021434"/>
            <w:bookmarkStart w:id="3" w:name="_Hlk192020416"/>
            <w:r w:rsidRPr="00AC33E5">
              <w:rPr>
                <w:rFonts w:ascii="Times New Roman" w:hAnsi="Times New Roman"/>
                <w:sz w:val="24"/>
                <w:szCs w:val="24"/>
                <w:lang w:val="ro-MD"/>
              </w:rPr>
              <w:t>1.4.1</w:t>
            </w:r>
            <w:r w:rsidR="00512F04" w:rsidRPr="00AC33E5">
              <w:rPr>
                <w:rFonts w:ascii="Times New Roman" w:hAnsi="Times New Roman"/>
                <w:sz w:val="24"/>
                <w:szCs w:val="24"/>
                <w:lang w:val="ro-MD"/>
              </w:rPr>
              <w:t>2</w:t>
            </w:r>
            <w:r w:rsidRPr="00AC33E5">
              <w:rPr>
                <w:rFonts w:ascii="Times New Roman" w:hAnsi="Times New Roman"/>
                <w:sz w:val="24"/>
                <w:szCs w:val="24"/>
                <w:lang w:val="ro-MD"/>
              </w:rPr>
              <w:t>. după punctul 62 se completează cu punctul 62</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cu următorul cuprins:</w:t>
            </w:r>
          </w:p>
          <w:bookmarkEnd w:id="2"/>
          <w:p w14:paraId="37CD5D99" w14:textId="61FF7D7C"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”62</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Evaluarea și monitorizarea menționate la punctul 61 se realizează de către organismul național de acreditare, recunoscut conform art.7 din Legea nr.235/2011 privind </w:t>
            </w:r>
            <w:r w:rsidRPr="00AC33E5">
              <w:rPr>
                <w:rFonts w:ascii="Times New Roman" w:hAnsi="Times New Roman"/>
                <w:sz w:val="24"/>
                <w:szCs w:val="24"/>
                <w:lang w:val="ro-MD"/>
              </w:rPr>
              <w:lastRenderedPageBreak/>
              <w:t>activitățile de acreditare și de evaluare a conformității.</w:t>
            </w:r>
            <w:bookmarkEnd w:id="3"/>
            <w:r w:rsidRPr="00AC33E5">
              <w:rPr>
                <w:rFonts w:ascii="Times New Roman" w:hAnsi="Times New Roman"/>
                <w:sz w:val="24"/>
                <w:szCs w:val="24"/>
                <w:lang w:val="ro-MD"/>
              </w:rPr>
              <w:t>”;</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C7CB7" w14:textId="48277982"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62</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sz w:val="24"/>
                <w:szCs w:val="24"/>
                <w:vertAlign w:val="superscript"/>
                <w:lang w:val="ro-MD"/>
              </w:rPr>
              <w:t xml:space="preserve"> </w:t>
            </w:r>
            <w:r w:rsidRPr="00AC33E5">
              <w:rPr>
                <w:rFonts w:ascii="Times New Roman" w:hAnsi="Times New Roman"/>
                <w:sz w:val="24"/>
                <w:szCs w:val="24"/>
                <w:lang w:val="ro-MD"/>
              </w:rPr>
              <w:t>Evaluarea și monitorizarea menționate la punctul 61 se realizează de către organismul național de acreditare, recunoscut conform art.7 din Legea nr.235/2011 privind activitățile de acreditare și de evaluare a conformității.</w:t>
            </w:r>
          </w:p>
        </w:tc>
      </w:tr>
      <w:tr w:rsidR="009E231B" w:rsidRPr="00AC33E5" w14:paraId="533B2741"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F5544" w14:textId="55D6DBE4" w:rsidR="009E231B" w:rsidRPr="00AC33E5" w:rsidRDefault="009E231B" w:rsidP="00AC33E5">
            <w:pPr>
              <w:pStyle w:val="ListParagraph"/>
              <w:spacing w:line="276" w:lineRule="auto"/>
              <w:ind w:left="252" w:right="72" w:firstLine="0"/>
              <w:rPr>
                <w:rFonts w:ascii="Times New Roman" w:hAnsi="Times New Roman"/>
                <w:sz w:val="24"/>
                <w:szCs w:val="24"/>
                <w:lang w:val="ro-MD"/>
              </w:rPr>
            </w:pPr>
            <w:r w:rsidRPr="00AC33E5">
              <w:rPr>
                <w:rFonts w:ascii="Times New Roman" w:hAnsi="Times New Roman"/>
                <w:sz w:val="24"/>
                <w:szCs w:val="24"/>
                <w:lang w:val="ro-MD"/>
              </w:rPr>
              <w:t>63.Ministerul Infrastructurii și Dezvoltării Regionale îşi asumă întreaga răspundere pentru sarcinile îndeplinite de organismul de evaluare a conformităţii.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B713A1" w14:textId="3B0EEE1C" w:rsidR="009E231B" w:rsidRPr="00AC33E5" w:rsidRDefault="00ED07B5" w:rsidP="00AC33E5">
            <w:pPr>
              <w:spacing w:line="276" w:lineRule="auto"/>
              <w:ind w:right="72"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3</w:t>
            </w:r>
            <w:r w:rsidR="009E231B" w:rsidRPr="00AC33E5">
              <w:rPr>
                <w:rFonts w:ascii="Times New Roman" w:hAnsi="Times New Roman"/>
                <w:sz w:val="24"/>
                <w:szCs w:val="24"/>
                <w:lang w:val="ro-MD"/>
              </w:rPr>
              <w:t>. punctul 63, cuvintele ”de evaluare a conformității” se substituie cu cuvintele ”național de acreditare”;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778E021" w14:textId="39CBEA0C"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63. Ministerul Infrastructurii și și Dezvoltării Regionale își asumă întreaga răspundere pentru sarcinile îndeplinite de organismul național de acreditare. </w:t>
            </w:r>
          </w:p>
        </w:tc>
      </w:tr>
      <w:tr w:rsidR="009E231B" w:rsidRPr="00AC33E5" w14:paraId="4637E0C8"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343069" w14:textId="156FBE98" w:rsidR="009E231B" w:rsidRPr="00AC33E5" w:rsidRDefault="009E231B" w:rsidP="00AC33E5">
            <w:pPr>
              <w:pStyle w:val="ListParagraph"/>
              <w:spacing w:line="276" w:lineRule="auto"/>
              <w:ind w:left="252" w:right="72" w:firstLine="0"/>
              <w:rPr>
                <w:rFonts w:ascii="Times New Roman" w:hAnsi="Times New Roman"/>
                <w:sz w:val="24"/>
                <w:szCs w:val="24"/>
                <w:lang w:val="ro-MD"/>
              </w:rPr>
            </w:pPr>
            <w:r w:rsidRPr="00AC33E5">
              <w:rPr>
                <w:rFonts w:ascii="Times New Roman" w:hAnsi="Times New Roman"/>
                <w:sz w:val="24"/>
                <w:szCs w:val="24"/>
                <w:lang w:val="ro-MD"/>
              </w:rPr>
              <w:t>67. Ministerul Infrastructurii și Dezvoltării Regionale și instituțiile subordonate nu oferă și nu prestează activități pe care le prestează organismele notificate și nici servicii de consultanță în condiții comerciale sau concurențiale.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1E71C" w14:textId="6CA99374"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4</w:t>
            </w:r>
            <w:r w:rsidRPr="00AC33E5">
              <w:rPr>
                <w:rFonts w:ascii="Times New Roman" w:hAnsi="Times New Roman"/>
                <w:sz w:val="24"/>
                <w:szCs w:val="24"/>
                <w:lang w:val="ro-MD"/>
              </w:rPr>
              <w:t>.</w:t>
            </w:r>
            <w:r w:rsidR="009E231B" w:rsidRPr="00AC33E5">
              <w:rPr>
                <w:rFonts w:ascii="Times New Roman" w:hAnsi="Times New Roman"/>
                <w:sz w:val="24"/>
                <w:szCs w:val="24"/>
                <w:lang w:val="ro-MD"/>
              </w:rPr>
              <w:t xml:space="preserve"> la punctul 67, după cuvântul ”concurențiale” se completează cu cuvintele ”în domeniul echipamentelor sub presiune transportabile”;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7C1B80" w14:textId="1F55C0A3"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67. Ministerul Infrastructurii și Dezvoltării Regionale și instituțiile subordonate nu oferă și nu prestează activități pe care le prestează organismele notificate și nici servicii de consultanță în condiții comerciale sau concurențiale în domeniul echipamentelor sub presiune transportabile.</w:t>
            </w:r>
          </w:p>
        </w:tc>
      </w:tr>
      <w:tr w:rsidR="009E231B" w:rsidRPr="00AC33E5" w14:paraId="291043E1"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20D203" w14:textId="5519F6D1" w:rsidR="009E231B" w:rsidRPr="00AC33E5" w:rsidRDefault="009E231B" w:rsidP="00AC33E5">
            <w:pPr>
              <w:pStyle w:val="ListParagraph"/>
              <w:spacing w:line="276" w:lineRule="auto"/>
              <w:ind w:left="252" w:right="7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864B9" w14:textId="229DFD4B"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5</w:t>
            </w:r>
            <w:r w:rsidRPr="00AC33E5">
              <w:rPr>
                <w:rFonts w:ascii="Times New Roman" w:hAnsi="Times New Roman"/>
                <w:sz w:val="24"/>
                <w:szCs w:val="24"/>
                <w:lang w:val="ro-MD"/>
              </w:rPr>
              <w:t>.</w:t>
            </w:r>
            <w:r w:rsidR="009E231B" w:rsidRPr="00AC33E5">
              <w:rPr>
                <w:rFonts w:ascii="Times New Roman" w:hAnsi="Times New Roman"/>
                <w:sz w:val="24"/>
                <w:szCs w:val="24"/>
                <w:lang w:val="ro-MD"/>
              </w:rPr>
              <w:t xml:space="preserve"> după punctul 68, se completează cu punctele 68</w:t>
            </w:r>
            <w:r w:rsidR="009E231B" w:rsidRPr="00AC33E5">
              <w:rPr>
                <w:rFonts w:ascii="Times New Roman" w:hAnsi="Times New Roman"/>
                <w:sz w:val="24"/>
                <w:szCs w:val="24"/>
                <w:vertAlign w:val="superscript"/>
                <w:lang w:val="ro-MD"/>
              </w:rPr>
              <w:t xml:space="preserve">1 </w:t>
            </w:r>
            <w:r w:rsidR="009E231B" w:rsidRPr="00AC33E5">
              <w:rPr>
                <w:rFonts w:ascii="Times New Roman" w:hAnsi="Times New Roman"/>
                <w:sz w:val="24"/>
                <w:szCs w:val="24"/>
                <w:lang w:val="ro-MD"/>
              </w:rPr>
              <w:t>și</w:t>
            </w:r>
            <w:r w:rsidR="009E231B" w:rsidRPr="00AC33E5">
              <w:rPr>
                <w:rFonts w:ascii="Times New Roman" w:hAnsi="Times New Roman"/>
                <w:sz w:val="24"/>
                <w:szCs w:val="24"/>
                <w:vertAlign w:val="superscript"/>
                <w:lang w:val="ro-MD"/>
              </w:rPr>
              <w:t xml:space="preserve"> </w:t>
            </w:r>
            <w:r w:rsidR="009E231B" w:rsidRPr="00AC33E5">
              <w:rPr>
                <w:rFonts w:ascii="Times New Roman" w:hAnsi="Times New Roman"/>
                <w:sz w:val="24"/>
                <w:szCs w:val="24"/>
                <w:lang w:val="ro-MD"/>
              </w:rPr>
              <w:t>68</w:t>
            </w:r>
            <w:r w:rsidR="009E231B" w:rsidRPr="00AC33E5">
              <w:rPr>
                <w:rFonts w:ascii="Times New Roman" w:hAnsi="Times New Roman"/>
                <w:sz w:val="24"/>
                <w:szCs w:val="24"/>
                <w:vertAlign w:val="superscript"/>
                <w:lang w:val="ro-MD"/>
              </w:rPr>
              <w:t xml:space="preserve">2 </w:t>
            </w:r>
            <w:r w:rsidR="009E231B" w:rsidRPr="00AC33E5">
              <w:rPr>
                <w:rFonts w:ascii="Times New Roman" w:hAnsi="Times New Roman"/>
                <w:sz w:val="24"/>
                <w:szCs w:val="24"/>
                <w:lang w:val="ro-MD"/>
              </w:rPr>
              <w:t>cu următorul cuprins:</w:t>
            </w:r>
          </w:p>
          <w:p w14:paraId="27256DB8" w14:textId="19C5704C"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”68</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sz w:val="24"/>
                <w:szCs w:val="24"/>
                <w:vertAlign w:val="superscript"/>
                <w:lang w:val="ro-MD"/>
              </w:rPr>
              <w:t xml:space="preserve"> </w:t>
            </w:r>
            <w:r w:rsidRPr="00AC33E5">
              <w:rPr>
                <w:rFonts w:ascii="Times New Roman" w:hAnsi="Times New Roman"/>
                <w:sz w:val="24"/>
                <w:szCs w:val="24"/>
                <w:lang w:val="ro-MD"/>
              </w:rPr>
              <w:t>Ministerul Infrastructurii și Dezvoltării Regionale are la dispoziție personal competent suficient pentru îndeplinirea corespunzătoare a sarcinilor sale.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043EF1" w14:textId="734DC11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68</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sz w:val="24"/>
                <w:szCs w:val="24"/>
                <w:vertAlign w:val="superscript"/>
                <w:lang w:val="ro-MD"/>
              </w:rPr>
              <w:t xml:space="preserve"> </w:t>
            </w:r>
            <w:r w:rsidRPr="00AC33E5">
              <w:rPr>
                <w:rFonts w:ascii="Times New Roman" w:hAnsi="Times New Roman"/>
                <w:sz w:val="24"/>
                <w:szCs w:val="24"/>
                <w:lang w:val="ro-MD"/>
              </w:rPr>
              <w:t>Ministerul Infrastructurii și Dezvoltării Regiona</w:t>
            </w:r>
            <w:r w:rsidR="005876FB" w:rsidRPr="00AC33E5">
              <w:rPr>
                <w:rFonts w:ascii="Times New Roman" w:hAnsi="Times New Roman"/>
                <w:sz w:val="24"/>
                <w:szCs w:val="24"/>
                <w:lang w:val="ro-MD"/>
              </w:rPr>
              <w:t xml:space="preserve">le </w:t>
            </w:r>
            <w:r w:rsidRPr="00AC33E5">
              <w:rPr>
                <w:rFonts w:ascii="Times New Roman" w:hAnsi="Times New Roman"/>
                <w:sz w:val="24"/>
                <w:szCs w:val="24"/>
                <w:lang w:val="ro-MD"/>
              </w:rPr>
              <w:t>are la dispoziție personal competent suficient pentru îndeplinirea corespunzătoare a sarcinilor sale.</w:t>
            </w:r>
          </w:p>
          <w:p w14:paraId="61EF0143" w14:textId="6CEB2556" w:rsidR="009E231B" w:rsidRPr="00AC33E5" w:rsidRDefault="009E231B" w:rsidP="00AC33E5">
            <w:pPr>
              <w:spacing w:line="276" w:lineRule="auto"/>
              <w:ind w:firstLine="0"/>
              <w:rPr>
                <w:rFonts w:ascii="Times New Roman" w:hAnsi="Times New Roman"/>
                <w:sz w:val="24"/>
                <w:szCs w:val="24"/>
                <w:lang w:val="ro-MD"/>
              </w:rPr>
            </w:pPr>
          </w:p>
        </w:tc>
      </w:tr>
      <w:tr w:rsidR="009E231B" w:rsidRPr="00AC33E5" w14:paraId="376894E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B7615" w14:textId="6427DF4E" w:rsidR="009E231B" w:rsidRPr="00AC33E5" w:rsidRDefault="009E231B" w:rsidP="00AC33E5">
            <w:pPr>
              <w:pStyle w:val="ListParagraph"/>
              <w:spacing w:line="276" w:lineRule="auto"/>
              <w:ind w:left="252" w:right="7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DEF43" w14:textId="779ABC85"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68</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Ministerul Infrastructurii și Dezvoltării Regionale informează Comisia Europeană în legătură cu procedurile sale de recunoaștere şi notificare a organismelor de evaluare a conformităţii şi de monitorizare a organismelor notificate, precum şi în legătură cu orice modificări aduse acestora.”;</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30C7AA" w14:textId="5AE54252"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68</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Ministerul Infrastructurii și Dezvoltării Regionale informează Comisia Europeană în legătură cu procedurile sale de recunoaștere şi notificare a organismelor de evaluare a conformităţii şi procedurile de monitorizare a organismelor notificate, precum şi în legătură cu orice  modificări aduse acestora.</w:t>
            </w:r>
          </w:p>
        </w:tc>
      </w:tr>
      <w:tr w:rsidR="009E231B" w:rsidRPr="00AC33E5" w14:paraId="640F508E"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5AC492" w14:textId="77777777"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69. În scopul notificării, un organism de evaluare a conformităţii trebuie să îndeplinească cerinţele prevăzute în standardele de referinţă aplicabile acestora.</w:t>
            </w:r>
          </w:p>
          <w:p w14:paraId="6C559AB0" w14:textId="7531BBE6" w:rsidR="009E231B" w:rsidRPr="00AC33E5" w:rsidRDefault="009E231B" w:rsidP="00AC33E5">
            <w:pPr>
              <w:spacing w:line="276" w:lineRule="auto"/>
              <w:ind w:left="252" w:firstLine="0"/>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1A0983" w14:textId="18321EA5"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6</w:t>
            </w:r>
            <w:r w:rsidRPr="00AC33E5">
              <w:rPr>
                <w:rFonts w:ascii="Times New Roman" w:hAnsi="Times New Roman"/>
                <w:sz w:val="24"/>
                <w:szCs w:val="24"/>
                <w:lang w:val="ro-MD"/>
              </w:rPr>
              <w:t>.</w:t>
            </w:r>
            <w:r w:rsidR="009E231B" w:rsidRPr="00AC33E5">
              <w:rPr>
                <w:rFonts w:ascii="Times New Roman" w:hAnsi="Times New Roman"/>
                <w:sz w:val="24"/>
                <w:szCs w:val="24"/>
                <w:lang w:val="ro-MD"/>
              </w:rPr>
              <w:t xml:space="preserve"> punctul 69 va avea următorul cuprins: </w:t>
            </w:r>
          </w:p>
          <w:p w14:paraId="2B1C35AB" w14:textId="411B9D61"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,,69. În scopul notificării, un organism de evaluare a conformității trebuie să îndeplinească cerințele prevăzute în Anexele A și B din ADR și prezenta Reglementare tehnică, precum și standardele de referință  aplicabile acestora, care se confirmă prin acreditare în condițiile Legii nr. 235/2011 privind activitățile de acreditare şi de evaluare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49129E" w14:textId="77777777" w:rsidR="009E231B" w:rsidRPr="00AC33E5" w:rsidRDefault="009E231B" w:rsidP="00AC33E5">
            <w:pPr>
              <w:spacing w:line="276" w:lineRule="auto"/>
              <w:jc w:val="center"/>
              <w:rPr>
                <w:rFonts w:ascii="Times New Roman" w:hAnsi="Times New Roman"/>
                <w:sz w:val="24"/>
                <w:szCs w:val="24"/>
                <w:lang w:val="ro-MD"/>
              </w:rPr>
            </w:pPr>
            <w:r w:rsidRPr="00AC33E5">
              <w:rPr>
                <w:rFonts w:ascii="Times New Roman" w:hAnsi="Times New Roman"/>
                <w:b/>
                <w:bCs/>
                <w:sz w:val="24"/>
                <w:szCs w:val="24"/>
                <w:lang w:val="ro-MD"/>
              </w:rPr>
              <w:t>Secțiunea a 3-a</w:t>
            </w:r>
          </w:p>
          <w:p w14:paraId="5B5BF750" w14:textId="77777777" w:rsidR="009E231B" w:rsidRPr="00AC33E5" w:rsidRDefault="009E231B" w:rsidP="00AC33E5">
            <w:pPr>
              <w:spacing w:line="276" w:lineRule="auto"/>
              <w:jc w:val="center"/>
              <w:rPr>
                <w:rFonts w:ascii="Times New Roman" w:hAnsi="Times New Roman"/>
                <w:sz w:val="24"/>
                <w:szCs w:val="24"/>
                <w:lang w:val="ro-MD"/>
              </w:rPr>
            </w:pPr>
            <w:r w:rsidRPr="00AC33E5">
              <w:rPr>
                <w:rFonts w:ascii="Times New Roman" w:hAnsi="Times New Roman"/>
                <w:b/>
                <w:bCs/>
                <w:sz w:val="24"/>
                <w:szCs w:val="24"/>
                <w:lang w:val="ro-MD"/>
              </w:rPr>
              <w:t>Cerințe privind organismele notificate</w:t>
            </w:r>
          </w:p>
          <w:p w14:paraId="7443B1F7" w14:textId="26765CE9"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69. În scopul notificării, un organism de evaluare a conformității trebuie să îndeplinească cerințele prevăzute în Anexele A și B din ADR și prezenta Reglementare tehnică, precum și standardele de referință  aplicabile acestora, care se confirmă prin acreditare în condițiile Legii nr. 235/2011 privind activitățile de acreditare şi de evaluare a conformității.</w:t>
            </w:r>
          </w:p>
        </w:tc>
      </w:tr>
      <w:tr w:rsidR="009E231B" w:rsidRPr="00AC33E5" w14:paraId="18FE98BC"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18DAE" w14:textId="77777777" w:rsidR="009E231B" w:rsidRPr="00AC33E5" w:rsidRDefault="009E231B" w:rsidP="00AC33E5">
            <w:pPr>
              <w:spacing w:line="276" w:lineRule="auto"/>
              <w:ind w:left="25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D681E3" w14:textId="69938852" w:rsidR="009E231B" w:rsidRPr="00AC33E5" w:rsidRDefault="00ED07B5" w:rsidP="00AC33E5">
            <w:pPr>
              <w:spacing w:line="276" w:lineRule="auto"/>
              <w:ind w:firstLine="0"/>
              <w:rPr>
                <w:rFonts w:ascii="Times New Roman" w:hAnsi="Times New Roman"/>
                <w:sz w:val="24"/>
                <w:szCs w:val="24"/>
                <w:lang w:val="ro-MD"/>
              </w:rPr>
            </w:pPr>
            <w:bookmarkStart w:id="4" w:name="_Hlk192023383"/>
            <w:bookmarkStart w:id="5" w:name="_Hlk193177921"/>
            <w:r w:rsidRPr="00AC33E5">
              <w:rPr>
                <w:rFonts w:ascii="Times New Roman" w:hAnsi="Times New Roman"/>
                <w:sz w:val="24"/>
                <w:szCs w:val="24"/>
                <w:lang w:val="ro-MD"/>
              </w:rPr>
              <w:t>1.4.1</w:t>
            </w:r>
            <w:r w:rsidR="00512F04" w:rsidRPr="00AC33E5">
              <w:rPr>
                <w:rFonts w:ascii="Times New Roman" w:hAnsi="Times New Roman"/>
                <w:sz w:val="24"/>
                <w:szCs w:val="24"/>
                <w:lang w:val="ro-MD"/>
              </w:rPr>
              <w:t>7</w:t>
            </w:r>
            <w:r w:rsidRPr="00AC33E5">
              <w:rPr>
                <w:rFonts w:ascii="Times New Roman" w:hAnsi="Times New Roman"/>
                <w:sz w:val="24"/>
                <w:szCs w:val="24"/>
                <w:lang w:val="ro-MD"/>
              </w:rPr>
              <w:t>.</w:t>
            </w:r>
            <w:r w:rsidR="009E231B" w:rsidRPr="00AC33E5">
              <w:rPr>
                <w:rFonts w:ascii="Times New Roman" w:hAnsi="Times New Roman"/>
                <w:sz w:val="24"/>
                <w:szCs w:val="24"/>
                <w:lang w:val="ro-MD"/>
              </w:rPr>
              <w:t xml:space="preserve"> după punctul 69 se completează cu punctul 69</w:t>
            </w:r>
            <w:r w:rsidR="009E231B" w:rsidRPr="00AC33E5">
              <w:rPr>
                <w:rFonts w:ascii="Times New Roman" w:hAnsi="Times New Roman"/>
                <w:sz w:val="24"/>
                <w:szCs w:val="24"/>
                <w:vertAlign w:val="superscript"/>
                <w:lang w:val="ro-MD"/>
              </w:rPr>
              <w:t xml:space="preserve">1  </w:t>
            </w:r>
            <w:r w:rsidR="009E231B" w:rsidRPr="00AC33E5">
              <w:rPr>
                <w:rFonts w:ascii="Times New Roman" w:hAnsi="Times New Roman"/>
                <w:sz w:val="24"/>
                <w:szCs w:val="24"/>
                <w:lang w:val="ro-MD"/>
              </w:rPr>
              <w:t>cu următorul cuprins:</w:t>
            </w:r>
          </w:p>
          <w:p w14:paraId="2CB51C03" w14:textId="41C9FD5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sz w:val="24"/>
                <w:szCs w:val="24"/>
                <w:vertAlign w:val="superscript"/>
                <w:lang w:val="ro-MD"/>
              </w:rPr>
              <w:t xml:space="preserve"> </w:t>
            </w:r>
            <w:r w:rsidRPr="00AC33E5">
              <w:rPr>
                <w:rFonts w:ascii="Times New Roman" w:hAnsi="Times New Roman"/>
                <w:sz w:val="24"/>
                <w:szCs w:val="24"/>
                <w:lang w:val="ro-MD"/>
              </w:rPr>
              <w:t>În sensul anexelor la ADR, orice organism de evaluare a conformității notificat care  îndeplinește cerințele prevăzute în aceste anexe și prezenta Reglementare tehnică nu are funcția de autoritate de notificare.”;</w:t>
            </w:r>
            <w:bookmarkEnd w:id="4"/>
            <w:bookmarkEnd w:id="5"/>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063BA" w14:textId="2315314F"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69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sz w:val="24"/>
                <w:szCs w:val="24"/>
                <w:vertAlign w:val="superscript"/>
                <w:lang w:val="ro-MD"/>
              </w:rPr>
              <w:t xml:space="preserve"> </w:t>
            </w:r>
            <w:r w:rsidRPr="00AC33E5">
              <w:rPr>
                <w:rFonts w:ascii="Times New Roman" w:hAnsi="Times New Roman"/>
                <w:sz w:val="24"/>
                <w:szCs w:val="24"/>
                <w:lang w:val="ro-MD"/>
              </w:rPr>
              <w:t>În sensul anexelor la ADR, orice organism de evaluare a conformității notificat care îndeplinește cerințele prevăzute în aceste anexe și prezenta Reglementare tehnică nu are funcția de autoritate de notificare.</w:t>
            </w:r>
          </w:p>
        </w:tc>
      </w:tr>
      <w:tr w:rsidR="009E231B" w:rsidRPr="00AC33E5" w14:paraId="0670CBFA"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6854F" w14:textId="47491CDE" w:rsidR="009E231B" w:rsidRPr="00AC33E5" w:rsidRDefault="009E231B" w:rsidP="00AC33E5">
            <w:pPr>
              <w:pStyle w:val="ListParagraph"/>
              <w:spacing w:line="276" w:lineRule="auto"/>
              <w:ind w:left="252" w:right="72" w:firstLine="0"/>
              <w:rPr>
                <w:rFonts w:ascii="Times New Roman" w:hAnsi="Times New Roman"/>
                <w:sz w:val="24"/>
                <w:szCs w:val="24"/>
                <w:lang w:val="ro-MD"/>
              </w:rPr>
            </w:pPr>
            <w:bookmarkStart w:id="6" w:name="_Hlk193177895"/>
            <w:r w:rsidRPr="00AC33E5">
              <w:rPr>
                <w:rFonts w:ascii="Times New Roman" w:hAnsi="Times New Roman"/>
                <w:sz w:val="24"/>
                <w:szCs w:val="24"/>
                <w:lang w:val="ro-MD"/>
              </w:rPr>
              <w:t>71. Organismele de evaluare a conformității participă sau se asigură că personalul lor responsabil de îndeplinirea sarcinilor de evaluare a conformității este informat în legătură cu activitățile de standardizare relevante.</w:t>
            </w:r>
          </w:p>
          <w:p w14:paraId="685AED27" w14:textId="1F261DCE" w:rsidR="009E231B" w:rsidRPr="00AC33E5" w:rsidRDefault="009E231B" w:rsidP="00AC33E5">
            <w:pPr>
              <w:pStyle w:val="ListParagraph"/>
              <w:spacing w:line="276" w:lineRule="auto"/>
              <w:ind w:left="252" w:right="7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DBE90" w14:textId="7CB28C3A"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8</w:t>
            </w:r>
            <w:r w:rsidR="009E231B" w:rsidRPr="00AC33E5">
              <w:rPr>
                <w:rFonts w:ascii="Times New Roman" w:hAnsi="Times New Roman"/>
                <w:sz w:val="24"/>
                <w:szCs w:val="24"/>
                <w:lang w:val="ro-MD"/>
              </w:rPr>
              <w:t>. punctul 71 va avea următorul cuprins:</w:t>
            </w:r>
          </w:p>
          <w:p w14:paraId="0348DC78" w14:textId="306D033C"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”71. Organismele de evaluare a conformității participă la activitățile de standardizare pertinente și la activitățile grupului sectorial al organismelor notificate sau se asigură că personalul lor responsabil de îndeplinirea sarcinilor de evaluare a </w:t>
            </w:r>
            <w:r w:rsidRPr="00AC33E5">
              <w:rPr>
                <w:rFonts w:ascii="Times New Roman" w:hAnsi="Times New Roman"/>
                <w:sz w:val="24"/>
                <w:szCs w:val="24"/>
                <w:lang w:val="ro-MD"/>
              </w:rPr>
              <w:lastRenderedPageBreak/>
              <w:t>conformității este informat în legătură cu activitățile de standardizare relevante, aplică, sub formă de îndrumări generale, deciziile și documentele administrative produse ca rezultat al activității grupului respectiv.”;</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3E9F45" w14:textId="4244E620"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71. 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w:t>
            </w:r>
            <w:r w:rsidRPr="00AC33E5">
              <w:rPr>
                <w:rFonts w:ascii="Times New Roman" w:hAnsi="Times New Roman"/>
                <w:sz w:val="24"/>
                <w:szCs w:val="24"/>
                <w:lang w:val="ro-MD"/>
              </w:rPr>
              <w:lastRenderedPageBreak/>
              <w:t>administrative produse ca rezultat al activității grupului respectiv.</w:t>
            </w:r>
          </w:p>
        </w:tc>
      </w:tr>
      <w:bookmarkEnd w:id="6"/>
      <w:tr w:rsidR="009E231B" w:rsidRPr="00AC33E5" w14:paraId="7C5651C4"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21E429" w14:textId="77777777"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73. Solicitarea de recunoaștere în vederea notificării este însoțită de o descriere a următoarelor aspecte:</w:t>
            </w:r>
          </w:p>
          <w:p w14:paraId="393AB656" w14:textId="77777777"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 activitățile legate de evaluarea conformității, de inspecțiile periodice și de inspecțiile intermediare, de verificările excepționale inopinate, și de reevaluarea conformității;</w:t>
            </w:r>
          </w:p>
          <w:p w14:paraId="1C71D8FC" w14:textId="77777777"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2) procedurile legate de activitățile menționate la subpct. 1) din prezentul punct;</w:t>
            </w:r>
          </w:p>
          <w:p w14:paraId="569E09EC" w14:textId="3810F8C5"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3) echipamentele sub presiune transportabile despre care organismul susține că țin de competența sa;</w:t>
            </w:r>
          </w:p>
          <w:p w14:paraId="44AFAB22" w14:textId="3996B33E"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4) certificatul de acreditare, eliberat de organismul național de acreditare, care atestă că organismul de evaluare a conformității satisface cerințele aplicabile acestora stabilite în pct. 69-71 din prezenta Reglementare tehnică.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4F76366" w14:textId="5640B9F8" w:rsidR="009E231B" w:rsidRPr="00AC33E5" w:rsidRDefault="00ED07B5" w:rsidP="00AC33E5">
            <w:pPr>
              <w:spacing w:line="276" w:lineRule="auto"/>
              <w:ind w:firstLine="0"/>
              <w:rPr>
                <w:rFonts w:ascii="Times New Roman" w:hAnsi="Times New Roman"/>
                <w:sz w:val="24"/>
                <w:szCs w:val="24"/>
                <w:lang w:val="ro-MD"/>
              </w:rPr>
            </w:pPr>
            <w:bookmarkStart w:id="7" w:name="_Hlk193177838"/>
            <w:r w:rsidRPr="00AC33E5">
              <w:rPr>
                <w:rFonts w:ascii="Times New Roman" w:hAnsi="Times New Roman"/>
                <w:sz w:val="24"/>
                <w:szCs w:val="24"/>
                <w:lang w:val="ro-MD"/>
              </w:rPr>
              <w:t>1.4.1</w:t>
            </w:r>
            <w:r w:rsidR="00512F04" w:rsidRPr="00AC33E5">
              <w:rPr>
                <w:rFonts w:ascii="Times New Roman" w:hAnsi="Times New Roman"/>
                <w:sz w:val="24"/>
                <w:szCs w:val="24"/>
                <w:lang w:val="ro-MD"/>
              </w:rPr>
              <w:t>9</w:t>
            </w:r>
            <w:r w:rsidR="009E231B" w:rsidRPr="00AC33E5">
              <w:rPr>
                <w:rFonts w:ascii="Times New Roman" w:hAnsi="Times New Roman"/>
                <w:sz w:val="24"/>
                <w:szCs w:val="24"/>
                <w:lang w:val="ro-MD"/>
              </w:rPr>
              <w:t xml:space="preserve">. la punctul 73, </w:t>
            </w:r>
          </w:p>
          <w:p w14:paraId="61AD1DB7" w14:textId="719895F8"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9</w:t>
            </w:r>
            <w:r w:rsidRPr="00AC33E5">
              <w:rPr>
                <w:rFonts w:ascii="Times New Roman" w:hAnsi="Times New Roman"/>
                <w:sz w:val="24"/>
                <w:szCs w:val="24"/>
                <w:lang w:val="ro-MD"/>
              </w:rPr>
              <w:t>.1.</w:t>
            </w:r>
            <w:r w:rsidR="009E231B" w:rsidRPr="00AC33E5">
              <w:rPr>
                <w:rFonts w:ascii="Times New Roman" w:hAnsi="Times New Roman"/>
                <w:sz w:val="24"/>
                <w:szCs w:val="24"/>
                <w:lang w:val="ro-MD"/>
              </w:rPr>
              <w:t xml:space="preserve"> la alin.1), cuvintele ”de inspecții” din sintagma ”de inspecții intermediare” se exclud;</w:t>
            </w:r>
          </w:p>
          <w:p w14:paraId="15BE0B1A" w14:textId="6BEC075D"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9</w:t>
            </w:r>
            <w:r w:rsidRPr="00AC33E5">
              <w:rPr>
                <w:rFonts w:ascii="Times New Roman" w:hAnsi="Times New Roman"/>
                <w:sz w:val="24"/>
                <w:szCs w:val="24"/>
                <w:lang w:val="ro-MD"/>
              </w:rPr>
              <w:t>.2.</w:t>
            </w:r>
            <w:r w:rsidR="009E231B" w:rsidRPr="00AC33E5">
              <w:rPr>
                <w:rFonts w:ascii="Times New Roman" w:hAnsi="Times New Roman"/>
                <w:sz w:val="24"/>
                <w:szCs w:val="24"/>
                <w:lang w:val="ro-MD"/>
              </w:rPr>
              <w:t xml:space="preserve"> la alin.3), cuvântul ”echipamentele” se substituie cu cuvintele ”lista echipamentelor”;</w:t>
            </w:r>
          </w:p>
          <w:p w14:paraId="36BC9F6A" w14:textId="269C5425"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9</w:t>
            </w:r>
            <w:r w:rsidRPr="00AC33E5">
              <w:rPr>
                <w:rFonts w:ascii="Times New Roman" w:hAnsi="Times New Roman"/>
                <w:sz w:val="24"/>
                <w:szCs w:val="24"/>
                <w:lang w:val="ro-MD"/>
              </w:rPr>
              <w:t>.3</w:t>
            </w:r>
            <w:r w:rsidR="009E231B" w:rsidRPr="00AC33E5">
              <w:rPr>
                <w:rFonts w:ascii="Times New Roman" w:hAnsi="Times New Roman"/>
                <w:sz w:val="24"/>
                <w:szCs w:val="24"/>
                <w:lang w:val="ro-MD"/>
              </w:rPr>
              <w:t xml:space="preserve">. </w:t>
            </w:r>
            <w:r w:rsidRPr="00AC33E5">
              <w:rPr>
                <w:rFonts w:ascii="Times New Roman" w:hAnsi="Times New Roman"/>
                <w:sz w:val="24"/>
                <w:szCs w:val="24"/>
                <w:lang w:val="ro-MD"/>
              </w:rPr>
              <w:t xml:space="preserve">la </w:t>
            </w:r>
            <w:r w:rsidR="009E231B" w:rsidRPr="00AC33E5">
              <w:rPr>
                <w:rFonts w:ascii="Times New Roman" w:hAnsi="Times New Roman"/>
                <w:sz w:val="24"/>
                <w:szCs w:val="24"/>
                <w:lang w:val="ro-MD"/>
              </w:rPr>
              <w:t>alin.4), după cuvântul ”acreditare”, se completează cu cuvintele ”în conformitate cu prevederile din Legea nr.235/2011 privind activităţile de acreditare şi de evaluare a conformităţii,”;</w:t>
            </w:r>
          </w:p>
          <w:p w14:paraId="22451504" w14:textId="752232E4"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1.4.1</w:t>
            </w:r>
            <w:r w:rsidR="00512F04" w:rsidRPr="00AC33E5">
              <w:rPr>
                <w:rFonts w:ascii="Times New Roman" w:hAnsi="Times New Roman"/>
                <w:sz w:val="24"/>
                <w:szCs w:val="24"/>
                <w:lang w:val="ro-MD"/>
              </w:rPr>
              <w:t>9</w:t>
            </w:r>
            <w:r w:rsidRPr="00AC33E5">
              <w:rPr>
                <w:rFonts w:ascii="Times New Roman" w:hAnsi="Times New Roman"/>
                <w:sz w:val="24"/>
                <w:szCs w:val="24"/>
                <w:lang w:val="ro-MD"/>
              </w:rPr>
              <w:t>.4</w:t>
            </w:r>
            <w:r w:rsidR="009E231B" w:rsidRPr="00AC33E5">
              <w:rPr>
                <w:rFonts w:ascii="Times New Roman" w:hAnsi="Times New Roman"/>
                <w:sz w:val="24"/>
                <w:szCs w:val="24"/>
                <w:lang w:val="ro-MD"/>
              </w:rPr>
              <w:t>.</w:t>
            </w:r>
            <w:r w:rsidRPr="00AC33E5">
              <w:rPr>
                <w:rFonts w:ascii="Times New Roman" w:hAnsi="Times New Roman"/>
                <w:sz w:val="24"/>
                <w:szCs w:val="24"/>
                <w:lang w:val="ro-MD"/>
              </w:rPr>
              <w:t xml:space="preserve"> la alin. 4),</w:t>
            </w:r>
            <w:r w:rsidR="009E231B" w:rsidRPr="00AC33E5">
              <w:rPr>
                <w:rFonts w:ascii="Times New Roman" w:hAnsi="Times New Roman"/>
                <w:sz w:val="24"/>
                <w:szCs w:val="24"/>
                <w:lang w:val="ro-MD"/>
              </w:rPr>
              <w:t xml:space="preserve"> după cuvântul ”conformității” se completează cu cuvântul ”acreditat”;</w:t>
            </w:r>
            <w:bookmarkEnd w:id="7"/>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CDAF04" w14:textId="7777777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73. Solicitarea de recunoaștere în vederea notificării este însoțită de o descriere a următoarelor aspecte:</w:t>
            </w:r>
          </w:p>
          <w:p w14:paraId="03BFF836" w14:textId="7777777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 activitățile legate de evaluarea conformității, de inspecțiile periodice și intermediare, de verificările inopinate, și de reevaluarea conformității;</w:t>
            </w:r>
          </w:p>
          <w:p w14:paraId="76A1D53A" w14:textId="7777777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2) procedurile legate de activitățile menționate la subpct. 1) din prezentul punct;</w:t>
            </w:r>
          </w:p>
          <w:p w14:paraId="397E1951" w14:textId="77777777"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3) lista echipamentelor sub presiune transportabile despre care organismul susține că țin de competența sa;</w:t>
            </w:r>
          </w:p>
          <w:p w14:paraId="4F43EFE0" w14:textId="770FDDC5"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4) certificatul de acreditare, eliberat de organismul național de acreditare în conformitate cu prevederile din Legea nr.235/2011 privind activităţile de acreditare şi de evaluare a conformităţii, care atestă că organismul de evaluare a conformității acreditat satisface cerințele aplicabile acestora stabilite în pct. 69-71 din prezenta Reglementare tehnică.</w:t>
            </w:r>
          </w:p>
        </w:tc>
      </w:tr>
      <w:tr w:rsidR="009E231B" w:rsidRPr="00AC33E5" w14:paraId="5A2F128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1DC9D4" w14:textId="31C4BFA2" w:rsidR="009E231B" w:rsidRPr="00AC33E5" w:rsidRDefault="009E231B" w:rsidP="00AC33E5">
            <w:pPr>
              <w:spacing w:line="276" w:lineRule="auto"/>
              <w:ind w:left="252" w:firstLine="0"/>
              <w:rPr>
                <w:rFonts w:ascii="Times New Roman" w:hAnsi="Times New Roman"/>
                <w:sz w:val="24"/>
                <w:szCs w:val="24"/>
                <w:lang w:val="ro-MD"/>
              </w:rPr>
            </w:pPr>
            <w:bookmarkStart w:id="8" w:name="_Hlk193177760"/>
            <w:r w:rsidRPr="00AC33E5">
              <w:rPr>
                <w:rFonts w:ascii="Times New Roman" w:hAnsi="Times New Roman"/>
                <w:sz w:val="24"/>
                <w:szCs w:val="24"/>
                <w:lang w:val="ro-MD"/>
              </w:rPr>
              <w:t xml:space="preserve">77. Organismul de evaluare a conformității în cauză poate îndeplini activitățile unui organism notificat numai în cazul în care Comisia </w:t>
            </w:r>
            <w:r w:rsidRPr="00AC33E5">
              <w:rPr>
                <w:rFonts w:ascii="Times New Roman" w:hAnsi="Times New Roman"/>
                <w:sz w:val="24"/>
                <w:szCs w:val="24"/>
                <w:lang w:val="ro-MD"/>
              </w:rPr>
              <w:lastRenderedPageBreak/>
              <w:t xml:space="preserve">Europeană nu au făcut obiecții în termen de două săptămîni de la notificare. </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16E302" w14:textId="18930C7C"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1.4.</w:t>
            </w:r>
            <w:r w:rsidR="00512F04" w:rsidRPr="00AC33E5">
              <w:rPr>
                <w:rFonts w:ascii="Times New Roman" w:hAnsi="Times New Roman"/>
                <w:sz w:val="24"/>
                <w:szCs w:val="24"/>
                <w:lang w:val="ro-MD"/>
              </w:rPr>
              <w:t>20</w:t>
            </w:r>
            <w:r w:rsidR="009E231B" w:rsidRPr="00AC33E5">
              <w:rPr>
                <w:rFonts w:ascii="Times New Roman" w:hAnsi="Times New Roman"/>
                <w:sz w:val="24"/>
                <w:szCs w:val="24"/>
                <w:lang w:val="ro-MD"/>
              </w:rPr>
              <w:t>. la punctul 77, se completează cu propoziția cu următorul cuprins:</w:t>
            </w:r>
          </w:p>
          <w:p w14:paraId="13D4ADAC" w14:textId="4FC9F002"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”Un organism de evaluare a conformității este considerat organism notificat numai în sensul cerințelor prezentei Reglementări tehnice.”;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76949" w14:textId="76BFC07C"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77. Organismul de evaluare a conformității în cauză poate îndeplini activitățile unui organism notificat numai în cazul în care Comisia </w:t>
            </w:r>
            <w:r w:rsidRPr="00AC33E5">
              <w:rPr>
                <w:rFonts w:ascii="Times New Roman" w:hAnsi="Times New Roman"/>
                <w:sz w:val="24"/>
                <w:szCs w:val="24"/>
                <w:lang w:val="ro-MD"/>
              </w:rPr>
              <w:lastRenderedPageBreak/>
              <w:t>Europeană nu au făcut obiecții în termen de două săptămîni de la notificare. Un organism de evaluare a conformității este considerat organism notificat numai în sensul cerințelor prezentei Reglementări tehnice.</w:t>
            </w:r>
          </w:p>
        </w:tc>
      </w:tr>
      <w:bookmarkEnd w:id="8"/>
      <w:tr w:rsidR="009E231B" w:rsidRPr="00AC33E5" w14:paraId="3743AF20"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C406B" w14:textId="1A39FAF2" w:rsidR="009E231B" w:rsidRPr="00AC33E5" w:rsidRDefault="009E231B" w:rsidP="00AC33E5">
            <w:pPr>
              <w:spacing w:line="276" w:lineRule="auto"/>
              <w:ind w:left="25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ECC83E3" w14:textId="08DBB167" w:rsidR="009E231B" w:rsidRPr="00AC33E5" w:rsidRDefault="00ED07B5" w:rsidP="00AC33E5">
            <w:pPr>
              <w:spacing w:line="276" w:lineRule="auto"/>
              <w:ind w:firstLine="0"/>
              <w:rPr>
                <w:rFonts w:ascii="Times New Roman" w:hAnsi="Times New Roman"/>
                <w:sz w:val="24"/>
                <w:szCs w:val="24"/>
                <w:lang w:val="ro-MD"/>
              </w:rPr>
            </w:pPr>
            <w:bookmarkStart w:id="9" w:name="_Hlk193177711"/>
            <w:r w:rsidRPr="00AC33E5">
              <w:rPr>
                <w:rFonts w:ascii="Times New Roman" w:hAnsi="Times New Roman"/>
                <w:sz w:val="24"/>
                <w:szCs w:val="24"/>
                <w:lang w:val="ro-MD"/>
              </w:rPr>
              <w:t>1.4.</w:t>
            </w:r>
            <w:r w:rsidR="00512F04" w:rsidRPr="00AC33E5">
              <w:rPr>
                <w:rFonts w:ascii="Times New Roman" w:hAnsi="Times New Roman"/>
                <w:sz w:val="24"/>
                <w:szCs w:val="24"/>
                <w:lang w:val="ro-MD"/>
              </w:rPr>
              <w:t>21</w:t>
            </w:r>
            <w:r w:rsidR="009E231B" w:rsidRPr="00AC33E5">
              <w:rPr>
                <w:rFonts w:ascii="Times New Roman" w:hAnsi="Times New Roman"/>
                <w:sz w:val="24"/>
                <w:szCs w:val="24"/>
                <w:lang w:val="ro-MD"/>
              </w:rPr>
              <w:t>. după punctul 78,</w:t>
            </w:r>
            <w:r w:rsidR="00DE1A5D" w:rsidRPr="00AC33E5">
              <w:rPr>
                <w:rFonts w:ascii="Times New Roman" w:hAnsi="Times New Roman"/>
                <w:sz w:val="24"/>
                <w:szCs w:val="24"/>
                <w:lang w:val="ro-MD"/>
              </w:rPr>
              <w:t xml:space="preserve"> </w:t>
            </w:r>
            <w:r w:rsidR="009E231B" w:rsidRPr="00AC33E5">
              <w:rPr>
                <w:rFonts w:ascii="Times New Roman" w:hAnsi="Times New Roman"/>
                <w:sz w:val="24"/>
                <w:szCs w:val="24"/>
                <w:lang w:val="ro-MD"/>
              </w:rPr>
              <w:t>se completează cu punctul 78</w:t>
            </w:r>
            <w:r w:rsidR="009E231B" w:rsidRPr="00AC33E5">
              <w:rPr>
                <w:rFonts w:ascii="Times New Roman" w:hAnsi="Times New Roman"/>
                <w:sz w:val="24"/>
                <w:szCs w:val="24"/>
                <w:vertAlign w:val="superscript"/>
                <w:lang w:val="ro-MD"/>
              </w:rPr>
              <w:t xml:space="preserve">1 </w:t>
            </w:r>
            <w:r w:rsidR="009E231B" w:rsidRPr="00AC33E5">
              <w:rPr>
                <w:rFonts w:ascii="Times New Roman" w:hAnsi="Times New Roman"/>
                <w:sz w:val="24"/>
                <w:szCs w:val="24"/>
                <w:lang w:val="ro-MD"/>
              </w:rPr>
              <w:t>cu următorul cuprins:</w:t>
            </w:r>
          </w:p>
          <w:p w14:paraId="76300111" w14:textId="0C3E94FE"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”78</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00ED07B5" w:rsidRPr="00AC33E5">
              <w:rPr>
                <w:rFonts w:ascii="Times New Roman" w:hAnsi="Times New Roman"/>
                <w:sz w:val="24"/>
                <w:szCs w:val="24"/>
                <w:lang w:val="ro-MD"/>
              </w:rPr>
              <w:t xml:space="preserve"> </w:t>
            </w:r>
            <w:r w:rsidRPr="00AC33E5">
              <w:rPr>
                <w:rFonts w:ascii="Times New Roman" w:hAnsi="Times New Roman"/>
                <w:sz w:val="24"/>
                <w:szCs w:val="24"/>
                <w:lang w:val="ro-MD"/>
              </w:rPr>
              <w:t>Serviciile interne de evaluare ale solicitantului notificării definite în anexele la ADR nu se notifică.”;</w:t>
            </w:r>
            <w:bookmarkEnd w:id="9"/>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AA5D75C" w14:textId="6413A238"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78</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Serviciile interne de evaluare ale solicitantului notificării definite în anexele la ADR nu se notifică.</w:t>
            </w:r>
          </w:p>
        </w:tc>
      </w:tr>
      <w:tr w:rsidR="009E231B" w:rsidRPr="00AC33E5" w14:paraId="1CED6256"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868C84" w14:textId="657A2936"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81. În cazul în care a constatat sau a fost informat că un organism notificat nu mai respectă cerințele prevăzute la pct. 69-71 sau că acesta nu își îndeplinește obligațiile, Ministerul Infrastructurii și Dezvoltării Regionale suspendă, restrînge sau retrage recunoașterea (notificarea) în conformitate cu Legea nr. 235 din 1 decembrie 2011 privind activităţile de acreditare şi de evaluare a conformităţii.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803B3E0" w14:textId="543471AB" w:rsidR="009E231B" w:rsidRPr="00AC33E5" w:rsidRDefault="00ED07B5" w:rsidP="00AC33E5">
            <w:pPr>
              <w:spacing w:line="276" w:lineRule="auto"/>
              <w:ind w:firstLine="0"/>
              <w:rPr>
                <w:rFonts w:ascii="Times New Roman" w:hAnsi="Times New Roman"/>
                <w:sz w:val="24"/>
                <w:szCs w:val="24"/>
                <w:lang w:val="ro-MD"/>
              </w:rPr>
            </w:pPr>
            <w:bookmarkStart w:id="10" w:name="_Hlk193177619"/>
            <w:r w:rsidRPr="00AC33E5">
              <w:rPr>
                <w:rFonts w:ascii="Times New Roman" w:hAnsi="Times New Roman"/>
                <w:sz w:val="24"/>
                <w:szCs w:val="24"/>
                <w:lang w:val="ro-MD"/>
              </w:rPr>
              <w:t>1.4.2</w:t>
            </w:r>
            <w:r w:rsidR="00512F04" w:rsidRPr="00AC33E5">
              <w:rPr>
                <w:rFonts w:ascii="Times New Roman" w:hAnsi="Times New Roman"/>
                <w:sz w:val="24"/>
                <w:szCs w:val="24"/>
                <w:lang w:val="ro-MD"/>
              </w:rPr>
              <w:t>2</w:t>
            </w:r>
            <w:r w:rsidRPr="00AC33E5">
              <w:rPr>
                <w:rFonts w:ascii="Times New Roman" w:hAnsi="Times New Roman"/>
                <w:sz w:val="24"/>
                <w:szCs w:val="24"/>
                <w:lang w:val="ro-MD"/>
              </w:rPr>
              <w:t xml:space="preserve">. </w:t>
            </w:r>
            <w:r w:rsidR="009E231B" w:rsidRPr="00AC33E5">
              <w:rPr>
                <w:rFonts w:ascii="Times New Roman" w:hAnsi="Times New Roman"/>
                <w:sz w:val="24"/>
                <w:szCs w:val="24"/>
                <w:lang w:val="ro-MD"/>
              </w:rPr>
              <w:t xml:space="preserve">la punctul 81, </w:t>
            </w:r>
          </w:p>
          <w:p w14:paraId="68AAAB9D" w14:textId="5239D759"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1.4.2</w:t>
            </w:r>
            <w:r w:rsidR="00512F04" w:rsidRPr="00AC33E5">
              <w:rPr>
                <w:rFonts w:ascii="Times New Roman" w:hAnsi="Times New Roman"/>
                <w:sz w:val="24"/>
                <w:szCs w:val="24"/>
                <w:lang w:val="ro-MD"/>
              </w:rPr>
              <w:t>2</w:t>
            </w:r>
            <w:r w:rsidRPr="00AC33E5">
              <w:rPr>
                <w:rFonts w:ascii="Times New Roman" w:hAnsi="Times New Roman"/>
                <w:sz w:val="24"/>
                <w:szCs w:val="24"/>
                <w:lang w:val="ro-MD"/>
              </w:rPr>
              <w:t>.1.</w:t>
            </w:r>
            <w:r w:rsidR="009E231B" w:rsidRPr="00AC33E5">
              <w:rPr>
                <w:rFonts w:ascii="Times New Roman" w:hAnsi="Times New Roman"/>
                <w:sz w:val="24"/>
                <w:szCs w:val="24"/>
                <w:lang w:val="ro-MD"/>
              </w:rPr>
              <w:t xml:space="preserve"> la sfârșitul propoziției se completează cu textul</w:t>
            </w:r>
            <w:r w:rsidRPr="00AC33E5">
              <w:rPr>
                <w:rFonts w:ascii="Times New Roman" w:hAnsi="Times New Roman"/>
                <w:sz w:val="24"/>
                <w:szCs w:val="24"/>
                <w:lang w:val="ro-MD"/>
              </w:rPr>
              <w:t xml:space="preserve"> </w:t>
            </w:r>
            <w:r w:rsidR="009E231B" w:rsidRPr="00AC33E5">
              <w:rPr>
                <w:rFonts w:ascii="Times New Roman" w:hAnsi="Times New Roman"/>
                <w:sz w:val="24"/>
                <w:szCs w:val="24"/>
                <w:lang w:val="ro-MD"/>
              </w:rPr>
              <w:t>”după caz, în funcție de gravitatea nerespectării cerințelor sau obligațiilor respective”;</w:t>
            </w:r>
          </w:p>
          <w:p w14:paraId="3FC5ECA5" w14:textId="04629712" w:rsidR="00ED07B5"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1.4.2</w:t>
            </w:r>
            <w:r w:rsidR="00512F04" w:rsidRPr="00AC33E5">
              <w:rPr>
                <w:rFonts w:ascii="Times New Roman" w:hAnsi="Times New Roman"/>
                <w:sz w:val="24"/>
                <w:szCs w:val="24"/>
                <w:lang w:val="ro-MD"/>
              </w:rPr>
              <w:t>2</w:t>
            </w:r>
            <w:r w:rsidRPr="00AC33E5">
              <w:rPr>
                <w:rFonts w:ascii="Times New Roman" w:hAnsi="Times New Roman"/>
                <w:sz w:val="24"/>
                <w:szCs w:val="24"/>
                <w:lang w:val="ro-MD"/>
              </w:rPr>
              <w:t>.2.</w:t>
            </w:r>
            <w:r w:rsidR="009E231B" w:rsidRPr="00AC33E5">
              <w:rPr>
                <w:rFonts w:ascii="Times New Roman" w:hAnsi="Times New Roman"/>
                <w:sz w:val="24"/>
                <w:szCs w:val="24"/>
                <w:lang w:val="ro-MD"/>
              </w:rPr>
              <w:t xml:space="preserve"> </w:t>
            </w:r>
            <w:r w:rsidRPr="00AC33E5">
              <w:rPr>
                <w:rFonts w:ascii="Times New Roman" w:hAnsi="Times New Roman"/>
                <w:sz w:val="24"/>
                <w:szCs w:val="24"/>
                <w:lang w:val="ro-MD"/>
              </w:rPr>
              <w:t>după ultima propoziție, se completează cu propoziția cu următorul cuprins:</w:t>
            </w:r>
          </w:p>
          <w:p w14:paraId="28C972C8" w14:textId="7BE98498" w:rsidR="009E231B" w:rsidRPr="00AC33E5" w:rsidRDefault="00ED07B5"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,,Ministerul Infrastructurii și Dezvoltării Regionale informează imediat Comisia și statele membre în consecință.”;</w:t>
            </w:r>
            <w:bookmarkEnd w:id="10"/>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5196E" w14:textId="5CCB3FD3" w:rsidR="009E231B" w:rsidRPr="00AC33E5" w:rsidRDefault="009E231B"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81. În cazul în care a constatat sau a fost informat că un organism notificat nu mai respectă cerințele prevăzute la pct. 69-71 sau că acesta nu își îndeplinește obligațiile, Ministerul Infrastructurii și Dezvoltării Regionale suspendă, restrînge sau retrage recunoașterea (notificarea) în conformitate cu Legea nr. 235/2011 privind activităţile de acreditare şi de evaluare a conformităţii după caz, în funcție de gravitatea neîndeplinirii cerințelor sau obligațiilor respective. Ministerul Infrastructurii și Dezvoltării Regionale informează imediat Comisia și statele membre în consecință.</w:t>
            </w:r>
          </w:p>
        </w:tc>
      </w:tr>
      <w:tr w:rsidR="009E231B" w:rsidRPr="00AC33E5" w14:paraId="5F96CAA2"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8A320" w14:textId="2BC6D0B9" w:rsidR="009E231B" w:rsidRPr="00AC33E5" w:rsidRDefault="009E231B"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 xml:space="preserve">83. În situaţia în care organismul de evaluare a conformităţii notificat şi-a încetat activitatea, acesta va asigura predarea către un alt organism notificat din domeniu a documentelor şi a înregistrărilor privind evaluările realizate ori în curs de realizare din perioada în care a fost </w:t>
            </w:r>
            <w:r w:rsidRPr="00AC33E5">
              <w:rPr>
                <w:rFonts w:ascii="Times New Roman" w:hAnsi="Times New Roman"/>
                <w:sz w:val="24"/>
                <w:szCs w:val="24"/>
                <w:lang w:val="ro-MD"/>
              </w:rPr>
              <w:lastRenderedPageBreak/>
              <w:t>recunoscut, informînd Ministerul Infrastructurii şi Dezvoltării Regionale în legătură cu aceasta, sau le va pune la dispoziţia Ministerului Infrastructurii şi Dezvoltării Regionale şi a autorităţii de supraveghere a pieţei, la cererea acestora.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22903A" w14:textId="1EDAAF0A"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bCs/>
                <w:sz w:val="24"/>
                <w:szCs w:val="24"/>
                <w:lang w:val="ro-MD"/>
              </w:rPr>
              <w:lastRenderedPageBreak/>
              <w:t>1.4.2</w:t>
            </w:r>
            <w:r w:rsidR="00512F04" w:rsidRPr="00AC33E5">
              <w:rPr>
                <w:rFonts w:ascii="Times New Roman" w:hAnsi="Times New Roman"/>
                <w:bCs/>
                <w:sz w:val="24"/>
                <w:szCs w:val="24"/>
                <w:lang w:val="ro-MD"/>
              </w:rPr>
              <w:t>3</w:t>
            </w:r>
            <w:r w:rsidRPr="00AC33E5">
              <w:rPr>
                <w:rFonts w:ascii="Times New Roman" w:hAnsi="Times New Roman"/>
                <w:bCs/>
                <w:sz w:val="24"/>
                <w:szCs w:val="24"/>
                <w:lang w:val="ro-MD"/>
              </w:rPr>
              <w:t>. după punctul 83, se completează cu Secțiunea a 7</w:t>
            </w:r>
            <w:r w:rsidRPr="00AC33E5">
              <w:rPr>
                <w:rFonts w:ascii="Times New Roman" w:hAnsi="Times New Roman"/>
                <w:bCs/>
                <w:sz w:val="24"/>
                <w:szCs w:val="24"/>
                <w:vertAlign w:val="superscript"/>
                <w:lang w:val="ro-MD"/>
              </w:rPr>
              <w:t>1</w:t>
            </w:r>
            <w:r w:rsidRPr="00AC33E5">
              <w:rPr>
                <w:rFonts w:ascii="Times New Roman" w:hAnsi="Times New Roman"/>
                <w:bCs/>
                <w:sz w:val="24"/>
                <w:szCs w:val="24"/>
                <w:lang w:val="ro-MD"/>
              </w:rPr>
              <w:t>-a Contestarea competenței organismelor notificate cu următorul cuprins:</w:t>
            </w:r>
          </w:p>
          <w:p w14:paraId="3F03E301" w14:textId="77777777" w:rsidR="00836B1D" w:rsidRPr="00AC33E5" w:rsidRDefault="00836B1D" w:rsidP="00AC33E5">
            <w:pPr>
              <w:pStyle w:val="ListParagraph"/>
              <w:spacing w:line="276" w:lineRule="auto"/>
              <w:ind w:left="222" w:firstLine="0"/>
              <w:rPr>
                <w:rFonts w:ascii="Times New Roman" w:hAnsi="Times New Roman"/>
                <w:b/>
                <w:bCs/>
                <w:sz w:val="24"/>
                <w:szCs w:val="24"/>
                <w:lang w:val="ro-MD"/>
              </w:rPr>
            </w:pPr>
            <w:r w:rsidRPr="00AC33E5">
              <w:rPr>
                <w:rFonts w:ascii="Times New Roman" w:hAnsi="Times New Roman"/>
                <w:b/>
                <w:bCs/>
                <w:sz w:val="24"/>
                <w:szCs w:val="24"/>
                <w:lang w:val="ro-MD"/>
              </w:rPr>
              <w:t>”Secțiunea a 7</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 xml:space="preserve">-a </w:t>
            </w:r>
          </w:p>
          <w:p w14:paraId="1328606D" w14:textId="77777777" w:rsidR="00836B1D" w:rsidRPr="00AC33E5" w:rsidRDefault="00836B1D" w:rsidP="00AC33E5">
            <w:pPr>
              <w:pStyle w:val="ListParagraph"/>
              <w:spacing w:line="276" w:lineRule="auto"/>
              <w:ind w:left="222" w:firstLine="0"/>
              <w:rPr>
                <w:rFonts w:ascii="Times New Roman" w:hAnsi="Times New Roman"/>
                <w:b/>
                <w:bCs/>
                <w:sz w:val="24"/>
                <w:szCs w:val="24"/>
                <w:lang w:val="ro-MD"/>
              </w:rPr>
            </w:pPr>
            <w:r w:rsidRPr="00AC33E5">
              <w:rPr>
                <w:rFonts w:ascii="Times New Roman" w:hAnsi="Times New Roman"/>
                <w:b/>
                <w:bCs/>
                <w:sz w:val="24"/>
                <w:szCs w:val="24"/>
                <w:lang w:val="ro-MD"/>
              </w:rPr>
              <w:lastRenderedPageBreak/>
              <w:t>Contestarea competenței organismelor notificate</w:t>
            </w:r>
          </w:p>
          <w:p w14:paraId="03BB290B" w14:textId="77777777" w:rsidR="009E231B" w:rsidRPr="00AC33E5" w:rsidRDefault="00836B1D" w:rsidP="00AC33E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bookmarkStart w:id="11" w:name="_Hlk194262815"/>
            <w:r w:rsidRPr="00AC33E5">
              <w:rPr>
                <w:rFonts w:ascii="Times New Roman" w:hAnsi="Times New Roman"/>
                <w:sz w:val="24"/>
                <w:szCs w:val="24"/>
                <w:lang w:val="ro-MD"/>
              </w:rPr>
              <w:t>83</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b/>
                <w:bCs/>
                <w:sz w:val="24"/>
                <w:szCs w:val="24"/>
                <w:lang w:val="ro-MD"/>
              </w:rPr>
              <w:t xml:space="preserve"> </w:t>
            </w:r>
            <w:r w:rsidRPr="00AC33E5">
              <w:rPr>
                <w:rFonts w:ascii="Times New Roman" w:hAnsi="Times New Roman"/>
                <w:sz w:val="24"/>
                <w:szCs w:val="24"/>
                <w:lang w:val="ro-MD"/>
              </w:rPr>
              <w:t>În cazurile în care Comisia Europeană investighează competenţa unui organism notificat sau continuarea îndeplinirii de către un organism notificat a cerinţelor şi a responsabilităţilor care îi revin, Ministerul Infrastructurii și Dezvoltării Regionale prezintă acesteia, la cerere, toate informaţiile care au fundamentat notificarea sau menţinerea competenţei organismului în cauză.</w:t>
            </w:r>
            <w:bookmarkEnd w:id="11"/>
          </w:p>
          <w:p w14:paraId="1E46D772" w14:textId="41C3A524"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83</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În cazul în care Comisia Europeană constată că un organism notificat nu mai îndeplinește cerințele pentru a fi notificat, Ministerul Infrastructurii și Dezvoltării Regionale, în baza actului de punere în aplicare adoptat de către Comisia Europeană, inițiază restrângerea, suspendarea sau retragerea recunoașterii în vederea notificării, în modul prevăzut în art.14</w:t>
            </w:r>
            <w:r w:rsidRPr="00AC33E5">
              <w:rPr>
                <w:rFonts w:ascii="Times New Roman" w:hAnsi="Times New Roman"/>
                <w:sz w:val="24"/>
                <w:szCs w:val="24"/>
                <w:vertAlign w:val="superscript"/>
                <w:lang w:val="ro-MD"/>
              </w:rPr>
              <w:t>4</w:t>
            </w:r>
            <w:r w:rsidRPr="00AC33E5">
              <w:rPr>
                <w:rFonts w:ascii="Times New Roman" w:hAnsi="Times New Roman"/>
                <w:sz w:val="24"/>
                <w:szCs w:val="24"/>
                <w:lang w:val="ro-MD"/>
              </w:rPr>
              <w:t xml:space="preserve"> din </w:t>
            </w:r>
            <w:hyperlink r:id="rId15" w:history="1">
              <w:r w:rsidRPr="00AC33E5">
                <w:rPr>
                  <w:rStyle w:val="Hyperlink"/>
                  <w:rFonts w:ascii="Times New Roman" w:eastAsiaTheme="majorEastAsia" w:hAnsi="Times New Roman"/>
                  <w:sz w:val="24"/>
                  <w:szCs w:val="24"/>
                  <w:u w:val="none"/>
                  <w:lang w:val="ro-MD"/>
                </w:rPr>
                <w:t>Legea nr.235/2011</w:t>
              </w:r>
            </w:hyperlink>
            <w:r w:rsidRPr="00AC33E5">
              <w:rPr>
                <w:rFonts w:ascii="Times New Roman" w:hAnsi="Times New Roman"/>
                <w:sz w:val="24"/>
                <w:szCs w:val="24"/>
                <w:lang w:val="ro-MD"/>
              </w:rPr>
              <w:t xml:space="preserve"> privind activitățile de acreditare şi de evaluare a conformității.”;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EC2A8B2" w14:textId="77777777" w:rsidR="00836B1D" w:rsidRPr="00AC33E5" w:rsidRDefault="009E231B" w:rsidP="00AC33E5">
            <w:pPr>
              <w:spacing w:line="276" w:lineRule="auto"/>
              <w:ind w:firstLine="0"/>
              <w:rPr>
                <w:rFonts w:ascii="Times New Roman" w:hAnsi="Times New Roman"/>
                <w:b/>
                <w:bCs/>
                <w:sz w:val="24"/>
                <w:szCs w:val="24"/>
                <w:lang w:val="ro-MD"/>
              </w:rPr>
            </w:pPr>
            <w:r w:rsidRPr="00AC33E5">
              <w:rPr>
                <w:rFonts w:ascii="Times New Roman" w:hAnsi="Times New Roman"/>
                <w:sz w:val="24"/>
                <w:szCs w:val="24"/>
                <w:lang w:val="ro-MD"/>
              </w:rPr>
              <w:lastRenderedPageBreak/>
              <w:t xml:space="preserve">83. În situaţia în care organismul de evaluare a conformităţii notificat şi-a încetat activitatea, acesta va asigura predarea către un alt organism notificat din domeniu a documentelor şi a înregistrărilor privind evaluările realizate ori în curs de realizare din perioada în care a fost </w:t>
            </w:r>
            <w:r w:rsidRPr="00AC33E5">
              <w:rPr>
                <w:rFonts w:ascii="Times New Roman" w:hAnsi="Times New Roman"/>
                <w:sz w:val="24"/>
                <w:szCs w:val="24"/>
                <w:lang w:val="ro-MD"/>
              </w:rPr>
              <w:lastRenderedPageBreak/>
              <w:t>recunoscut informînd Ministerul Infrastructurii și Dezvoltării Regionale în legătură cu aceasta, sau le va pune la dispoziţia Ministerului Infrastructurii și Dezvoltării Regionale şi a Inspectoratului Național pentru Supravegherea Tehnică, la cererea acestora.</w:t>
            </w:r>
            <w:r w:rsidR="00836B1D" w:rsidRPr="00AC33E5">
              <w:rPr>
                <w:rFonts w:ascii="Times New Roman" w:hAnsi="Times New Roman"/>
                <w:b/>
                <w:bCs/>
                <w:sz w:val="24"/>
                <w:szCs w:val="24"/>
                <w:lang w:val="ro-MD"/>
              </w:rPr>
              <w:t xml:space="preserve"> </w:t>
            </w:r>
          </w:p>
          <w:p w14:paraId="4F039115" w14:textId="77777777" w:rsidR="00836B1D" w:rsidRPr="00AC33E5" w:rsidRDefault="00836B1D" w:rsidP="00AC33E5">
            <w:pPr>
              <w:spacing w:line="276" w:lineRule="auto"/>
              <w:jc w:val="center"/>
              <w:rPr>
                <w:rFonts w:ascii="Times New Roman" w:hAnsi="Times New Roman"/>
                <w:b/>
                <w:bCs/>
                <w:sz w:val="24"/>
                <w:szCs w:val="24"/>
                <w:lang w:val="ro-MD"/>
              </w:rPr>
            </w:pPr>
          </w:p>
          <w:p w14:paraId="3C1DC8ED" w14:textId="6CCEA7AD" w:rsidR="00836B1D" w:rsidRPr="00AC33E5" w:rsidRDefault="00836B1D" w:rsidP="00AC33E5">
            <w:pPr>
              <w:spacing w:line="276" w:lineRule="auto"/>
              <w:jc w:val="center"/>
              <w:rPr>
                <w:rFonts w:ascii="Times New Roman" w:hAnsi="Times New Roman"/>
                <w:sz w:val="24"/>
                <w:szCs w:val="24"/>
                <w:lang w:val="ro-MD"/>
              </w:rPr>
            </w:pPr>
            <w:r w:rsidRPr="00AC33E5">
              <w:rPr>
                <w:rFonts w:ascii="Times New Roman" w:hAnsi="Times New Roman"/>
                <w:b/>
                <w:bCs/>
                <w:sz w:val="24"/>
                <w:szCs w:val="24"/>
                <w:lang w:val="ro-MD"/>
              </w:rPr>
              <w:t>Secțiunea a 7</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-a</w:t>
            </w:r>
          </w:p>
          <w:p w14:paraId="5DB20BA1" w14:textId="77777777" w:rsidR="00836B1D" w:rsidRPr="00AC33E5" w:rsidRDefault="00836B1D" w:rsidP="00AC33E5">
            <w:pPr>
              <w:spacing w:line="276" w:lineRule="auto"/>
              <w:jc w:val="center"/>
              <w:rPr>
                <w:rFonts w:ascii="Times New Roman" w:hAnsi="Times New Roman"/>
                <w:b/>
                <w:bCs/>
                <w:sz w:val="24"/>
                <w:szCs w:val="24"/>
                <w:lang w:val="ro-MD"/>
              </w:rPr>
            </w:pPr>
            <w:r w:rsidRPr="00AC33E5">
              <w:rPr>
                <w:rFonts w:ascii="Times New Roman" w:hAnsi="Times New Roman"/>
                <w:b/>
                <w:bCs/>
                <w:sz w:val="24"/>
                <w:szCs w:val="24"/>
                <w:lang w:val="ro-MD"/>
              </w:rPr>
              <w:t>Contestarea competenței organismelor notificate</w:t>
            </w:r>
          </w:p>
          <w:p w14:paraId="2A0CCFFE" w14:textId="77777777" w:rsidR="009E231B"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83</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Pr="00AC33E5">
              <w:rPr>
                <w:rFonts w:ascii="Times New Roman" w:hAnsi="Times New Roman"/>
                <w:b/>
                <w:bCs/>
                <w:sz w:val="24"/>
                <w:szCs w:val="24"/>
                <w:lang w:val="ro-MD"/>
              </w:rPr>
              <w:t xml:space="preserve"> </w:t>
            </w:r>
            <w:r w:rsidRPr="00AC33E5">
              <w:rPr>
                <w:rFonts w:ascii="Times New Roman" w:hAnsi="Times New Roman"/>
                <w:sz w:val="24"/>
                <w:szCs w:val="24"/>
                <w:lang w:val="ro-MD"/>
              </w:rPr>
              <w:t>În cazurile în care Comisia Europeană investighează competenţa unui organism notificat sau continuarea îndeplinirii de către un organism notificat a cerinţelor şi a responsabilităţilor care îi revin, Ministerul Infrastructurii și Dezvoltării Regionale prezintă acesteia, la cerere, toate informaţiile care au fundamentat notificarea sau menţinerea competenţei organismului în cauză.</w:t>
            </w:r>
          </w:p>
          <w:p w14:paraId="1EC3FB92" w14:textId="0D4AA57B"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83</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În cazul în care Comisia Europeană constată că un organism notificat nu mai îndeplinește cerințele pentru a fi notificat, Ministerul Infrastructurii și Dezvoltării Regionale, în baza actului de punere în aplicare adoptat de către Comisia Europeană, inițiază restrângerea, suspendarea sau retragerea recunoașterii în vederea notificării, în modul prevăzut în art.14</w:t>
            </w:r>
            <w:r w:rsidRPr="00AC33E5">
              <w:rPr>
                <w:rFonts w:ascii="Times New Roman" w:hAnsi="Times New Roman"/>
                <w:sz w:val="24"/>
                <w:szCs w:val="24"/>
                <w:vertAlign w:val="superscript"/>
                <w:lang w:val="ro-MD"/>
              </w:rPr>
              <w:t>4</w:t>
            </w:r>
            <w:r w:rsidRPr="00AC33E5">
              <w:rPr>
                <w:rFonts w:ascii="Times New Roman" w:hAnsi="Times New Roman"/>
                <w:sz w:val="24"/>
                <w:szCs w:val="24"/>
                <w:lang w:val="ro-MD"/>
              </w:rPr>
              <w:t xml:space="preserve"> din </w:t>
            </w:r>
            <w:hyperlink r:id="rId16" w:history="1">
              <w:r w:rsidRPr="00AC33E5">
                <w:rPr>
                  <w:rStyle w:val="Hyperlink"/>
                  <w:rFonts w:ascii="Times New Roman" w:eastAsiaTheme="majorEastAsia" w:hAnsi="Times New Roman"/>
                  <w:sz w:val="24"/>
                  <w:szCs w:val="24"/>
                  <w:u w:val="none"/>
                  <w:lang w:val="ro-MD"/>
                </w:rPr>
                <w:t>Legea nr.235/2011</w:t>
              </w:r>
            </w:hyperlink>
            <w:r w:rsidRPr="00AC33E5">
              <w:rPr>
                <w:rFonts w:ascii="Times New Roman" w:hAnsi="Times New Roman"/>
                <w:sz w:val="24"/>
                <w:szCs w:val="24"/>
                <w:lang w:val="ro-MD"/>
              </w:rPr>
              <w:t xml:space="preserve"> privind activitățile de acreditare şi de evaluare a conformității.</w:t>
            </w:r>
          </w:p>
        </w:tc>
      </w:tr>
      <w:tr w:rsidR="00836B1D" w:rsidRPr="00AC33E5" w14:paraId="5192EA8A"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C2E05" w14:textId="77777777" w:rsidR="00836B1D" w:rsidRPr="00AC33E5" w:rsidRDefault="00836B1D" w:rsidP="00AC33E5">
            <w:pPr>
              <w:spacing w:line="276" w:lineRule="auto"/>
              <w:ind w:left="252"/>
              <w:rPr>
                <w:rFonts w:ascii="Times New Roman" w:hAnsi="Times New Roman"/>
                <w:sz w:val="24"/>
                <w:szCs w:val="24"/>
                <w:lang w:val="ro-MD"/>
              </w:rPr>
            </w:pPr>
            <w:bookmarkStart w:id="12" w:name="_Hlk193177464"/>
            <w:r w:rsidRPr="00AC33E5">
              <w:rPr>
                <w:rFonts w:ascii="Times New Roman" w:hAnsi="Times New Roman"/>
                <w:b/>
                <w:bCs/>
                <w:sz w:val="24"/>
                <w:szCs w:val="24"/>
                <w:lang w:val="ro-MD"/>
              </w:rPr>
              <w:lastRenderedPageBreak/>
              <w:t>Secțiunea a 9-a</w:t>
            </w:r>
          </w:p>
          <w:p w14:paraId="441E35BB" w14:textId="77777777" w:rsidR="00836B1D" w:rsidRPr="00AC33E5" w:rsidRDefault="00836B1D" w:rsidP="00AC33E5">
            <w:pPr>
              <w:spacing w:line="276" w:lineRule="auto"/>
              <w:ind w:left="252"/>
              <w:rPr>
                <w:rFonts w:ascii="Times New Roman" w:hAnsi="Times New Roman"/>
                <w:sz w:val="24"/>
                <w:szCs w:val="24"/>
                <w:lang w:val="ro-MD"/>
              </w:rPr>
            </w:pPr>
            <w:r w:rsidRPr="00AC33E5">
              <w:rPr>
                <w:rFonts w:ascii="Times New Roman" w:hAnsi="Times New Roman"/>
                <w:b/>
                <w:bCs/>
                <w:sz w:val="24"/>
                <w:szCs w:val="24"/>
                <w:lang w:val="ro-MD"/>
              </w:rPr>
              <w:t>Obligaţiile de informare ale organismelor notificate</w:t>
            </w:r>
          </w:p>
          <w:p w14:paraId="56001E73" w14:textId="77777777" w:rsidR="00836B1D" w:rsidRPr="00AC33E5" w:rsidRDefault="00836B1D" w:rsidP="00AC33E5">
            <w:pPr>
              <w:spacing w:line="276" w:lineRule="auto"/>
              <w:ind w:left="252"/>
              <w:rPr>
                <w:rFonts w:ascii="Times New Roman" w:hAnsi="Times New Roman"/>
                <w:sz w:val="24"/>
                <w:szCs w:val="24"/>
                <w:lang w:val="ro-MD"/>
              </w:rPr>
            </w:pPr>
            <w:r w:rsidRPr="00AC33E5">
              <w:rPr>
                <w:rFonts w:ascii="Times New Roman" w:hAnsi="Times New Roman"/>
                <w:sz w:val="24"/>
                <w:szCs w:val="24"/>
                <w:lang w:val="ro-MD"/>
              </w:rPr>
              <w:t>86. Organismele notificate informează Ministerul Infrastructurii și Dezvoltării Regionale în legătură cu:</w:t>
            </w:r>
          </w:p>
          <w:p w14:paraId="5D9D019C" w14:textId="77777777" w:rsidR="00836B1D" w:rsidRPr="00AC33E5" w:rsidRDefault="00836B1D" w:rsidP="00AC33E5">
            <w:pPr>
              <w:spacing w:line="276" w:lineRule="auto"/>
              <w:ind w:left="252"/>
              <w:rPr>
                <w:rFonts w:ascii="Times New Roman" w:hAnsi="Times New Roman"/>
                <w:sz w:val="24"/>
                <w:szCs w:val="24"/>
                <w:lang w:val="ro-MD"/>
              </w:rPr>
            </w:pPr>
            <w:r w:rsidRPr="00AC33E5">
              <w:rPr>
                <w:rFonts w:ascii="Times New Roman" w:hAnsi="Times New Roman"/>
                <w:sz w:val="24"/>
                <w:szCs w:val="24"/>
                <w:lang w:val="ro-MD"/>
              </w:rPr>
              <w:t>1) orice refuz, restricţie, suspendare sau retragere a certificatelor;</w:t>
            </w:r>
          </w:p>
          <w:p w14:paraId="6B53A3B9" w14:textId="77777777" w:rsidR="00836B1D" w:rsidRPr="00AC33E5" w:rsidRDefault="00836B1D" w:rsidP="00AC33E5">
            <w:pPr>
              <w:spacing w:line="276" w:lineRule="auto"/>
              <w:ind w:left="252"/>
              <w:rPr>
                <w:rFonts w:ascii="Times New Roman" w:hAnsi="Times New Roman"/>
                <w:sz w:val="24"/>
                <w:szCs w:val="24"/>
                <w:lang w:val="ro-MD"/>
              </w:rPr>
            </w:pPr>
            <w:r w:rsidRPr="00AC33E5">
              <w:rPr>
                <w:rFonts w:ascii="Times New Roman" w:hAnsi="Times New Roman"/>
                <w:sz w:val="24"/>
                <w:szCs w:val="24"/>
                <w:lang w:val="ro-MD"/>
              </w:rPr>
              <w:t>2) orice circumstanţă care afectează domeniul de aplicare și condiţiile notificării;</w:t>
            </w:r>
          </w:p>
          <w:p w14:paraId="02BCD930" w14:textId="77777777" w:rsidR="00836B1D" w:rsidRPr="00AC33E5" w:rsidRDefault="00836B1D" w:rsidP="00AC33E5">
            <w:pPr>
              <w:spacing w:line="276" w:lineRule="auto"/>
              <w:ind w:left="252"/>
              <w:rPr>
                <w:rFonts w:ascii="Times New Roman" w:hAnsi="Times New Roman"/>
                <w:sz w:val="24"/>
                <w:szCs w:val="24"/>
                <w:lang w:val="ro-MD"/>
              </w:rPr>
            </w:pPr>
            <w:r w:rsidRPr="00AC33E5">
              <w:rPr>
                <w:rFonts w:ascii="Times New Roman" w:hAnsi="Times New Roman"/>
                <w:sz w:val="24"/>
                <w:szCs w:val="24"/>
                <w:lang w:val="ro-MD"/>
              </w:rPr>
              <w:t>3) orice cerere de informare cu privire la activităţile de evaluare a conformităţii primită de la autoritatea de supraveghere a pieţei;</w:t>
            </w:r>
          </w:p>
          <w:p w14:paraId="67459BE3" w14:textId="21E4A5FC"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4) la cerere, activitățile de evaluare a conformităţii realizate în limita domeniului de aplicare al notificării și orice altă activitate realizată, inclusiv activitățile și subcontractările transfrontaliere.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C07A15" w14:textId="498C6804" w:rsidR="00836B1D" w:rsidRPr="00AC33E5" w:rsidRDefault="00836B1D" w:rsidP="00AC33E5">
            <w:pPr>
              <w:spacing w:line="276" w:lineRule="auto"/>
              <w:ind w:firstLine="0"/>
              <w:rPr>
                <w:rFonts w:ascii="Times New Roman" w:hAnsi="Times New Roman"/>
                <w:sz w:val="24"/>
                <w:szCs w:val="24"/>
                <w:lang w:val="ro-MD"/>
              </w:rPr>
            </w:pPr>
            <w:bookmarkStart w:id="13" w:name="_Hlk193177385"/>
            <w:r w:rsidRPr="00AC33E5">
              <w:rPr>
                <w:rFonts w:ascii="Times New Roman" w:hAnsi="Times New Roman"/>
                <w:sz w:val="24"/>
                <w:szCs w:val="24"/>
                <w:lang w:val="ro-MD"/>
              </w:rPr>
              <w:t>1.4.2</w:t>
            </w:r>
            <w:r w:rsidR="00512F04" w:rsidRPr="00AC33E5">
              <w:rPr>
                <w:rFonts w:ascii="Times New Roman" w:hAnsi="Times New Roman"/>
                <w:sz w:val="24"/>
                <w:szCs w:val="24"/>
                <w:lang w:val="ro-MD"/>
              </w:rPr>
              <w:t>4</w:t>
            </w:r>
            <w:r w:rsidRPr="00AC33E5">
              <w:rPr>
                <w:rFonts w:ascii="Times New Roman" w:hAnsi="Times New Roman"/>
                <w:sz w:val="24"/>
                <w:szCs w:val="24"/>
                <w:lang w:val="ro-MD"/>
              </w:rPr>
              <w:t>. la punctul 86, după cuvântul ”certificatelor” se completează cu cuvântul ”emise”;</w:t>
            </w:r>
          </w:p>
          <w:bookmarkEnd w:id="13"/>
          <w:p w14:paraId="747A4D38" w14:textId="097C1A58" w:rsidR="00836B1D" w:rsidRPr="00AC33E5" w:rsidRDefault="00836B1D" w:rsidP="00AC33E5">
            <w:pPr>
              <w:spacing w:line="276" w:lineRule="auto"/>
              <w:ind w:left="222" w:firstLine="0"/>
              <w:rPr>
                <w:rFonts w:ascii="Times New Roman" w:hAnsi="Times New Roman"/>
                <w:strike/>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857B1" w14:textId="77777777" w:rsidR="00836B1D" w:rsidRPr="00AC33E5" w:rsidRDefault="00836B1D" w:rsidP="00AC33E5">
            <w:pPr>
              <w:spacing w:line="276" w:lineRule="auto"/>
              <w:rPr>
                <w:rFonts w:ascii="Times New Roman" w:hAnsi="Times New Roman"/>
                <w:sz w:val="24"/>
                <w:szCs w:val="24"/>
                <w:lang w:val="ro-MD"/>
              </w:rPr>
            </w:pPr>
            <w:r w:rsidRPr="00AC33E5">
              <w:rPr>
                <w:rFonts w:ascii="Times New Roman" w:hAnsi="Times New Roman"/>
                <w:b/>
                <w:bCs/>
                <w:sz w:val="24"/>
                <w:szCs w:val="24"/>
                <w:lang w:val="ro-MD"/>
              </w:rPr>
              <w:t>Secțiunea a 9-a</w:t>
            </w:r>
          </w:p>
          <w:p w14:paraId="7AE8CF87" w14:textId="77777777" w:rsidR="00836B1D" w:rsidRPr="00AC33E5" w:rsidRDefault="00836B1D" w:rsidP="00AC33E5">
            <w:pPr>
              <w:spacing w:line="276" w:lineRule="auto"/>
              <w:rPr>
                <w:rFonts w:ascii="Times New Roman" w:hAnsi="Times New Roman"/>
                <w:sz w:val="24"/>
                <w:szCs w:val="24"/>
                <w:lang w:val="ro-MD"/>
              </w:rPr>
            </w:pPr>
            <w:r w:rsidRPr="00AC33E5">
              <w:rPr>
                <w:rFonts w:ascii="Times New Roman" w:hAnsi="Times New Roman"/>
                <w:b/>
                <w:bCs/>
                <w:sz w:val="24"/>
                <w:szCs w:val="24"/>
                <w:lang w:val="ro-MD"/>
              </w:rPr>
              <w:t>Obligaţiile de informare ale organismelor notificate</w:t>
            </w:r>
          </w:p>
          <w:p w14:paraId="506E7105"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86. Organismele notificate informează Ministerul Infrastructurii și Dezvoltării Regionale în legătură cu:</w:t>
            </w:r>
          </w:p>
          <w:p w14:paraId="37F2AADA"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 orice refuz, restricţie, suspendare sau retragere a certificatelor emise;</w:t>
            </w:r>
          </w:p>
          <w:p w14:paraId="73914575"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2) orice circumstanţă care afectează domeniul de aplicare și condiţiile notificării;</w:t>
            </w:r>
          </w:p>
          <w:p w14:paraId="272298A9"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3) orice cerere de informare primită de la Inspectoratul Național pentru Supravegherea Tehnică cu privire la activităţile de evaluare a conformităţii realizate;</w:t>
            </w:r>
          </w:p>
          <w:p w14:paraId="12F163EB" w14:textId="7547484F" w:rsidR="00836B1D" w:rsidRPr="00AC33E5" w:rsidRDefault="00836B1D" w:rsidP="00AC33E5">
            <w:pPr>
              <w:spacing w:line="276" w:lineRule="auto"/>
              <w:ind w:firstLine="0"/>
              <w:rPr>
                <w:rFonts w:ascii="Times New Roman" w:hAnsi="Times New Roman"/>
                <w:strike/>
                <w:sz w:val="24"/>
                <w:szCs w:val="24"/>
                <w:lang w:val="ro-MD"/>
              </w:rPr>
            </w:pPr>
            <w:r w:rsidRPr="00AC33E5">
              <w:rPr>
                <w:rFonts w:ascii="Times New Roman" w:hAnsi="Times New Roman"/>
                <w:sz w:val="24"/>
                <w:szCs w:val="24"/>
                <w:lang w:val="ro-MD"/>
              </w:rPr>
              <w:t>4) la cerere, activitățile de evaluare a conformităţii realizate în limita domeniului de aplicare al notificării și orice altă activitate realizată, inclusiv activitățile și subcontractările transfrontaliere.</w:t>
            </w:r>
          </w:p>
        </w:tc>
      </w:tr>
      <w:bookmarkEnd w:id="12"/>
      <w:tr w:rsidR="00836B1D" w:rsidRPr="00AC33E5" w14:paraId="4FCA57B9"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01AC23" w14:textId="2C5D2FAC"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 xml:space="preserve">87. </w:t>
            </w:r>
            <w:r w:rsidRPr="00AC33E5">
              <w:rPr>
                <w:rFonts w:ascii="Times New Roman" w:hAnsi="Times New Roman"/>
                <w:color w:val="333333"/>
                <w:sz w:val="24"/>
                <w:szCs w:val="24"/>
                <w:shd w:val="clear" w:color="auto" w:fill="FFFFFF"/>
              </w:rPr>
              <w:t>87. Organismele notificate în conformitate cu prezenta Reglementare tehnică oferă celorlalte organisme notificate, care îndeplinesc activităţi similare de evaluare a conformităţii, de inspecții periodice, de inspecții intermediare și verificări excepționale vizînd aceleaşi echipamente sub presiune transportabile, informaţii relevante cu privire la aspecte legate de rezultatele negative şi, la cerere, de rezultatele pozitive ale evaluării conformităţii.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35B1C6" w14:textId="45660C97" w:rsidR="00836B1D" w:rsidRPr="00AC33E5" w:rsidRDefault="00836B1D" w:rsidP="00AC33E5">
            <w:pPr>
              <w:spacing w:line="276" w:lineRule="auto"/>
              <w:ind w:firstLine="0"/>
              <w:rPr>
                <w:rFonts w:ascii="Times New Roman" w:hAnsi="Times New Roman"/>
                <w:sz w:val="24"/>
                <w:szCs w:val="24"/>
                <w:lang w:val="ro-MD"/>
              </w:rPr>
            </w:pPr>
            <w:bookmarkStart w:id="14" w:name="_Hlk193177361"/>
            <w:r w:rsidRPr="00AC33E5">
              <w:rPr>
                <w:rFonts w:ascii="Times New Roman" w:hAnsi="Times New Roman"/>
                <w:sz w:val="24"/>
                <w:szCs w:val="24"/>
                <w:lang w:val="ro-MD"/>
              </w:rPr>
              <w:t>1.4.2</w:t>
            </w:r>
            <w:r w:rsidR="00512F04" w:rsidRPr="00AC33E5">
              <w:rPr>
                <w:rFonts w:ascii="Times New Roman" w:hAnsi="Times New Roman"/>
                <w:sz w:val="24"/>
                <w:szCs w:val="24"/>
                <w:lang w:val="ro-MD"/>
              </w:rPr>
              <w:t>5</w:t>
            </w:r>
            <w:r w:rsidRPr="00AC33E5">
              <w:rPr>
                <w:rFonts w:ascii="Times New Roman" w:hAnsi="Times New Roman"/>
                <w:sz w:val="24"/>
                <w:szCs w:val="24"/>
                <w:lang w:val="ro-MD"/>
              </w:rPr>
              <w:t>. la punctul 87, după cuvintele ”rezultatele negative” se completează cu cuvintele ”ale evaluării/reevaluării”;</w:t>
            </w:r>
            <w:r w:rsidRPr="00AC33E5">
              <w:rPr>
                <w:rFonts w:ascii="Times New Roman" w:hAnsi="Times New Roman"/>
                <w:bCs/>
                <w:sz w:val="24"/>
                <w:szCs w:val="24"/>
                <w:lang w:val="ro-MD"/>
              </w:rPr>
              <w:t xml:space="preserve"> </w:t>
            </w:r>
            <w:bookmarkEnd w:id="14"/>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F1EAD3" w14:textId="45DACD33"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87. Organismele notificate în conformitate cu prezenta Reglementare tehnică oferă celorlalte organisme notificate, care îndeplinesc activităţi similare de evaluare a conformităţii, de inspecții periodice, de inspecții intermediare și verificări excepționale vizînd aceleaşi echipamente sub presiune transportabile, informaţii relevante cu privire la aspecte legate de rezultatele negative ale evaluării/reevaluării şi, la cerere, de rezultatele pozitive ale evaluării conformităţii.</w:t>
            </w:r>
          </w:p>
        </w:tc>
      </w:tr>
      <w:tr w:rsidR="00836B1D" w:rsidRPr="00AC33E5" w14:paraId="0EB28C1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B7F3B" w14:textId="77777777" w:rsidR="00836B1D" w:rsidRPr="00AC33E5" w:rsidRDefault="00836B1D" w:rsidP="00AC33E5">
            <w:pPr>
              <w:spacing w:line="276" w:lineRule="auto"/>
              <w:ind w:left="252"/>
              <w:rPr>
                <w:rFonts w:ascii="Times New Roman" w:hAnsi="Times New Roman"/>
                <w:sz w:val="24"/>
                <w:szCs w:val="24"/>
                <w:lang w:val="ro-MD"/>
              </w:rPr>
            </w:pPr>
            <w:bookmarkStart w:id="15" w:name="_Hlk193177317"/>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E8A662" w14:textId="026484E0" w:rsidR="00836B1D" w:rsidRPr="00AC33E5" w:rsidRDefault="00EC100C" w:rsidP="00AC33E5">
            <w:pPr>
              <w:spacing w:line="276" w:lineRule="auto"/>
              <w:ind w:firstLine="0"/>
              <w:rPr>
                <w:rFonts w:ascii="Times New Roman" w:hAnsi="Times New Roman"/>
                <w:bCs/>
                <w:sz w:val="24"/>
                <w:szCs w:val="24"/>
                <w:lang w:val="ro-MD"/>
              </w:rPr>
            </w:pPr>
            <w:r w:rsidRPr="00AC33E5">
              <w:rPr>
                <w:rFonts w:ascii="Times New Roman" w:hAnsi="Times New Roman"/>
                <w:bCs/>
                <w:sz w:val="24"/>
                <w:szCs w:val="24"/>
                <w:lang w:val="ro-MD"/>
              </w:rPr>
              <w:t>1.4.2</w:t>
            </w:r>
            <w:r w:rsidR="00512F04" w:rsidRPr="00AC33E5">
              <w:rPr>
                <w:rFonts w:ascii="Times New Roman" w:hAnsi="Times New Roman"/>
                <w:bCs/>
                <w:sz w:val="24"/>
                <w:szCs w:val="24"/>
                <w:lang w:val="ro-MD"/>
              </w:rPr>
              <w:t>6</w:t>
            </w:r>
            <w:r w:rsidRPr="00AC33E5">
              <w:rPr>
                <w:rFonts w:ascii="Times New Roman" w:hAnsi="Times New Roman"/>
                <w:bCs/>
                <w:sz w:val="24"/>
                <w:szCs w:val="24"/>
                <w:lang w:val="ro-MD"/>
              </w:rPr>
              <w:t>.</w:t>
            </w:r>
            <w:r w:rsidR="00836B1D" w:rsidRPr="00AC33E5">
              <w:rPr>
                <w:rFonts w:ascii="Times New Roman" w:hAnsi="Times New Roman"/>
                <w:bCs/>
                <w:sz w:val="24"/>
                <w:szCs w:val="24"/>
                <w:lang w:val="ro-MD"/>
              </w:rPr>
              <w:t xml:space="preserve"> după punctul 87, se completează cu Secțiunea a 9</w:t>
            </w:r>
            <w:r w:rsidR="00836B1D" w:rsidRPr="00AC33E5">
              <w:rPr>
                <w:rFonts w:ascii="Times New Roman" w:hAnsi="Times New Roman"/>
                <w:bCs/>
                <w:sz w:val="24"/>
                <w:szCs w:val="24"/>
                <w:vertAlign w:val="superscript"/>
                <w:lang w:val="ro-MD"/>
              </w:rPr>
              <w:t>1</w:t>
            </w:r>
            <w:r w:rsidR="00836B1D" w:rsidRPr="00AC33E5">
              <w:rPr>
                <w:rFonts w:ascii="Times New Roman" w:hAnsi="Times New Roman"/>
                <w:bCs/>
                <w:sz w:val="24"/>
                <w:szCs w:val="24"/>
                <w:lang w:val="ro-MD"/>
              </w:rPr>
              <w:t>-a Schimbul de experiență și coordonarea organismelor notificate cu următorul cuprins:</w:t>
            </w:r>
          </w:p>
          <w:p w14:paraId="7520FAA3" w14:textId="77777777" w:rsidR="00DE1A5D" w:rsidRPr="00AC33E5" w:rsidRDefault="00DE1A5D" w:rsidP="00AC33E5">
            <w:pPr>
              <w:spacing w:line="276" w:lineRule="auto"/>
              <w:ind w:left="400" w:firstLine="0"/>
              <w:jc w:val="center"/>
              <w:rPr>
                <w:rFonts w:ascii="Times New Roman" w:hAnsi="Times New Roman"/>
                <w:sz w:val="24"/>
                <w:szCs w:val="24"/>
                <w:lang w:val="ro-MD"/>
              </w:rPr>
            </w:pPr>
          </w:p>
          <w:p w14:paraId="4F43D51E" w14:textId="77777777" w:rsidR="00836B1D" w:rsidRPr="00AC33E5" w:rsidRDefault="00836B1D" w:rsidP="00AC33E5">
            <w:pPr>
              <w:spacing w:line="276" w:lineRule="auto"/>
              <w:ind w:left="400" w:firstLine="0"/>
              <w:jc w:val="center"/>
              <w:rPr>
                <w:rFonts w:ascii="Times New Roman" w:hAnsi="Times New Roman"/>
                <w:sz w:val="24"/>
                <w:szCs w:val="24"/>
                <w:lang w:val="ro-MD"/>
              </w:rPr>
            </w:pPr>
            <w:r w:rsidRPr="00AC33E5">
              <w:rPr>
                <w:rFonts w:ascii="Times New Roman" w:hAnsi="Times New Roman"/>
                <w:sz w:val="24"/>
                <w:szCs w:val="24"/>
                <w:lang w:val="ro-MD"/>
              </w:rPr>
              <w:t>”</w:t>
            </w:r>
            <w:r w:rsidRPr="00AC33E5">
              <w:rPr>
                <w:rFonts w:ascii="Times New Roman" w:hAnsi="Times New Roman"/>
                <w:b/>
                <w:bCs/>
                <w:sz w:val="24"/>
                <w:szCs w:val="24"/>
                <w:lang w:val="ro-MD"/>
              </w:rPr>
              <w:t>Secțiunea a 9</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-a</w:t>
            </w:r>
          </w:p>
          <w:p w14:paraId="7853BFBB" w14:textId="77777777" w:rsidR="00836B1D" w:rsidRPr="00AC33E5" w:rsidRDefault="00836B1D" w:rsidP="00AC33E5">
            <w:pPr>
              <w:spacing w:line="276" w:lineRule="auto"/>
              <w:ind w:left="400" w:firstLine="0"/>
              <w:jc w:val="center"/>
              <w:rPr>
                <w:rFonts w:ascii="Times New Roman" w:hAnsi="Times New Roman"/>
                <w:b/>
                <w:bCs/>
                <w:sz w:val="24"/>
                <w:szCs w:val="24"/>
                <w:lang w:val="ro-MD"/>
              </w:rPr>
            </w:pPr>
            <w:r w:rsidRPr="00AC33E5">
              <w:rPr>
                <w:rFonts w:ascii="Times New Roman" w:hAnsi="Times New Roman"/>
                <w:b/>
                <w:bCs/>
                <w:sz w:val="24"/>
                <w:szCs w:val="24"/>
                <w:lang w:val="ro-MD"/>
              </w:rPr>
              <w:t>Schimbul de experiență și coordonarea organismelor notificate</w:t>
            </w:r>
          </w:p>
          <w:p w14:paraId="59CCF7B6" w14:textId="64106B5B" w:rsidR="00836B1D" w:rsidRPr="00AC33E5" w:rsidRDefault="00836B1D" w:rsidP="00AC33E5">
            <w:pPr>
              <w:spacing w:line="276" w:lineRule="auto"/>
              <w:ind w:firstLine="0"/>
              <w:rPr>
                <w:rFonts w:ascii="Times New Roman" w:hAnsi="Times New Roman"/>
                <w:strike/>
                <w:sz w:val="24"/>
                <w:szCs w:val="24"/>
                <w:lang w:val="ro-MD"/>
              </w:rPr>
            </w:pPr>
            <w:r w:rsidRPr="00AC33E5">
              <w:rPr>
                <w:rFonts w:ascii="Times New Roman" w:hAnsi="Times New Roman"/>
                <w:sz w:val="24"/>
                <w:szCs w:val="24"/>
                <w:lang w:val="ro-MD"/>
              </w:rPr>
              <w:t>87</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Ministerul Infrastructurii și Dezvoltării Regionale poate participa la schimbul de experienţă între autorităţile naţionale responsabile de politica privind notificarea și supravegherea pieței organizate de Comisia Europeană.</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8D05CB" w14:textId="77777777" w:rsidR="00836B1D" w:rsidRPr="00AC33E5" w:rsidRDefault="00836B1D" w:rsidP="00AC33E5">
            <w:pPr>
              <w:spacing w:line="276" w:lineRule="auto"/>
              <w:jc w:val="center"/>
              <w:rPr>
                <w:rFonts w:ascii="Times New Roman" w:hAnsi="Times New Roman"/>
                <w:sz w:val="24"/>
                <w:szCs w:val="24"/>
                <w:lang w:val="ro-MD"/>
              </w:rPr>
            </w:pPr>
            <w:r w:rsidRPr="00AC33E5">
              <w:rPr>
                <w:rFonts w:ascii="Times New Roman" w:hAnsi="Times New Roman"/>
                <w:b/>
                <w:bCs/>
                <w:sz w:val="24"/>
                <w:szCs w:val="24"/>
                <w:lang w:val="ro-MD"/>
              </w:rPr>
              <w:t>Secțiunea a 9</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-a</w:t>
            </w:r>
          </w:p>
          <w:p w14:paraId="5985F565" w14:textId="1090806E" w:rsidR="00DE1A5D" w:rsidRPr="00AC33E5" w:rsidRDefault="00836B1D" w:rsidP="00AC33E5">
            <w:pPr>
              <w:spacing w:line="276" w:lineRule="auto"/>
              <w:ind w:left="282" w:hanging="184"/>
              <w:rPr>
                <w:rFonts w:ascii="Times New Roman" w:hAnsi="Times New Roman"/>
                <w:sz w:val="24"/>
                <w:szCs w:val="24"/>
                <w:lang w:val="ro-MD"/>
              </w:rPr>
            </w:pPr>
            <w:r w:rsidRPr="00AC33E5">
              <w:rPr>
                <w:rFonts w:ascii="Times New Roman" w:hAnsi="Times New Roman"/>
                <w:b/>
                <w:bCs/>
                <w:sz w:val="24"/>
                <w:szCs w:val="24"/>
                <w:lang w:val="ro-MD"/>
              </w:rPr>
              <w:t>Schimbul de experiență și cordonarea organismelor notificate</w:t>
            </w:r>
            <w:r w:rsidR="00DE1A5D" w:rsidRPr="00AC33E5">
              <w:rPr>
                <w:rFonts w:ascii="Times New Roman" w:hAnsi="Times New Roman"/>
                <w:sz w:val="24"/>
                <w:szCs w:val="24"/>
                <w:lang w:val="ro-MD"/>
              </w:rPr>
              <w:t xml:space="preserve"> </w:t>
            </w:r>
          </w:p>
          <w:p w14:paraId="759BF056" w14:textId="79F9899B" w:rsidR="00DE1A5D" w:rsidRPr="00AC33E5" w:rsidRDefault="00DE1A5D" w:rsidP="00AC33E5">
            <w:pPr>
              <w:spacing w:line="276" w:lineRule="auto"/>
              <w:ind w:firstLine="0"/>
              <w:rPr>
                <w:rFonts w:ascii="Times New Roman" w:hAnsi="Times New Roman"/>
                <w:strike/>
                <w:sz w:val="24"/>
                <w:szCs w:val="24"/>
                <w:lang w:val="ro-MD"/>
              </w:rPr>
            </w:pPr>
            <w:r w:rsidRPr="00AC33E5">
              <w:rPr>
                <w:rFonts w:ascii="Times New Roman" w:hAnsi="Times New Roman"/>
                <w:sz w:val="24"/>
                <w:szCs w:val="24"/>
                <w:lang w:val="ro-MD"/>
              </w:rPr>
              <w:t>87</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Ministerul Infrastructurii și Dezvoltării Regionale poate participa la schimbul de experienţă între autorităţile naţionale responsabile de politica privind notificarea și supravegherea pieței organizate de Comisia Europeană.</w:t>
            </w:r>
          </w:p>
          <w:p w14:paraId="6524245F" w14:textId="77777777" w:rsidR="00836B1D" w:rsidRPr="00AC33E5" w:rsidRDefault="00836B1D" w:rsidP="00AC33E5">
            <w:pPr>
              <w:pStyle w:val="ListParagraph"/>
              <w:spacing w:line="276" w:lineRule="auto"/>
              <w:ind w:left="0"/>
              <w:jc w:val="center"/>
              <w:rPr>
                <w:rFonts w:ascii="Times New Roman" w:hAnsi="Times New Roman"/>
                <w:b/>
                <w:bCs/>
                <w:sz w:val="24"/>
                <w:szCs w:val="24"/>
                <w:lang w:val="ro-MD"/>
              </w:rPr>
            </w:pPr>
          </w:p>
          <w:p w14:paraId="2747F5EF" w14:textId="77777777" w:rsidR="00836B1D" w:rsidRPr="00AC33E5" w:rsidRDefault="00836B1D" w:rsidP="00AC33E5">
            <w:pPr>
              <w:spacing w:line="276" w:lineRule="auto"/>
              <w:ind w:left="282" w:firstLine="0"/>
              <w:rPr>
                <w:rFonts w:ascii="Times New Roman" w:hAnsi="Times New Roman"/>
                <w:strike/>
                <w:sz w:val="24"/>
                <w:szCs w:val="24"/>
                <w:lang w:val="ro-MD"/>
              </w:rPr>
            </w:pPr>
          </w:p>
        </w:tc>
      </w:tr>
      <w:tr w:rsidR="00836B1D" w:rsidRPr="00AC33E5" w14:paraId="5CD2747D"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722C3" w14:textId="77777777" w:rsidR="00836B1D" w:rsidRPr="00AC33E5" w:rsidRDefault="00836B1D" w:rsidP="00AC33E5">
            <w:pPr>
              <w:spacing w:line="276" w:lineRule="auto"/>
              <w:ind w:left="25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4D88C7" w14:textId="51BA8ADD" w:rsidR="00836B1D" w:rsidRPr="00AC33E5" w:rsidRDefault="00836B1D" w:rsidP="00AC33E5">
            <w:pPr>
              <w:spacing w:line="276" w:lineRule="auto"/>
              <w:ind w:firstLine="0"/>
              <w:rPr>
                <w:rFonts w:ascii="Times New Roman" w:hAnsi="Times New Roman"/>
                <w:strike/>
                <w:sz w:val="24"/>
                <w:szCs w:val="24"/>
                <w:lang w:val="ro-MD"/>
              </w:rPr>
            </w:pPr>
            <w:r w:rsidRPr="00AC33E5">
              <w:rPr>
                <w:rFonts w:ascii="Times New Roman" w:hAnsi="Times New Roman"/>
                <w:bCs/>
                <w:sz w:val="24"/>
                <w:szCs w:val="24"/>
                <w:lang w:val="ro-MD"/>
              </w:rPr>
              <w:t>87</w:t>
            </w:r>
            <w:r w:rsidRPr="00AC33E5">
              <w:rPr>
                <w:rFonts w:ascii="Times New Roman" w:hAnsi="Times New Roman"/>
                <w:bCs/>
                <w:sz w:val="24"/>
                <w:szCs w:val="24"/>
                <w:vertAlign w:val="superscript"/>
                <w:lang w:val="ro-MD"/>
              </w:rPr>
              <w:t>2</w:t>
            </w:r>
            <w:r w:rsidRPr="00AC33E5">
              <w:rPr>
                <w:rFonts w:ascii="Times New Roman" w:hAnsi="Times New Roman"/>
                <w:bCs/>
                <w:sz w:val="24"/>
                <w:szCs w:val="24"/>
                <w:lang w:val="ro-MD"/>
              </w:rPr>
              <w:t xml:space="preserve">. Organismele de evaluare a conformităţii participă, în mod direct sau prin intermediul unor reprezentanţi desemnaţi, la activităţile de standardizare relevante şi la activităţile grupului sectorial al organismelor notificate înfiinţat de către Comisia Europeană sau se asigură că personalul responsabil de îndeplinirea sarcinilor de evaluare a conformităţii din cadrul lor este informat în legătură cu aceste activităţi şi pune în aplicare ca orientare generală deciziile şi documentele </w:t>
            </w:r>
            <w:r w:rsidRPr="00AC33E5">
              <w:rPr>
                <w:rFonts w:ascii="Times New Roman" w:hAnsi="Times New Roman"/>
                <w:bCs/>
                <w:sz w:val="24"/>
                <w:szCs w:val="24"/>
                <w:lang w:val="ro-MD"/>
              </w:rPr>
              <w:lastRenderedPageBreak/>
              <w:t>administrative produse ca rezultat al activităţii acelui grup.”;</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51064" w14:textId="093B318D" w:rsidR="00836B1D" w:rsidRPr="00AC33E5" w:rsidRDefault="00836B1D" w:rsidP="00AC33E5">
            <w:pPr>
              <w:spacing w:line="276" w:lineRule="auto"/>
              <w:ind w:firstLine="0"/>
              <w:rPr>
                <w:rFonts w:ascii="Times New Roman" w:hAnsi="Times New Roman"/>
                <w:strike/>
                <w:sz w:val="24"/>
                <w:szCs w:val="24"/>
                <w:lang w:val="ro-MD"/>
              </w:rPr>
            </w:pPr>
            <w:r w:rsidRPr="00AC33E5">
              <w:rPr>
                <w:rFonts w:ascii="Times New Roman" w:hAnsi="Times New Roman"/>
                <w:sz w:val="24"/>
                <w:szCs w:val="24"/>
                <w:lang w:val="ro-MD"/>
              </w:rPr>
              <w:lastRenderedPageBreak/>
              <w:t>87</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Organismele de evaluare a conformităţii participă, în mod direct sau prin intermediul unor reprezentanţi desemnaţi, la activităţile de standardizare relevante şi la activităţile grupului sectorial al organismelor notificate înfiinţat de către Comisia Europeană sau se asigură că personalul responsabil de îndeplinirea sarcinilor de evaluare a conformităţii din cadrul lor este informat în legătură cu aceste activităţi şi pune în aplicare ca orientare generală deciziile şi documentele administrative produse ca rezultat al activităţii acelui grup.</w:t>
            </w:r>
          </w:p>
        </w:tc>
      </w:tr>
      <w:bookmarkEnd w:id="15"/>
      <w:tr w:rsidR="00836B1D" w:rsidRPr="00AC33E5" w14:paraId="673D8A85"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0F7B5A" w14:textId="4BA441D0" w:rsidR="00836B1D" w:rsidRPr="00AC33E5" w:rsidRDefault="00EC100C" w:rsidP="00AC33E5">
            <w:pPr>
              <w:spacing w:line="276" w:lineRule="auto"/>
              <w:ind w:left="252" w:firstLine="0"/>
              <w:rPr>
                <w:rFonts w:ascii="Times New Roman" w:hAnsi="Times New Roman"/>
                <w:sz w:val="24"/>
                <w:szCs w:val="24"/>
                <w:lang w:val="ro-MD"/>
              </w:rPr>
            </w:pPr>
            <w:r w:rsidRPr="00AC33E5">
              <w:rPr>
                <w:rFonts w:ascii="Times New Roman" w:hAnsi="Times New Roman"/>
                <w:color w:val="333333"/>
                <w:sz w:val="24"/>
                <w:szCs w:val="24"/>
                <w:shd w:val="clear" w:color="auto" w:fill="FFFFFF"/>
                <w:lang w:val="ro-MD"/>
              </w:rPr>
              <w:t>88. Supravegherea pieţei şi controlul echipamentelor sub presiune transportabile care sîntpuse la dispoziție pe piaţă se efectuează în conformitate cu legislaţia în vigoare privind supravegherea pieţei.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6D88BD8" w14:textId="6BE6CFB2" w:rsidR="00836B1D" w:rsidRPr="00AC33E5" w:rsidRDefault="00EC100C" w:rsidP="00AC33E5">
            <w:pPr>
              <w:spacing w:line="276" w:lineRule="auto"/>
              <w:ind w:firstLine="0"/>
              <w:rPr>
                <w:rFonts w:ascii="Times New Roman" w:hAnsi="Times New Roman"/>
                <w:sz w:val="24"/>
                <w:szCs w:val="24"/>
                <w:lang w:val="ro-MD"/>
              </w:rPr>
            </w:pPr>
            <w:bookmarkStart w:id="16" w:name="_Hlk194287277"/>
            <w:r w:rsidRPr="00AC33E5">
              <w:rPr>
                <w:rFonts w:ascii="Times New Roman" w:hAnsi="Times New Roman"/>
                <w:sz w:val="24"/>
                <w:szCs w:val="24"/>
                <w:lang w:val="ro-MD"/>
              </w:rPr>
              <w:t>1.4.2</w:t>
            </w:r>
            <w:r w:rsidR="00512F04" w:rsidRPr="00AC33E5">
              <w:rPr>
                <w:rFonts w:ascii="Times New Roman" w:hAnsi="Times New Roman"/>
                <w:sz w:val="24"/>
                <w:szCs w:val="24"/>
                <w:lang w:val="ro-MD"/>
              </w:rPr>
              <w:t>7</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punctul 88 va avea următorul cuprins: </w:t>
            </w:r>
          </w:p>
          <w:bookmarkEnd w:id="16"/>
          <w:p w14:paraId="74FBECCE" w14:textId="407D42C3" w:rsidR="00836B1D" w:rsidRPr="00AC33E5" w:rsidRDefault="00836B1D" w:rsidP="00AC33E5">
            <w:pPr>
              <w:spacing w:line="276" w:lineRule="auto"/>
              <w:ind w:left="312" w:firstLine="0"/>
              <w:rPr>
                <w:rFonts w:ascii="Times New Roman" w:hAnsi="Times New Roman"/>
                <w:strike/>
                <w:sz w:val="24"/>
                <w:szCs w:val="24"/>
                <w:lang w:val="ro-MD"/>
              </w:rPr>
            </w:pPr>
            <w:r w:rsidRPr="00AC33E5">
              <w:rPr>
                <w:rFonts w:ascii="Times New Roman" w:hAnsi="Times New Roman"/>
                <w:sz w:val="24"/>
                <w:szCs w:val="24"/>
                <w:lang w:val="ro-MD"/>
              </w:rPr>
              <w:t xml:space="preserve">”88. Supravegherea pieţei şi inspecția echipamentelor sub presiune transportabile care sînt puse la dispoziție pe piaţă se efectuează în condiţiile </w:t>
            </w:r>
            <w:hyperlink r:id="rId17" w:history="1">
              <w:r w:rsidRPr="00AC33E5">
                <w:rPr>
                  <w:rStyle w:val="Hyperlink"/>
                  <w:rFonts w:ascii="Times New Roman" w:hAnsi="Times New Roman"/>
                  <w:color w:val="auto"/>
                  <w:sz w:val="24"/>
                  <w:szCs w:val="24"/>
                  <w:u w:val="none"/>
                  <w:lang w:val="ro-MD"/>
                </w:rPr>
                <w:t>Legii nr.162/2023</w:t>
              </w:r>
            </w:hyperlink>
            <w:r w:rsidRPr="00AC33E5">
              <w:rPr>
                <w:rFonts w:ascii="Times New Roman" w:hAnsi="Times New Roman"/>
                <w:sz w:val="24"/>
                <w:szCs w:val="24"/>
                <w:lang w:val="ro-MD"/>
              </w:rPr>
              <w:t xml:space="preserve"> privind supravegherea pieţei şi conformitatea produselor.”;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FB8951E" w14:textId="391663B8" w:rsidR="00836B1D" w:rsidRPr="00AC33E5" w:rsidRDefault="00836B1D" w:rsidP="00AC33E5">
            <w:pPr>
              <w:spacing w:line="276" w:lineRule="auto"/>
              <w:ind w:firstLine="0"/>
              <w:rPr>
                <w:rFonts w:ascii="Times New Roman" w:hAnsi="Times New Roman"/>
                <w:strike/>
                <w:sz w:val="24"/>
                <w:szCs w:val="24"/>
                <w:lang w:val="ro-MD"/>
              </w:rPr>
            </w:pPr>
            <w:r w:rsidRPr="00AC33E5">
              <w:rPr>
                <w:rFonts w:ascii="Times New Roman" w:hAnsi="Times New Roman"/>
                <w:sz w:val="24"/>
                <w:szCs w:val="24"/>
                <w:lang w:val="ro-MD"/>
              </w:rPr>
              <w:t xml:space="preserve">88. Supravegherea pieţei şi inspecția echipamentelor sub presiune transportabile care sînt puse la dispoziție pe piaţă se efectuează în condiţiile </w:t>
            </w:r>
            <w:hyperlink r:id="rId18" w:history="1">
              <w:r w:rsidRPr="00AC33E5">
                <w:rPr>
                  <w:rStyle w:val="Hyperlink"/>
                  <w:rFonts w:ascii="Times New Roman" w:hAnsi="Times New Roman"/>
                  <w:color w:val="auto"/>
                  <w:sz w:val="24"/>
                  <w:szCs w:val="24"/>
                  <w:u w:val="none"/>
                  <w:lang w:val="ro-MD"/>
                </w:rPr>
                <w:t>Legii nr.162/2023</w:t>
              </w:r>
            </w:hyperlink>
            <w:r w:rsidRPr="00AC33E5">
              <w:rPr>
                <w:rFonts w:ascii="Times New Roman" w:hAnsi="Times New Roman"/>
                <w:sz w:val="24"/>
                <w:szCs w:val="24"/>
                <w:lang w:val="ro-MD"/>
              </w:rPr>
              <w:t xml:space="preserve"> privind supravegherea pieţei şi conformitatea produselor.</w:t>
            </w:r>
          </w:p>
        </w:tc>
      </w:tr>
      <w:tr w:rsidR="00836B1D" w:rsidRPr="00AC33E5" w14:paraId="0342527D" w14:textId="231B2D64"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DA8A3" w14:textId="77777777" w:rsidR="00836B1D" w:rsidRPr="00AC33E5" w:rsidRDefault="00836B1D" w:rsidP="00AC33E5">
            <w:pPr>
              <w:spacing w:line="276" w:lineRule="auto"/>
              <w:ind w:left="252" w:firstLine="0"/>
              <w:rPr>
                <w:rFonts w:ascii="Times New Roman" w:hAnsi="Times New Roman"/>
                <w:sz w:val="24"/>
                <w:szCs w:val="24"/>
                <w:lang w:val="ro-MD"/>
              </w:rPr>
            </w:pPr>
            <w:bookmarkStart w:id="17" w:name="_Hlk193177223"/>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6FBB35" w14:textId="6817A843" w:rsidR="00836B1D" w:rsidRPr="00AC33E5" w:rsidRDefault="00EC100C"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1.4.2</w:t>
            </w:r>
            <w:r w:rsidR="00512F04" w:rsidRPr="00AC33E5">
              <w:rPr>
                <w:rFonts w:ascii="Times New Roman" w:hAnsi="Times New Roman"/>
                <w:sz w:val="24"/>
                <w:szCs w:val="24"/>
                <w:lang w:val="ro-MD"/>
              </w:rPr>
              <w:t>8</w:t>
            </w:r>
            <w:r w:rsidR="00836B1D" w:rsidRPr="00AC33E5">
              <w:rPr>
                <w:rFonts w:ascii="Times New Roman" w:hAnsi="Times New Roman"/>
                <w:sz w:val="24"/>
                <w:szCs w:val="24"/>
                <w:lang w:val="ro-MD"/>
              </w:rPr>
              <w:t>. după punctul 91</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se completează cu punctele 91</w:t>
            </w:r>
            <w:r w:rsidR="00836B1D" w:rsidRPr="00AC33E5">
              <w:rPr>
                <w:rFonts w:ascii="Times New Roman" w:hAnsi="Times New Roman"/>
                <w:sz w:val="24"/>
                <w:szCs w:val="24"/>
                <w:vertAlign w:val="superscript"/>
                <w:lang w:val="ro-MD"/>
              </w:rPr>
              <w:t>1</w:t>
            </w:r>
            <w:r w:rsidR="00836B1D" w:rsidRPr="00AC33E5">
              <w:rPr>
                <w:rFonts w:ascii="Times New Roman" w:hAnsi="Times New Roman"/>
                <w:sz w:val="24"/>
                <w:szCs w:val="24"/>
                <w:lang w:val="ro-MD"/>
              </w:rPr>
              <w:t>-91</w:t>
            </w:r>
            <w:r w:rsidR="00836B1D" w:rsidRPr="00AC33E5">
              <w:rPr>
                <w:rFonts w:ascii="Times New Roman" w:hAnsi="Times New Roman"/>
                <w:sz w:val="24"/>
                <w:szCs w:val="24"/>
                <w:vertAlign w:val="superscript"/>
                <w:lang w:val="ro-MD"/>
              </w:rPr>
              <w:t>3</w:t>
            </w:r>
            <w:r w:rsidR="00836B1D" w:rsidRPr="00AC33E5">
              <w:rPr>
                <w:rFonts w:ascii="Times New Roman" w:hAnsi="Times New Roman"/>
                <w:sz w:val="24"/>
                <w:szCs w:val="24"/>
                <w:lang w:val="ro-MD"/>
              </w:rPr>
              <w:t xml:space="preserve"> cu următorul cuprins:</w:t>
            </w:r>
          </w:p>
          <w:p w14:paraId="108E19BD" w14:textId="4BCA2A43" w:rsidR="00836B1D" w:rsidRPr="00AC33E5" w:rsidRDefault="00836B1D" w:rsidP="00AC33E5">
            <w:pPr>
              <w:spacing w:line="276" w:lineRule="auto"/>
              <w:ind w:left="310" w:firstLine="0"/>
              <w:rPr>
                <w:rFonts w:ascii="Times New Roman" w:hAnsi="Times New Roman"/>
                <w:sz w:val="24"/>
                <w:szCs w:val="24"/>
                <w:lang w:val="ro-MD"/>
              </w:rPr>
            </w:pPr>
            <w:r w:rsidRPr="00AC33E5">
              <w:rPr>
                <w:rFonts w:ascii="Times New Roman" w:hAnsi="Times New Roman"/>
                <w:sz w:val="24"/>
                <w:szCs w:val="24"/>
                <w:lang w:val="ro-MD"/>
              </w:rPr>
              <w:t>”91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.Orice măsură adoptată în temeiul prezentei Reglementări tehnice în vederea interzicerii, a restricţionării introducerii pe piaţă, a retragerii de pe piaţă sau a rechemării echipamentelor precizează motivele exacte care stau la baza măsurii respective.</w:t>
            </w:r>
          </w:p>
          <w:p w14:paraId="3583BF2E" w14:textId="7CD3AAF8" w:rsidR="00836B1D" w:rsidRPr="00AC33E5" w:rsidRDefault="00836B1D" w:rsidP="00AC33E5">
            <w:pPr>
              <w:spacing w:line="276" w:lineRule="auto"/>
              <w:ind w:left="312" w:firstLine="0"/>
              <w:rPr>
                <w:rFonts w:ascii="Times New Roman" w:hAnsi="Times New Roman"/>
                <w:sz w:val="24"/>
                <w:szCs w:val="24"/>
                <w:lang w:val="ro-MD"/>
              </w:rPr>
            </w:pPr>
            <w:r w:rsidRPr="00AC33E5">
              <w:rPr>
                <w:rFonts w:ascii="Times New Roman" w:hAnsi="Times New Roman"/>
                <w:sz w:val="24"/>
                <w:szCs w:val="24"/>
                <w:lang w:val="ro-MD"/>
              </w:rPr>
              <w:t>91</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241B2EB0" w14:textId="5F52F25D" w:rsidR="00836B1D" w:rsidRPr="00AC33E5" w:rsidRDefault="00836B1D" w:rsidP="00AC33E5">
            <w:pPr>
              <w:spacing w:line="276" w:lineRule="auto"/>
              <w:ind w:left="312" w:firstLine="0"/>
              <w:rPr>
                <w:rFonts w:ascii="Times New Roman" w:hAnsi="Times New Roman"/>
                <w:iCs/>
                <w:sz w:val="24"/>
                <w:szCs w:val="24"/>
                <w:lang w:val="ro-MD"/>
              </w:rPr>
            </w:pPr>
            <w:r w:rsidRPr="00AC33E5">
              <w:rPr>
                <w:rFonts w:ascii="Times New Roman" w:hAnsi="Times New Roman"/>
                <w:sz w:val="24"/>
                <w:szCs w:val="24"/>
                <w:lang w:val="ro-MD"/>
              </w:rPr>
              <w:lastRenderedPageBreak/>
              <w:t>91</w:t>
            </w:r>
            <w:r w:rsidRPr="00AC33E5">
              <w:rPr>
                <w:rFonts w:ascii="Times New Roman" w:hAnsi="Times New Roman"/>
                <w:sz w:val="24"/>
                <w:szCs w:val="24"/>
                <w:vertAlign w:val="superscript"/>
                <w:lang w:val="ro-MD"/>
              </w:rPr>
              <w:t>3</w:t>
            </w:r>
            <w:r w:rsidRPr="00AC33E5">
              <w:rPr>
                <w:rFonts w:ascii="Times New Roman" w:hAnsi="Times New Roman"/>
                <w:sz w:val="24"/>
                <w:szCs w:val="24"/>
                <w:lang w:val="ro-MD"/>
              </w:rPr>
              <w:t>. Înainte de adoptarea unei măsuri în conformitate cu punctul 91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de armonizare corespunzătoare. În cazul în care au fost luate măsuri fără audierea operatorului economic, operatorului i se oferă posibilitatea să își exprime punctul de vedere de îndată ce este posibil, iar măsurile luate sunt revizuite fără întârziere în urma audierii.”;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BF1F20D" w14:textId="77777777" w:rsidR="00EC100C" w:rsidRPr="00AC33E5" w:rsidRDefault="00EC100C" w:rsidP="00AC33E5">
            <w:pPr>
              <w:shd w:val="clear" w:color="auto" w:fill="FFFFFF"/>
              <w:spacing w:line="276" w:lineRule="auto"/>
              <w:ind w:firstLine="0"/>
              <w:rPr>
                <w:rFonts w:ascii="Times New Roman" w:hAnsi="Times New Roman"/>
                <w:color w:val="333333"/>
                <w:sz w:val="24"/>
                <w:szCs w:val="24"/>
                <w:lang w:val="ro-MD"/>
              </w:rPr>
            </w:pPr>
            <w:r w:rsidRPr="00AC33E5">
              <w:rPr>
                <w:rFonts w:ascii="Times New Roman" w:hAnsi="Times New Roman"/>
                <w:color w:val="333333"/>
                <w:sz w:val="24"/>
                <w:szCs w:val="24"/>
                <w:lang w:val="ro-MD"/>
              </w:rPr>
              <w:lastRenderedPageBreak/>
              <w:t>91. În cazul în care, pe parcursul evaluării menționate, autoritatea de supraveghere a pieței constată că echipamentele sub presiune transportabile nu sînt conforme cu cerințele stabilite în prezenta Reglementare tehnică și în anexele A și B la ADR, aceasta solicită agentului economic relevant să întreprindă toate măsurile corective adecvate pentru a aduce echipamentele în conformitate cu cerințele stabilite în prezenta Reglementare tehnică și în anexele A și B la ADR sau să retragă echipamentele de pe piață, sau să le recheme în decursul unei perioade rezonabile, proporționale cu natura riscului, stabilită de către autoritatea de supraveghere a pieței.</w:t>
            </w:r>
          </w:p>
          <w:p w14:paraId="6BDFD4FB" w14:textId="77777777" w:rsidR="00EC100C" w:rsidRPr="00AC33E5" w:rsidRDefault="00EC100C" w:rsidP="00AC33E5">
            <w:pPr>
              <w:shd w:val="clear" w:color="auto" w:fill="FFFFFF"/>
              <w:spacing w:line="276" w:lineRule="auto"/>
              <w:ind w:firstLine="0"/>
              <w:rPr>
                <w:rFonts w:ascii="Times New Roman" w:hAnsi="Times New Roman"/>
                <w:color w:val="333333"/>
                <w:sz w:val="24"/>
                <w:szCs w:val="24"/>
              </w:rPr>
            </w:pPr>
            <w:r w:rsidRPr="00AC33E5">
              <w:rPr>
                <w:rFonts w:ascii="Times New Roman" w:hAnsi="Times New Roman"/>
                <w:color w:val="333333"/>
                <w:sz w:val="24"/>
                <w:szCs w:val="24"/>
              </w:rPr>
              <w:t>Autoritatea de supraveghere a pieţei informează organismul notificat relevant.</w:t>
            </w:r>
          </w:p>
          <w:p w14:paraId="5B0CEC3A" w14:textId="77777777" w:rsidR="00DE1A5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w:t>
            </w:r>
            <w:bookmarkStart w:id="18" w:name="_Hlk194184406"/>
            <w:r w:rsidRPr="00AC33E5">
              <w:rPr>
                <w:rFonts w:ascii="Times New Roman" w:hAnsi="Times New Roman"/>
                <w:sz w:val="24"/>
                <w:szCs w:val="24"/>
                <w:lang w:val="ro-MD"/>
              </w:rPr>
              <w:t xml:space="preserve">Orice măsură adoptată în temeiul prezentei Reglementări tehnice în vederea interzicerii, a restricţionării introducerii pe piaţă, a retragerii de </w:t>
            </w:r>
            <w:r w:rsidRPr="00AC33E5">
              <w:rPr>
                <w:rFonts w:ascii="Times New Roman" w:hAnsi="Times New Roman"/>
                <w:sz w:val="24"/>
                <w:szCs w:val="24"/>
                <w:lang w:val="ro-MD"/>
              </w:rPr>
              <w:lastRenderedPageBreak/>
              <w:t>pe piaţă sau a rechemării echipamentelor precizează motivele exacte care stau la baza măsurii respective.</w:t>
            </w:r>
            <w:bookmarkEnd w:id="18"/>
          </w:p>
          <w:p w14:paraId="128E7926" w14:textId="19CF4AE2"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91</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Astfel de măsuri se comunică fără întârziere operatorului economic în cauză, care, în același timp, este informat cu privire la căile de atac disponibile și cu privire la termenele care se aplică acestor căi de atac. </w:t>
            </w:r>
          </w:p>
          <w:p w14:paraId="41DAD5A1" w14:textId="04FA8F7B"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91</w:t>
            </w:r>
            <w:r w:rsidRPr="00AC33E5">
              <w:rPr>
                <w:rFonts w:ascii="Times New Roman" w:hAnsi="Times New Roman"/>
                <w:sz w:val="24"/>
                <w:szCs w:val="24"/>
                <w:vertAlign w:val="superscript"/>
                <w:lang w:val="ro-MD"/>
              </w:rPr>
              <w:t>3</w:t>
            </w:r>
            <w:r w:rsidRPr="00AC33E5">
              <w:rPr>
                <w:rFonts w:ascii="Times New Roman" w:hAnsi="Times New Roman"/>
                <w:sz w:val="24"/>
                <w:szCs w:val="24"/>
                <w:lang w:val="ro-MD"/>
              </w:rPr>
              <w:t>. Înainte de adoptarea unei măsuri în conformitate cu punctul 91</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de armonizare corespunzătoare. În cazul în care au fost luate măsuri fără audierea operatorului economic, operatorului i se oferă posibilitatea să își exprime punctul de vedere de îndată ce este posibil, iar măsurile luate sunt revizuite fără întârziere în urma audierii.</w:t>
            </w:r>
          </w:p>
        </w:tc>
      </w:tr>
      <w:bookmarkEnd w:id="17"/>
      <w:tr w:rsidR="00836B1D" w:rsidRPr="00AC33E5" w14:paraId="5472B3BE"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F8726E" w14:textId="4D79C767"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94. În cazul în care agentul economic relevant nu întreprinde măsurile corective </w:t>
            </w:r>
            <w:r w:rsidRPr="00AC33E5">
              <w:rPr>
                <w:rFonts w:ascii="Times New Roman" w:hAnsi="Times New Roman"/>
                <w:iCs/>
                <w:sz w:val="24"/>
                <w:szCs w:val="24"/>
                <w:lang w:val="ro-MD"/>
              </w:rPr>
              <w:t xml:space="preserve"> </w:t>
            </w:r>
            <w:r w:rsidRPr="00AC33E5">
              <w:rPr>
                <w:rFonts w:ascii="Times New Roman" w:hAnsi="Times New Roman"/>
                <w:sz w:val="24"/>
                <w:szCs w:val="24"/>
                <w:lang w:val="ro-MD"/>
              </w:rPr>
              <w:t xml:space="preserve">autoritatea de supraveghere a pieței ia toate măsurile corective pentru a interzice sau a restrînge punerea la dispoziție a echipamentelor sub presiune pe piață </w:t>
            </w:r>
            <w:r w:rsidRPr="00AC33E5">
              <w:rPr>
                <w:rFonts w:ascii="Times New Roman" w:hAnsi="Times New Roman"/>
                <w:sz w:val="24"/>
                <w:szCs w:val="24"/>
                <w:lang w:val="ro-MD"/>
              </w:rPr>
              <w:lastRenderedPageBreak/>
              <w:t>ori pentru a retrage sau rechema echipamentele respective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79B70D4" w14:textId="677D5154" w:rsidR="00836B1D" w:rsidRPr="00AC33E5" w:rsidRDefault="00591AB0" w:rsidP="00AC33E5">
            <w:pPr>
              <w:spacing w:line="276" w:lineRule="auto"/>
              <w:ind w:firstLine="0"/>
              <w:rPr>
                <w:rFonts w:ascii="Times New Roman" w:hAnsi="Times New Roman"/>
                <w:sz w:val="24"/>
                <w:szCs w:val="24"/>
                <w:lang w:val="ro-MD"/>
              </w:rPr>
            </w:pPr>
            <w:bookmarkStart w:id="19" w:name="_Hlk191934126"/>
            <w:r w:rsidRPr="00AC33E5">
              <w:rPr>
                <w:rFonts w:ascii="Times New Roman" w:hAnsi="Times New Roman"/>
                <w:sz w:val="24"/>
                <w:szCs w:val="24"/>
                <w:lang w:val="ro-MD"/>
              </w:rPr>
              <w:lastRenderedPageBreak/>
              <w:t>1.</w:t>
            </w:r>
            <w:r w:rsidR="002E7EB0" w:rsidRPr="00AC33E5">
              <w:rPr>
                <w:rFonts w:ascii="Times New Roman" w:hAnsi="Times New Roman"/>
                <w:sz w:val="24"/>
                <w:szCs w:val="24"/>
                <w:lang w:val="ro-MD"/>
              </w:rPr>
              <w:t>4.2</w:t>
            </w:r>
            <w:r w:rsidR="00512F04" w:rsidRPr="00AC33E5">
              <w:rPr>
                <w:rFonts w:ascii="Times New Roman" w:hAnsi="Times New Roman"/>
                <w:sz w:val="24"/>
                <w:szCs w:val="24"/>
                <w:lang w:val="ro-MD"/>
              </w:rPr>
              <w:t>9</w:t>
            </w:r>
            <w:r w:rsidR="00836B1D" w:rsidRPr="00AC33E5">
              <w:rPr>
                <w:rFonts w:ascii="Times New Roman" w:hAnsi="Times New Roman"/>
                <w:sz w:val="24"/>
                <w:szCs w:val="24"/>
                <w:lang w:val="ro-MD"/>
              </w:rPr>
              <w:t xml:space="preserve">. la punctul 94, </w:t>
            </w:r>
          </w:p>
          <w:p w14:paraId="314448B6" w14:textId="74AA3E5C"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1.4.2</w:t>
            </w:r>
            <w:r w:rsidR="00512F04" w:rsidRPr="00AC33E5">
              <w:rPr>
                <w:rFonts w:ascii="Times New Roman" w:hAnsi="Times New Roman"/>
                <w:sz w:val="24"/>
                <w:szCs w:val="24"/>
                <w:lang w:val="ro-MD"/>
              </w:rPr>
              <w:t>9</w:t>
            </w:r>
            <w:r w:rsidRPr="00AC33E5">
              <w:rPr>
                <w:rFonts w:ascii="Times New Roman" w:hAnsi="Times New Roman"/>
                <w:sz w:val="24"/>
                <w:szCs w:val="24"/>
                <w:lang w:val="ro-MD"/>
              </w:rPr>
              <w:t>.1.</w:t>
            </w:r>
            <w:r w:rsidR="00836B1D" w:rsidRPr="00AC33E5">
              <w:rPr>
                <w:rFonts w:ascii="Times New Roman" w:hAnsi="Times New Roman"/>
                <w:sz w:val="24"/>
                <w:szCs w:val="24"/>
                <w:lang w:val="ro-MD"/>
              </w:rPr>
              <w:t xml:space="preserve"> după cuvintele ”măsurile corective” se completează cu cuvintele ”adecvate în perioada menționată la punctul 91”;</w:t>
            </w:r>
            <w:bookmarkEnd w:id="19"/>
          </w:p>
          <w:p w14:paraId="23A643D6" w14:textId="756C29CE"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1.4.2</w:t>
            </w:r>
            <w:r w:rsidR="00512F04" w:rsidRPr="00AC33E5">
              <w:rPr>
                <w:rFonts w:ascii="Times New Roman" w:hAnsi="Times New Roman"/>
                <w:sz w:val="24"/>
                <w:szCs w:val="24"/>
                <w:lang w:val="ro-MD"/>
              </w:rPr>
              <w:t>9</w:t>
            </w:r>
            <w:r w:rsidRPr="00AC33E5">
              <w:rPr>
                <w:rFonts w:ascii="Times New Roman" w:hAnsi="Times New Roman"/>
                <w:sz w:val="24"/>
                <w:szCs w:val="24"/>
                <w:lang w:val="ro-MD"/>
              </w:rPr>
              <w:t>.2.</w:t>
            </w:r>
            <w:r w:rsidR="00836B1D" w:rsidRPr="00AC33E5">
              <w:rPr>
                <w:rFonts w:ascii="Times New Roman" w:hAnsi="Times New Roman"/>
                <w:sz w:val="24"/>
                <w:szCs w:val="24"/>
                <w:lang w:val="ro-MD"/>
              </w:rPr>
              <w:t xml:space="preserve"> după ultima propoziție  se completează cu propoziția cu următorul cuprins:</w:t>
            </w:r>
          </w:p>
          <w:p w14:paraId="624AD454" w14:textId="667A0371" w:rsidR="00836B1D" w:rsidRPr="00AC33E5" w:rsidRDefault="00836B1D" w:rsidP="00AC33E5">
            <w:pPr>
              <w:spacing w:line="276" w:lineRule="auto"/>
              <w:ind w:left="220" w:firstLine="0"/>
              <w:rPr>
                <w:rFonts w:ascii="Times New Roman" w:hAnsi="Times New Roman"/>
                <w:sz w:val="24"/>
                <w:szCs w:val="24"/>
                <w:lang w:val="ro-MD"/>
              </w:rPr>
            </w:pPr>
            <w:r w:rsidRPr="00AC33E5">
              <w:rPr>
                <w:rFonts w:ascii="Times New Roman" w:hAnsi="Times New Roman"/>
                <w:sz w:val="24"/>
                <w:szCs w:val="24"/>
                <w:lang w:val="ro-MD"/>
              </w:rPr>
              <w:t>”Inspectoratul Național pentru Supraveghere Tehnică informează de îndată Comisia Europeană, Ministerul Infrastructurii și Dezvoltării Regionale şi statele membre ale Uniunii Europene cu privire la măsurile stabilite în  legislaţia în vigoare privind supravegherea pieţei.”;</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FF536" w14:textId="112C7B39"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 xml:space="preserve">94. În cazul în care operatorul economic relevant nu întreprinde măsurile corective  adecvate în perioada menționată la punctul 91, Inspectoratul Național pentru Supravegherea Tehnică ia toate măsurile corective pentru a interzice sau a restrînge punerea la dispoziție a echipamentelor </w:t>
            </w:r>
            <w:r w:rsidRPr="00AC33E5">
              <w:rPr>
                <w:rFonts w:ascii="Times New Roman" w:hAnsi="Times New Roman"/>
                <w:sz w:val="24"/>
                <w:szCs w:val="24"/>
                <w:lang w:val="ro-MD"/>
              </w:rPr>
              <w:lastRenderedPageBreak/>
              <w:t>sub presiune pe piață ori pentru a retrage sau rechema echipamentele respective de pe piață.</w:t>
            </w:r>
          </w:p>
          <w:p w14:paraId="6BC089C8" w14:textId="2BD3255C"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Inspectoratul Național pentru Supraveghere Tehnică informează de îndată Comisia Europeană, Ministerul Infrastructurii și Dezvoltării Regionale şi statele membre ale Uniunii Europene cu privire la măsurile stabilite în  legislaţia în vigoare privind supravegherea pieţei.</w:t>
            </w:r>
          </w:p>
        </w:tc>
      </w:tr>
      <w:tr w:rsidR="00836B1D" w:rsidRPr="00AC33E5" w14:paraId="7DFD260A"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8EFDAD" w14:textId="77777777"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14:paraId="07A69D68" w14:textId="77777777"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 echipamentele sub presiune transportabile nu îndeplinesc cerințele cu privire la sănătatea sau siguranța persoanelor ori la alte aspecte ale protecției interesului public;</w:t>
            </w:r>
          </w:p>
          <w:p w14:paraId="1CE9AA38" w14:textId="5976C71A"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2) există deficiențe ale standardelor armonizate care conferă prezumția de conformitate.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250C7B4" w14:textId="223071C3" w:rsidR="00836B1D" w:rsidRPr="00AC33E5" w:rsidRDefault="002E7EB0" w:rsidP="00AC33E5">
            <w:pPr>
              <w:spacing w:line="276" w:lineRule="auto"/>
              <w:ind w:firstLine="0"/>
              <w:rPr>
                <w:rFonts w:ascii="Times New Roman" w:hAnsi="Times New Roman"/>
                <w:sz w:val="24"/>
                <w:szCs w:val="24"/>
                <w:lang w:val="ro-MD"/>
              </w:rPr>
            </w:pPr>
            <w:bookmarkStart w:id="20" w:name="_Hlk193177125"/>
            <w:r w:rsidRPr="00AC33E5">
              <w:rPr>
                <w:rFonts w:ascii="Times New Roman" w:hAnsi="Times New Roman"/>
                <w:sz w:val="24"/>
                <w:szCs w:val="24"/>
                <w:lang w:val="ro-MD"/>
              </w:rPr>
              <w:t>1.4.</w:t>
            </w:r>
            <w:r w:rsidR="00512F04" w:rsidRPr="00AC33E5">
              <w:rPr>
                <w:rFonts w:ascii="Times New Roman" w:hAnsi="Times New Roman"/>
                <w:sz w:val="24"/>
                <w:szCs w:val="24"/>
                <w:lang w:val="ro-MD"/>
              </w:rPr>
              <w:t>30</w:t>
            </w:r>
            <w:r w:rsidRPr="00AC33E5">
              <w:rPr>
                <w:rFonts w:ascii="Times New Roman" w:hAnsi="Times New Roman"/>
                <w:sz w:val="24"/>
                <w:szCs w:val="24"/>
                <w:lang w:val="ro-MD"/>
              </w:rPr>
              <w:t xml:space="preserve">. </w:t>
            </w:r>
            <w:r w:rsidR="00836B1D" w:rsidRPr="00AC33E5">
              <w:rPr>
                <w:rFonts w:ascii="Times New Roman" w:hAnsi="Times New Roman"/>
                <w:sz w:val="24"/>
                <w:szCs w:val="24"/>
                <w:lang w:val="ro-MD"/>
              </w:rPr>
              <w:t xml:space="preserve">la punctul 96, </w:t>
            </w:r>
          </w:p>
          <w:p w14:paraId="400A098D" w14:textId="08BE41F5" w:rsidR="00836B1D" w:rsidRPr="00AC33E5" w:rsidRDefault="002E7EB0" w:rsidP="00AC33E5">
            <w:pPr>
              <w:spacing w:line="276" w:lineRule="auto"/>
              <w:ind w:firstLine="0"/>
              <w:rPr>
                <w:rFonts w:ascii="Times New Roman" w:hAnsi="Times New Roman"/>
                <w:sz w:val="24"/>
                <w:szCs w:val="24"/>
                <w:lang w:val="ro-MD"/>
              </w:rPr>
            </w:pPr>
            <w:bookmarkStart w:id="21" w:name="_Hlk191938099"/>
            <w:r w:rsidRPr="00AC33E5">
              <w:rPr>
                <w:rFonts w:ascii="Times New Roman" w:hAnsi="Times New Roman"/>
                <w:sz w:val="24"/>
                <w:szCs w:val="24"/>
                <w:lang w:val="ro-MD"/>
              </w:rPr>
              <w:t>1.4.</w:t>
            </w:r>
            <w:r w:rsidR="00512F04" w:rsidRPr="00AC33E5">
              <w:rPr>
                <w:rFonts w:ascii="Times New Roman" w:hAnsi="Times New Roman"/>
                <w:sz w:val="24"/>
                <w:szCs w:val="24"/>
                <w:lang w:val="ro-MD"/>
              </w:rPr>
              <w:t>30</w:t>
            </w:r>
            <w:r w:rsidRPr="00AC33E5">
              <w:rPr>
                <w:rFonts w:ascii="Times New Roman" w:hAnsi="Times New Roman"/>
                <w:sz w:val="24"/>
                <w:szCs w:val="24"/>
                <w:lang w:val="ro-MD"/>
              </w:rPr>
              <w:t>.1.</w:t>
            </w:r>
            <w:r w:rsidR="00836B1D" w:rsidRPr="00AC33E5">
              <w:rPr>
                <w:rFonts w:ascii="Times New Roman" w:hAnsi="Times New Roman"/>
                <w:sz w:val="24"/>
                <w:szCs w:val="24"/>
                <w:lang w:val="ro-MD"/>
              </w:rPr>
              <w:t xml:space="preserve"> alin.1), după cuvintele ”interesului public,” se completează cu cuvintele ”, prevăzute în anexele A și B la ADR și în prezenta Reglementare tehnică”;</w:t>
            </w:r>
          </w:p>
          <w:bookmarkEnd w:id="21"/>
          <w:p w14:paraId="6732AE5F" w14:textId="59BB8BBE"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w:t>
            </w:r>
            <w:r w:rsidR="00512F04" w:rsidRPr="00AC33E5">
              <w:rPr>
                <w:rFonts w:ascii="Times New Roman" w:hAnsi="Times New Roman"/>
                <w:sz w:val="24"/>
                <w:szCs w:val="24"/>
                <w:lang w:val="ro-MD"/>
              </w:rPr>
              <w:t>30</w:t>
            </w:r>
            <w:r w:rsidRPr="00AC33E5">
              <w:rPr>
                <w:rFonts w:ascii="Times New Roman" w:hAnsi="Times New Roman"/>
                <w:sz w:val="24"/>
                <w:szCs w:val="24"/>
                <w:lang w:val="ro-MD"/>
              </w:rPr>
              <w:t xml:space="preserve">.2. la </w:t>
            </w:r>
            <w:r w:rsidR="00836B1D" w:rsidRPr="00AC33E5">
              <w:rPr>
                <w:rFonts w:ascii="Times New Roman" w:hAnsi="Times New Roman"/>
                <w:sz w:val="24"/>
                <w:szCs w:val="24"/>
                <w:lang w:val="ro-MD"/>
              </w:rPr>
              <w:t>alin. 2) va avea următorul cuprins:</w:t>
            </w:r>
          </w:p>
          <w:p w14:paraId="1827BC58" w14:textId="3CC12901" w:rsidR="00836B1D" w:rsidRPr="00AC33E5" w:rsidRDefault="00836B1D" w:rsidP="00AC33E5">
            <w:pPr>
              <w:spacing w:line="276" w:lineRule="auto"/>
              <w:ind w:left="222" w:firstLine="0"/>
              <w:rPr>
                <w:rFonts w:ascii="Times New Roman" w:hAnsi="Times New Roman"/>
                <w:sz w:val="24"/>
                <w:szCs w:val="24"/>
                <w:lang w:val="ro-MD"/>
              </w:rPr>
            </w:pPr>
            <w:r w:rsidRPr="00AC33E5">
              <w:rPr>
                <w:rFonts w:ascii="Times New Roman" w:hAnsi="Times New Roman"/>
                <w:sz w:val="24"/>
                <w:szCs w:val="24"/>
                <w:lang w:val="ro-MD"/>
              </w:rPr>
              <w:t>”2) există deficiențe ale standardelor sau ale codurilor tehnice menționate în anexele la ADR sau în alte dispoziții ale Reglementării tehnice.”;</w:t>
            </w:r>
          </w:p>
          <w:bookmarkEnd w:id="20"/>
          <w:p w14:paraId="4B33E129" w14:textId="26BA88E4" w:rsidR="00836B1D" w:rsidRPr="00AC33E5" w:rsidRDefault="00836B1D" w:rsidP="00AC33E5">
            <w:pPr>
              <w:spacing w:line="276" w:lineRule="auto"/>
              <w:ind w:left="22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10AE68" w14:textId="16EEED01"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96. Informațiile menționate la pct. 94-95 din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operatorul economic relevant. Inspectoratul Național pentru Supravegherea Tehnică indică, în special, dacă neconformitatea se datorează uneia dintre următoarele situații:</w:t>
            </w:r>
          </w:p>
          <w:p w14:paraId="4AFFAE03"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 echipamentele sub presiune transportabile nu îndeplinesc cerințele cu privire la sănătatea sau siguranța persoanelor ori la alte aspecte ale protecției interesului public, prevăzute în anexele A și B la ADR și în prezenta Reglementare tehnică;</w:t>
            </w:r>
          </w:p>
          <w:p w14:paraId="2051D24A" w14:textId="484A0095"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2) există deficiențe ale standardelor sau ale codurilor tehnice menționate în anexele la ADR sau în alte dispoziții ale Reglementării tehnice.</w:t>
            </w:r>
          </w:p>
        </w:tc>
      </w:tr>
      <w:tr w:rsidR="00836B1D" w:rsidRPr="00AC33E5" w14:paraId="0AC3102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5F8DCC" w14:textId="24E435B1" w:rsidR="00836B1D" w:rsidRPr="00AC33E5" w:rsidRDefault="00836B1D" w:rsidP="00AC33E5">
            <w:pPr>
              <w:spacing w:line="276" w:lineRule="auto"/>
              <w:ind w:left="252" w:firstLine="0"/>
              <w:rPr>
                <w:rFonts w:ascii="Times New Roman" w:hAnsi="Times New Roman"/>
                <w:sz w:val="24"/>
                <w:szCs w:val="24"/>
                <w:lang w:val="ro-MD"/>
              </w:rPr>
            </w:pPr>
            <w:bookmarkStart w:id="22" w:name="_Hlk193177078"/>
            <w:r w:rsidRPr="00AC33E5">
              <w:rPr>
                <w:rFonts w:ascii="Times New Roman" w:hAnsi="Times New Roman"/>
                <w:sz w:val="24"/>
                <w:szCs w:val="24"/>
                <w:lang w:val="ro-MD"/>
              </w:rPr>
              <w:lastRenderedPageBreak/>
              <w:t>97. Ministerul Infrastructurii și Dezvoltării Regionale informează Comisia Europeană cu privire la măsurile adoptate şi oferă informaţiile suplimentare referitoare la neconformitatea echipamentelor în cauză aflate la dispoziţia sa şi referitoare la obiecţiile la acestea, în caz de dezacord cu măsura naţională adoptată.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6E4B7" w14:textId="32E8B8D7" w:rsidR="00836B1D" w:rsidRPr="00AC33E5" w:rsidRDefault="002E7EB0" w:rsidP="00AC33E5">
            <w:pPr>
              <w:spacing w:line="276" w:lineRule="auto"/>
              <w:ind w:firstLine="0"/>
              <w:rPr>
                <w:rFonts w:ascii="Times New Roman" w:hAnsi="Times New Roman"/>
                <w:sz w:val="24"/>
                <w:szCs w:val="24"/>
                <w:lang w:val="ro-MD"/>
              </w:rPr>
            </w:pPr>
            <w:bookmarkStart w:id="23" w:name="_Hlk191938620"/>
            <w:r w:rsidRPr="00AC33E5">
              <w:rPr>
                <w:rFonts w:ascii="Times New Roman" w:hAnsi="Times New Roman"/>
                <w:sz w:val="24"/>
                <w:szCs w:val="24"/>
                <w:lang w:val="ro-MD"/>
              </w:rPr>
              <w:t>1.4.</w:t>
            </w:r>
            <w:r w:rsidR="00512F04" w:rsidRPr="00AC33E5">
              <w:rPr>
                <w:rFonts w:ascii="Times New Roman" w:hAnsi="Times New Roman"/>
                <w:sz w:val="24"/>
                <w:szCs w:val="24"/>
                <w:lang w:val="ro-MD"/>
              </w:rPr>
              <w:t>31</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punctul 97 va avea următorul cuprins:</w:t>
            </w:r>
          </w:p>
          <w:p w14:paraId="34CFBF53" w14:textId="3BEAD515" w:rsidR="00836B1D" w:rsidRPr="00AC33E5" w:rsidRDefault="00836B1D" w:rsidP="00AC33E5">
            <w:pPr>
              <w:spacing w:line="276" w:lineRule="auto"/>
              <w:ind w:left="222" w:firstLine="0"/>
              <w:rPr>
                <w:rFonts w:ascii="Times New Roman" w:hAnsi="Times New Roman"/>
                <w:sz w:val="24"/>
                <w:szCs w:val="24"/>
                <w:lang w:val="ro-MD"/>
              </w:rPr>
            </w:pPr>
            <w:r w:rsidRPr="00AC33E5">
              <w:rPr>
                <w:rFonts w:ascii="Times New Roman" w:hAnsi="Times New Roman"/>
                <w:sz w:val="24"/>
                <w:szCs w:val="24"/>
                <w:lang w:val="ro-MD"/>
              </w:rPr>
              <w:t xml:space="preserve">”97. </w:t>
            </w:r>
            <w:bookmarkEnd w:id="23"/>
            <w:r w:rsidRPr="00AC33E5">
              <w:rPr>
                <w:rFonts w:ascii="Times New Roman" w:hAnsi="Times New Roman"/>
                <w:sz w:val="24"/>
                <w:szCs w:val="24"/>
                <w:lang w:val="ro-MD"/>
              </w:rPr>
              <w:t>În cazul în care autoritatea pentru supravegherea pieţei din alt stat membru al Uniunii Europene iniţiază procedura prevăzută în prezentul capitol, Inspectoratul Național pentru Supraveghere Tehnică informează Comisia Europeană şi statele membre ale Uniunii Europene cu privire la orice măsuri adoptate şi informaţii suplimentare deţinute cu privire la neconformitatea echipamentului în cauză şi, în caz de dezacord faţă de măsura notificată de acel stat membru, îşi prezintă obiecţiile.”;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0EBA26E" w14:textId="09EF4784"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97. În cazul în care autoritatea pentru supravegherea pieţei din alt stat membru al Uniunii Europene iniţiază procedura prevăzută în prezentul capitol, Inspectoratul Național pentru Supraveghere Tehnică informează Comisia Europeană şi statele membre ale Uniunii Europene cu privire la orice măsuri adoptate şi informaţii suplimentare deţinute cu privire la neconformitatea echipamentului în cauză şi, în caz de dezacord faţă de măsura notificată de acel stat membru, îşi prezintă obiecţiile.</w:t>
            </w:r>
          </w:p>
        </w:tc>
      </w:tr>
      <w:bookmarkEnd w:id="22"/>
      <w:tr w:rsidR="00836B1D" w:rsidRPr="00AC33E5" w14:paraId="309569FB"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D6663B" w14:textId="15F35415"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98. În cazul în care, în termen de 2 luni de la primirea informaţiilor menţionate la pct.94-95 din prezenta Reglementare tehnică, Comisia Europeană nu a făcut obiecţii cu privire la măsura provizorie luată de Ministerul Infrastructurii și Dezvoltării Regionale, măsura este considerată justificată.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A3D8FAD" w14:textId="3C8F901C"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1.4.3</w:t>
            </w:r>
            <w:r w:rsidR="00512F04" w:rsidRPr="00AC33E5">
              <w:rPr>
                <w:rFonts w:ascii="Times New Roman" w:hAnsi="Times New Roman"/>
                <w:sz w:val="24"/>
                <w:szCs w:val="24"/>
                <w:lang w:val="ro-MD"/>
              </w:rPr>
              <w:t>2</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la punctul 98, </w:t>
            </w:r>
          </w:p>
          <w:p w14:paraId="46BDA35C" w14:textId="0E8253C0"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1.4.30.1.</w:t>
            </w:r>
            <w:r w:rsidR="00836B1D" w:rsidRPr="00AC33E5">
              <w:rPr>
                <w:rFonts w:ascii="Times New Roman" w:hAnsi="Times New Roman"/>
                <w:sz w:val="24"/>
                <w:szCs w:val="24"/>
                <w:lang w:val="ro-MD"/>
              </w:rPr>
              <w:t xml:space="preserve"> după cuvintele ”Comisia Europeană” se completează cu cuvintele ”și niciun stat membru”;</w:t>
            </w:r>
          </w:p>
          <w:p w14:paraId="3C1C90E4" w14:textId="636FBE50"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1.4.30.2.</w:t>
            </w:r>
            <w:r w:rsidR="00836B1D" w:rsidRPr="00AC33E5">
              <w:rPr>
                <w:rFonts w:ascii="Times New Roman" w:hAnsi="Times New Roman"/>
                <w:sz w:val="24"/>
                <w:szCs w:val="24"/>
                <w:lang w:val="ro-MD"/>
              </w:rPr>
              <w:t xml:space="preserve"> textul ”Ministerul Infrastructurii și Dezvoltării Regionale” se substituie cu textul ”Inspectoratul Național pentru Supraveghere Tehnică”; </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EEF6228" w14:textId="2EF2B623"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98. În cazul în care, în termen de 2 luni de la primirea informaţiilor menţionate la pct.94-95 din prezenta Reglementare tehnică, Comisia Europeană și niciun stat membru nu a făcut obiecţii cu privire la măsura provizorie luată de Inspectoratul Național pentru Supraveghere Tehnică, măsura este considerată justificată.</w:t>
            </w:r>
          </w:p>
        </w:tc>
      </w:tr>
      <w:tr w:rsidR="00836B1D" w:rsidRPr="00AC33E5" w14:paraId="5E53B119"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A4E83" w14:textId="5EC4EC26"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99. Ministerul Infrastructurii și Dezvoltării Regionale se asigură că se iau măsurile restrictive corespunzătoare în ceea ce privește echipamentele sub presiune transportabile vizate, precum retragerea acestora de pe piață.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D62A5B7" w14:textId="73B53DBF"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1.4.3</w:t>
            </w:r>
            <w:r w:rsidR="00512F04" w:rsidRPr="00AC33E5">
              <w:rPr>
                <w:rFonts w:ascii="Times New Roman" w:hAnsi="Times New Roman"/>
                <w:sz w:val="24"/>
                <w:szCs w:val="24"/>
                <w:lang w:val="ro-MD"/>
              </w:rPr>
              <w:t>3</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punctul 99, va avea următorul cuprins:</w:t>
            </w:r>
          </w:p>
          <w:p w14:paraId="67E2CB5C" w14:textId="3C7C2064" w:rsidR="00836B1D" w:rsidRPr="00AC33E5" w:rsidRDefault="00836B1D" w:rsidP="00AC33E5">
            <w:pPr>
              <w:spacing w:line="276" w:lineRule="auto"/>
              <w:ind w:left="220" w:firstLine="0"/>
              <w:rPr>
                <w:rFonts w:ascii="Times New Roman" w:hAnsi="Times New Roman"/>
                <w:sz w:val="24"/>
                <w:szCs w:val="24"/>
                <w:lang w:val="ro-MD"/>
              </w:rPr>
            </w:pPr>
            <w:r w:rsidRPr="00AC33E5">
              <w:rPr>
                <w:rFonts w:ascii="Times New Roman" w:hAnsi="Times New Roman"/>
                <w:sz w:val="24"/>
                <w:szCs w:val="24"/>
                <w:lang w:val="ro-MD"/>
              </w:rPr>
              <w:t>”99. Inspectoratul Național pentru Supraveghere Tehnică ia fără întârziere măsuri restrictive pentru a asigura retragerea de pe piaţă a echipamentului neconform.”;</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2A0651D" w14:textId="679B3890"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99. Inspectoratul Național pentru Supraveghere Tehnică ia fără întârziere măsuri restrictive pentru a asigura retragerea de pe piaţă a echipamentului neconform.</w:t>
            </w:r>
          </w:p>
        </w:tc>
      </w:tr>
      <w:tr w:rsidR="00836B1D" w:rsidRPr="00AC33E5" w14:paraId="471F019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2950C7" w14:textId="77777777" w:rsidR="00836B1D" w:rsidRPr="00AC33E5" w:rsidRDefault="00836B1D" w:rsidP="00AC33E5">
            <w:pPr>
              <w:spacing w:line="276" w:lineRule="auto"/>
              <w:ind w:left="252"/>
              <w:rPr>
                <w:rFonts w:ascii="Times New Roman" w:hAnsi="Times New Roman"/>
                <w:sz w:val="24"/>
                <w:szCs w:val="24"/>
                <w:lang w:val="ro-MD"/>
              </w:rPr>
            </w:pPr>
            <w:bookmarkStart w:id="24" w:name="_Hlk193176980"/>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9975B0" w14:textId="52546D77" w:rsidR="00836B1D" w:rsidRPr="00AC33E5" w:rsidRDefault="002E7EB0" w:rsidP="00AC33E5">
            <w:pPr>
              <w:spacing w:line="276" w:lineRule="auto"/>
              <w:ind w:firstLine="0"/>
              <w:rPr>
                <w:rFonts w:ascii="Times New Roman" w:hAnsi="Times New Roman"/>
                <w:sz w:val="24"/>
                <w:szCs w:val="24"/>
                <w:lang w:val="ro-MD"/>
              </w:rPr>
            </w:pPr>
            <w:r w:rsidRPr="00AC33E5">
              <w:rPr>
                <w:rFonts w:ascii="Times New Roman" w:hAnsi="Times New Roman"/>
                <w:bCs/>
                <w:sz w:val="24"/>
                <w:szCs w:val="24"/>
                <w:lang w:val="ro-MD"/>
              </w:rPr>
              <w:t>1.4.3</w:t>
            </w:r>
            <w:r w:rsidR="00512F04" w:rsidRPr="00AC33E5">
              <w:rPr>
                <w:rFonts w:ascii="Times New Roman" w:hAnsi="Times New Roman"/>
                <w:bCs/>
                <w:sz w:val="24"/>
                <w:szCs w:val="24"/>
                <w:lang w:val="ro-MD"/>
              </w:rPr>
              <w:t>4</w:t>
            </w:r>
            <w:r w:rsidRPr="00AC33E5">
              <w:rPr>
                <w:rFonts w:ascii="Times New Roman" w:hAnsi="Times New Roman"/>
                <w:bCs/>
                <w:sz w:val="24"/>
                <w:szCs w:val="24"/>
                <w:lang w:val="ro-MD"/>
              </w:rPr>
              <w:t>.</w:t>
            </w:r>
            <w:r w:rsidR="00836B1D" w:rsidRPr="00AC33E5">
              <w:rPr>
                <w:rFonts w:ascii="Times New Roman" w:hAnsi="Times New Roman"/>
                <w:bCs/>
                <w:sz w:val="24"/>
                <w:szCs w:val="24"/>
                <w:lang w:val="ro-MD"/>
              </w:rPr>
              <w:t xml:space="preserve"> după punctul 99, se completează cu </w:t>
            </w:r>
            <w:r w:rsidRPr="00AC33E5">
              <w:rPr>
                <w:rFonts w:ascii="Times New Roman" w:hAnsi="Times New Roman"/>
                <w:bCs/>
                <w:sz w:val="24"/>
                <w:szCs w:val="24"/>
                <w:lang w:val="ro-MD"/>
              </w:rPr>
              <w:t>punctele 99</w:t>
            </w:r>
            <w:r w:rsidRPr="00AC33E5">
              <w:rPr>
                <w:rFonts w:ascii="Times New Roman" w:hAnsi="Times New Roman"/>
                <w:bCs/>
                <w:sz w:val="24"/>
                <w:szCs w:val="24"/>
                <w:vertAlign w:val="superscript"/>
                <w:lang w:val="ro-MD"/>
              </w:rPr>
              <w:t>1</w:t>
            </w:r>
            <w:r w:rsidRPr="00AC33E5">
              <w:rPr>
                <w:rFonts w:ascii="Times New Roman" w:hAnsi="Times New Roman"/>
                <w:bCs/>
                <w:sz w:val="24"/>
                <w:szCs w:val="24"/>
                <w:lang w:val="ro-MD"/>
              </w:rPr>
              <w:t xml:space="preserve"> și 99</w:t>
            </w:r>
            <w:r w:rsidRPr="00AC33E5">
              <w:rPr>
                <w:rFonts w:ascii="Times New Roman" w:hAnsi="Times New Roman"/>
                <w:bCs/>
                <w:sz w:val="24"/>
                <w:szCs w:val="24"/>
                <w:vertAlign w:val="superscript"/>
                <w:lang w:val="ro-MD"/>
              </w:rPr>
              <w:t>2</w:t>
            </w:r>
            <w:r w:rsidRPr="00AC33E5">
              <w:rPr>
                <w:rFonts w:ascii="Times New Roman" w:hAnsi="Times New Roman"/>
                <w:bCs/>
                <w:sz w:val="24"/>
                <w:szCs w:val="24"/>
                <w:lang w:val="ro-MD"/>
              </w:rPr>
              <w:t xml:space="preserve"> </w:t>
            </w:r>
            <w:r w:rsidR="00836B1D" w:rsidRPr="00AC33E5">
              <w:rPr>
                <w:rFonts w:ascii="Times New Roman" w:hAnsi="Times New Roman"/>
                <w:bCs/>
                <w:sz w:val="24"/>
                <w:szCs w:val="24"/>
                <w:lang w:val="ro-MD"/>
              </w:rPr>
              <w:t xml:space="preserve"> cu următorul cuprins:</w:t>
            </w:r>
          </w:p>
          <w:p w14:paraId="0844C9FE" w14:textId="77777777" w:rsidR="00836B1D" w:rsidRPr="00AC33E5" w:rsidRDefault="00836B1D" w:rsidP="00AC33E5">
            <w:pPr>
              <w:spacing w:line="276" w:lineRule="auto"/>
              <w:ind w:firstLine="220"/>
              <w:jc w:val="center"/>
              <w:rPr>
                <w:rFonts w:ascii="Times New Roman" w:hAnsi="Times New Roman"/>
                <w:sz w:val="24"/>
                <w:szCs w:val="24"/>
                <w:lang w:val="ro-MD"/>
              </w:rPr>
            </w:pPr>
            <w:r w:rsidRPr="00AC33E5">
              <w:rPr>
                <w:rFonts w:ascii="Times New Roman" w:hAnsi="Times New Roman"/>
                <w:b/>
                <w:bCs/>
                <w:sz w:val="24"/>
                <w:szCs w:val="24"/>
                <w:lang w:val="ro-MD"/>
              </w:rPr>
              <w:t>”Secţiunea 1</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-a</w:t>
            </w:r>
          </w:p>
          <w:p w14:paraId="5205BBB6" w14:textId="77777777" w:rsidR="00836B1D" w:rsidRPr="00AC33E5" w:rsidRDefault="00836B1D" w:rsidP="00AC33E5">
            <w:pPr>
              <w:spacing w:line="276" w:lineRule="auto"/>
              <w:ind w:firstLine="220"/>
              <w:jc w:val="center"/>
              <w:rPr>
                <w:rFonts w:ascii="Times New Roman" w:hAnsi="Times New Roman"/>
                <w:b/>
                <w:bCs/>
                <w:sz w:val="24"/>
                <w:szCs w:val="24"/>
                <w:lang w:val="ro-MD"/>
              </w:rPr>
            </w:pPr>
            <w:r w:rsidRPr="00AC33E5">
              <w:rPr>
                <w:rFonts w:ascii="Times New Roman" w:hAnsi="Times New Roman"/>
                <w:b/>
                <w:bCs/>
                <w:sz w:val="24"/>
                <w:szCs w:val="24"/>
                <w:lang w:val="ro-MD"/>
              </w:rPr>
              <w:t>Procedura de salvgardare a Uniunii</w:t>
            </w:r>
          </w:p>
          <w:p w14:paraId="40FF15ED"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160CC2F4" w14:textId="1882FBD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Operatorii economici relevanţi cooperează cu Inspectoratul Național  pentru Supraveghere Tehnică în acest scop, dacă este necesar.</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B52A8A4" w14:textId="2A1842BE" w:rsidR="00836B1D" w:rsidRPr="00AC33E5" w:rsidRDefault="00836B1D" w:rsidP="00AC33E5">
            <w:pPr>
              <w:spacing w:line="276" w:lineRule="auto"/>
              <w:rPr>
                <w:rFonts w:ascii="Times New Roman" w:hAnsi="Times New Roman"/>
                <w:sz w:val="24"/>
                <w:szCs w:val="24"/>
                <w:lang w:val="ro-MD"/>
              </w:rPr>
            </w:pPr>
            <w:r w:rsidRPr="00AC33E5">
              <w:rPr>
                <w:rFonts w:ascii="Times New Roman" w:hAnsi="Times New Roman"/>
                <w:b/>
                <w:bCs/>
                <w:sz w:val="24"/>
                <w:szCs w:val="24"/>
                <w:lang w:val="ro-MD"/>
              </w:rPr>
              <w:t>Secţiunea 1</w:t>
            </w:r>
            <w:r w:rsidRPr="00AC33E5">
              <w:rPr>
                <w:rFonts w:ascii="Times New Roman" w:hAnsi="Times New Roman"/>
                <w:b/>
                <w:bCs/>
                <w:sz w:val="24"/>
                <w:szCs w:val="24"/>
                <w:vertAlign w:val="superscript"/>
                <w:lang w:val="ro-MD"/>
              </w:rPr>
              <w:t>1</w:t>
            </w:r>
            <w:r w:rsidRPr="00AC33E5">
              <w:rPr>
                <w:rFonts w:ascii="Times New Roman" w:hAnsi="Times New Roman"/>
                <w:b/>
                <w:bCs/>
                <w:sz w:val="24"/>
                <w:szCs w:val="24"/>
                <w:lang w:val="ro-MD"/>
              </w:rPr>
              <w:t>-a</w:t>
            </w:r>
          </w:p>
          <w:p w14:paraId="7D1C484F" w14:textId="77777777" w:rsidR="00836B1D" w:rsidRPr="00AC33E5" w:rsidRDefault="00836B1D" w:rsidP="00AC33E5">
            <w:pPr>
              <w:spacing w:line="276" w:lineRule="auto"/>
              <w:rPr>
                <w:rFonts w:ascii="Times New Roman" w:hAnsi="Times New Roman"/>
                <w:b/>
                <w:bCs/>
                <w:sz w:val="24"/>
                <w:szCs w:val="24"/>
                <w:lang w:val="ro-MD"/>
              </w:rPr>
            </w:pPr>
            <w:r w:rsidRPr="00AC33E5">
              <w:rPr>
                <w:rFonts w:ascii="Times New Roman" w:hAnsi="Times New Roman"/>
                <w:b/>
                <w:bCs/>
                <w:sz w:val="24"/>
                <w:szCs w:val="24"/>
                <w:lang w:val="ro-MD"/>
              </w:rPr>
              <w:t>Procedura de salvgardare a Uniunii</w:t>
            </w:r>
          </w:p>
          <w:p w14:paraId="410EE966" w14:textId="77777777"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99</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029FCA42" w14:textId="1330B419"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Operatorii economici relevanţi cooperează cu Inspectoratul Național pentru Supraveghere Tehnică în acest scop, dacă este necesar.”;</w:t>
            </w:r>
          </w:p>
        </w:tc>
      </w:tr>
      <w:tr w:rsidR="00836B1D" w:rsidRPr="00AC33E5" w14:paraId="04358399"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D7FC0" w14:textId="77777777" w:rsidR="00836B1D" w:rsidRPr="00AC33E5" w:rsidRDefault="00836B1D" w:rsidP="00AC33E5">
            <w:pPr>
              <w:spacing w:line="276" w:lineRule="auto"/>
              <w:ind w:left="25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A4ACE20" w14:textId="5BE9FE65"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99</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În cazul în care măsura națională este considerată justificată, </w:t>
            </w:r>
            <w:r w:rsidRPr="00AC33E5">
              <w:rPr>
                <w:rFonts w:ascii="Times New Roman" w:hAnsi="Times New Roman"/>
                <w:sz w:val="24"/>
                <w:szCs w:val="24"/>
                <w:lang w:val="ro-MD"/>
              </w:rPr>
              <w:lastRenderedPageBreak/>
              <w:t>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p>
        </w:tc>
        <w:tc>
          <w:tcPr>
            <w:tcW w:w="49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D2989D" w14:textId="0BC375CF"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99</w:t>
            </w:r>
            <w:r w:rsidRPr="00AC33E5">
              <w:rPr>
                <w:rFonts w:ascii="Times New Roman" w:hAnsi="Times New Roman"/>
                <w:sz w:val="24"/>
                <w:szCs w:val="24"/>
                <w:vertAlign w:val="superscript"/>
                <w:lang w:val="ro-MD"/>
              </w:rPr>
              <w:t>2</w:t>
            </w:r>
            <w:r w:rsidRPr="00AC33E5">
              <w:rPr>
                <w:rFonts w:ascii="Times New Roman" w:hAnsi="Times New Roman"/>
                <w:sz w:val="24"/>
                <w:szCs w:val="24"/>
                <w:lang w:val="ro-MD"/>
              </w:rPr>
              <w:t xml:space="preserve">. În cazul în care măsura națională este considerată justificată, Inspectoratul Național </w:t>
            </w:r>
            <w:r w:rsidRPr="00AC33E5">
              <w:rPr>
                <w:rFonts w:ascii="Times New Roman" w:hAnsi="Times New Roman"/>
                <w:sz w:val="24"/>
                <w:szCs w:val="24"/>
                <w:lang w:val="ro-MD"/>
              </w:rPr>
              <w:lastRenderedPageBreak/>
              <w:t>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p>
        </w:tc>
      </w:tr>
      <w:bookmarkEnd w:id="24"/>
      <w:tr w:rsidR="00836B1D" w:rsidRPr="00AC33E5" w14:paraId="4F2494F8"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397BF" w14:textId="67C31E9B"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autoritatea de supraveghere a pieţei solicită agentului economic relevant să ia toate măsurile corespunzătoare pentru a se asigura că echipamentele sub presiune transportabile în cauză, în momentul introducerii pe piaţă, nu mai prezintă respectivul risc sau pentru a-l retrage ori rechema într-un termen rezonabil, proporţional cu natura riscului.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643D0AD" w14:textId="4FBDC307" w:rsidR="00836B1D" w:rsidRPr="00AC33E5" w:rsidRDefault="00C35202" w:rsidP="00AC33E5">
            <w:pPr>
              <w:spacing w:line="276" w:lineRule="auto"/>
              <w:ind w:firstLine="0"/>
              <w:rPr>
                <w:rFonts w:ascii="Times New Roman" w:hAnsi="Times New Roman"/>
                <w:sz w:val="24"/>
                <w:szCs w:val="24"/>
                <w:lang w:val="ro-MD"/>
              </w:rPr>
            </w:pPr>
            <w:bookmarkStart w:id="25" w:name="_Hlk193176908"/>
            <w:r w:rsidRPr="00AC33E5">
              <w:rPr>
                <w:rFonts w:ascii="Times New Roman" w:hAnsi="Times New Roman"/>
                <w:sz w:val="24"/>
                <w:szCs w:val="24"/>
                <w:lang w:val="ro-MD"/>
              </w:rPr>
              <w:t>1.4.3</w:t>
            </w:r>
            <w:r w:rsidR="00512F04" w:rsidRPr="00AC33E5">
              <w:rPr>
                <w:rFonts w:ascii="Times New Roman" w:hAnsi="Times New Roman"/>
                <w:sz w:val="24"/>
                <w:szCs w:val="24"/>
                <w:lang w:val="ro-MD"/>
              </w:rPr>
              <w:t>5</w:t>
            </w:r>
            <w:r w:rsidR="002E7EB0"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la punctul 100, după cuvintele ”natura riscului” se completează cu cuvântul ”stabilit”;</w:t>
            </w:r>
          </w:p>
          <w:bookmarkEnd w:id="25"/>
          <w:p w14:paraId="3F058434" w14:textId="45C233A3" w:rsidR="00836B1D" w:rsidRPr="00AC33E5" w:rsidRDefault="00836B1D" w:rsidP="00AC33E5">
            <w:pPr>
              <w:spacing w:line="276" w:lineRule="auto"/>
              <w:ind w:left="31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3CB3C015" w14:textId="77777777" w:rsidR="00836B1D" w:rsidRPr="00AC33E5" w:rsidRDefault="00836B1D" w:rsidP="00AC33E5">
            <w:pPr>
              <w:spacing w:line="276" w:lineRule="auto"/>
              <w:ind w:left="372" w:hanging="90"/>
              <w:jc w:val="center"/>
              <w:rPr>
                <w:rFonts w:ascii="Times New Roman" w:hAnsi="Times New Roman"/>
                <w:sz w:val="24"/>
                <w:szCs w:val="24"/>
                <w:lang w:val="ro-MD"/>
              </w:rPr>
            </w:pPr>
            <w:r w:rsidRPr="00AC33E5">
              <w:rPr>
                <w:rFonts w:ascii="Times New Roman" w:hAnsi="Times New Roman"/>
                <w:b/>
                <w:bCs/>
                <w:sz w:val="24"/>
                <w:szCs w:val="24"/>
                <w:lang w:val="ro-MD"/>
              </w:rPr>
              <w:t>Secţiunea a 2-a</w:t>
            </w:r>
          </w:p>
          <w:p w14:paraId="56DCB3B4" w14:textId="77777777" w:rsidR="00836B1D" w:rsidRPr="00AC33E5" w:rsidRDefault="00836B1D" w:rsidP="00AC33E5">
            <w:pPr>
              <w:spacing w:line="276" w:lineRule="auto"/>
              <w:ind w:left="372" w:hanging="90"/>
              <w:jc w:val="center"/>
              <w:rPr>
                <w:rFonts w:ascii="Times New Roman" w:hAnsi="Times New Roman"/>
                <w:sz w:val="24"/>
                <w:szCs w:val="24"/>
                <w:lang w:val="ro-MD"/>
              </w:rPr>
            </w:pPr>
            <w:r w:rsidRPr="00AC33E5">
              <w:rPr>
                <w:rFonts w:ascii="Times New Roman" w:hAnsi="Times New Roman"/>
                <w:b/>
                <w:bCs/>
                <w:sz w:val="24"/>
                <w:szCs w:val="24"/>
                <w:lang w:val="ro-MD"/>
              </w:rPr>
              <w:t>Echipamentele sub presiune transportabile conforme care prezintă un risc pentru sănătate</w:t>
            </w:r>
          </w:p>
          <w:p w14:paraId="6BE6E491" w14:textId="77777777" w:rsidR="00836B1D" w:rsidRPr="00AC33E5" w:rsidRDefault="00836B1D" w:rsidP="00AC33E5">
            <w:pPr>
              <w:spacing w:line="276" w:lineRule="auto"/>
              <w:ind w:left="372" w:hanging="90"/>
              <w:jc w:val="center"/>
              <w:rPr>
                <w:rFonts w:ascii="Times New Roman" w:hAnsi="Times New Roman"/>
                <w:sz w:val="24"/>
                <w:szCs w:val="24"/>
                <w:lang w:val="ro-MD"/>
              </w:rPr>
            </w:pPr>
            <w:r w:rsidRPr="00AC33E5">
              <w:rPr>
                <w:rFonts w:ascii="Times New Roman" w:hAnsi="Times New Roman"/>
                <w:b/>
                <w:bCs/>
                <w:sz w:val="24"/>
                <w:szCs w:val="24"/>
                <w:lang w:val="ro-MD"/>
              </w:rPr>
              <w:t>și siguranță</w:t>
            </w:r>
          </w:p>
          <w:p w14:paraId="22717B6A" w14:textId="3DAC8374"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 xml:space="preserve">100. În cazul în care, în urma efectuării unei evaluări în conformitate cu pct. 93-95 din prezenta Reglementare tehnică, se constată că echipamentele sub presiune transportabile, deşi sînt în conformitate cu prezenta Reglementare tehnică, prezintă un risc pentru sănătatea și siguranța persoanelor sau pentru alte aspecte ale protecției interesului public, Inspectoratul Național pentru Supravegherea Tehnică solicită operatorului economic relevant să ia toate măsurile corespunzătoare pentru a se asigura că echipamentele sub presiune transportabile în cauză, în momentul introducerii pe piaţă, nu mai </w:t>
            </w:r>
            <w:r w:rsidRPr="00AC33E5">
              <w:rPr>
                <w:rFonts w:ascii="Times New Roman" w:hAnsi="Times New Roman"/>
                <w:sz w:val="24"/>
                <w:szCs w:val="24"/>
                <w:lang w:val="ro-MD"/>
              </w:rPr>
              <w:lastRenderedPageBreak/>
              <w:t>prezintă respectivul risc sau pentru a-l retrage ori rechema într-un termen rezonabil, proporţional cu natura riscului stabilit.</w:t>
            </w:r>
          </w:p>
        </w:tc>
      </w:tr>
      <w:tr w:rsidR="00836B1D" w:rsidRPr="00AC33E5" w14:paraId="0A0925C8"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9A901" w14:textId="77777777" w:rsidR="00836B1D" w:rsidRPr="00AC33E5" w:rsidRDefault="00836B1D" w:rsidP="00AC33E5">
            <w:pPr>
              <w:pStyle w:val="ListParagraph"/>
              <w:spacing w:line="276" w:lineRule="auto"/>
              <w:ind w:left="252" w:right="72"/>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5CE662B" w14:textId="3354F259" w:rsidR="00836B1D" w:rsidRPr="00AC33E5" w:rsidRDefault="00C35202" w:rsidP="00AC33E5">
            <w:pPr>
              <w:spacing w:line="276" w:lineRule="auto"/>
              <w:ind w:firstLine="0"/>
              <w:rPr>
                <w:rFonts w:ascii="Times New Roman" w:hAnsi="Times New Roman"/>
                <w:sz w:val="24"/>
                <w:szCs w:val="24"/>
                <w:lang w:val="ro-MD"/>
              </w:rPr>
            </w:pPr>
            <w:bookmarkStart w:id="26" w:name="_Hlk193176881"/>
            <w:r w:rsidRPr="00AC33E5">
              <w:rPr>
                <w:rFonts w:ascii="Times New Roman" w:hAnsi="Times New Roman"/>
                <w:sz w:val="24"/>
                <w:szCs w:val="24"/>
                <w:lang w:val="ro-MD"/>
              </w:rPr>
              <w:t>1.4.3</w:t>
            </w:r>
            <w:r w:rsidR="00512F04" w:rsidRPr="00AC33E5">
              <w:rPr>
                <w:rFonts w:ascii="Times New Roman" w:hAnsi="Times New Roman"/>
                <w:sz w:val="24"/>
                <w:szCs w:val="24"/>
                <w:lang w:val="ro-MD"/>
              </w:rPr>
              <w:t>6</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după punctul 100, se completează cu punctul 100</w:t>
            </w:r>
            <w:r w:rsidR="00836B1D" w:rsidRPr="00AC33E5">
              <w:rPr>
                <w:rFonts w:ascii="Times New Roman" w:hAnsi="Times New Roman"/>
                <w:sz w:val="24"/>
                <w:szCs w:val="24"/>
                <w:vertAlign w:val="superscript"/>
                <w:lang w:val="ro-MD"/>
              </w:rPr>
              <w:t>1</w:t>
            </w:r>
            <w:r w:rsidR="00836B1D" w:rsidRPr="00AC33E5">
              <w:rPr>
                <w:rFonts w:ascii="Times New Roman" w:hAnsi="Times New Roman"/>
                <w:sz w:val="24"/>
                <w:szCs w:val="24"/>
                <w:lang w:val="ro-MD"/>
              </w:rPr>
              <w:t xml:space="preserve"> cu următorul cuprins:</w:t>
            </w:r>
          </w:p>
          <w:p w14:paraId="58FF1F17" w14:textId="08CCEE73" w:rsidR="00836B1D" w:rsidRPr="00AC33E5" w:rsidRDefault="00836B1D" w:rsidP="00AC33E5">
            <w:pPr>
              <w:spacing w:line="276" w:lineRule="auto"/>
              <w:ind w:left="312" w:firstLine="0"/>
              <w:rPr>
                <w:rFonts w:ascii="Times New Roman" w:hAnsi="Times New Roman"/>
                <w:sz w:val="24"/>
                <w:szCs w:val="24"/>
                <w:lang w:val="ro-MD"/>
              </w:rPr>
            </w:pPr>
            <w:r w:rsidRPr="00AC33E5">
              <w:rPr>
                <w:rFonts w:ascii="Times New Roman" w:hAnsi="Times New Roman"/>
                <w:sz w:val="24"/>
                <w:szCs w:val="24"/>
                <w:lang w:val="ro-MD"/>
              </w:rPr>
              <w:t>”100</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00C35202" w:rsidRPr="00AC33E5">
              <w:rPr>
                <w:rFonts w:ascii="Times New Roman" w:hAnsi="Times New Roman"/>
                <w:sz w:val="24"/>
                <w:szCs w:val="24"/>
                <w:lang w:val="ro-MD"/>
              </w:rPr>
              <w:t xml:space="preserve"> </w:t>
            </w:r>
            <w:r w:rsidRPr="00AC33E5">
              <w:rPr>
                <w:rFonts w:ascii="Times New Roman" w:hAnsi="Times New Roman"/>
                <w:sz w:val="24"/>
                <w:szCs w:val="24"/>
                <w:lang w:val="ro-MD"/>
              </w:rPr>
              <w:t>Operatorul economic se asigură că ia măsuri corective în privința tuturor echipamentelor sub presiune transportabile vizate pe care acesta le-a pus la dispoziție pe piață sau pe care le utilizează.”;</w:t>
            </w:r>
            <w:bookmarkEnd w:id="26"/>
          </w:p>
        </w:tc>
        <w:tc>
          <w:tcPr>
            <w:tcW w:w="4905" w:type="dxa"/>
            <w:tcBorders>
              <w:top w:val="single" w:sz="8" w:space="0" w:color="000000"/>
              <w:left w:val="none" w:sz="4" w:space="0" w:color="000000"/>
              <w:bottom w:val="single" w:sz="8" w:space="0" w:color="000000"/>
              <w:right w:val="single" w:sz="8" w:space="0" w:color="000000"/>
            </w:tcBorders>
          </w:tcPr>
          <w:p w14:paraId="75654A86" w14:textId="6D20A916"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100</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w:t>
            </w:r>
            <w:r w:rsidR="00DE1A5D" w:rsidRPr="00AC33E5">
              <w:rPr>
                <w:rFonts w:ascii="Times New Roman" w:hAnsi="Times New Roman"/>
                <w:sz w:val="24"/>
                <w:szCs w:val="24"/>
                <w:lang w:val="ro-MD"/>
              </w:rPr>
              <w:t xml:space="preserve"> </w:t>
            </w:r>
            <w:r w:rsidRPr="00AC33E5">
              <w:rPr>
                <w:rFonts w:ascii="Times New Roman" w:hAnsi="Times New Roman"/>
                <w:sz w:val="24"/>
                <w:szCs w:val="24"/>
                <w:lang w:val="ro-MD"/>
              </w:rPr>
              <w:t>Operatorul economic se asigură că se iau măsuri corective în privința tuturor echipamentelor sub presiune transportabile vizate pe care acesta le-a pus la dispoziție pe piață sau pe care le utilizează.</w:t>
            </w:r>
          </w:p>
        </w:tc>
      </w:tr>
      <w:tr w:rsidR="00836B1D" w:rsidRPr="00AC33E5" w14:paraId="651C5B4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4BFA1" w14:textId="7B41F36E" w:rsidR="00836B1D" w:rsidRPr="00AC33E5" w:rsidRDefault="00836B1D"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101. Ministerul Infrastructurii și Dezvoltării Regionale informează Comisia Europeană. Informaţiile includ toate detaliile disponibile, în special datele necesare pentru a identifica echipamentele sub presiune transportabile, originea şi lanţul de furnizare aferent echipamentelor sub presiune transportabile, natura riscului implicat, natura şi durata măsurilor naţionale luate.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B1AE27" w14:textId="69BC7406" w:rsidR="00836B1D" w:rsidRPr="00AC33E5" w:rsidRDefault="00C35202" w:rsidP="00AC33E5">
            <w:pPr>
              <w:spacing w:line="276" w:lineRule="auto"/>
              <w:ind w:firstLine="0"/>
              <w:rPr>
                <w:rFonts w:ascii="Times New Roman" w:hAnsi="Times New Roman"/>
                <w:sz w:val="24"/>
                <w:szCs w:val="24"/>
                <w:lang w:val="ro-MD"/>
              </w:rPr>
            </w:pPr>
            <w:bookmarkStart w:id="27" w:name="_Hlk193176859"/>
            <w:r w:rsidRPr="00AC33E5">
              <w:rPr>
                <w:rFonts w:ascii="Times New Roman" w:hAnsi="Times New Roman"/>
                <w:sz w:val="24"/>
                <w:szCs w:val="24"/>
                <w:lang w:val="ro-MD"/>
              </w:rPr>
              <w:t>1.4.3</w:t>
            </w:r>
            <w:r w:rsidR="00512F04" w:rsidRPr="00AC33E5">
              <w:rPr>
                <w:rFonts w:ascii="Times New Roman" w:hAnsi="Times New Roman"/>
                <w:sz w:val="24"/>
                <w:szCs w:val="24"/>
                <w:lang w:val="ro-MD"/>
              </w:rPr>
              <w:t>7</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la punctul 101, după cuvintele ”Comisia Europeană” se completează cu cuvintele ”și celelalte state membre”; </w:t>
            </w:r>
          </w:p>
          <w:bookmarkEnd w:id="27"/>
          <w:p w14:paraId="00F2519A" w14:textId="5DDC64F7" w:rsidR="00836B1D" w:rsidRPr="00AC33E5" w:rsidRDefault="00836B1D" w:rsidP="00AC33E5">
            <w:pPr>
              <w:spacing w:line="276" w:lineRule="auto"/>
              <w:ind w:left="31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67585F0C" w14:textId="6B1A3F0E"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101. Ministerul Infrastructurii și Dezvoltării Regionale informează Comisia Europeană și celelalte state membre. Informaţiile includ toate detaliile disponibile, în special datele necesare pentru a identifica echipamentele sub presiune transportabile, originea şi lanţul de furnizare aferent echipamentelor sub presiune transportabile, natura riscului implicat, natura şi durata măsurilor naţionale luate.</w:t>
            </w:r>
          </w:p>
        </w:tc>
      </w:tr>
      <w:tr w:rsidR="00836B1D" w:rsidRPr="00AC33E5" w14:paraId="1B269915"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9B7352" w14:textId="77777777" w:rsidR="00836B1D" w:rsidRPr="00AC33E5" w:rsidRDefault="00836B1D" w:rsidP="00AC33E5">
            <w:pPr>
              <w:spacing w:line="276" w:lineRule="auto"/>
              <w:ind w:left="252"/>
              <w:rPr>
                <w:rFonts w:ascii="Times New Roman" w:hAnsi="Times New Roman"/>
                <w:sz w:val="24"/>
                <w:szCs w:val="24"/>
                <w:lang w:val="ro-MD"/>
              </w:rPr>
            </w:pPr>
            <w:bookmarkStart w:id="28" w:name="_Hlk193176188"/>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73A93BC" w14:textId="2FE49A6D" w:rsidR="00836B1D" w:rsidRPr="00AC33E5" w:rsidRDefault="00C35202" w:rsidP="00AC33E5">
            <w:pPr>
              <w:spacing w:line="276" w:lineRule="auto"/>
              <w:ind w:right="72" w:firstLine="0"/>
              <w:rPr>
                <w:rFonts w:ascii="Times New Roman" w:hAnsi="Times New Roman"/>
                <w:sz w:val="24"/>
                <w:szCs w:val="24"/>
                <w:lang w:val="ro-MD"/>
              </w:rPr>
            </w:pPr>
            <w:r w:rsidRPr="00AC33E5">
              <w:rPr>
                <w:rFonts w:ascii="Times New Roman" w:hAnsi="Times New Roman"/>
                <w:sz w:val="24"/>
                <w:szCs w:val="24"/>
                <w:lang w:val="ro-MD"/>
              </w:rPr>
              <w:t>1.4.3</w:t>
            </w:r>
            <w:r w:rsidR="00512F04" w:rsidRPr="00AC33E5">
              <w:rPr>
                <w:rFonts w:ascii="Times New Roman" w:hAnsi="Times New Roman"/>
                <w:sz w:val="24"/>
                <w:szCs w:val="24"/>
                <w:lang w:val="ro-MD"/>
              </w:rPr>
              <w:t>8</w:t>
            </w:r>
            <w:r w:rsidRPr="00AC33E5">
              <w:rPr>
                <w:rFonts w:ascii="Times New Roman" w:hAnsi="Times New Roman"/>
                <w:sz w:val="24"/>
                <w:szCs w:val="24"/>
                <w:lang w:val="ro-MD"/>
              </w:rPr>
              <w:t>.</w:t>
            </w:r>
            <w:r w:rsidR="00836B1D" w:rsidRPr="00AC33E5">
              <w:rPr>
                <w:rFonts w:ascii="Times New Roman" w:hAnsi="Times New Roman"/>
                <w:sz w:val="24"/>
                <w:szCs w:val="24"/>
                <w:lang w:val="ro-MD"/>
              </w:rPr>
              <w:t xml:space="preserve"> după punctul 102, se completează cu punctul 102</w:t>
            </w:r>
            <w:r w:rsidR="00836B1D" w:rsidRPr="00AC33E5">
              <w:rPr>
                <w:rFonts w:ascii="Times New Roman" w:hAnsi="Times New Roman"/>
                <w:sz w:val="24"/>
                <w:szCs w:val="24"/>
                <w:vertAlign w:val="superscript"/>
                <w:lang w:val="ro-MD"/>
              </w:rPr>
              <w:t>1</w:t>
            </w:r>
            <w:r w:rsidR="00836B1D" w:rsidRPr="00AC33E5">
              <w:rPr>
                <w:rFonts w:ascii="Times New Roman" w:hAnsi="Times New Roman"/>
                <w:sz w:val="24"/>
                <w:szCs w:val="24"/>
                <w:lang w:val="ro-MD"/>
              </w:rPr>
              <w:t xml:space="preserve"> cu următorul cuprins:</w:t>
            </w:r>
          </w:p>
          <w:p w14:paraId="30577E47" w14:textId="23F4D9B9" w:rsidR="00836B1D" w:rsidRPr="00AC33E5" w:rsidRDefault="00836B1D" w:rsidP="00AC33E5">
            <w:pPr>
              <w:spacing w:line="276" w:lineRule="auto"/>
              <w:ind w:left="310" w:firstLine="0"/>
              <w:rPr>
                <w:rFonts w:ascii="Times New Roman" w:hAnsi="Times New Roman"/>
                <w:sz w:val="24"/>
                <w:szCs w:val="24"/>
                <w:lang w:val="ro-MD"/>
              </w:rPr>
            </w:pPr>
            <w:r w:rsidRPr="00AC33E5">
              <w:rPr>
                <w:rFonts w:ascii="Times New Roman" w:hAnsi="Times New Roman"/>
                <w:sz w:val="24"/>
                <w:szCs w:val="24"/>
                <w:lang w:val="ro-MD"/>
              </w:rPr>
              <w:t>”102</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Se asigură că </w:t>
            </w:r>
            <w:r w:rsidRPr="00AC33E5">
              <w:rPr>
                <w:rFonts w:ascii="Times New Roman" w:hAnsi="Times New Roman"/>
                <w:iCs/>
                <w:sz w:val="24"/>
                <w:szCs w:val="24"/>
                <w:lang w:val="ro-MD"/>
              </w:rPr>
              <w:t xml:space="preserve">prezenta Reglementare tehnică </w:t>
            </w:r>
            <w:r w:rsidRPr="00AC33E5">
              <w:rPr>
                <w:rFonts w:ascii="Times New Roman" w:hAnsi="Times New Roman"/>
                <w:sz w:val="24"/>
                <w:szCs w:val="24"/>
                <w:lang w:val="ro-MD"/>
              </w:rPr>
              <w:t xml:space="preserve">se aplică recipientelor sub presiune, ventilelor acestora și altor accesorii utilizate pentru transportarea echipamentelor cu numerele ONU </w:t>
            </w:r>
            <w:r w:rsidRPr="00AC33E5">
              <w:rPr>
                <w:rFonts w:ascii="Times New Roman" w:hAnsi="Times New Roman"/>
                <w:sz w:val="24"/>
                <w:szCs w:val="24"/>
                <w:lang w:val="ro-MD"/>
              </w:rPr>
              <w:lastRenderedPageBreak/>
              <w:t>1745, 1746 și 2495 începând cu data de intrare în vigoare. se aplică recipientelor sub presiune, ventilelor acestora și altor accesorii utilizate pentru transportarea echipamentelor cu numerele ONU 1745, 1746 și 2495 începând cu data de intrare în vigoare.”;</w:t>
            </w:r>
          </w:p>
        </w:tc>
        <w:tc>
          <w:tcPr>
            <w:tcW w:w="4905" w:type="dxa"/>
            <w:tcBorders>
              <w:top w:val="single" w:sz="8" w:space="0" w:color="000000"/>
              <w:left w:val="none" w:sz="4" w:space="0" w:color="000000"/>
              <w:bottom w:val="single" w:sz="8" w:space="0" w:color="000000"/>
              <w:right w:val="single" w:sz="8" w:space="0" w:color="000000"/>
            </w:tcBorders>
          </w:tcPr>
          <w:p w14:paraId="13A3CA90" w14:textId="5ADF9C9A" w:rsidR="00836B1D" w:rsidRPr="00AC33E5" w:rsidRDefault="00836B1D"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102</w:t>
            </w:r>
            <w:r w:rsidRPr="00AC33E5">
              <w:rPr>
                <w:rFonts w:ascii="Times New Roman" w:hAnsi="Times New Roman"/>
                <w:sz w:val="24"/>
                <w:szCs w:val="24"/>
                <w:vertAlign w:val="superscript"/>
                <w:lang w:val="ro-MD"/>
              </w:rPr>
              <w:t>1</w:t>
            </w:r>
            <w:r w:rsidRPr="00AC33E5">
              <w:rPr>
                <w:rFonts w:ascii="Times New Roman" w:hAnsi="Times New Roman"/>
                <w:sz w:val="24"/>
                <w:szCs w:val="24"/>
                <w:lang w:val="ro-MD"/>
              </w:rPr>
              <w:t xml:space="preserve">. Se asigură că </w:t>
            </w:r>
            <w:r w:rsidRPr="00AC33E5">
              <w:rPr>
                <w:rFonts w:ascii="Times New Roman" w:hAnsi="Times New Roman"/>
                <w:iCs/>
                <w:sz w:val="24"/>
                <w:szCs w:val="24"/>
                <w:lang w:val="ro-MD"/>
              </w:rPr>
              <w:t xml:space="preserve">prezenta Reglementare tehnică </w:t>
            </w:r>
            <w:r w:rsidRPr="00AC33E5">
              <w:rPr>
                <w:rFonts w:ascii="Times New Roman" w:hAnsi="Times New Roman"/>
                <w:sz w:val="24"/>
                <w:szCs w:val="24"/>
                <w:lang w:val="ro-MD"/>
              </w:rPr>
              <w:t xml:space="preserve">se aplică recipientelor sub presiune, ventilelor acestora și altor accesorii utilizate pentru transportarea echipamentelor cu numerele ONU 1745, 1746 și 2495 începând cu data de intrare în vigoare.se aplică recipientelor sub presiune, ventilelor acestora și altor accesorii utilizate pentru transportarea echipamentelor cu </w:t>
            </w:r>
            <w:r w:rsidRPr="00AC33E5">
              <w:rPr>
                <w:rFonts w:ascii="Times New Roman" w:hAnsi="Times New Roman"/>
                <w:sz w:val="24"/>
                <w:szCs w:val="24"/>
                <w:lang w:val="ro-MD"/>
              </w:rPr>
              <w:lastRenderedPageBreak/>
              <w:t>numerele ONU 1745, 1746 și 2495 începând cu data de intrare în vigoare.</w:t>
            </w:r>
          </w:p>
        </w:tc>
      </w:tr>
      <w:bookmarkEnd w:id="28"/>
      <w:tr w:rsidR="00510D3E" w:rsidRPr="00AC33E5" w14:paraId="0A04CF35"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1CAB83" w14:textId="77777777" w:rsidR="00510D3E" w:rsidRPr="00AC33E5" w:rsidRDefault="00510D3E" w:rsidP="00AC33E5">
            <w:pPr>
              <w:spacing w:line="276" w:lineRule="auto"/>
              <w:ind w:left="330" w:firstLine="631"/>
              <w:jc w:val="right"/>
              <w:rPr>
                <w:rFonts w:ascii="Times New Roman" w:hAnsi="Times New Roman"/>
                <w:b/>
                <w:sz w:val="24"/>
                <w:szCs w:val="24"/>
                <w:lang w:val="ro-MD"/>
              </w:rPr>
            </w:pPr>
            <w:r w:rsidRPr="00AC33E5">
              <w:rPr>
                <w:rFonts w:ascii="Times New Roman" w:hAnsi="Times New Roman"/>
                <w:b/>
                <w:sz w:val="24"/>
                <w:szCs w:val="24"/>
                <w:lang w:val="ro-MD"/>
              </w:rPr>
              <w:lastRenderedPageBreak/>
              <w:t>Anexa nr. 2</w:t>
            </w:r>
          </w:p>
          <w:p w14:paraId="10EC8A66" w14:textId="508DA47C" w:rsidR="00510D3E" w:rsidRPr="00AC33E5" w:rsidRDefault="00510D3E" w:rsidP="00AC33E5">
            <w:pPr>
              <w:spacing w:line="276" w:lineRule="auto"/>
              <w:ind w:left="330" w:firstLine="631"/>
              <w:jc w:val="right"/>
              <w:rPr>
                <w:rFonts w:ascii="Times New Roman" w:hAnsi="Times New Roman"/>
                <w:b/>
                <w:sz w:val="24"/>
                <w:szCs w:val="24"/>
                <w:lang w:val="ro-MD"/>
              </w:rPr>
            </w:pPr>
            <w:r w:rsidRPr="00AC33E5">
              <w:rPr>
                <w:rFonts w:ascii="Times New Roman" w:hAnsi="Times New Roman"/>
                <w:b/>
                <w:sz w:val="24"/>
                <w:szCs w:val="24"/>
                <w:lang w:val="ro-MD"/>
              </w:rPr>
              <w:t>la Reglementarea tehnică privind echipamentele sub presiune transportabile</w:t>
            </w:r>
          </w:p>
          <w:p w14:paraId="5D861B4F" w14:textId="77777777" w:rsidR="00510D3E" w:rsidRPr="00AC33E5" w:rsidRDefault="00510D3E" w:rsidP="00AC33E5">
            <w:pPr>
              <w:spacing w:line="276" w:lineRule="auto"/>
              <w:ind w:left="330" w:firstLine="631"/>
              <w:jc w:val="center"/>
              <w:rPr>
                <w:rFonts w:ascii="Times New Roman" w:hAnsi="Times New Roman"/>
                <w:b/>
                <w:bCs/>
                <w:sz w:val="24"/>
                <w:szCs w:val="24"/>
                <w:lang w:val="ro-MD"/>
              </w:rPr>
            </w:pPr>
          </w:p>
          <w:p w14:paraId="7CD27EA3" w14:textId="77777777" w:rsidR="00510D3E" w:rsidRPr="00AC33E5" w:rsidRDefault="00510D3E" w:rsidP="00AC33E5">
            <w:pPr>
              <w:spacing w:line="276" w:lineRule="auto"/>
              <w:ind w:left="330" w:firstLine="631"/>
              <w:jc w:val="center"/>
              <w:rPr>
                <w:rFonts w:ascii="Times New Roman" w:hAnsi="Times New Roman"/>
                <w:b/>
                <w:bCs/>
                <w:sz w:val="24"/>
                <w:szCs w:val="24"/>
                <w:lang w:val="ro-MD"/>
              </w:rPr>
            </w:pPr>
            <w:r w:rsidRPr="00AC33E5">
              <w:rPr>
                <w:rFonts w:ascii="Times New Roman" w:hAnsi="Times New Roman"/>
                <w:b/>
                <w:bCs/>
                <w:sz w:val="24"/>
                <w:szCs w:val="24"/>
                <w:lang w:val="ro-MD"/>
              </w:rPr>
              <w:t>PROCEDURA DE REEVALUARE A CONFORMITĂȚII</w:t>
            </w:r>
          </w:p>
          <w:p w14:paraId="3251245C" w14:textId="77777777" w:rsidR="00510D3E" w:rsidRPr="00AC33E5" w:rsidRDefault="00510D3E" w:rsidP="00AC33E5">
            <w:pPr>
              <w:spacing w:line="276" w:lineRule="auto"/>
              <w:ind w:left="330" w:firstLine="631"/>
              <w:jc w:val="center"/>
              <w:rPr>
                <w:rFonts w:ascii="Times New Roman" w:hAnsi="Times New Roman"/>
                <w:sz w:val="24"/>
                <w:szCs w:val="24"/>
                <w:lang w:val="ro-MD"/>
              </w:rPr>
            </w:pPr>
          </w:p>
          <w:p w14:paraId="20588C4B" w14:textId="14F906C7" w:rsidR="00510D3E" w:rsidRPr="00AC33E5" w:rsidRDefault="00510D3E" w:rsidP="00AC33E5">
            <w:pPr>
              <w:spacing w:line="276" w:lineRule="auto"/>
              <w:ind w:left="330" w:firstLine="631"/>
              <w:rPr>
                <w:rFonts w:ascii="Times New Roman" w:hAnsi="Times New Roman"/>
                <w:sz w:val="24"/>
                <w:szCs w:val="24"/>
                <w:lang w:val="ro-MD"/>
              </w:rPr>
            </w:pPr>
            <w:r w:rsidRPr="00AC33E5">
              <w:rPr>
                <w:rFonts w:ascii="Times New Roman" w:hAnsi="Times New Roman"/>
                <w:sz w:val="24"/>
                <w:szCs w:val="24"/>
                <w:lang w:val="ro-MD"/>
              </w:rPr>
              <w:t xml:space="preserve">4. În cazul în care rezultatele evaluărilor prevăzute la pct. 3 din prezenta anexă sînt satisfăcătoare, echipamentele sub presiune transportabile fac obiectul inspecțiilor periodice menționate în anexele A și B la ADR. Dacă sînt îndeplinite cerințele inspecțiilor periodice în cauză, organismul notificat responsabil de inspecții aplică marcajul „pi” sau marcajul se aplică sub supravegherea sa în conformitate cu pct. 46-50 din Reglementarea tehnică. Marcajul „pi” este urmat de numărul de identificare al organismului notificat responsabil de inspecțiile periodice. Organismul notificat responsabil de inspecțiile periodice eliberează un certificat de  </w:t>
            </w:r>
            <w:r w:rsidRPr="00AC33E5">
              <w:rPr>
                <w:rFonts w:ascii="Times New Roman" w:hAnsi="Times New Roman"/>
                <w:sz w:val="24"/>
                <w:szCs w:val="24"/>
                <w:lang w:val="ro-MD"/>
              </w:rPr>
              <w:lastRenderedPageBreak/>
              <w:t>reevaluare în conformitate cu dispozițiile de la pct. 6 din prezenta anexă.</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5ABE9D4" w14:textId="77777777" w:rsidR="00510D3E" w:rsidRPr="00AC33E5" w:rsidRDefault="00510D3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lastRenderedPageBreak/>
              <w:t>1.4.39. la Anexa nr. 2, în punctele 4, 5, 6 și 7 textul ,,un certificat de reevaluare de tip” și „un certificat de reevaluare” se substituie cu textul ,,raport de inspecție” la toate cazurile gramaticale.</w:t>
            </w:r>
          </w:p>
          <w:p w14:paraId="23969A2A" w14:textId="543DBB49" w:rsidR="00510D3E" w:rsidRPr="00AC33E5" w:rsidRDefault="00510D3E" w:rsidP="00AC33E5">
            <w:pPr>
              <w:spacing w:line="276" w:lineRule="auto"/>
              <w:ind w:left="31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000AE42E" w14:textId="3ED27244" w:rsidR="00510D3E" w:rsidRPr="00AC33E5" w:rsidRDefault="00510D3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4.În cazul în care rezultatele evaluărilor prevăzute la pct. 3 din prezenta anexă sînt satisfăcătoare, echipamentele sub presiune transportabile fac obiectul inspecțiilor periodice menționate în anexele A și B la ADR. Dacă sînt îndeplinite cerințele inspecțiilor periodice în cauză, organismul notificat responsabil de inspecții aplică marcajul „pi” sau marcajul se aplică sub supravegherea sa în conformitate cu pct. 46-50 din Reglementarea tehnică. Marcajul „pi” este urmat de numărul de identificare al organismului notificat responsabil de inspecțiile periodice. Organismul notificat responsabil de inspecțiile periodice eliberează un raport de inspecție în conformitate cu dispozițiile de la pct. 6 din prezenta anexă.</w:t>
            </w:r>
          </w:p>
        </w:tc>
      </w:tr>
      <w:tr w:rsidR="00510D3E" w:rsidRPr="00AC33E5" w14:paraId="73B9E901"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EB1BB8" w14:textId="433F75FB" w:rsidR="00510D3E" w:rsidRPr="00AC33E5" w:rsidRDefault="00510D3E" w:rsidP="00AC33E5">
            <w:pPr>
              <w:pStyle w:val="ListParagraph"/>
              <w:numPr>
                <w:ilvl w:val="0"/>
                <w:numId w:val="46"/>
              </w:numPr>
              <w:spacing w:line="276" w:lineRule="auto"/>
              <w:ind w:left="330" w:firstLine="30"/>
              <w:rPr>
                <w:rFonts w:ascii="Times New Roman" w:hAnsi="Times New Roman"/>
                <w:sz w:val="24"/>
                <w:szCs w:val="24"/>
                <w:lang w:val="ro-MD"/>
              </w:rPr>
            </w:pPr>
            <w:r w:rsidRPr="00AC33E5">
              <w:rPr>
                <w:rFonts w:ascii="Times New Roman" w:hAnsi="Times New Roman"/>
                <w:sz w:val="24"/>
                <w:szCs w:val="24"/>
                <w:lang w:val="ro-MD"/>
              </w:rPr>
              <w:t>În cazul în care recipientele sub presiune au fost fabricate în serie, se autorizează un organism 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corespundere cu pct. 3 din prezenta anexă și să fi emis un certificat de reevaluarea de tip. Marcajul „pi” este urmat de numărul de identificare al organismului notificat responsabil de inspecțiile periodice.</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2550CA" w14:textId="144CC487" w:rsidR="00510D3E" w:rsidRPr="00AC33E5" w:rsidRDefault="00510D3E" w:rsidP="00AC33E5">
            <w:pPr>
              <w:spacing w:line="276" w:lineRule="auto"/>
              <w:ind w:left="22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4293511D" w14:textId="1CBB11AC" w:rsidR="00510D3E" w:rsidRPr="00AC33E5" w:rsidRDefault="00510D3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5.În cazul în care recipientele sub presiune au fost fabricate în serie, se autorizează un organism notificat pentru inspecțiile periodice ale recipientelor sub presiune transportabile relevante să realizeze reevaluarea conformității unor recipiente sub presiune individuale, inclusiv a ventilelor acestora și a altor accesorii utilizate pentru transport, cu condiția ca un organism notificat de tip A responsabil de reevaluarea conformității să fi realizat evaluarea conformității de tip în corespundere cu pct. 3 din prezenta anexă și să fi emis un raport de inspecție. Marcajul „pi” este urmat de numărul de identificare al organismului notificat responsabil de inspecțiile periodice.</w:t>
            </w:r>
          </w:p>
        </w:tc>
      </w:tr>
      <w:tr w:rsidR="00510D3E" w:rsidRPr="00AC33E5" w14:paraId="43D5D2AF"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65E64" w14:textId="21849E43"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6. În toate cazurile, certificatul de  reevaluare se eliberează de către organismul notificat responsabil de inspecțiile periodice și conține cel puțin următoarele informații:</w:t>
            </w:r>
          </w:p>
          <w:p w14:paraId="5AD0047C"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 numărul de identificare al organismului notificat care eliberează certificatul și, dacă acesta este diferit, numărul de identificare al organismului notificat de tip A responsabil de reevaluarea conformității în corespundere cu cerințele de la pct. 3 din prezenta anexă;</w:t>
            </w:r>
          </w:p>
          <w:p w14:paraId="7948E0EF"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2) denumirea și adresa proprietarului sau ale operatorului menționat la pct. 2 din prezenta anexă;</w:t>
            </w:r>
          </w:p>
          <w:p w14:paraId="7BEA337F"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3) datele de identificare ale certificatului de  conformitate   privind reevaluarea de tip, în cazul aplicării procedurii de la pct. 5 din prezenta anexă;</w:t>
            </w:r>
          </w:p>
          <w:p w14:paraId="62C686F2"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4) datele de identificare ale echipamentelor sub presiune transportabile cărora li s-a aplicat marcajul „pi”, inclusiv, cel puțin, numărul sau numerele de serie; și</w:t>
            </w:r>
          </w:p>
          <w:p w14:paraId="40588F90" w14:textId="0E7A7230" w:rsidR="00510D3E" w:rsidRPr="00AC33E5" w:rsidRDefault="00510D3E" w:rsidP="00AC33E5">
            <w:pPr>
              <w:spacing w:line="276" w:lineRule="auto"/>
              <w:ind w:firstLine="240"/>
              <w:rPr>
                <w:rFonts w:ascii="Times New Roman" w:hAnsi="Times New Roman"/>
                <w:sz w:val="24"/>
                <w:szCs w:val="24"/>
                <w:lang w:val="ro-MD"/>
              </w:rPr>
            </w:pPr>
            <w:r w:rsidRPr="00AC33E5">
              <w:rPr>
                <w:rFonts w:ascii="Times New Roman" w:hAnsi="Times New Roman"/>
                <w:sz w:val="24"/>
                <w:szCs w:val="24"/>
                <w:lang w:val="ro-MD"/>
              </w:rPr>
              <w:t>5) data eliberării.</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91FAA4" w14:textId="77777777" w:rsidR="00510D3E" w:rsidRPr="00AC33E5" w:rsidRDefault="00510D3E" w:rsidP="00AC33E5">
            <w:pPr>
              <w:spacing w:line="276" w:lineRule="auto"/>
              <w:ind w:left="222"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08D0EE8F"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6. În toate cazurile, un raport de inspecție se eliberează de către organismul notificat responsabil de inspecțiile periodice și conține cel puțin următoarele informații:</w:t>
            </w:r>
          </w:p>
          <w:p w14:paraId="525C95C7"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1) numărul de identificare al organismului notificat care eliberează certificatul și, dacă acesta este diferit, numărul de identificare al organismului notificat de tip A responsabil de reevaluarea conformității în corespundere cu cerințele de la pct. 3 din prezenta anexă;</w:t>
            </w:r>
          </w:p>
          <w:p w14:paraId="44EAC51D"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lastRenderedPageBreak/>
              <w:t>2) denumirea și adresa proprietarului sau ale operatorului menționat la pct. 2 din prezenta anexă;</w:t>
            </w:r>
          </w:p>
          <w:p w14:paraId="7D98D0DC"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3) datele de identificare ale raportului de inspecție, în cazul aplicării procedurii de la pct. 5 din prezenta anexă;</w:t>
            </w:r>
          </w:p>
          <w:p w14:paraId="6A917444"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4) datele de identificare ale echipamentelor sub presiune transportabile cărora li s-a aplicat marcajul „pi”, inclusiv, cel puțin, numărul sau numerele de serie; și</w:t>
            </w:r>
          </w:p>
          <w:p w14:paraId="20886473" w14:textId="692647B7" w:rsidR="00510D3E" w:rsidRPr="00AC33E5" w:rsidRDefault="00510D3E" w:rsidP="00AC33E5">
            <w:pPr>
              <w:spacing w:line="276" w:lineRule="auto"/>
              <w:ind w:left="282" w:firstLine="5"/>
              <w:rPr>
                <w:rFonts w:ascii="Times New Roman" w:hAnsi="Times New Roman"/>
                <w:sz w:val="24"/>
                <w:szCs w:val="24"/>
                <w:lang w:val="ro-MD"/>
              </w:rPr>
            </w:pPr>
            <w:r w:rsidRPr="00AC33E5">
              <w:rPr>
                <w:rFonts w:ascii="Times New Roman" w:hAnsi="Times New Roman"/>
                <w:sz w:val="24"/>
                <w:szCs w:val="24"/>
                <w:lang w:val="ro-MD"/>
              </w:rPr>
              <w:t>5) data eliberării.</w:t>
            </w:r>
          </w:p>
        </w:tc>
      </w:tr>
      <w:tr w:rsidR="00510D3E" w:rsidRPr="00AC33E5" w14:paraId="7D980E04"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21C0B4" w14:textId="0CB71129"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7. Se eliberează un certificat de  reevaluare de tip.</w:t>
            </w:r>
          </w:p>
          <w:p w14:paraId="4BEA62C0" w14:textId="76203B0C"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În cazul în care se aplică procedura descrisă la pct. 5 din prezenta anexă, certificatul de reevaluarea de tip se eliberează de către organismul de tip A responsabil de reevaluarea conformității și conține cel puțin următoarele informații:</w:t>
            </w:r>
          </w:p>
          <w:p w14:paraId="79DB43C7"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1) numărul de identificare al organismului notificat care eliberează certificatul;</w:t>
            </w:r>
          </w:p>
          <w:p w14:paraId="6BC415F0"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2) denumirea și adresa producătorului și ale deținătorului certificatului de conformitate inițial pentru echipamentele sub presiune transportabile aflate în curs de reevaluare, în cazul în care deținătorul nu este aceeași persoană cu producătorul;</w:t>
            </w:r>
          </w:p>
          <w:p w14:paraId="5C8A80B6" w14:textId="77777777"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t>3) datele de identificare ale echipamentelor sub presiune transportabile care aparțin seriei respective; și</w:t>
            </w:r>
          </w:p>
          <w:p w14:paraId="4878AEF1" w14:textId="77777777" w:rsidR="00510D3E" w:rsidRPr="00AC33E5" w:rsidRDefault="00510D3E" w:rsidP="00AC33E5">
            <w:pPr>
              <w:spacing w:line="276" w:lineRule="auto"/>
              <w:ind w:firstLine="240"/>
              <w:rPr>
                <w:rFonts w:ascii="Times New Roman" w:hAnsi="Times New Roman"/>
                <w:sz w:val="24"/>
                <w:szCs w:val="24"/>
                <w:lang w:val="ro-MD"/>
              </w:rPr>
            </w:pPr>
            <w:r w:rsidRPr="00AC33E5">
              <w:rPr>
                <w:rFonts w:ascii="Times New Roman" w:hAnsi="Times New Roman"/>
                <w:sz w:val="24"/>
                <w:szCs w:val="24"/>
                <w:lang w:val="ro-MD"/>
              </w:rPr>
              <w:t>4) data eliberării;</w:t>
            </w:r>
          </w:p>
          <w:p w14:paraId="1423EED4" w14:textId="44C65EF2" w:rsidR="00510D3E" w:rsidRPr="00AC33E5" w:rsidRDefault="00510D3E" w:rsidP="00AC33E5">
            <w:pPr>
              <w:spacing w:line="276" w:lineRule="auto"/>
              <w:ind w:left="252" w:firstLine="0"/>
              <w:rPr>
                <w:rFonts w:ascii="Times New Roman" w:hAnsi="Times New Roman"/>
                <w:sz w:val="24"/>
                <w:szCs w:val="24"/>
                <w:lang w:val="ro-MD"/>
              </w:rPr>
            </w:pPr>
            <w:r w:rsidRPr="00AC33E5">
              <w:rPr>
                <w:rFonts w:ascii="Times New Roman" w:hAnsi="Times New Roman"/>
                <w:sz w:val="24"/>
                <w:szCs w:val="24"/>
                <w:lang w:val="ro-MD"/>
              </w:rPr>
              <w:lastRenderedPageBreak/>
              <w:t>5) mențiunea: „Prezentul certificat nu autorizează producerea de echipamente sub presiune transportabile sau de părți ale acestora.”</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99B65FE" w14:textId="3325B153" w:rsidR="00510D3E" w:rsidRPr="00AC33E5" w:rsidRDefault="00510D3E" w:rsidP="00AC33E5">
            <w:pPr>
              <w:spacing w:line="276" w:lineRule="auto"/>
              <w:ind w:firstLine="0"/>
              <w:rPr>
                <w:rFonts w:ascii="Times New Roman" w:hAnsi="Times New Roman"/>
                <w:sz w:val="24"/>
                <w:szCs w:val="24"/>
                <w:lang w:val="ro-MD"/>
              </w:rPr>
            </w:pPr>
          </w:p>
        </w:tc>
        <w:tc>
          <w:tcPr>
            <w:tcW w:w="4905" w:type="dxa"/>
            <w:tcBorders>
              <w:top w:val="single" w:sz="8" w:space="0" w:color="000000"/>
              <w:left w:val="none" w:sz="4" w:space="0" w:color="000000"/>
              <w:bottom w:val="single" w:sz="8" w:space="0" w:color="000000"/>
              <w:right w:val="single" w:sz="8" w:space="0" w:color="000000"/>
            </w:tcBorders>
          </w:tcPr>
          <w:p w14:paraId="424BB246" w14:textId="77777777" w:rsidR="00510D3E" w:rsidRPr="00AC33E5" w:rsidRDefault="00510D3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7. Se eliberează un raport de inspecție.</w:t>
            </w:r>
          </w:p>
          <w:p w14:paraId="6D030084" w14:textId="77777777" w:rsidR="00510D3E" w:rsidRPr="00AC33E5" w:rsidRDefault="00510D3E"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În cazul în care se aplică procedura descrisă la pct. 5 din prezenta anexă, raportul de inspecție  se eliberează de către organismul de tip A responsabil de reevaluarea conformității și conține cel puțin următoarele informații:</w:t>
            </w:r>
          </w:p>
          <w:p w14:paraId="2737C709"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1) numărul de identificare al organismului notificat care eliberează certificatul;</w:t>
            </w:r>
          </w:p>
          <w:p w14:paraId="21DB5A25"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2) denumirea și adresa producătorului și ale deținătorului certificatului de conformitate inițial pentru echipamentele sub presiune transportabile aflate în curs de reevaluare, în cazul în care deținătorul nu este aceeași persoană cu producătorul;</w:t>
            </w:r>
          </w:p>
          <w:p w14:paraId="771E07EB"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3) datele de identificare ale echipamentelor sub presiune transportabile care aparțin seriei respective; și</w:t>
            </w:r>
          </w:p>
          <w:p w14:paraId="5622B157" w14:textId="77777777" w:rsidR="00510D3E" w:rsidRPr="00AC33E5" w:rsidRDefault="00510D3E" w:rsidP="00AC33E5">
            <w:pPr>
              <w:spacing w:line="276" w:lineRule="auto"/>
              <w:rPr>
                <w:rFonts w:ascii="Times New Roman" w:hAnsi="Times New Roman"/>
                <w:sz w:val="24"/>
                <w:szCs w:val="24"/>
                <w:lang w:val="ro-MD"/>
              </w:rPr>
            </w:pPr>
            <w:r w:rsidRPr="00AC33E5">
              <w:rPr>
                <w:rFonts w:ascii="Times New Roman" w:hAnsi="Times New Roman"/>
                <w:sz w:val="24"/>
                <w:szCs w:val="24"/>
                <w:lang w:val="ro-MD"/>
              </w:rPr>
              <w:t>4) data eliberării;</w:t>
            </w:r>
          </w:p>
          <w:p w14:paraId="418DE4C0" w14:textId="0BFA30E6" w:rsidR="00510D3E" w:rsidRPr="00AC33E5" w:rsidRDefault="00510D3E" w:rsidP="00AC33E5">
            <w:pPr>
              <w:spacing w:line="276" w:lineRule="auto"/>
              <w:ind w:left="306" w:firstLine="0"/>
              <w:rPr>
                <w:rFonts w:ascii="Times New Roman" w:hAnsi="Times New Roman"/>
                <w:sz w:val="24"/>
                <w:szCs w:val="24"/>
                <w:lang w:val="ro-MD"/>
              </w:rPr>
            </w:pPr>
            <w:r w:rsidRPr="00AC33E5">
              <w:rPr>
                <w:rFonts w:ascii="Times New Roman" w:hAnsi="Times New Roman"/>
                <w:sz w:val="24"/>
                <w:szCs w:val="24"/>
                <w:lang w:val="ro-MD"/>
              </w:rPr>
              <w:lastRenderedPageBreak/>
              <w:t>5) mențiunea: „Prezentul certificat nu autorizează producerea de echipamente sub presiune transportabile sau de părți ale acestora.</w:t>
            </w:r>
          </w:p>
        </w:tc>
      </w:tr>
      <w:tr w:rsidR="00C35202" w:rsidRPr="00AC33E5" w14:paraId="5D800D54" w14:textId="77777777" w:rsidTr="008E41BE">
        <w:tc>
          <w:tcPr>
            <w:tcW w:w="5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1BD6E" w14:textId="77777777" w:rsidR="00C35202" w:rsidRPr="00AC33E5" w:rsidRDefault="00C35202" w:rsidP="00AC33E5">
            <w:pPr>
              <w:spacing w:line="276" w:lineRule="auto"/>
              <w:ind w:left="252" w:firstLine="0"/>
              <w:rPr>
                <w:rFonts w:ascii="Times New Roman" w:hAnsi="Times New Roman"/>
                <w:sz w:val="24"/>
                <w:szCs w:val="24"/>
                <w:lang w:val="ro-MD"/>
              </w:rPr>
            </w:pP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66D029E" w14:textId="05FAB5DE" w:rsidR="00C35202" w:rsidRPr="00AC33E5" w:rsidRDefault="00C35202" w:rsidP="00AC33E5">
            <w:pPr>
              <w:spacing w:line="276" w:lineRule="auto"/>
              <w:ind w:firstLine="0"/>
              <w:rPr>
                <w:rFonts w:ascii="Times New Roman" w:hAnsi="Times New Roman"/>
                <w:sz w:val="24"/>
                <w:szCs w:val="24"/>
                <w:lang w:val="ro-MD"/>
              </w:rPr>
            </w:pPr>
            <w:r w:rsidRPr="00AC33E5">
              <w:rPr>
                <w:rFonts w:ascii="Times New Roman" w:hAnsi="Times New Roman"/>
                <w:sz w:val="24"/>
                <w:szCs w:val="24"/>
                <w:lang w:val="ro-MD"/>
              </w:rPr>
              <w:t>2.Prezenta hotărâre intră în vigoare peste 3 luni de la data publicării în Monitorul Oficial al Republicii Moldova.</w:t>
            </w:r>
          </w:p>
        </w:tc>
        <w:tc>
          <w:tcPr>
            <w:tcW w:w="4905" w:type="dxa"/>
            <w:tcBorders>
              <w:top w:val="single" w:sz="8" w:space="0" w:color="000000"/>
              <w:left w:val="none" w:sz="4" w:space="0" w:color="000000"/>
              <w:bottom w:val="single" w:sz="8" w:space="0" w:color="000000"/>
              <w:right w:val="single" w:sz="8" w:space="0" w:color="000000"/>
            </w:tcBorders>
          </w:tcPr>
          <w:p w14:paraId="4F0A698C" w14:textId="77777777" w:rsidR="00C35202" w:rsidRPr="00AC33E5" w:rsidRDefault="00C35202" w:rsidP="00AC33E5">
            <w:pPr>
              <w:spacing w:line="276" w:lineRule="auto"/>
              <w:ind w:left="252" w:firstLine="30"/>
              <w:rPr>
                <w:rFonts w:ascii="Times New Roman" w:hAnsi="Times New Roman"/>
                <w:sz w:val="24"/>
                <w:szCs w:val="24"/>
                <w:lang w:val="ro-MD"/>
              </w:rPr>
            </w:pPr>
          </w:p>
        </w:tc>
      </w:tr>
    </w:tbl>
    <w:p w14:paraId="6024583A" w14:textId="7D4CB6AA" w:rsidR="008B4BE6" w:rsidRPr="00AC33E5" w:rsidRDefault="008B4BE6" w:rsidP="00AC33E5">
      <w:pPr>
        <w:spacing w:line="276" w:lineRule="auto"/>
        <w:rPr>
          <w:b/>
          <w:bCs/>
          <w:sz w:val="24"/>
          <w:szCs w:val="24"/>
          <w:lang w:val="ro-MD"/>
        </w:rPr>
      </w:pPr>
    </w:p>
    <w:sectPr w:rsidR="008B4BE6" w:rsidRPr="00AC33E5" w:rsidSect="002D0677">
      <w:headerReference w:type="default" r:id="rId19"/>
      <w:footerReference w:type="default" r:id="rId20"/>
      <w:headerReference w:type="first" r:id="rId21"/>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162F" w14:textId="77777777" w:rsidR="00A92DB0" w:rsidRDefault="00A92DB0">
      <w:r>
        <w:separator/>
      </w:r>
    </w:p>
  </w:endnote>
  <w:endnote w:type="continuationSeparator" w:id="0">
    <w:p w14:paraId="66C8B118" w14:textId="77777777" w:rsidR="00A92DB0" w:rsidRDefault="00A9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195749"/>
      <w:docPartObj>
        <w:docPartGallery w:val="Page Numbers (Bottom of Page)"/>
        <w:docPartUnique/>
      </w:docPartObj>
    </w:sdtPr>
    <w:sdtEndPr>
      <w:rPr>
        <w:noProof/>
      </w:rPr>
    </w:sdtEndPr>
    <w:sdtContent>
      <w:p w14:paraId="0F37EE4F" w14:textId="6A07CE43" w:rsidR="00276DB4" w:rsidRDefault="00276DB4">
        <w:pPr>
          <w:pStyle w:val="Footer"/>
          <w:jc w:val="center"/>
        </w:pPr>
        <w:r>
          <w:fldChar w:fldCharType="begin"/>
        </w:r>
        <w:r>
          <w:instrText xml:space="preserve"> PAGE   \* MERGEFORMAT </w:instrText>
        </w:r>
        <w:r>
          <w:fldChar w:fldCharType="separate"/>
        </w:r>
        <w:r w:rsidR="001D6A3D">
          <w:rPr>
            <w:noProof/>
          </w:rPr>
          <w:t>31</w:t>
        </w:r>
        <w:r>
          <w:rPr>
            <w:noProof/>
          </w:rPr>
          <w:fldChar w:fldCharType="end"/>
        </w:r>
      </w:p>
    </w:sdtContent>
  </w:sdt>
  <w:p w14:paraId="44794F13" w14:textId="77777777" w:rsidR="00276DB4" w:rsidRDefault="00276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CC82" w14:textId="77777777" w:rsidR="00A92DB0" w:rsidRDefault="00A92DB0">
      <w:r>
        <w:separator/>
      </w:r>
    </w:p>
  </w:footnote>
  <w:footnote w:type="continuationSeparator" w:id="0">
    <w:p w14:paraId="12C19994" w14:textId="77777777" w:rsidR="00A92DB0" w:rsidRDefault="00A9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276DB4" w:rsidRPr="00F37ED4" w:rsidRDefault="00276DB4"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1D6A3D" w:rsidRPr="001D6A3D">
      <w:rPr>
        <w:noProof/>
        <w:sz w:val="28"/>
        <w:szCs w:val="28"/>
        <w:lang w:val="ro-RO"/>
      </w:rPr>
      <w:t>31</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276DB4" w:rsidRPr="00032B46" w:rsidRDefault="00276DB4">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DA"/>
    <w:multiLevelType w:val="hybridMultilevel"/>
    <w:tmpl w:val="B302C654"/>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F3063"/>
    <w:multiLevelType w:val="hybridMultilevel"/>
    <w:tmpl w:val="09C62AB8"/>
    <w:lvl w:ilvl="0" w:tplc="08180017">
      <w:start w:val="1"/>
      <w:numFmt w:val="lowerLetter"/>
      <w:lvlText w:val="%1)"/>
      <w:lvlJc w:val="left"/>
      <w:pPr>
        <w:ind w:left="720" w:hanging="360"/>
      </w:pPr>
    </w:lvl>
    <w:lvl w:ilvl="1" w:tplc="0809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70D3D62"/>
    <w:multiLevelType w:val="hybridMultilevel"/>
    <w:tmpl w:val="AAACF420"/>
    <w:lvl w:ilvl="0" w:tplc="3F0631AC">
      <w:start w:val="1"/>
      <w:numFmt w:val="lowerLetter"/>
      <w:lvlText w:val="%1)"/>
      <w:lvlJc w:val="left"/>
      <w:pPr>
        <w:ind w:left="1069" w:hanging="360"/>
      </w:pPr>
      <w:rPr>
        <w:rFonts w:hint="default"/>
      </w:rPr>
    </w:lvl>
    <w:lvl w:ilvl="1" w:tplc="08090011">
      <w:start w:val="1"/>
      <w:numFmt w:val="decimal"/>
      <w:lvlText w:val="%2)"/>
      <w:lvlJc w:val="left"/>
      <w:pPr>
        <w:ind w:left="720"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7491FEB"/>
    <w:multiLevelType w:val="hybridMultilevel"/>
    <w:tmpl w:val="87EE34A2"/>
    <w:lvl w:ilvl="0" w:tplc="08180017">
      <w:start w:val="1"/>
      <w:numFmt w:val="lowerLetter"/>
      <w:lvlText w:val="%1)"/>
      <w:lvlJc w:val="left"/>
      <w:pPr>
        <w:ind w:left="1015" w:hanging="360"/>
      </w:p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4" w15:restartNumberingAfterBreak="0">
    <w:nsid w:val="0B347CCD"/>
    <w:multiLevelType w:val="hybridMultilevel"/>
    <w:tmpl w:val="1C984666"/>
    <w:lvl w:ilvl="0" w:tplc="9D38124A">
      <w:start w:val="5"/>
      <w:numFmt w:val="decimal"/>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B3E2A"/>
    <w:multiLevelType w:val="hybridMultilevel"/>
    <w:tmpl w:val="6A18A1D2"/>
    <w:lvl w:ilvl="0" w:tplc="D4D695E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105297"/>
    <w:multiLevelType w:val="hybridMultilevel"/>
    <w:tmpl w:val="9D86C5EA"/>
    <w:lvl w:ilvl="0" w:tplc="FFFFFFFF">
      <w:start w:val="1"/>
      <w:numFmt w:val="lowerLetter"/>
      <w:lvlText w:val="%1)"/>
      <w:lvlJc w:val="left"/>
      <w:pPr>
        <w:ind w:left="720" w:hanging="360"/>
      </w:pPr>
    </w:lvl>
    <w:lvl w:ilvl="1" w:tplc="C1BCC852">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31564"/>
    <w:multiLevelType w:val="hybridMultilevel"/>
    <w:tmpl w:val="D256D4B6"/>
    <w:lvl w:ilvl="0" w:tplc="D4D695E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B04009"/>
    <w:multiLevelType w:val="hybridMultilevel"/>
    <w:tmpl w:val="AE521B54"/>
    <w:lvl w:ilvl="0" w:tplc="3F0631AC">
      <w:start w:val="1"/>
      <w:numFmt w:val="lowerLetter"/>
      <w:lvlText w:val="%1)"/>
      <w:lvlJc w:val="left"/>
      <w:pPr>
        <w:ind w:left="1015" w:hanging="360"/>
      </w:pPr>
      <w:rPr>
        <w:rFonts w:hint="default"/>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9" w15:restartNumberingAfterBreak="0">
    <w:nsid w:val="1D5506C6"/>
    <w:multiLevelType w:val="hybridMultilevel"/>
    <w:tmpl w:val="9EFA7D3E"/>
    <w:lvl w:ilvl="0" w:tplc="5B60E9D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456ED"/>
    <w:multiLevelType w:val="multilevel"/>
    <w:tmpl w:val="260E6950"/>
    <w:lvl w:ilvl="0">
      <w:start w:val="1"/>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4D045B"/>
    <w:multiLevelType w:val="hybridMultilevel"/>
    <w:tmpl w:val="6C100696"/>
    <w:lvl w:ilvl="0" w:tplc="FBFA700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C271D6"/>
    <w:multiLevelType w:val="hybridMultilevel"/>
    <w:tmpl w:val="EB80290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2AB2A1A"/>
    <w:multiLevelType w:val="hybridMultilevel"/>
    <w:tmpl w:val="A11C3B40"/>
    <w:lvl w:ilvl="0" w:tplc="8496E0C4">
      <w:start w:val="1"/>
      <w:numFmt w:val="decimal"/>
      <w:lvlText w:val="%1."/>
      <w:lvlJc w:val="left"/>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C3BA1"/>
    <w:multiLevelType w:val="hybridMultilevel"/>
    <w:tmpl w:val="BD9A3C60"/>
    <w:lvl w:ilvl="0" w:tplc="CF66341C">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11944"/>
    <w:multiLevelType w:val="hybridMultilevel"/>
    <w:tmpl w:val="4476EA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3F5488"/>
    <w:multiLevelType w:val="hybridMultilevel"/>
    <w:tmpl w:val="6AEEA3E2"/>
    <w:lvl w:ilvl="0" w:tplc="EE3C1100">
      <w:start w:val="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7" w15:restartNumberingAfterBreak="0">
    <w:nsid w:val="28B304D3"/>
    <w:multiLevelType w:val="hybridMultilevel"/>
    <w:tmpl w:val="30F0C140"/>
    <w:lvl w:ilvl="0" w:tplc="461606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96404"/>
    <w:multiLevelType w:val="hybridMultilevel"/>
    <w:tmpl w:val="7DF22F82"/>
    <w:lvl w:ilvl="0" w:tplc="C1BCC85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096837"/>
    <w:multiLevelType w:val="multilevel"/>
    <w:tmpl w:val="C1C8CC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01609D0"/>
    <w:multiLevelType w:val="hybridMultilevel"/>
    <w:tmpl w:val="87BE25E4"/>
    <w:lvl w:ilvl="0" w:tplc="FFE0E348">
      <w:start w:val="1"/>
      <w:numFmt w:val="decimal"/>
      <w:lvlText w:val="%1)"/>
      <w:lvlJc w:val="left"/>
      <w:pPr>
        <w:ind w:left="144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F0269"/>
    <w:multiLevelType w:val="hybridMultilevel"/>
    <w:tmpl w:val="F072D774"/>
    <w:lvl w:ilvl="0" w:tplc="3F0631A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798755D"/>
    <w:multiLevelType w:val="hybridMultilevel"/>
    <w:tmpl w:val="74F8B9E4"/>
    <w:lvl w:ilvl="0" w:tplc="B476C6C6">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4" w15:restartNumberingAfterBreak="0">
    <w:nsid w:val="3CCD52B3"/>
    <w:multiLevelType w:val="multilevel"/>
    <w:tmpl w:val="85FA5420"/>
    <w:lvl w:ilvl="0">
      <w:start w:val="1"/>
      <w:numFmt w:val="decimal"/>
      <w:lvlText w:val="%1."/>
      <w:lvlJc w:val="left"/>
      <w:pPr>
        <w:ind w:left="780" w:hanging="420"/>
      </w:pPr>
      <w:rPr>
        <w:rFonts w:hint="default"/>
        <w:b w:val="0"/>
        <w:bCs/>
      </w:r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A65956"/>
    <w:multiLevelType w:val="hybridMultilevel"/>
    <w:tmpl w:val="0ABAEDD0"/>
    <w:lvl w:ilvl="0" w:tplc="3F0631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E667F"/>
    <w:multiLevelType w:val="hybridMultilevel"/>
    <w:tmpl w:val="25DCBBD4"/>
    <w:lvl w:ilvl="0" w:tplc="3A1C9C4E">
      <w:start w:val="1"/>
      <w:numFmt w:val="decimal"/>
      <w:lvlText w:val="%1)"/>
      <w:lvlJc w:val="left"/>
      <w:pPr>
        <w:ind w:left="720" w:hanging="360"/>
      </w:pPr>
      <w:rPr>
        <w:rFonts w:ascii="Times New Roman" w:hAnsi="Times New Roman" w:cs="Times New Roman" w:hint="default"/>
      </w:rPr>
    </w:lvl>
    <w:lvl w:ilvl="1" w:tplc="57D03B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8" w15:restartNumberingAfterBreak="0">
    <w:nsid w:val="4F4C4A60"/>
    <w:multiLevelType w:val="hybridMultilevel"/>
    <w:tmpl w:val="09822546"/>
    <w:lvl w:ilvl="0" w:tplc="C1BCC852">
      <w:start w:val="1"/>
      <w:numFmt w:val="decimal"/>
      <w:lvlText w:val="%1)"/>
      <w:lvlJc w:val="left"/>
      <w:pPr>
        <w:ind w:left="2149"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3D56A8A"/>
    <w:multiLevelType w:val="hybridMultilevel"/>
    <w:tmpl w:val="38F09C2A"/>
    <w:lvl w:ilvl="0" w:tplc="6F5470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66E6F31"/>
    <w:multiLevelType w:val="hybridMultilevel"/>
    <w:tmpl w:val="4420F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82702B"/>
    <w:multiLevelType w:val="hybridMultilevel"/>
    <w:tmpl w:val="07661276"/>
    <w:lvl w:ilvl="0" w:tplc="08090017">
      <w:start w:val="1"/>
      <w:numFmt w:val="lowerLetter"/>
      <w:lvlText w:val="%1)"/>
      <w:lvlJc w:val="left"/>
      <w:pPr>
        <w:ind w:left="720" w:hanging="360"/>
      </w:pPr>
      <w:rPr>
        <w:rFonts w:hint="default"/>
      </w:rPr>
    </w:lvl>
    <w:lvl w:ilvl="1" w:tplc="FCB07526">
      <w:start w:val="2"/>
      <w:numFmt w:val="bullet"/>
      <w:lvlText w:val="—"/>
      <w:lvlJc w:val="left"/>
      <w:pPr>
        <w:ind w:left="1440" w:hanging="360"/>
      </w:pPr>
      <w:rPr>
        <w:rFonts w:ascii="inherit" w:eastAsia="Times New Roman" w:hAnsi="inheri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07AEF"/>
    <w:multiLevelType w:val="hybridMultilevel"/>
    <w:tmpl w:val="97E47E34"/>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5EAF3AA3"/>
    <w:multiLevelType w:val="hybridMultilevel"/>
    <w:tmpl w:val="5B3A20C0"/>
    <w:lvl w:ilvl="0" w:tplc="FFFFFFFF">
      <w:start w:val="4"/>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8F1437"/>
    <w:multiLevelType w:val="hybridMultilevel"/>
    <w:tmpl w:val="5FF015E8"/>
    <w:lvl w:ilvl="0" w:tplc="FCB07526">
      <w:start w:val="2"/>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6" w15:restartNumberingAfterBreak="0">
    <w:nsid w:val="62FD401D"/>
    <w:multiLevelType w:val="hybridMultilevel"/>
    <w:tmpl w:val="7CE03520"/>
    <w:lvl w:ilvl="0" w:tplc="FFFFFFFF">
      <w:start w:val="1"/>
      <w:numFmt w:val="lowerLetter"/>
      <w:lvlText w:val="%1)"/>
      <w:lvlJc w:val="left"/>
      <w:pPr>
        <w:ind w:left="720" w:hanging="360"/>
      </w:pPr>
    </w:lvl>
    <w:lvl w:ilvl="1" w:tplc="5456CCF4">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65FC8"/>
    <w:multiLevelType w:val="hybridMultilevel"/>
    <w:tmpl w:val="9410BD18"/>
    <w:lvl w:ilvl="0" w:tplc="3F0631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1E2C84"/>
    <w:multiLevelType w:val="hybridMultilevel"/>
    <w:tmpl w:val="49104E74"/>
    <w:lvl w:ilvl="0" w:tplc="3F0631AC">
      <w:start w:val="1"/>
      <w:numFmt w:val="lowerLetter"/>
      <w:lvlText w:val="%1)"/>
      <w:lvlJc w:val="left"/>
      <w:pPr>
        <w:ind w:left="1069"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664959BA"/>
    <w:multiLevelType w:val="hybridMultilevel"/>
    <w:tmpl w:val="110A16F8"/>
    <w:lvl w:ilvl="0" w:tplc="A7226346">
      <w:start w:val="5"/>
      <w:numFmt w:val="decimal"/>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61468B"/>
    <w:multiLevelType w:val="hybridMultilevel"/>
    <w:tmpl w:val="13924248"/>
    <w:lvl w:ilvl="0" w:tplc="B852928E">
      <w:start w:val="8"/>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6F8C2975"/>
    <w:multiLevelType w:val="hybridMultilevel"/>
    <w:tmpl w:val="462C9270"/>
    <w:lvl w:ilvl="0" w:tplc="0D5E3700">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13416CC"/>
    <w:multiLevelType w:val="hybridMultilevel"/>
    <w:tmpl w:val="E346A3F0"/>
    <w:lvl w:ilvl="0" w:tplc="FFFFFFFF">
      <w:start w:val="4"/>
      <w:numFmt w:val="decimal"/>
      <w:lvlText w:val="%1)"/>
      <w:lvlJc w:val="left"/>
      <w:pPr>
        <w:ind w:left="720" w:hanging="360"/>
      </w:pPr>
      <w:rPr>
        <w:rFonts w:hint="default"/>
      </w:rPr>
    </w:lvl>
    <w:lvl w:ilvl="1" w:tplc="3F0631AC">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B70E39"/>
    <w:multiLevelType w:val="hybridMultilevel"/>
    <w:tmpl w:val="C64627EC"/>
    <w:lvl w:ilvl="0" w:tplc="FFFFFFFF">
      <w:start w:val="1"/>
      <w:numFmt w:val="lowerLetter"/>
      <w:lvlText w:val="%1)"/>
      <w:lvlJc w:val="left"/>
      <w:pPr>
        <w:ind w:left="720" w:hanging="360"/>
      </w:pPr>
    </w:lvl>
    <w:lvl w:ilvl="1" w:tplc="C1BCC852">
      <w:start w:val="1"/>
      <w:numFmt w:val="decimal"/>
      <w:lvlText w:val="%2)"/>
      <w:lvlJc w:val="left"/>
      <w:pPr>
        <w:ind w:left="2149"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5E68B5"/>
    <w:multiLevelType w:val="hybridMultilevel"/>
    <w:tmpl w:val="4516D34C"/>
    <w:lvl w:ilvl="0" w:tplc="FFFFFFFF">
      <w:start w:val="1"/>
      <w:numFmt w:val="lowerLetter"/>
      <w:lvlText w:val="%1)"/>
      <w:lvlJc w:val="left"/>
      <w:pPr>
        <w:ind w:left="720" w:hanging="360"/>
      </w:pPr>
    </w:lvl>
    <w:lvl w:ilvl="1" w:tplc="0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7561845">
    <w:abstractNumId w:val="1"/>
  </w:num>
  <w:num w:numId="2" w16cid:durableId="1851985661">
    <w:abstractNumId w:val="26"/>
  </w:num>
  <w:num w:numId="3" w16cid:durableId="2095086748">
    <w:abstractNumId w:val="3"/>
  </w:num>
  <w:num w:numId="4" w16cid:durableId="355815581">
    <w:abstractNumId w:val="2"/>
  </w:num>
  <w:num w:numId="5" w16cid:durableId="558439075">
    <w:abstractNumId w:val="41"/>
  </w:num>
  <w:num w:numId="6" w16cid:durableId="2039089228">
    <w:abstractNumId w:val="13"/>
  </w:num>
  <w:num w:numId="7" w16cid:durableId="130558890">
    <w:abstractNumId w:val="15"/>
  </w:num>
  <w:num w:numId="8" w16cid:durableId="1086265811">
    <w:abstractNumId w:val="29"/>
  </w:num>
  <w:num w:numId="9" w16cid:durableId="1120564669">
    <w:abstractNumId w:val="20"/>
  </w:num>
  <w:num w:numId="10" w16cid:durableId="305474677">
    <w:abstractNumId w:val="9"/>
  </w:num>
  <w:num w:numId="11" w16cid:durableId="439495911">
    <w:abstractNumId w:val="45"/>
  </w:num>
  <w:num w:numId="12" w16cid:durableId="1896089898">
    <w:abstractNumId w:val="0"/>
  </w:num>
  <w:num w:numId="13" w16cid:durableId="214971258">
    <w:abstractNumId w:val="31"/>
  </w:num>
  <w:num w:numId="14" w16cid:durableId="530383378">
    <w:abstractNumId w:val="34"/>
  </w:num>
  <w:num w:numId="15" w16cid:durableId="1453013480">
    <w:abstractNumId w:val="14"/>
  </w:num>
  <w:num w:numId="16" w16cid:durableId="808091261">
    <w:abstractNumId w:val="4"/>
  </w:num>
  <w:num w:numId="17" w16cid:durableId="1830242959">
    <w:abstractNumId w:val="28"/>
  </w:num>
  <w:num w:numId="18" w16cid:durableId="362098358">
    <w:abstractNumId w:val="37"/>
  </w:num>
  <w:num w:numId="19" w16cid:durableId="1886678310">
    <w:abstractNumId w:val="44"/>
  </w:num>
  <w:num w:numId="20" w16cid:durableId="1228416009">
    <w:abstractNumId w:val="38"/>
  </w:num>
  <w:num w:numId="21" w16cid:durableId="671840012">
    <w:abstractNumId w:val="22"/>
  </w:num>
  <w:num w:numId="22" w16cid:durableId="591865054">
    <w:abstractNumId w:val="8"/>
  </w:num>
  <w:num w:numId="23" w16cid:durableId="245386187">
    <w:abstractNumId w:val="39"/>
  </w:num>
  <w:num w:numId="24" w16cid:durableId="315688224">
    <w:abstractNumId w:val="21"/>
  </w:num>
  <w:num w:numId="25" w16cid:durableId="1164006106">
    <w:abstractNumId w:val="25"/>
  </w:num>
  <w:num w:numId="26" w16cid:durableId="1618365388">
    <w:abstractNumId w:val="33"/>
  </w:num>
  <w:num w:numId="27" w16cid:durableId="1083841112">
    <w:abstractNumId w:val="18"/>
  </w:num>
  <w:num w:numId="28" w16cid:durableId="464665027">
    <w:abstractNumId w:val="6"/>
  </w:num>
  <w:num w:numId="29" w16cid:durableId="1911384687">
    <w:abstractNumId w:val="36"/>
  </w:num>
  <w:num w:numId="30" w16cid:durableId="1349671596">
    <w:abstractNumId w:val="42"/>
  </w:num>
  <w:num w:numId="31" w16cid:durableId="506486617">
    <w:abstractNumId w:val="7"/>
  </w:num>
  <w:num w:numId="32" w16cid:durableId="1615402717">
    <w:abstractNumId w:val="11"/>
  </w:num>
  <w:num w:numId="33" w16cid:durableId="906651534">
    <w:abstractNumId w:val="5"/>
  </w:num>
  <w:num w:numId="34" w16cid:durableId="589967235">
    <w:abstractNumId w:val="17"/>
  </w:num>
  <w:num w:numId="35" w16cid:durableId="363753723">
    <w:abstractNumId w:val="40"/>
  </w:num>
  <w:num w:numId="36" w16cid:durableId="493227417">
    <w:abstractNumId w:val="43"/>
  </w:num>
  <w:num w:numId="37" w16cid:durableId="2110196498">
    <w:abstractNumId w:val="35"/>
  </w:num>
  <w:num w:numId="38" w16cid:durableId="2144688338">
    <w:abstractNumId w:val="12"/>
  </w:num>
  <w:num w:numId="39" w16cid:durableId="2135829638">
    <w:abstractNumId w:val="32"/>
  </w:num>
  <w:num w:numId="40" w16cid:durableId="1456561659">
    <w:abstractNumId w:val="16"/>
  </w:num>
  <w:num w:numId="41" w16cid:durableId="1463379435">
    <w:abstractNumId w:val="30"/>
  </w:num>
  <w:num w:numId="42" w16cid:durableId="1084490422">
    <w:abstractNumId w:val="24"/>
  </w:num>
  <w:num w:numId="43" w16cid:durableId="221454338">
    <w:abstractNumId w:val="19"/>
  </w:num>
  <w:num w:numId="44" w16cid:durableId="133984394">
    <w:abstractNumId w:val="27"/>
  </w:num>
  <w:num w:numId="45" w16cid:durableId="488131894">
    <w:abstractNumId w:val="23"/>
  </w:num>
  <w:num w:numId="46" w16cid:durableId="58819743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3B3"/>
    <w:rsid w:val="000006BB"/>
    <w:rsid w:val="000107E1"/>
    <w:rsid w:val="00010F82"/>
    <w:rsid w:val="000120B5"/>
    <w:rsid w:val="00013460"/>
    <w:rsid w:val="00013804"/>
    <w:rsid w:val="00013AC9"/>
    <w:rsid w:val="0001747F"/>
    <w:rsid w:val="00023274"/>
    <w:rsid w:val="0002435C"/>
    <w:rsid w:val="00030F91"/>
    <w:rsid w:val="00032B46"/>
    <w:rsid w:val="00035896"/>
    <w:rsid w:val="0004289C"/>
    <w:rsid w:val="00043963"/>
    <w:rsid w:val="00043AC7"/>
    <w:rsid w:val="000442C2"/>
    <w:rsid w:val="00044D19"/>
    <w:rsid w:val="00047070"/>
    <w:rsid w:val="00052045"/>
    <w:rsid w:val="000533C1"/>
    <w:rsid w:val="00054810"/>
    <w:rsid w:val="00062D52"/>
    <w:rsid w:val="00063503"/>
    <w:rsid w:val="000661FC"/>
    <w:rsid w:val="00066236"/>
    <w:rsid w:val="000678F5"/>
    <w:rsid w:val="00067E3D"/>
    <w:rsid w:val="000713DA"/>
    <w:rsid w:val="00071EAA"/>
    <w:rsid w:val="0007236F"/>
    <w:rsid w:val="00074DAA"/>
    <w:rsid w:val="00075A5F"/>
    <w:rsid w:val="00081267"/>
    <w:rsid w:val="00085029"/>
    <w:rsid w:val="00085EEF"/>
    <w:rsid w:val="00086371"/>
    <w:rsid w:val="0008737B"/>
    <w:rsid w:val="0009068F"/>
    <w:rsid w:val="0009122F"/>
    <w:rsid w:val="00092AB8"/>
    <w:rsid w:val="0009433F"/>
    <w:rsid w:val="00095592"/>
    <w:rsid w:val="00096690"/>
    <w:rsid w:val="000A231C"/>
    <w:rsid w:val="000A2F6B"/>
    <w:rsid w:val="000A6956"/>
    <w:rsid w:val="000A6BA5"/>
    <w:rsid w:val="000A753A"/>
    <w:rsid w:val="000B0A7C"/>
    <w:rsid w:val="000B14C1"/>
    <w:rsid w:val="000B3D87"/>
    <w:rsid w:val="000B50EE"/>
    <w:rsid w:val="000C041B"/>
    <w:rsid w:val="000C2AB4"/>
    <w:rsid w:val="000D5C74"/>
    <w:rsid w:val="000D6B96"/>
    <w:rsid w:val="000D7F64"/>
    <w:rsid w:val="000E1D40"/>
    <w:rsid w:val="000E2800"/>
    <w:rsid w:val="000F497A"/>
    <w:rsid w:val="00102AD8"/>
    <w:rsid w:val="00104601"/>
    <w:rsid w:val="00106C30"/>
    <w:rsid w:val="00111C67"/>
    <w:rsid w:val="0011262F"/>
    <w:rsid w:val="001134AD"/>
    <w:rsid w:val="00113956"/>
    <w:rsid w:val="00116035"/>
    <w:rsid w:val="001211EA"/>
    <w:rsid w:val="00123952"/>
    <w:rsid w:val="00124D07"/>
    <w:rsid w:val="00126004"/>
    <w:rsid w:val="00126F38"/>
    <w:rsid w:val="00143389"/>
    <w:rsid w:val="00143CC4"/>
    <w:rsid w:val="00145C16"/>
    <w:rsid w:val="00150401"/>
    <w:rsid w:val="0015146D"/>
    <w:rsid w:val="00154CCA"/>
    <w:rsid w:val="00157D40"/>
    <w:rsid w:val="00162BB1"/>
    <w:rsid w:val="00162BE7"/>
    <w:rsid w:val="00164071"/>
    <w:rsid w:val="0017006C"/>
    <w:rsid w:val="001738F2"/>
    <w:rsid w:val="00174E20"/>
    <w:rsid w:val="001769D4"/>
    <w:rsid w:val="00177035"/>
    <w:rsid w:val="0018161D"/>
    <w:rsid w:val="00181AB4"/>
    <w:rsid w:val="00183577"/>
    <w:rsid w:val="00184334"/>
    <w:rsid w:val="00185853"/>
    <w:rsid w:val="00185AC8"/>
    <w:rsid w:val="00191428"/>
    <w:rsid w:val="00192A19"/>
    <w:rsid w:val="001931DD"/>
    <w:rsid w:val="00194100"/>
    <w:rsid w:val="00194D99"/>
    <w:rsid w:val="001A25C3"/>
    <w:rsid w:val="001A37C7"/>
    <w:rsid w:val="001A4285"/>
    <w:rsid w:val="001A45B0"/>
    <w:rsid w:val="001A64E4"/>
    <w:rsid w:val="001A73BA"/>
    <w:rsid w:val="001A7C7F"/>
    <w:rsid w:val="001B3BE4"/>
    <w:rsid w:val="001B5818"/>
    <w:rsid w:val="001B66A4"/>
    <w:rsid w:val="001B6E6E"/>
    <w:rsid w:val="001C067E"/>
    <w:rsid w:val="001C3BC8"/>
    <w:rsid w:val="001C3F21"/>
    <w:rsid w:val="001C4EEE"/>
    <w:rsid w:val="001C637B"/>
    <w:rsid w:val="001D2FA2"/>
    <w:rsid w:val="001D3519"/>
    <w:rsid w:val="001D38A0"/>
    <w:rsid w:val="001D4099"/>
    <w:rsid w:val="001D571E"/>
    <w:rsid w:val="001D6A3D"/>
    <w:rsid w:val="001E2299"/>
    <w:rsid w:val="001E4497"/>
    <w:rsid w:val="001E7C7F"/>
    <w:rsid w:val="001F0570"/>
    <w:rsid w:val="001F2097"/>
    <w:rsid w:val="001F704A"/>
    <w:rsid w:val="002000EB"/>
    <w:rsid w:val="00200223"/>
    <w:rsid w:val="00200516"/>
    <w:rsid w:val="00201705"/>
    <w:rsid w:val="00201B6D"/>
    <w:rsid w:val="00203DEF"/>
    <w:rsid w:val="00205100"/>
    <w:rsid w:val="0020794F"/>
    <w:rsid w:val="00211C6D"/>
    <w:rsid w:val="00212E6F"/>
    <w:rsid w:val="00213450"/>
    <w:rsid w:val="002164C9"/>
    <w:rsid w:val="002170A5"/>
    <w:rsid w:val="00224107"/>
    <w:rsid w:val="0022756E"/>
    <w:rsid w:val="0022760C"/>
    <w:rsid w:val="00230761"/>
    <w:rsid w:val="0023134B"/>
    <w:rsid w:val="002323F1"/>
    <w:rsid w:val="00236E65"/>
    <w:rsid w:val="002372B8"/>
    <w:rsid w:val="0023762A"/>
    <w:rsid w:val="00240AC0"/>
    <w:rsid w:val="00240DFD"/>
    <w:rsid w:val="0024128A"/>
    <w:rsid w:val="0024288B"/>
    <w:rsid w:val="002453BD"/>
    <w:rsid w:val="00251B7B"/>
    <w:rsid w:val="00257353"/>
    <w:rsid w:val="00261D65"/>
    <w:rsid w:val="00264D1B"/>
    <w:rsid w:val="002721D2"/>
    <w:rsid w:val="0027351E"/>
    <w:rsid w:val="0027425A"/>
    <w:rsid w:val="00276DB4"/>
    <w:rsid w:val="0028093A"/>
    <w:rsid w:val="00280F8D"/>
    <w:rsid w:val="0028140B"/>
    <w:rsid w:val="00281C80"/>
    <w:rsid w:val="0028532E"/>
    <w:rsid w:val="00285669"/>
    <w:rsid w:val="0029082D"/>
    <w:rsid w:val="002950E0"/>
    <w:rsid w:val="002954C4"/>
    <w:rsid w:val="002A5595"/>
    <w:rsid w:val="002A7DCC"/>
    <w:rsid w:val="002B07BD"/>
    <w:rsid w:val="002B40F0"/>
    <w:rsid w:val="002B5444"/>
    <w:rsid w:val="002B547F"/>
    <w:rsid w:val="002B5AE5"/>
    <w:rsid w:val="002C21E9"/>
    <w:rsid w:val="002C24B0"/>
    <w:rsid w:val="002C39BC"/>
    <w:rsid w:val="002D0677"/>
    <w:rsid w:val="002D08DC"/>
    <w:rsid w:val="002D38C5"/>
    <w:rsid w:val="002D3ECB"/>
    <w:rsid w:val="002D4900"/>
    <w:rsid w:val="002D61B5"/>
    <w:rsid w:val="002E4217"/>
    <w:rsid w:val="002E505B"/>
    <w:rsid w:val="002E7EB0"/>
    <w:rsid w:val="002F0A8C"/>
    <w:rsid w:val="002F26AA"/>
    <w:rsid w:val="002F2EAD"/>
    <w:rsid w:val="002F30F7"/>
    <w:rsid w:val="002F3DAA"/>
    <w:rsid w:val="002F5710"/>
    <w:rsid w:val="002F5F1E"/>
    <w:rsid w:val="002F65A8"/>
    <w:rsid w:val="002F6903"/>
    <w:rsid w:val="002F7FB5"/>
    <w:rsid w:val="00301D7D"/>
    <w:rsid w:val="00302B48"/>
    <w:rsid w:val="00304740"/>
    <w:rsid w:val="00305B6E"/>
    <w:rsid w:val="0030746F"/>
    <w:rsid w:val="00311AC4"/>
    <w:rsid w:val="003144DB"/>
    <w:rsid w:val="0031555D"/>
    <w:rsid w:val="00315655"/>
    <w:rsid w:val="00315B32"/>
    <w:rsid w:val="00315BDC"/>
    <w:rsid w:val="00317846"/>
    <w:rsid w:val="003238C6"/>
    <w:rsid w:val="00324559"/>
    <w:rsid w:val="00324EEE"/>
    <w:rsid w:val="0032557A"/>
    <w:rsid w:val="00326C76"/>
    <w:rsid w:val="00327C88"/>
    <w:rsid w:val="00331CFE"/>
    <w:rsid w:val="00334C0F"/>
    <w:rsid w:val="00335268"/>
    <w:rsid w:val="003358FF"/>
    <w:rsid w:val="00336783"/>
    <w:rsid w:val="00340428"/>
    <w:rsid w:val="0034365B"/>
    <w:rsid w:val="00343821"/>
    <w:rsid w:val="00344636"/>
    <w:rsid w:val="00347B79"/>
    <w:rsid w:val="003509A8"/>
    <w:rsid w:val="00354130"/>
    <w:rsid w:val="00354545"/>
    <w:rsid w:val="0035568C"/>
    <w:rsid w:val="00355908"/>
    <w:rsid w:val="00360223"/>
    <w:rsid w:val="0036135C"/>
    <w:rsid w:val="00361AFA"/>
    <w:rsid w:val="00362D0C"/>
    <w:rsid w:val="0036518F"/>
    <w:rsid w:val="0036768D"/>
    <w:rsid w:val="00370070"/>
    <w:rsid w:val="00374362"/>
    <w:rsid w:val="003779B1"/>
    <w:rsid w:val="00377B12"/>
    <w:rsid w:val="00380147"/>
    <w:rsid w:val="00381C7D"/>
    <w:rsid w:val="00384BD6"/>
    <w:rsid w:val="0038512C"/>
    <w:rsid w:val="00385963"/>
    <w:rsid w:val="00385C9B"/>
    <w:rsid w:val="00386068"/>
    <w:rsid w:val="003872BA"/>
    <w:rsid w:val="00387D77"/>
    <w:rsid w:val="00390E63"/>
    <w:rsid w:val="003910AB"/>
    <w:rsid w:val="003922EF"/>
    <w:rsid w:val="00394A57"/>
    <w:rsid w:val="00394F8D"/>
    <w:rsid w:val="00397415"/>
    <w:rsid w:val="00397FA0"/>
    <w:rsid w:val="003A09E1"/>
    <w:rsid w:val="003A195D"/>
    <w:rsid w:val="003A2CB2"/>
    <w:rsid w:val="003A33DE"/>
    <w:rsid w:val="003A4D1C"/>
    <w:rsid w:val="003A5C84"/>
    <w:rsid w:val="003A6207"/>
    <w:rsid w:val="003B257A"/>
    <w:rsid w:val="003B4B7F"/>
    <w:rsid w:val="003B7145"/>
    <w:rsid w:val="003B7521"/>
    <w:rsid w:val="003B7D83"/>
    <w:rsid w:val="003C0C4D"/>
    <w:rsid w:val="003C11CC"/>
    <w:rsid w:val="003C3DB4"/>
    <w:rsid w:val="003C3EB9"/>
    <w:rsid w:val="003D0EC1"/>
    <w:rsid w:val="003D4531"/>
    <w:rsid w:val="003D52BB"/>
    <w:rsid w:val="003D5E8B"/>
    <w:rsid w:val="003E2A94"/>
    <w:rsid w:val="003E3748"/>
    <w:rsid w:val="003E4DA7"/>
    <w:rsid w:val="003F0CD8"/>
    <w:rsid w:val="003F2E88"/>
    <w:rsid w:val="003F76ED"/>
    <w:rsid w:val="0040221F"/>
    <w:rsid w:val="00404202"/>
    <w:rsid w:val="00405019"/>
    <w:rsid w:val="00406BA9"/>
    <w:rsid w:val="00410C9A"/>
    <w:rsid w:val="0041242B"/>
    <w:rsid w:val="00421AB5"/>
    <w:rsid w:val="00424212"/>
    <w:rsid w:val="0042433B"/>
    <w:rsid w:val="00424CF9"/>
    <w:rsid w:val="0043208D"/>
    <w:rsid w:val="004333B4"/>
    <w:rsid w:val="00434203"/>
    <w:rsid w:val="004417EC"/>
    <w:rsid w:val="004436A1"/>
    <w:rsid w:val="00444C22"/>
    <w:rsid w:val="0045106D"/>
    <w:rsid w:val="00452C3E"/>
    <w:rsid w:val="00452C6C"/>
    <w:rsid w:val="0045451B"/>
    <w:rsid w:val="00454A92"/>
    <w:rsid w:val="00457D54"/>
    <w:rsid w:val="004627C4"/>
    <w:rsid w:val="0046283B"/>
    <w:rsid w:val="004634AC"/>
    <w:rsid w:val="00464294"/>
    <w:rsid w:val="00470CA2"/>
    <w:rsid w:val="00471DE0"/>
    <w:rsid w:val="004735CE"/>
    <w:rsid w:val="0047464A"/>
    <w:rsid w:val="00474658"/>
    <w:rsid w:val="00476D98"/>
    <w:rsid w:val="0047797E"/>
    <w:rsid w:val="00485E40"/>
    <w:rsid w:val="00486A76"/>
    <w:rsid w:val="00496D41"/>
    <w:rsid w:val="00497C34"/>
    <w:rsid w:val="00497F06"/>
    <w:rsid w:val="004A3757"/>
    <w:rsid w:val="004A71CD"/>
    <w:rsid w:val="004A7B73"/>
    <w:rsid w:val="004B1283"/>
    <w:rsid w:val="004B6394"/>
    <w:rsid w:val="004C48F1"/>
    <w:rsid w:val="004C6034"/>
    <w:rsid w:val="004C74D2"/>
    <w:rsid w:val="004D01EC"/>
    <w:rsid w:val="004D2226"/>
    <w:rsid w:val="004D3941"/>
    <w:rsid w:val="004D748A"/>
    <w:rsid w:val="004E2421"/>
    <w:rsid w:val="004E3C94"/>
    <w:rsid w:val="004E5E03"/>
    <w:rsid w:val="004E6489"/>
    <w:rsid w:val="004E6662"/>
    <w:rsid w:val="004F0DA4"/>
    <w:rsid w:val="004F0E23"/>
    <w:rsid w:val="004F2AA8"/>
    <w:rsid w:val="004F54D6"/>
    <w:rsid w:val="004F568A"/>
    <w:rsid w:val="004F5F85"/>
    <w:rsid w:val="00500981"/>
    <w:rsid w:val="00500F19"/>
    <w:rsid w:val="005020EC"/>
    <w:rsid w:val="00502E52"/>
    <w:rsid w:val="00504DEC"/>
    <w:rsid w:val="00510D3E"/>
    <w:rsid w:val="00512F04"/>
    <w:rsid w:val="00516555"/>
    <w:rsid w:val="005256CF"/>
    <w:rsid w:val="00527FF7"/>
    <w:rsid w:val="00532AA0"/>
    <w:rsid w:val="00535306"/>
    <w:rsid w:val="00535B77"/>
    <w:rsid w:val="005360AE"/>
    <w:rsid w:val="00542C43"/>
    <w:rsid w:val="00545C75"/>
    <w:rsid w:val="00551299"/>
    <w:rsid w:val="00555DF5"/>
    <w:rsid w:val="005628E2"/>
    <w:rsid w:val="005639D3"/>
    <w:rsid w:val="00566A3B"/>
    <w:rsid w:val="00572006"/>
    <w:rsid w:val="00572564"/>
    <w:rsid w:val="00573E74"/>
    <w:rsid w:val="00574BC2"/>
    <w:rsid w:val="0057790F"/>
    <w:rsid w:val="00580918"/>
    <w:rsid w:val="00581C03"/>
    <w:rsid w:val="00582470"/>
    <w:rsid w:val="00582542"/>
    <w:rsid w:val="005876FB"/>
    <w:rsid w:val="00591AB0"/>
    <w:rsid w:val="005932DD"/>
    <w:rsid w:val="00594DE5"/>
    <w:rsid w:val="00594EFD"/>
    <w:rsid w:val="00595083"/>
    <w:rsid w:val="00597B59"/>
    <w:rsid w:val="005A0F1F"/>
    <w:rsid w:val="005A12D7"/>
    <w:rsid w:val="005A29D6"/>
    <w:rsid w:val="005A2BB7"/>
    <w:rsid w:val="005A5217"/>
    <w:rsid w:val="005A5B6A"/>
    <w:rsid w:val="005A7F8C"/>
    <w:rsid w:val="005B0C92"/>
    <w:rsid w:val="005B3931"/>
    <w:rsid w:val="005B7E20"/>
    <w:rsid w:val="005C0BF3"/>
    <w:rsid w:val="005C1736"/>
    <w:rsid w:val="005C1D42"/>
    <w:rsid w:val="005C1F4C"/>
    <w:rsid w:val="005C412B"/>
    <w:rsid w:val="005C4835"/>
    <w:rsid w:val="005C494F"/>
    <w:rsid w:val="005C5A53"/>
    <w:rsid w:val="005C7769"/>
    <w:rsid w:val="005D5964"/>
    <w:rsid w:val="005D5F1D"/>
    <w:rsid w:val="005D67D8"/>
    <w:rsid w:val="005E37E8"/>
    <w:rsid w:val="005F0F53"/>
    <w:rsid w:val="005F175A"/>
    <w:rsid w:val="005F584A"/>
    <w:rsid w:val="005F6E24"/>
    <w:rsid w:val="00600884"/>
    <w:rsid w:val="00604695"/>
    <w:rsid w:val="0060523F"/>
    <w:rsid w:val="0060625D"/>
    <w:rsid w:val="00607A83"/>
    <w:rsid w:val="00611789"/>
    <w:rsid w:val="00611BAA"/>
    <w:rsid w:val="00612D18"/>
    <w:rsid w:val="00615037"/>
    <w:rsid w:val="00615949"/>
    <w:rsid w:val="00615BB7"/>
    <w:rsid w:val="00615BE8"/>
    <w:rsid w:val="00615EE0"/>
    <w:rsid w:val="00616A16"/>
    <w:rsid w:val="006175AF"/>
    <w:rsid w:val="006207ED"/>
    <w:rsid w:val="00621954"/>
    <w:rsid w:val="00623361"/>
    <w:rsid w:val="00624063"/>
    <w:rsid w:val="00624BA9"/>
    <w:rsid w:val="0062575C"/>
    <w:rsid w:val="00632EE1"/>
    <w:rsid w:val="006339EB"/>
    <w:rsid w:val="0063541B"/>
    <w:rsid w:val="00643FF6"/>
    <w:rsid w:val="00645706"/>
    <w:rsid w:val="00646E58"/>
    <w:rsid w:val="00651982"/>
    <w:rsid w:val="0065218E"/>
    <w:rsid w:val="0065577B"/>
    <w:rsid w:val="006559E3"/>
    <w:rsid w:val="00657577"/>
    <w:rsid w:val="00657ADC"/>
    <w:rsid w:val="006610DC"/>
    <w:rsid w:val="00662B4B"/>
    <w:rsid w:val="006634A3"/>
    <w:rsid w:val="006660B2"/>
    <w:rsid w:val="0067056E"/>
    <w:rsid w:val="00670AAC"/>
    <w:rsid w:val="00671A0A"/>
    <w:rsid w:val="00672FB3"/>
    <w:rsid w:val="006739CA"/>
    <w:rsid w:val="006779AE"/>
    <w:rsid w:val="0068090E"/>
    <w:rsid w:val="0068258E"/>
    <w:rsid w:val="00682CDE"/>
    <w:rsid w:val="006855AC"/>
    <w:rsid w:val="006855CF"/>
    <w:rsid w:val="00686205"/>
    <w:rsid w:val="00686671"/>
    <w:rsid w:val="006874C5"/>
    <w:rsid w:val="0069141A"/>
    <w:rsid w:val="00691434"/>
    <w:rsid w:val="00691790"/>
    <w:rsid w:val="0069275C"/>
    <w:rsid w:val="006933C3"/>
    <w:rsid w:val="006956E6"/>
    <w:rsid w:val="00697045"/>
    <w:rsid w:val="006A220C"/>
    <w:rsid w:val="006A27BD"/>
    <w:rsid w:val="006A337B"/>
    <w:rsid w:val="006A4E08"/>
    <w:rsid w:val="006A53B2"/>
    <w:rsid w:val="006A57D6"/>
    <w:rsid w:val="006A58BC"/>
    <w:rsid w:val="006A7E49"/>
    <w:rsid w:val="006B0925"/>
    <w:rsid w:val="006B6B51"/>
    <w:rsid w:val="006C40C7"/>
    <w:rsid w:val="006C5773"/>
    <w:rsid w:val="006C792E"/>
    <w:rsid w:val="006D023E"/>
    <w:rsid w:val="006D1EB4"/>
    <w:rsid w:val="006D1FF4"/>
    <w:rsid w:val="006D3BBD"/>
    <w:rsid w:val="006D3E86"/>
    <w:rsid w:val="006D3EB7"/>
    <w:rsid w:val="006D4F75"/>
    <w:rsid w:val="006D75EB"/>
    <w:rsid w:val="006D77CF"/>
    <w:rsid w:val="006D7B49"/>
    <w:rsid w:val="006D7DC5"/>
    <w:rsid w:val="006E0A2E"/>
    <w:rsid w:val="006E1269"/>
    <w:rsid w:val="006E20E8"/>
    <w:rsid w:val="006E5BDE"/>
    <w:rsid w:val="006E72DC"/>
    <w:rsid w:val="006E7D38"/>
    <w:rsid w:val="006F0870"/>
    <w:rsid w:val="006F43CA"/>
    <w:rsid w:val="006F6119"/>
    <w:rsid w:val="006F6F82"/>
    <w:rsid w:val="006F7EF4"/>
    <w:rsid w:val="007026DD"/>
    <w:rsid w:val="00702770"/>
    <w:rsid w:val="00702964"/>
    <w:rsid w:val="00702EBC"/>
    <w:rsid w:val="00703FCE"/>
    <w:rsid w:val="00706164"/>
    <w:rsid w:val="00707B68"/>
    <w:rsid w:val="007126C4"/>
    <w:rsid w:val="00721DCE"/>
    <w:rsid w:val="007221E6"/>
    <w:rsid w:val="00724249"/>
    <w:rsid w:val="007258CF"/>
    <w:rsid w:val="00733253"/>
    <w:rsid w:val="007355AF"/>
    <w:rsid w:val="00737731"/>
    <w:rsid w:val="00740210"/>
    <w:rsid w:val="007411D5"/>
    <w:rsid w:val="00743E56"/>
    <w:rsid w:val="007443C5"/>
    <w:rsid w:val="00747E78"/>
    <w:rsid w:val="007521EC"/>
    <w:rsid w:val="007536D0"/>
    <w:rsid w:val="00753923"/>
    <w:rsid w:val="007544BA"/>
    <w:rsid w:val="00756648"/>
    <w:rsid w:val="00764E77"/>
    <w:rsid w:val="00765A48"/>
    <w:rsid w:val="007724CE"/>
    <w:rsid w:val="0077400D"/>
    <w:rsid w:val="00776DEE"/>
    <w:rsid w:val="00780A10"/>
    <w:rsid w:val="00780C21"/>
    <w:rsid w:val="007838BA"/>
    <w:rsid w:val="00786F30"/>
    <w:rsid w:val="0079167D"/>
    <w:rsid w:val="00797108"/>
    <w:rsid w:val="007A0931"/>
    <w:rsid w:val="007A2D1A"/>
    <w:rsid w:val="007A4309"/>
    <w:rsid w:val="007A52D4"/>
    <w:rsid w:val="007B2C08"/>
    <w:rsid w:val="007B3F44"/>
    <w:rsid w:val="007B4432"/>
    <w:rsid w:val="007B627D"/>
    <w:rsid w:val="007B6E7F"/>
    <w:rsid w:val="007C0292"/>
    <w:rsid w:val="007C156E"/>
    <w:rsid w:val="007C1DD4"/>
    <w:rsid w:val="007C2C63"/>
    <w:rsid w:val="007C53A1"/>
    <w:rsid w:val="007C58BD"/>
    <w:rsid w:val="007C5C46"/>
    <w:rsid w:val="007C5D4B"/>
    <w:rsid w:val="007D00B1"/>
    <w:rsid w:val="007D0E36"/>
    <w:rsid w:val="007D1BA6"/>
    <w:rsid w:val="007D4029"/>
    <w:rsid w:val="007D5949"/>
    <w:rsid w:val="007D6219"/>
    <w:rsid w:val="007D78AA"/>
    <w:rsid w:val="007E2E67"/>
    <w:rsid w:val="007E3F69"/>
    <w:rsid w:val="007E4105"/>
    <w:rsid w:val="007E58E0"/>
    <w:rsid w:val="007E7735"/>
    <w:rsid w:val="007F1254"/>
    <w:rsid w:val="007F1374"/>
    <w:rsid w:val="007F4758"/>
    <w:rsid w:val="007F74DB"/>
    <w:rsid w:val="00800EE1"/>
    <w:rsid w:val="008028E2"/>
    <w:rsid w:val="008057E8"/>
    <w:rsid w:val="008076A8"/>
    <w:rsid w:val="00811663"/>
    <w:rsid w:val="00811CAE"/>
    <w:rsid w:val="00812FC0"/>
    <w:rsid w:val="0081537B"/>
    <w:rsid w:val="00817D96"/>
    <w:rsid w:val="008259CD"/>
    <w:rsid w:val="00825DC9"/>
    <w:rsid w:val="00831791"/>
    <w:rsid w:val="00831DF3"/>
    <w:rsid w:val="008326E7"/>
    <w:rsid w:val="00835A45"/>
    <w:rsid w:val="00836B1D"/>
    <w:rsid w:val="00840C5E"/>
    <w:rsid w:val="00840FEE"/>
    <w:rsid w:val="00841394"/>
    <w:rsid w:val="0084241F"/>
    <w:rsid w:val="0084434E"/>
    <w:rsid w:val="008452E0"/>
    <w:rsid w:val="008506B1"/>
    <w:rsid w:val="008510CC"/>
    <w:rsid w:val="00854AD5"/>
    <w:rsid w:val="00856751"/>
    <w:rsid w:val="00856C91"/>
    <w:rsid w:val="00860C47"/>
    <w:rsid w:val="008610CD"/>
    <w:rsid w:val="00863417"/>
    <w:rsid w:val="0086343C"/>
    <w:rsid w:val="00863D76"/>
    <w:rsid w:val="008646F3"/>
    <w:rsid w:val="0086509B"/>
    <w:rsid w:val="0087296A"/>
    <w:rsid w:val="0087515B"/>
    <w:rsid w:val="00876262"/>
    <w:rsid w:val="008776A5"/>
    <w:rsid w:val="008867E5"/>
    <w:rsid w:val="00887A41"/>
    <w:rsid w:val="00891049"/>
    <w:rsid w:val="008927D5"/>
    <w:rsid w:val="00892E95"/>
    <w:rsid w:val="00896E98"/>
    <w:rsid w:val="00897403"/>
    <w:rsid w:val="008A40C0"/>
    <w:rsid w:val="008A5923"/>
    <w:rsid w:val="008B09CA"/>
    <w:rsid w:val="008B1120"/>
    <w:rsid w:val="008B169A"/>
    <w:rsid w:val="008B1AA1"/>
    <w:rsid w:val="008B1BFF"/>
    <w:rsid w:val="008B3B9F"/>
    <w:rsid w:val="008B4AD6"/>
    <w:rsid w:val="008B4BE6"/>
    <w:rsid w:val="008C0948"/>
    <w:rsid w:val="008C261E"/>
    <w:rsid w:val="008C2D52"/>
    <w:rsid w:val="008C2DD5"/>
    <w:rsid w:val="008C4ACD"/>
    <w:rsid w:val="008C59A4"/>
    <w:rsid w:val="008C71C0"/>
    <w:rsid w:val="008D1DB5"/>
    <w:rsid w:val="008D2C47"/>
    <w:rsid w:val="008D7623"/>
    <w:rsid w:val="008E0836"/>
    <w:rsid w:val="008E2130"/>
    <w:rsid w:val="008E41BE"/>
    <w:rsid w:val="008F1070"/>
    <w:rsid w:val="008F12A1"/>
    <w:rsid w:val="008F1CA9"/>
    <w:rsid w:val="008F3624"/>
    <w:rsid w:val="008F73D1"/>
    <w:rsid w:val="009002CA"/>
    <w:rsid w:val="0090309F"/>
    <w:rsid w:val="00903AF9"/>
    <w:rsid w:val="00904735"/>
    <w:rsid w:val="0090579F"/>
    <w:rsid w:val="00905BA1"/>
    <w:rsid w:val="00907EEE"/>
    <w:rsid w:val="00910001"/>
    <w:rsid w:val="00914285"/>
    <w:rsid w:val="009143C9"/>
    <w:rsid w:val="00915A40"/>
    <w:rsid w:val="00917C20"/>
    <w:rsid w:val="009201C9"/>
    <w:rsid w:val="0092070F"/>
    <w:rsid w:val="00921C7B"/>
    <w:rsid w:val="00923FDB"/>
    <w:rsid w:val="00924F1B"/>
    <w:rsid w:val="00926EA4"/>
    <w:rsid w:val="00927777"/>
    <w:rsid w:val="00930424"/>
    <w:rsid w:val="00933778"/>
    <w:rsid w:val="00936317"/>
    <w:rsid w:val="00942BCB"/>
    <w:rsid w:val="00942F03"/>
    <w:rsid w:val="00945B45"/>
    <w:rsid w:val="00945D6F"/>
    <w:rsid w:val="009511C6"/>
    <w:rsid w:val="00953155"/>
    <w:rsid w:val="00961B81"/>
    <w:rsid w:val="00962ED5"/>
    <w:rsid w:val="00965D6B"/>
    <w:rsid w:val="00971561"/>
    <w:rsid w:val="00974A5D"/>
    <w:rsid w:val="009761DA"/>
    <w:rsid w:val="009763E6"/>
    <w:rsid w:val="00984553"/>
    <w:rsid w:val="009858FE"/>
    <w:rsid w:val="00985B0D"/>
    <w:rsid w:val="009860EA"/>
    <w:rsid w:val="00990719"/>
    <w:rsid w:val="0099086B"/>
    <w:rsid w:val="0099315C"/>
    <w:rsid w:val="00995FF8"/>
    <w:rsid w:val="009A092F"/>
    <w:rsid w:val="009A1225"/>
    <w:rsid w:val="009A1A27"/>
    <w:rsid w:val="009A2637"/>
    <w:rsid w:val="009A2B82"/>
    <w:rsid w:val="009B507B"/>
    <w:rsid w:val="009B6284"/>
    <w:rsid w:val="009C02E5"/>
    <w:rsid w:val="009C0E0E"/>
    <w:rsid w:val="009C26E3"/>
    <w:rsid w:val="009C37D1"/>
    <w:rsid w:val="009C441A"/>
    <w:rsid w:val="009C68AC"/>
    <w:rsid w:val="009C6DD1"/>
    <w:rsid w:val="009C7CD6"/>
    <w:rsid w:val="009D0EC3"/>
    <w:rsid w:val="009D15C1"/>
    <w:rsid w:val="009D1D38"/>
    <w:rsid w:val="009D2789"/>
    <w:rsid w:val="009D4C0F"/>
    <w:rsid w:val="009D7C44"/>
    <w:rsid w:val="009E231B"/>
    <w:rsid w:val="009E4DA5"/>
    <w:rsid w:val="009E69D6"/>
    <w:rsid w:val="009E7B86"/>
    <w:rsid w:val="009F366D"/>
    <w:rsid w:val="009F45EC"/>
    <w:rsid w:val="009F5E61"/>
    <w:rsid w:val="009F71C4"/>
    <w:rsid w:val="00A0030C"/>
    <w:rsid w:val="00A0058B"/>
    <w:rsid w:val="00A00DD6"/>
    <w:rsid w:val="00A04940"/>
    <w:rsid w:val="00A06362"/>
    <w:rsid w:val="00A1160E"/>
    <w:rsid w:val="00A11670"/>
    <w:rsid w:val="00A13D8B"/>
    <w:rsid w:val="00A175C4"/>
    <w:rsid w:val="00A21F24"/>
    <w:rsid w:val="00A2390C"/>
    <w:rsid w:val="00A242F3"/>
    <w:rsid w:val="00A244A2"/>
    <w:rsid w:val="00A24A81"/>
    <w:rsid w:val="00A32ABB"/>
    <w:rsid w:val="00A32FCD"/>
    <w:rsid w:val="00A34443"/>
    <w:rsid w:val="00A345F7"/>
    <w:rsid w:val="00A34B12"/>
    <w:rsid w:val="00A35690"/>
    <w:rsid w:val="00A404F7"/>
    <w:rsid w:val="00A4149A"/>
    <w:rsid w:val="00A42581"/>
    <w:rsid w:val="00A51447"/>
    <w:rsid w:val="00A51C2F"/>
    <w:rsid w:val="00A53CB9"/>
    <w:rsid w:val="00A53F34"/>
    <w:rsid w:val="00A540EB"/>
    <w:rsid w:val="00A5538B"/>
    <w:rsid w:val="00A5539A"/>
    <w:rsid w:val="00A60B97"/>
    <w:rsid w:val="00A64A3C"/>
    <w:rsid w:val="00A71E51"/>
    <w:rsid w:val="00A71E72"/>
    <w:rsid w:val="00A764E4"/>
    <w:rsid w:val="00A77F56"/>
    <w:rsid w:val="00A92DB0"/>
    <w:rsid w:val="00A954D0"/>
    <w:rsid w:val="00A954D1"/>
    <w:rsid w:val="00A95A2D"/>
    <w:rsid w:val="00A9762C"/>
    <w:rsid w:val="00AA34B1"/>
    <w:rsid w:val="00AA4D90"/>
    <w:rsid w:val="00AA6A0D"/>
    <w:rsid w:val="00AA6D1A"/>
    <w:rsid w:val="00AA719D"/>
    <w:rsid w:val="00AB06B2"/>
    <w:rsid w:val="00AB1C3D"/>
    <w:rsid w:val="00AB29A8"/>
    <w:rsid w:val="00AB70CE"/>
    <w:rsid w:val="00AB7679"/>
    <w:rsid w:val="00AB7D22"/>
    <w:rsid w:val="00AC22A5"/>
    <w:rsid w:val="00AC2670"/>
    <w:rsid w:val="00AC33E5"/>
    <w:rsid w:val="00AC39E5"/>
    <w:rsid w:val="00AC3C20"/>
    <w:rsid w:val="00AC567C"/>
    <w:rsid w:val="00AD02D3"/>
    <w:rsid w:val="00AD0817"/>
    <w:rsid w:val="00AD3358"/>
    <w:rsid w:val="00AE1C50"/>
    <w:rsid w:val="00AE1F78"/>
    <w:rsid w:val="00AE37BE"/>
    <w:rsid w:val="00AE6D90"/>
    <w:rsid w:val="00AF0B27"/>
    <w:rsid w:val="00AF13CE"/>
    <w:rsid w:val="00AF23AF"/>
    <w:rsid w:val="00AF4E3A"/>
    <w:rsid w:val="00AF4EFA"/>
    <w:rsid w:val="00AF6A53"/>
    <w:rsid w:val="00B00257"/>
    <w:rsid w:val="00B00C38"/>
    <w:rsid w:val="00B02BEB"/>
    <w:rsid w:val="00B039D7"/>
    <w:rsid w:val="00B03EEE"/>
    <w:rsid w:val="00B07F61"/>
    <w:rsid w:val="00B11EFC"/>
    <w:rsid w:val="00B133DC"/>
    <w:rsid w:val="00B15210"/>
    <w:rsid w:val="00B1623B"/>
    <w:rsid w:val="00B171EA"/>
    <w:rsid w:val="00B24403"/>
    <w:rsid w:val="00B25206"/>
    <w:rsid w:val="00B258DC"/>
    <w:rsid w:val="00B30513"/>
    <w:rsid w:val="00B32239"/>
    <w:rsid w:val="00B364E3"/>
    <w:rsid w:val="00B403DD"/>
    <w:rsid w:val="00B42DDB"/>
    <w:rsid w:val="00B45346"/>
    <w:rsid w:val="00B472D0"/>
    <w:rsid w:val="00B54D77"/>
    <w:rsid w:val="00B56B2D"/>
    <w:rsid w:val="00B6145A"/>
    <w:rsid w:val="00B61570"/>
    <w:rsid w:val="00B6443C"/>
    <w:rsid w:val="00B6585E"/>
    <w:rsid w:val="00B663CF"/>
    <w:rsid w:val="00B72578"/>
    <w:rsid w:val="00B744FB"/>
    <w:rsid w:val="00B764AF"/>
    <w:rsid w:val="00B77488"/>
    <w:rsid w:val="00B82AB9"/>
    <w:rsid w:val="00B83042"/>
    <w:rsid w:val="00B84A8E"/>
    <w:rsid w:val="00B85252"/>
    <w:rsid w:val="00B86F48"/>
    <w:rsid w:val="00B877B2"/>
    <w:rsid w:val="00B90C3E"/>
    <w:rsid w:val="00B92D67"/>
    <w:rsid w:val="00B952D8"/>
    <w:rsid w:val="00B9615A"/>
    <w:rsid w:val="00BA1245"/>
    <w:rsid w:val="00BA1CBE"/>
    <w:rsid w:val="00BA3831"/>
    <w:rsid w:val="00BA500B"/>
    <w:rsid w:val="00BA5B5B"/>
    <w:rsid w:val="00BA6B3E"/>
    <w:rsid w:val="00BA75E3"/>
    <w:rsid w:val="00BA7C15"/>
    <w:rsid w:val="00BB008B"/>
    <w:rsid w:val="00BB0093"/>
    <w:rsid w:val="00BB2181"/>
    <w:rsid w:val="00BB28DA"/>
    <w:rsid w:val="00BB3C82"/>
    <w:rsid w:val="00BB46FE"/>
    <w:rsid w:val="00BB57F6"/>
    <w:rsid w:val="00BC0A96"/>
    <w:rsid w:val="00BC131D"/>
    <w:rsid w:val="00BC2684"/>
    <w:rsid w:val="00BC2A4B"/>
    <w:rsid w:val="00BC35AA"/>
    <w:rsid w:val="00BC4B77"/>
    <w:rsid w:val="00BC5BB3"/>
    <w:rsid w:val="00BD2F0F"/>
    <w:rsid w:val="00BD4442"/>
    <w:rsid w:val="00BD53BD"/>
    <w:rsid w:val="00BD5DEF"/>
    <w:rsid w:val="00BD6EF4"/>
    <w:rsid w:val="00BE2CD9"/>
    <w:rsid w:val="00BE4566"/>
    <w:rsid w:val="00BE4802"/>
    <w:rsid w:val="00BF170E"/>
    <w:rsid w:val="00BF2C32"/>
    <w:rsid w:val="00BF3632"/>
    <w:rsid w:val="00BF42E0"/>
    <w:rsid w:val="00BF509C"/>
    <w:rsid w:val="00BF62F0"/>
    <w:rsid w:val="00BF64B9"/>
    <w:rsid w:val="00BF7CF6"/>
    <w:rsid w:val="00C023E9"/>
    <w:rsid w:val="00C025A0"/>
    <w:rsid w:val="00C0548D"/>
    <w:rsid w:val="00C059CE"/>
    <w:rsid w:val="00C06697"/>
    <w:rsid w:val="00C069DB"/>
    <w:rsid w:val="00C1196B"/>
    <w:rsid w:val="00C119D6"/>
    <w:rsid w:val="00C11A08"/>
    <w:rsid w:val="00C141D0"/>
    <w:rsid w:val="00C20A6C"/>
    <w:rsid w:val="00C20F98"/>
    <w:rsid w:val="00C21F77"/>
    <w:rsid w:val="00C2266C"/>
    <w:rsid w:val="00C2303E"/>
    <w:rsid w:val="00C249C9"/>
    <w:rsid w:val="00C27314"/>
    <w:rsid w:val="00C27BEF"/>
    <w:rsid w:val="00C32A74"/>
    <w:rsid w:val="00C33131"/>
    <w:rsid w:val="00C33BEA"/>
    <w:rsid w:val="00C35202"/>
    <w:rsid w:val="00C40799"/>
    <w:rsid w:val="00C42043"/>
    <w:rsid w:val="00C424F1"/>
    <w:rsid w:val="00C4345D"/>
    <w:rsid w:val="00C434CD"/>
    <w:rsid w:val="00C4424F"/>
    <w:rsid w:val="00C445CC"/>
    <w:rsid w:val="00C4599F"/>
    <w:rsid w:val="00C45F82"/>
    <w:rsid w:val="00C475F7"/>
    <w:rsid w:val="00C532C7"/>
    <w:rsid w:val="00C532F4"/>
    <w:rsid w:val="00C53E01"/>
    <w:rsid w:val="00C572C0"/>
    <w:rsid w:val="00C57EE8"/>
    <w:rsid w:val="00C62F8B"/>
    <w:rsid w:val="00C66F6F"/>
    <w:rsid w:val="00C67196"/>
    <w:rsid w:val="00C7138A"/>
    <w:rsid w:val="00C727D0"/>
    <w:rsid w:val="00C81CDA"/>
    <w:rsid w:val="00C81CE0"/>
    <w:rsid w:val="00C83148"/>
    <w:rsid w:val="00C846A9"/>
    <w:rsid w:val="00C85953"/>
    <w:rsid w:val="00C87B56"/>
    <w:rsid w:val="00C87CC2"/>
    <w:rsid w:val="00C924B2"/>
    <w:rsid w:val="00C97610"/>
    <w:rsid w:val="00CA2822"/>
    <w:rsid w:val="00CA3986"/>
    <w:rsid w:val="00CA5A4A"/>
    <w:rsid w:val="00CB128D"/>
    <w:rsid w:val="00CB2131"/>
    <w:rsid w:val="00CB342D"/>
    <w:rsid w:val="00CB6841"/>
    <w:rsid w:val="00CB6EB6"/>
    <w:rsid w:val="00CC092E"/>
    <w:rsid w:val="00CC0F8F"/>
    <w:rsid w:val="00CC314F"/>
    <w:rsid w:val="00CC451F"/>
    <w:rsid w:val="00CC52A2"/>
    <w:rsid w:val="00CC546D"/>
    <w:rsid w:val="00CC6D33"/>
    <w:rsid w:val="00CC7AC8"/>
    <w:rsid w:val="00CD0459"/>
    <w:rsid w:val="00CD1A66"/>
    <w:rsid w:val="00CD1F68"/>
    <w:rsid w:val="00CD25CB"/>
    <w:rsid w:val="00CD32EE"/>
    <w:rsid w:val="00CD3E6A"/>
    <w:rsid w:val="00CD688A"/>
    <w:rsid w:val="00CE0F29"/>
    <w:rsid w:val="00CE116D"/>
    <w:rsid w:val="00CE17DD"/>
    <w:rsid w:val="00CE1C4A"/>
    <w:rsid w:val="00CE224F"/>
    <w:rsid w:val="00CE70EC"/>
    <w:rsid w:val="00CF1464"/>
    <w:rsid w:val="00CF1BF6"/>
    <w:rsid w:val="00CF502B"/>
    <w:rsid w:val="00CF6CCE"/>
    <w:rsid w:val="00CF78F8"/>
    <w:rsid w:val="00D00C36"/>
    <w:rsid w:val="00D0145D"/>
    <w:rsid w:val="00D02424"/>
    <w:rsid w:val="00D07A16"/>
    <w:rsid w:val="00D109A1"/>
    <w:rsid w:val="00D12DE0"/>
    <w:rsid w:val="00D14E81"/>
    <w:rsid w:val="00D1647F"/>
    <w:rsid w:val="00D16C96"/>
    <w:rsid w:val="00D20F95"/>
    <w:rsid w:val="00D21095"/>
    <w:rsid w:val="00D23571"/>
    <w:rsid w:val="00D24C09"/>
    <w:rsid w:val="00D2702F"/>
    <w:rsid w:val="00D31080"/>
    <w:rsid w:val="00D35232"/>
    <w:rsid w:val="00D3742B"/>
    <w:rsid w:val="00D3779C"/>
    <w:rsid w:val="00D37DCA"/>
    <w:rsid w:val="00D40CC1"/>
    <w:rsid w:val="00D435AB"/>
    <w:rsid w:val="00D46A80"/>
    <w:rsid w:val="00D51B1F"/>
    <w:rsid w:val="00D51D47"/>
    <w:rsid w:val="00D54373"/>
    <w:rsid w:val="00D5533E"/>
    <w:rsid w:val="00D56AD0"/>
    <w:rsid w:val="00D56ADF"/>
    <w:rsid w:val="00D618E7"/>
    <w:rsid w:val="00D6209B"/>
    <w:rsid w:val="00D62225"/>
    <w:rsid w:val="00D65D20"/>
    <w:rsid w:val="00D745DA"/>
    <w:rsid w:val="00D769AE"/>
    <w:rsid w:val="00D77DA5"/>
    <w:rsid w:val="00D84420"/>
    <w:rsid w:val="00D85438"/>
    <w:rsid w:val="00D8630B"/>
    <w:rsid w:val="00D8673F"/>
    <w:rsid w:val="00D8732D"/>
    <w:rsid w:val="00D92438"/>
    <w:rsid w:val="00D927DB"/>
    <w:rsid w:val="00D94983"/>
    <w:rsid w:val="00D96CDB"/>
    <w:rsid w:val="00D97810"/>
    <w:rsid w:val="00DA0D76"/>
    <w:rsid w:val="00DA1274"/>
    <w:rsid w:val="00DA133C"/>
    <w:rsid w:val="00DA2B1D"/>
    <w:rsid w:val="00DA30A3"/>
    <w:rsid w:val="00DA5780"/>
    <w:rsid w:val="00DA624A"/>
    <w:rsid w:val="00DB08FB"/>
    <w:rsid w:val="00DB2D85"/>
    <w:rsid w:val="00DB7EE7"/>
    <w:rsid w:val="00DC0474"/>
    <w:rsid w:val="00DC2F45"/>
    <w:rsid w:val="00DC3E82"/>
    <w:rsid w:val="00DC529B"/>
    <w:rsid w:val="00DD563C"/>
    <w:rsid w:val="00DE06EE"/>
    <w:rsid w:val="00DE0E87"/>
    <w:rsid w:val="00DE1A5D"/>
    <w:rsid w:val="00DF0141"/>
    <w:rsid w:val="00DF0807"/>
    <w:rsid w:val="00DF17A9"/>
    <w:rsid w:val="00DF50FC"/>
    <w:rsid w:val="00DF513B"/>
    <w:rsid w:val="00DF71E8"/>
    <w:rsid w:val="00E0352C"/>
    <w:rsid w:val="00E07BB2"/>
    <w:rsid w:val="00E11E1A"/>
    <w:rsid w:val="00E12C95"/>
    <w:rsid w:val="00E14566"/>
    <w:rsid w:val="00E14911"/>
    <w:rsid w:val="00E14D20"/>
    <w:rsid w:val="00E15F4F"/>
    <w:rsid w:val="00E1783E"/>
    <w:rsid w:val="00E22660"/>
    <w:rsid w:val="00E232E0"/>
    <w:rsid w:val="00E23A5B"/>
    <w:rsid w:val="00E26487"/>
    <w:rsid w:val="00E27C27"/>
    <w:rsid w:val="00E27D66"/>
    <w:rsid w:val="00E3030C"/>
    <w:rsid w:val="00E32D87"/>
    <w:rsid w:val="00E32EAF"/>
    <w:rsid w:val="00E34BF8"/>
    <w:rsid w:val="00E357A8"/>
    <w:rsid w:val="00E35AFB"/>
    <w:rsid w:val="00E363BC"/>
    <w:rsid w:val="00E37DE1"/>
    <w:rsid w:val="00E44F7F"/>
    <w:rsid w:val="00E46141"/>
    <w:rsid w:val="00E471BA"/>
    <w:rsid w:val="00E505BB"/>
    <w:rsid w:val="00E50CC8"/>
    <w:rsid w:val="00E51FE8"/>
    <w:rsid w:val="00E5244F"/>
    <w:rsid w:val="00E55E57"/>
    <w:rsid w:val="00E56249"/>
    <w:rsid w:val="00E61232"/>
    <w:rsid w:val="00E6557B"/>
    <w:rsid w:val="00E67ACE"/>
    <w:rsid w:val="00E67BA7"/>
    <w:rsid w:val="00E71C23"/>
    <w:rsid w:val="00E71F8F"/>
    <w:rsid w:val="00E720D1"/>
    <w:rsid w:val="00E757FD"/>
    <w:rsid w:val="00E80D1C"/>
    <w:rsid w:val="00E83106"/>
    <w:rsid w:val="00E84140"/>
    <w:rsid w:val="00E85751"/>
    <w:rsid w:val="00E86DA1"/>
    <w:rsid w:val="00E87FAB"/>
    <w:rsid w:val="00E91248"/>
    <w:rsid w:val="00E93D69"/>
    <w:rsid w:val="00E94FA8"/>
    <w:rsid w:val="00EB4FD7"/>
    <w:rsid w:val="00EB607E"/>
    <w:rsid w:val="00EB682B"/>
    <w:rsid w:val="00EB68CE"/>
    <w:rsid w:val="00EB74F0"/>
    <w:rsid w:val="00EC100C"/>
    <w:rsid w:val="00EC501E"/>
    <w:rsid w:val="00EC564B"/>
    <w:rsid w:val="00EC6F58"/>
    <w:rsid w:val="00ED07B5"/>
    <w:rsid w:val="00ED1502"/>
    <w:rsid w:val="00ED1CC7"/>
    <w:rsid w:val="00ED4634"/>
    <w:rsid w:val="00ED4BA1"/>
    <w:rsid w:val="00ED5B48"/>
    <w:rsid w:val="00ED7733"/>
    <w:rsid w:val="00ED7CB3"/>
    <w:rsid w:val="00EE1123"/>
    <w:rsid w:val="00EE1447"/>
    <w:rsid w:val="00EE1706"/>
    <w:rsid w:val="00EE3A4F"/>
    <w:rsid w:val="00EE4379"/>
    <w:rsid w:val="00EE61BB"/>
    <w:rsid w:val="00EF0C91"/>
    <w:rsid w:val="00EF0E38"/>
    <w:rsid w:val="00EF2660"/>
    <w:rsid w:val="00EF26A2"/>
    <w:rsid w:val="00EF4197"/>
    <w:rsid w:val="00EF4979"/>
    <w:rsid w:val="00EF796A"/>
    <w:rsid w:val="00F06892"/>
    <w:rsid w:val="00F10E73"/>
    <w:rsid w:val="00F1429D"/>
    <w:rsid w:val="00F1446D"/>
    <w:rsid w:val="00F1668A"/>
    <w:rsid w:val="00F20914"/>
    <w:rsid w:val="00F269DE"/>
    <w:rsid w:val="00F26A4B"/>
    <w:rsid w:val="00F26E16"/>
    <w:rsid w:val="00F31636"/>
    <w:rsid w:val="00F33339"/>
    <w:rsid w:val="00F376E3"/>
    <w:rsid w:val="00F37ED4"/>
    <w:rsid w:val="00F4081E"/>
    <w:rsid w:val="00F40909"/>
    <w:rsid w:val="00F40A46"/>
    <w:rsid w:val="00F41D12"/>
    <w:rsid w:val="00F45235"/>
    <w:rsid w:val="00F47643"/>
    <w:rsid w:val="00F50B3C"/>
    <w:rsid w:val="00F51068"/>
    <w:rsid w:val="00F518FB"/>
    <w:rsid w:val="00F52EE9"/>
    <w:rsid w:val="00F53A55"/>
    <w:rsid w:val="00F54666"/>
    <w:rsid w:val="00F5592A"/>
    <w:rsid w:val="00F57E9D"/>
    <w:rsid w:val="00F60E88"/>
    <w:rsid w:val="00F6439D"/>
    <w:rsid w:val="00F66E1A"/>
    <w:rsid w:val="00F70A25"/>
    <w:rsid w:val="00F71EBB"/>
    <w:rsid w:val="00F728DA"/>
    <w:rsid w:val="00F84006"/>
    <w:rsid w:val="00F8474B"/>
    <w:rsid w:val="00F85369"/>
    <w:rsid w:val="00F8554D"/>
    <w:rsid w:val="00F865F0"/>
    <w:rsid w:val="00F919D5"/>
    <w:rsid w:val="00F9270E"/>
    <w:rsid w:val="00F95723"/>
    <w:rsid w:val="00F95D11"/>
    <w:rsid w:val="00F96C36"/>
    <w:rsid w:val="00FB4E60"/>
    <w:rsid w:val="00FB5050"/>
    <w:rsid w:val="00FC17BD"/>
    <w:rsid w:val="00FC4ACC"/>
    <w:rsid w:val="00FD0892"/>
    <w:rsid w:val="00FD4A9E"/>
    <w:rsid w:val="00FD6782"/>
    <w:rsid w:val="00FE0D98"/>
    <w:rsid w:val="00FE359B"/>
    <w:rsid w:val="00FE3C8D"/>
    <w:rsid w:val="00FE6240"/>
    <w:rsid w:val="00FE6885"/>
    <w:rsid w:val="00FF1C48"/>
    <w:rsid w:val="00FF22FB"/>
    <w:rsid w:val="00FF3986"/>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FE15B1E0-A98D-49FC-A8A8-F6EDB6BF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slitbdy">
    <w:name w:val="s_lit_bdy"/>
    <w:basedOn w:val="DefaultParagraphFont"/>
    <w:rsid w:val="00336783"/>
  </w:style>
  <w:style w:type="character" w:customStyle="1" w:styleId="salnbdy">
    <w:name w:val="s_aln_bdy"/>
    <w:basedOn w:val="DefaultParagraphFont"/>
    <w:rsid w:val="00336783"/>
  </w:style>
  <w:style w:type="character" w:customStyle="1" w:styleId="cf01">
    <w:name w:val="cf01"/>
    <w:basedOn w:val="DefaultParagraphFont"/>
    <w:rsid w:val="00682CDE"/>
    <w:rPr>
      <w:rFonts w:ascii="Segoe UI" w:hAnsi="Segoe UI" w:cs="Segoe UI" w:hint="default"/>
      <w:sz w:val="18"/>
      <w:szCs w:val="18"/>
    </w:rPr>
  </w:style>
  <w:style w:type="paragraph" w:customStyle="1" w:styleId="doc-ti">
    <w:name w:val="doc-ti"/>
    <w:basedOn w:val="Normal"/>
    <w:rsid w:val="00E471BA"/>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E471BA"/>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E4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098">
      <w:bodyDiv w:val="1"/>
      <w:marLeft w:val="0"/>
      <w:marRight w:val="0"/>
      <w:marTop w:val="0"/>
      <w:marBottom w:val="0"/>
      <w:divBdr>
        <w:top w:val="none" w:sz="0" w:space="0" w:color="auto"/>
        <w:left w:val="none" w:sz="0" w:space="0" w:color="auto"/>
        <w:bottom w:val="none" w:sz="0" w:space="0" w:color="auto"/>
        <w:right w:val="none" w:sz="0" w:space="0" w:color="auto"/>
      </w:divBdr>
    </w:div>
    <w:div w:id="85613946">
      <w:bodyDiv w:val="1"/>
      <w:marLeft w:val="0"/>
      <w:marRight w:val="0"/>
      <w:marTop w:val="0"/>
      <w:marBottom w:val="0"/>
      <w:divBdr>
        <w:top w:val="none" w:sz="0" w:space="0" w:color="auto"/>
        <w:left w:val="none" w:sz="0" w:space="0" w:color="auto"/>
        <w:bottom w:val="none" w:sz="0" w:space="0" w:color="auto"/>
        <w:right w:val="none" w:sz="0" w:space="0" w:color="auto"/>
      </w:divBdr>
    </w:div>
    <w:div w:id="116337086">
      <w:bodyDiv w:val="1"/>
      <w:marLeft w:val="0"/>
      <w:marRight w:val="0"/>
      <w:marTop w:val="0"/>
      <w:marBottom w:val="0"/>
      <w:divBdr>
        <w:top w:val="none" w:sz="0" w:space="0" w:color="auto"/>
        <w:left w:val="none" w:sz="0" w:space="0" w:color="auto"/>
        <w:bottom w:val="none" w:sz="0" w:space="0" w:color="auto"/>
        <w:right w:val="none" w:sz="0" w:space="0" w:color="auto"/>
      </w:divBdr>
    </w:div>
    <w:div w:id="116418198">
      <w:bodyDiv w:val="1"/>
      <w:marLeft w:val="0"/>
      <w:marRight w:val="0"/>
      <w:marTop w:val="0"/>
      <w:marBottom w:val="0"/>
      <w:divBdr>
        <w:top w:val="none" w:sz="0" w:space="0" w:color="auto"/>
        <w:left w:val="none" w:sz="0" w:space="0" w:color="auto"/>
        <w:bottom w:val="none" w:sz="0" w:space="0" w:color="auto"/>
        <w:right w:val="none" w:sz="0" w:space="0" w:color="auto"/>
      </w:divBdr>
    </w:div>
    <w:div w:id="129590504">
      <w:bodyDiv w:val="1"/>
      <w:marLeft w:val="0"/>
      <w:marRight w:val="0"/>
      <w:marTop w:val="0"/>
      <w:marBottom w:val="0"/>
      <w:divBdr>
        <w:top w:val="none" w:sz="0" w:space="0" w:color="auto"/>
        <w:left w:val="none" w:sz="0" w:space="0" w:color="auto"/>
        <w:bottom w:val="none" w:sz="0" w:space="0" w:color="auto"/>
        <w:right w:val="none" w:sz="0" w:space="0" w:color="auto"/>
      </w:divBdr>
    </w:div>
    <w:div w:id="134376146">
      <w:bodyDiv w:val="1"/>
      <w:marLeft w:val="0"/>
      <w:marRight w:val="0"/>
      <w:marTop w:val="0"/>
      <w:marBottom w:val="0"/>
      <w:divBdr>
        <w:top w:val="none" w:sz="0" w:space="0" w:color="auto"/>
        <w:left w:val="none" w:sz="0" w:space="0" w:color="auto"/>
        <w:bottom w:val="none" w:sz="0" w:space="0" w:color="auto"/>
        <w:right w:val="none" w:sz="0" w:space="0" w:color="auto"/>
      </w:divBdr>
    </w:div>
    <w:div w:id="136916594">
      <w:bodyDiv w:val="1"/>
      <w:marLeft w:val="0"/>
      <w:marRight w:val="0"/>
      <w:marTop w:val="0"/>
      <w:marBottom w:val="0"/>
      <w:divBdr>
        <w:top w:val="none" w:sz="0" w:space="0" w:color="auto"/>
        <w:left w:val="none" w:sz="0" w:space="0" w:color="auto"/>
        <w:bottom w:val="none" w:sz="0" w:space="0" w:color="auto"/>
        <w:right w:val="none" w:sz="0" w:space="0" w:color="auto"/>
      </w:divBdr>
    </w:div>
    <w:div w:id="160656606">
      <w:bodyDiv w:val="1"/>
      <w:marLeft w:val="0"/>
      <w:marRight w:val="0"/>
      <w:marTop w:val="0"/>
      <w:marBottom w:val="0"/>
      <w:divBdr>
        <w:top w:val="none" w:sz="0" w:space="0" w:color="auto"/>
        <w:left w:val="none" w:sz="0" w:space="0" w:color="auto"/>
        <w:bottom w:val="none" w:sz="0" w:space="0" w:color="auto"/>
        <w:right w:val="none" w:sz="0" w:space="0" w:color="auto"/>
      </w:divBdr>
    </w:div>
    <w:div w:id="169610655">
      <w:bodyDiv w:val="1"/>
      <w:marLeft w:val="0"/>
      <w:marRight w:val="0"/>
      <w:marTop w:val="0"/>
      <w:marBottom w:val="0"/>
      <w:divBdr>
        <w:top w:val="none" w:sz="0" w:space="0" w:color="auto"/>
        <w:left w:val="none" w:sz="0" w:space="0" w:color="auto"/>
        <w:bottom w:val="none" w:sz="0" w:space="0" w:color="auto"/>
        <w:right w:val="none" w:sz="0" w:space="0" w:color="auto"/>
      </w:divBdr>
    </w:div>
    <w:div w:id="181166239">
      <w:bodyDiv w:val="1"/>
      <w:marLeft w:val="0"/>
      <w:marRight w:val="0"/>
      <w:marTop w:val="0"/>
      <w:marBottom w:val="0"/>
      <w:divBdr>
        <w:top w:val="none" w:sz="0" w:space="0" w:color="auto"/>
        <w:left w:val="none" w:sz="0" w:space="0" w:color="auto"/>
        <w:bottom w:val="none" w:sz="0" w:space="0" w:color="auto"/>
        <w:right w:val="none" w:sz="0" w:space="0" w:color="auto"/>
      </w:divBdr>
    </w:div>
    <w:div w:id="186843520">
      <w:bodyDiv w:val="1"/>
      <w:marLeft w:val="0"/>
      <w:marRight w:val="0"/>
      <w:marTop w:val="0"/>
      <w:marBottom w:val="0"/>
      <w:divBdr>
        <w:top w:val="none" w:sz="0" w:space="0" w:color="auto"/>
        <w:left w:val="none" w:sz="0" w:space="0" w:color="auto"/>
        <w:bottom w:val="none" w:sz="0" w:space="0" w:color="auto"/>
        <w:right w:val="none" w:sz="0" w:space="0" w:color="auto"/>
      </w:divBdr>
    </w:div>
    <w:div w:id="204606944">
      <w:bodyDiv w:val="1"/>
      <w:marLeft w:val="0"/>
      <w:marRight w:val="0"/>
      <w:marTop w:val="0"/>
      <w:marBottom w:val="0"/>
      <w:divBdr>
        <w:top w:val="none" w:sz="0" w:space="0" w:color="auto"/>
        <w:left w:val="none" w:sz="0" w:space="0" w:color="auto"/>
        <w:bottom w:val="none" w:sz="0" w:space="0" w:color="auto"/>
        <w:right w:val="none" w:sz="0" w:space="0" w:color="auto"/>
      </w:divBdr>
    </w:div>
    <w:div w:id="205989272">
      <w:bodyDiv w:val="1"/>
      <w:marLeft w:val="0"/>
      <w:marRight w:val="0"/>
      <w:marTop w:val="0"/>
      <w:marBottom w:val="0"/>
      <w:divBdr>
        <w:top w:val="none" w:sz="0" w:space="0" w:color="auto"/>
        <w:left w:val="none" w:sz="0" w:space="0" w:color="auto"/>
        <w:bottom w:val="none" w:sz="0" w:space="0" w:color="auto"/>
        <w:right w:val="none" w:sz="0" w:space="0" w:color="auto"/>
      </w:divBdr>
    </w:div>
    <w:div w:id="213737779">
      <w:bodyDiv w:val="1"/>
      <w:marLeft w:val="0"/>
      <w:marRight w:val="0"/>
      <w:marTop w:val="0"/>
      <w:marBottom w:val="0"/>
      <w:divBdr>
        <w:top w:val="none" w:sz="0" w:space="0" w:color="auto"/>
        <w:left w:val="none" w:sz="0" w:space="0" w:color="auto"/>
        <w:bottom w:val="none" w:sz="0" w:space="0" w:color="auto"/>
        <w:right w:val="none" w:sz="0" w:space="0" w:color="auto"/>
      </w:divBdr>
    </w:div>
    <w:div w:id="230507798">
      <w:bodyDiv w:val="1"/>
      <w:marLeft w:val="0"/>
      <w:marRight w:val="0"/>
      <w:marTop w:val="0"/>
      <w:marBottom w:val="0"/>
      <w:divBdr>
        <w:top w:val="none" w:sz="0" w:space="0" w:color="auto"/>
        <w:left w:val="none" w:sz="0" w:space="0" w:color="auto"/>
        <w:bottom w:val="none" w:sz="0" w:space="0" w:color="auto"/>
        <w:right w:val="none" w:sz="0" w:space="0" w:color="auto"/>
      </w:divBdr>
    </w:div>
    <w:div w:id="245459507">
      <w:bodyDiv w:val="1"/>
      <w:marLeft w:val="0"/>
      <w:marRight w:val="0"/>
      <w:marTop w:val="0"/>
      <w:marBottom w:val="0"/>
      <w:divBdr>
        <w:top w:val="none" w:sz="0" w:space="0" w:color="auto"/>
        <w:left w:val="none" w:sz="0" w:space="0" w:color="auto"/>
        <w:bottom w:val="none" w:sz="0" w:space="0" w:color="auto"/>
        <w:right w:val="none" w:sz="0" w:space="0" w:color="auto"/>
      </w:divBdr>
    </w:div>
    <w:div w:id="248195753">
      <w:bodyDiv w:val="1"/>
      <w:marLeft w:val="0"/>
      <w:marRight w:val="0"/>
      <w:marTop w:val="0"/>
      <w:marBottom w:val="0"/>
      <w:divBdr>
        <w:top w:val="none" w:sz="0" w:space="0" w:color="auto"/>
        <w:left w:val="none" w:sz="0" w:space="0" w:color="auto"/>
        <w:bottom w:val="none" w:sz="0" w:space="0" w:color="auto"/>
        <w:right w:val="none" w:sz="0" w:space="0" w:color="auto"/>
      </w:divBdr>
    </w:div>
    <w:div w:id="249509258">
      <w:bodyDiv w:val="1"/>
      <w:marLeft w:val="0"/>
      <w:marRight w:val="0"/>
      <w:marTop w:val="0"/>
      <w:marBottom w:val="0"/>
      <w:divBdr>
        <w:top w:val="none" w:sz="0" w:space="0" w:color="auto"/>
        <w:left w:val="none" w:sz="0" w:space="0" w:color="auto"/>
        <w:bottom w:val="none" w:sz="0" w:space="0" w:color="auto"/>
        <w:right w:val="none" w:sz="0" w:space="0" w:color="auto"/>
      </w:divBdr>
    </w:div>
    <w:div w:id="251088872">
      <w:bodyDiv w:val="1"/>
      <w:marLeft w:val="0"/>
      <w:marRight w:val="0"/>
      <w:marTop w:val="0"/>
      <w:marBottom w:val="0"/>
      <w:divBdr>
        <w:top w:val="none" w:sz="0" w:space="0" w:color="auto"/>
        <w:left w:val="none" w:sz="0" w:space="0" w:color="auto"/>
        <w:bottom w:val="none" w:sz="0" w:space="0" w:color="auto"/>
        <w:right w:val="none" w:sz="0" w:space="0" w:color="auto"/>
      </w:divBdr>
    </w:div>
    <w:div w:id="281421603">
      <w:bodyDiv w:val="1"/>
      <w:marLeft w:val="0"/>
      <w:marRight w:val="0"/>
      <w:marTop w:val="0"/>
      <w:marBottom w:val="0"/>
      <w:divBdr>
        <w:top w:val="none" w:sz="0" w:space="0" w:color="auto"/>
        <w:left w:val="none" w:sz="0" w:space="0" w:color="auto"/>
        <w:bottom w:val="none" w:sz="0" w:space="0" w:color="auto"/>
        <w:right w:val="none" w:sz="0" w:space="0" w:color="auto"/>
      </w:divBdr>
    </w:div>
    <w:div w:id="287662571">
      <w:bodyDiv w:val="1"/>
      <w:marLeft w:val="0"/>
      <w:marRight w:val="0"/>
      <w:marTop w:val="0"/>
      <w:marBottom w:val="0"/>
      <w:divBdr>
        <w:top w:val="none" w:sz="0" w:space="0" w:color="auto"/>
        <w:left w:val="none" w:sz="0" w:space="0" w:color="auto"/>
        <w:bottom w:val="none" w:sz="0" w:space="0" w:color="auto"/>
        <w:right w:val="none" w:sz="0" w:space="0" w:color="auto"/>
      </w:divBdr>
    </w:div>
    <w:div w:id="301080622">
      <w:bodyDiv w:val="1"/>
      <w:marLeft w:val="0"/>
      <w:marRight w:val="0"/>
      <w:marTop w:val="0"/>
      <w:marBottom w:val="0"/>
      <w:divBdr>
        <w:top w:val="none" w:sz="0" w:space="0" w:color="auto"/>
        <w:left w:val="none" w:sz="0" w:space="0" w:color="auto"/>
        <w:bottom w:val="none" w:sz="0" w:space="0" w:color="auto"/>
        <w:right w:val="none" w:sz="0" w:space="0" w:color="auto"/>
      </w:divBdr>
    </w:div>
    <w:div w:id="310714655">
      <w:bodyDiv w:val="1"/>
      <w:marLeft w:val="0"/>
      <w:marRight w:val="0"/>
      <w:marTop w:val="0"/>
      <w:marBottom w:val="0"/>
      <w:divBdr>
        <w:top w:val="none" w:sz="0" w:space="0" w:color="auto"/>
        <w:left w:val="none" w:sz="0" w:space="0" w:color="auto"/>
        <w:bottom w:val="none" w:sz="0" w:space="0" w:color="auto"/>
        <w:right w:val="none" w:sz="0" w:space="0" w:color="auto"/>
      </w:divBdr>
    </w:div>
    <w:div w:id="338582780">
      <w:bodyDiv w:val="1"/>
      <w:marLeft w:val="0"/>
      <w:marRight w:val="0"/>
      <w:marTop w:val="0"/>
      <w:marBottom w:val="0"/>
      <w:divBdr>
        <w:top w:val="none" w:sz="0" w:space="0" w:color="auto"/>
        <w:left w:val="none" w:sz="0" w:space="0" w:color="auto"/>
        <w:bottom w:val="none" w:sz="0" w:space="0" w:color="auto"/>
        <w:right w:val="none" w:sz="0" w:space="0" w:color="auto"/>
      </w:divBdr>
    </w:div>
    <w:div w:id="355078433">
      <w:bodyDiv w:val="1"/>
      <w:marLeft w:val="0"/>
      <w:marRight w:val="0"/>
      <w:marTop w:val="0"/>
      <w:marBottom w:val="0"/>
      <w:divBdr>
        <w:top w:val="none" w:sz="0" w:space="0" w:color="auto"/>
        <w:left w:val="none" w:sz="0" w:space="0" w:color="auto"/>
        <w:bottom w:val="none" w:sz="0" w:space="0" w:color="auto"/>
        <w:right w:val="none" w:sz="0" w:space="0" w:color="auto"/>
      </w:divBdr>
    </w:div>
    <w:div w:id="355431008">
      <w:bodyDiv w:val="1"/>
      <w:marLeft w:val="0"/>
      <w:marRight w:val="0"/>
      <w:marTop w:val="0"/>
      <w:marBottom w:val="0"/>
      <w:divBdr>
        <w:top w:val="none" w:sz="0" w:space="0" w:color="auto"/>
        <w:left w:val="none" w:sz="0" w:space="0" w:color="auto"/>
        <w:bottom w:val="none" w:sz="0" w:space="0" w:color="auto"/>
        <w:right w:val="none" w:sz="0" w:space="0" w:color="auto"/>
      </w:divBdr>
    </w:div>
    <w:div w:id="361830889">
      <w:bodyDiv w:val="1"/>
      <w:marLeft w:val="0"/>
      <w:marRight w:val="0"/>
      <w:marTop w:val="0"/>
      <w:marBottom w:val="0"/>
      <w:divBdr>
        <w:top w:val="none" w:sz="0" w:space="0" w:color="auto"/>
        <w:left w:val="none" w:sz="0" w:space="0" w:color="auto"/>
        <w:bottom w:val="none" w:sz="0" w:space="0" w:color="auto"/>
        <w:right w:val="none" w:sz="0" w:space="0" w:color="auto"/>
      </w:divBdr>
    </w:div>
    <w:div w:id="366413166">
      <w:bodyDiv w:val="1"/>
      <w:marLeft w:val="0"/>
      <w:marRight w:val="0"/>
      <w:marTop w:val="0"/>
      <w:marBottom w:val="0"/>
      <w:divBdr>
        <w:top w:val="none" w:sz="0" w:space="0" w:color="auto"/>
        <w:left w:val="none" w:sz="0" w:space="0" w:color="auto"/>
        <w:bottom w:val="none" w:sz="0" w:space="0" w:color="auto"/>
        <w:right w:val="none" w:sz="0" w:space="0" w:color="auto"/>
      </w:divBdr>
    </w:div>
    <w:div w:id="386992992">
      <w:bodyDiv w:val="1"/>
      <w:marLeft w:val="0"/>
      <w:marRight w:val="0"/>
      <w:marTop w:val="0"/>
      <w:marBottom w:val="0"/>
      <w:divBdr>
        <w:top w:val="none" w:sz="0" w:space="0" w:color="auto"/>
        <w:left w:val="none" w:sz="0" w:space="0" w:color="auto"/>
        <w:bottom w:val="none" w:sz="0" w:space="0" w:color="auto"/>
        <w:right w:val="none" w:sz="0" w:space="0" w:color="auto"/>
      </w:divBdr>
    </w:div>
    <w:div w:id="428477077">
      <w:bodyDiv w:val="1"/>
      <w:marLeft w:val="0"/>
      <w:marRight w:val="0"/>
      <w:marTop w:val="0"/>
      <w:marBottom w:val="0"/>
      <w:divBdr>
        <w:top w:val="none" w:sz="0" w:space="0" w:color="auto"/>
        <w:left w:val="none" w:sz="0" w:space="0" w:color="auto"/>
        <w:bottom w:val="none" w:sz="0" w:space="0" w:color="auto"/>
        <w:right w:val="none" w:sz="0" w:space="0" w:color="auto"/>
      </w:divBdr>
    </w:div>
    <w:div w:id="429352009">
      <w:bodyDiv w:val="1"/>
      <w:marLeft w:val="0"/>
      <w:marRight w:val="0"/>
      <w:marTop w:val="0"/>
      <w:marBottom w:val="0"/>
      <w:divBdr>
        <w:top w:val="none" w:sz="0" w:space="0" w:color="auto"/>
        <w:left w:val="none" w:sz="0" w:space="0" w:color="auto"/>
        <w:bottom w:val="none" w:sz="0" w:space="0" w:color="auto"/>
        <w:right w:val="none" w:sz="0" w:space="0" w:color="auto"/>
      </w:divBdr>
    </w:div>
    <w:div w:id="430589065">
      <w:bodyDiv w:val="1"/>
      <w:marLeft w:val="0"/>
      <w:marRight w:val="0"/>
      <w:marTop w:val="0"/>
      <w:marBottom w:val="0"/>
      <w:divBdr>
        <w:top w:val="none" w:sz="0" w:space="0" w:color="auto"/>
        <w:left w:val="none" w:sz="0" w:space="0" w:color="auto"/>
        <w:bottom w:val="none" w:sz="0" w:space="0" w:color="auto"/>
        <w:right w:val="none" w:sz="0" w:space="0" w:color="auto"/>
      </w:divBdr>
    </w:div>
    <w:div w:id="440075710">
      <w:bodyDiv w:val="1"/>
      <w:marLeft w:val="0"/>
      <w:marRight w:val="0"/>
      <w:marTop w:val="0"/>
      <w:marBottom w:val="0"/>
      <w:divBdr>
        <w:top w:val="none" w:sz="0" w:space="0" w:color="auto"/>
        <w:left w:val="none" w:sz="0" w:space="0" w:color="auto"/>
        <w:bottom w:val="none" w:sz="0" w:space="0" w:color="auto"/>
        <w:right w:val="none" w:sz="0" w:space="0" w:color="auto"/>
      </w:divBdr>
    </w:div>
    <w:div w:id="447428945">
      <w:bodyDiv w:val="1"/>
      <w:marLeft w:val="0"/>
      <w:marRight w:val="0"/>
      <w:marTop w:val="0"/>
      <w:marBottom w:val="0"/>
      <w:divBdr>
        <w:top w:val="none" w:sz="0" w:space="0" w:color="auto"/>
        <w:left w:val="none" w:sz="0" w:space="0" w:color="auto"/>
        <w:bottom w:val="none" w:sz="0" w:space="0" w:color="auto"/>
        <w:right w:val="none" w:sz="0" w:space="0" w:color="auto"/>
      </w:divBdr>
    </w:div>
    <w:div w:id="483669198">
      <w:bodyDiv w:val="1"/>
      <w:marLeft w:val="0"/>
      <w:marRight w:val="0"/>
      <w:marTop w:val="0"/>
      <w:marBottom w:val="0"/>
      <w:divBdr>
        <w:top w:val="none" w:sz="0" w:space="0" w:color="auto"/>
        <w:left w:val="none" w:sz="0" w:space="0" w:color="auto"/>
        <w:bottom w:val="none" w:sz="0" w:space="0" w:color="auto"/>
        <w:right w:val="none" w:sz="0" w:space="0" w:color="auto"/>
      </w:divBdr>
    </w:div>
    <w:div w:id="484592842">
      <w:bodyDiv w:val="1"/>
      <w:marLeft w:val="0"/>
      <w:marRight w:val="0"/>
      <w:marTop w:val="0"/>
      <w:marBottom w:val="0"/>
      <w:divBdr>
        <w:top w:val="none" w:sz="0" w:space="0" w:color="auto"/>
        <w:left w:val="none" w:sz="0" w:space="0" w:color="auto"/>
        <w:bottom w:val="none" w:sz="0" w:space="0" w:color="auto"/>
        <w:right w:val="none" w:sz="0" w:space="0" w:color="auto"/>
      </w:divBdr>
    </w:div>
    <w:div w:id="488055728">
      <w:bodyDiv w:val="1"/>
      <w:marLeft w:val="0"/>
      <w:marRight w:val="0"/>
      <w:marTop w:val="0"/>
      <w:marBottom w:val="0"/>
      <w:divBdr>
        <w:top w:val="none" w:sz="0" w:space="0" w:color="auto"/>
        <w:left w:val="none" w:sz="0" w:space="0" w:color="auto"/>
        <w:bottom w:val="none" w:sz="0" w:space="0" w:color="auto"/>
        <w:right w:val="none" w:sz="0" w:space="0" w:color="auto"/>
      </w:divBdr>
    </w:div>
    <w:div w:id="493424012">
      <w:bodyDiv w:val="1"/>
      <w:marLeft w:val="0"/>
      <w:marRight w:val="0"/>
      <w:marTop w:val="0"/>
      <w:marBottom w:val="0"/>
      <w:divBdr>
        <w:top w:val="none" w:sz="0" w:space="0" w:color="auto"/>
        <w:left w:val="none" w:sz="0" w:space="0" w:color="auto"/>
        <w:bottom w:val="none" w:sz="0" w:space="0" w:color="auto"/>
        <w:right w:val="none" w:sz="0" w:space="0" w:color="auto"/>
      </w:divBdr>
    </w:div>
    <w:div w:id="523906649">
      <w:bodyDiv w:val="1"/>
      <w:marLeft w:val="0"/>
      <w:marRight w:val="0"/>
      <w:marTop w:val="0"/>
      <w:marBottom w:val="0"/>
      <w:divBdr>
        <w:top w:val="none" w:sz="0" w:space="0" w:color="auto"/>
        <w:left w:val="none" w:sz="0" w:space="0" w:color="auto"/>
        <w:bottom w:val="none" w:sz="0" w:space="0" w:color="auto"/>
        <w:right w:val="none" w:sz="0" w:space="0" w:color="auto"/>
      </w:divBdr>
    </w:div>
    <w:div w:id="533422253">
      <w:bodyDiv w:val="1"/>
      <w:marLeft w:val="0"/>
      <w:marRight w:val="0"/>
      <w:marTop w:val="0"/>
      <w:marBottom w:val="0"/>
      <w:divBdr>
        <w:top w:val="none" w:sz="0" w:space="0" w:color="auto"/>
        <w:left w:val="none" w:sz="0" w:space="0" w:color="auto"/>
        <w:bottom w:val="none" w:sz="0" w:space="0" w:color="auto"/>
        <w:right w:val="none" w:sz="0" w:space="0" w:color="auto"/>
      </w:divBdr>
    </w:div>
    <w:div w:id="544564481">
      <w:bodyDiv w:val="1"/>
      <w:marLeft w:val="0"/>
      <w:marRight w:val="0"/>
      <w:marTop w:val="0"/>
      <w:marBottom w:val="0"/>
      <w:divBdr>
        <w:top w:val="none" w:sz="0" w:space="0" w:color="auto"/>
        <w:left w:val="none" w:sz="0" w:space="0" w:color="auto"/>
        <w:bottom w:val="none" w:sz="0" w:space="0" w:color="auto"/>
        <w:right w:val="none" w:sz="0" w:space="0" w:color="auto"/>
      </w:divBdr>
    </w:div>
    <w:div w:id="547497461">
      <w:bodyDiv w:val="1"/>
      <w:marLeft w:val="0"/>
      <w:marRight w:val="0"/>
      <w:marTop w:val="0"/>
      <w:marBottom w:val="0"/>
      <w:divBdr>
        <w:top w:val="none" w:sz="0" w:space="0" w:color="auto"/>
        <w:left w:val="none" w:sz="0" w:space="0" w:color="auto"/>
        <w:bottom w:val="none" w:sz="0" w:space="0" w:color="auto"/>
        <w:right w:val="none" w:sz="0" w:space="0" w:color="auto"/>
      </w:divBdr>
    </w:div>
    <w:div w:id="552665952">
      <w:bodyDiv w:val="1"/>
      <w:marLeft w:val="0"/>
      <w:marRight w:val="0"/>
      <w:marTop w:val="0"/>
      <w:marBottom w:val="0"/>
      <w:divBdr>
        <w:top w:val="none" w:sz="0" w:space="0" w:color="auto"/>
        <w:left w:val="none" w:sz="0" w:space="0" w:color="auto"/>
        <w:bottom w:val="none" w:sz="0" w:space="0" w:color="auto"/>
        <w:right w:val="none" w:sz="0" w:space="0" w:color="auto"/>
      </w:divBdr>
    </w:div>
    <w:div w:id="558983514">
      <w:bodyDiv w:val="1"/>
      <w:marLeft w:val="0"/>
      <w:marRight w:val="0"/>
      <w:marTop w:val="0"/>
      <w:marBottom w:val="0"/>
      <w:divBdr>
        <w:top w:val="none" w:sz="0" w:space="0" w:color="auto"/>
        <w:left w:val="none" w:sz="0" w:space="0" w:color="auto"/>
        <w:bottom w:val="none" w:sz="0" w:space="0" w:color="auto"/>
        <w:right w:val="none" w:sz="0" w:space="0" w:color="auto"/>
      </w:divBdr>
    </w:div>
    <w:div w:id="570120473">
      <w:bodyDiv w:val="1"/>
      <w:marLeft w:val="0"/>
      <w:marRight w:val="0"/>
      <w:marTop w:val="0"/>
      <w:marBottom w:val="0"/>
      <w:divBdr>
        <w:top w:val="none" w:sz="0" w:space="0" w:color="auto"/>
        <w:left w:val="none" w:sz="0" w:space="0" w:color="auto"/>
        <w:bottom w:val="none" w:sz="0" w:space="0" w:color="auto"/>
        <w:right w:val="none" w:sz="0" w:space="0" w:color="auto"/>
      </w:divBdr>
    </w:div>
    <w:div w:id="586303154">
      <w:bodyDiv w:val="1"/>
      <w:marLeft w:val="0"/>
      <w:marRight w:val="0"/>
      <w:marTop w:val="0"/>
      <w:marBottom w:val="0"/>
      <w:divBdr>
        <w:top w:val="none" w:sz="0" w:space="0" w:color="auto"/>
        <w:left w:val="none" w:sz="0" w:space="0" w:color="auto"/>
        <w:bottom w:val="none" w:sz="0" w:space="0" w:color="auto"/>
        <w:right w:val="none" w:sz="0" w:space="0" w:color="auto"/>
      </w:divBdr>
    </w:div>
    <w:div w:id="588003436">
      <w:bodyDiv w:val="1"/>
      <w:marLeft w:val="0"/>
      <w:marRight w:val="0"/>
      <w:marTop w:val="0"/>
      <w:marBottom w:val="0"/>
      <w:divBdr>
        <w:top w:val="none" w:sz="0" w:space="0" w:color="auto"/>
        <w:left w:val="none" w:sz="0" w:space="0" w:color="auto"/>
        <w:bottom w:val="none" w:sz="0" w:space="0" w:color="auto"/>
        <w:right w:val="none" w:sz="0" w:space="0" w:color="auto"/>
      </w:divBdr>
    </w:div>
    <w:div w:id="590742195">
      <w:bodyDiv w:val="1"/>
      <w:marLeft w:val="0"/>
      <w:marRight w:val="0"/>
      <w:marTop w:val="0"/>
      <w:marBottom w:val="0"/>
      <w:divBdr>
        <w:top w:val="none" w:sz="0" w:space="0" w:color="auto"/>
        <w:left w:val="none" w:sz="0" w:space="0" w:color="auto"/>
        <w:bottom w:val="none" w:sz="0" w:space="0" w:color="auto"/>
        <w:right w:val="none" w:sz="0" w:space="0" w:color="auto"/>
      </w:divBdr>
    </w:div>
    <w:div w:id="610476215">
      <w:bodyDiv w:val="1"/>
      <w:marLeft w:val="0"/>
      <w:marRight w:val="0"/>
      <w:marTop w:val="0"/>
      <w:marBottom w:val="0"/>
      <w:divBdr>
        <w:top w:val="none" w:sz="0" w:space="0" w:color="auto"/>
        <w:left w:val="none" w:sz="0" w:space="0" w:color="auto"/>
        <w:bottom w:val="none" w:sz="0" w:space="0" w:color="auto"/>
        <w:right w:val="none" w:sz="0" w:space="0" w:color="auto"/>
      </w:divBdr>
    </w:div>
    <w:div w:id="664817213">
      <w:bodyDiv w:val="1"/>
      <w:marLeft w:val="0"/>
      <w:marRight w:val="0"/>
      <w:marTop w:val="0"/>
      <w:marBottom w:val="0"/>
      <w:divBdr>
        <w:top w:val="none" w:sz="0" w:space="0" w:color="auto"/>
        <w:left w:val="none" w:sz="0" w:space="0" w:color="auto"/>
        <w:bottom w:val="none" w:sz="0" w:space="0" w:color="auto"/>
        <w:right w:val="none" w:sz="0" w:space="0" w:color="auto"/>
      </w:divBdr>
    </w:div>
    <w:div w:id="670987065">
      <w:bodyDiv w:val="1"/>
      <w:marLeft w:val="0"/>
      <w:marRight w:val="0"/>
      <w:marTop w:val="0"/>
      <w:marBottom w:val="0"/>
      <w:divBdr>
        <w:top w:val="none" w:sz="0" w:space="0" w:color="auto"/>
        <w:left w:val="none" w:sz="0" w:space="0" w:color="auto"/>
        <w:bottom w:val="none" w:sz="0" w:space="0" w:color="auto"/>
        <w:right w:val="none" w:sz="0" w:space="0" w:color="auto"/>
      </w:divBdr>
    </w:div>
    <w:div w:id="699162578">
      <w:bodyDiv w:val="1"/>
      <w:marLeft w:val="0"/>
      <w:marRight w:val="0"/>
      <w:marTop w:val="0"/>
      <w:marBottom w:val="0"/>
      <w:divBdr>
        <w:top w:val="none" w:sz="0" w:space="0" w:color="auto"/>
        <w:left w:val="none" w:sz="0" w:space="0" w:color="auto"/>
        <w:bottom w:val="none" w:sz="0" w:space="0" w:color="auto"/>
        <w:right w:val="none" w:sz="0" w:space="0" w:color="auto"/>
      </w:divBdr>
    </w:div>
    <w:div w:id="727076966">
      <w:bodyDiv w:val="1"/>
      <w:marLeft w:val="0"/>
      <w:marRight w:val="0"/>
      <w:marTop w:val="0"/>
      <w:marBottom w:val="0"/>
      <w:divBdr>
        <w:top w:val="none" w:sz="0" w:space="0" w:color="auto"/>
        <w:left w:val="none" w:sz="0" w:space="0" w:color="auto"/>
        <w:bottom w:val="none" w:sz="0" w:space="0" w:color="auto"/>
        <w:right w:val="none" w:sz="0" w:space="0" w:color="auto"/>
      </w:divBdr>
    </w:div>
    <w:div w:id="735081997">
      <w:bodyDiv w:val="1"/>
      <w:marLeft w:val="0"/>
      <w:marRight w:val="0"/>
      <w:marTop w:val="0"/>
      <w:marBottom w:val="0"/>
      <w:divBdr>
        <w:top w:val="none" w:sz="0" w:space="0" w:color="auto"/>
        <w:left w:val="none" w:sz="0" w:space="0" w:color="auto"/>
        <w:bottom w:val="none" w:sz="0" w:space="0" w:color="auto"/>
        <w:right w:val="none" w:sz="0" w:space="0" w:color="auto"/>
      </w:divBdr>
    </w:div>
    <w:div w:id="757138224">
      <w:bodyDiv w:val="1"/>
      <w:marLeft w:val="0"/>
      <w:marRight w:val="0"/>
      <w:marTop w:val="0"/>
      <w:marBottom w:val="0"/>
      <w:divBdr>
        <w:top w:val="none" w:sz="0" w:space="0" w:color="auto"/>
        <w:left w:val="none" w:sz="0" w:space="0" w:color="auto"/>
        <w:bottom w:val="none" w:sz="0" w:space="0" w:color="auto"/>
        <w:right w:val="none" w:sz="0" w:space="0" w:color="auto"/>
      </w:divBdr>
    </w:div>
    <w:div w:id="762143614">
      <w:bodyDiv w:val="1"/>
      <w:marLeft w:val="0"/>
      <w:marRight w:val="0"/>
      <w:marTop w:val="0"/>
      <w:marBottom w:val="0"/>
      <w:divBdr>
        <w:top w:val="none" w:sz="0" w:space="0" w:color="auto"/>
        <w:left w:val="none" w:sz="0" w:space="0" w:color="auto"/>
        <w:bottom w:val="none" w:sz="0" w:space="0" w:color="auto"/>
        <w:right w:val="none" w:sz="0" w:space="0" w:color="auto"/>
      </w:divBdr>
    </w:div>
    <w:div w:id="765149920">
      <w:bodyDiv w:val="1"/>
      <w:marLeft w:val="0"/>
      <w:marRight w:val="0"/>
      <w:marTop w:val="0"/>
      <w:marBottom w:val="0"/>
      <w:divBdr>
        <w:top w:val="none" w:sz="0" w:space="0" w:color="auto"/>
        <w:left w:val="none" w:sz="0" w:space="0" w:color="auto"/>
        <w:bottom w:val="none" w:sz="0" w:space="0" w:color="auto"/>
        <w:right w:val="none" w:sz="0" w:space="0" w:color="auto"/>
      </w:divBdr>
    </w:div>
    <w:div w:id="794062349">
      <w:bodyDiv w:val="1"/>
      <w:marLeft w:val="0"/>
      <w:marRight w:val="0"/>
      <w:marTop w:val="0"/>
      <w:marBottom w:val="0"/>
      <w:divBdr>
        <w:top w:val="none" w:sz="0" w:space="0" w:color="auto"/>
        <w:left w:val="none" w:sz="0" w:space="0" w:color="auto"/>
        <w:bottom w:val="none" w:sz="0" w:space="0" w:color="auto"/>
        <w:right w:val="none" w:sz="0" w:space="0" w:color="auto"/>
      </w:divBdr>
    </w:div>
    <w:div w:id="799765007">
      <w:bodyDiv w:val="1"/>
      <w:marLeft w:val="0"/>
      <w:marRight w:val="0"/>
      <w:marTop w:val="0"/>
      <w:marBottom w:val="0"/>
      <w:divBdr>
        <w:top w:val="none" w:sz="0" w:space="0" w:color="auto"/>
        <w:left w:val="none" w:sz="0" w:space="0" w:color="auto"/>
        <w:bottom w:val="none" w:sz="0" w:space="0" w:color="auto"/>
        <w:right w:val="none" w:sz="0" w:space="0" w:color="auto"/>
      </w:divBdr>
    </w:div>
    <w:div w:id="806623636">
      <w:bodyDiv w:val="1"/>
      <w:marLeft w:val="0"/>
      <w:marRight w:val="0"/>
      <w:marTop w:val="0"/>
      <w:marBottom w:val="0"/>
      <w:divBdr>
        <w:top w:val="none" w:sz="0" w:space="0" w:color="auto"/>
        <w:left w:val="none" w:sz="0" w:space="0" w:color="auto"/>
        <w:bottom w:val="none" w:sz="0" w:space="0" w:color="auto"/>
        <w:right w:val="none" w:sz="0" w:space="0" w:color="auto"/>
      </w:divBdr>
    </w:div>
    <w:div w:id="813064521">
      <w:bodyDiv w:val="1"/>
      <w:marLeft w:val="0"/>
      <w:marRight w:val="0"/>
      <w:marTop w:val="0"/>
      <w:marBottom w:val="0"/>
      <w:divBdr>
        <w:top w:val="none" w:sz="0" w:space="0" w:color="auto"/>
        <w:left w:val="none" w:sz="0" w:space="0" w:color="auto"/>
        <w:bottom w:val="none" w:sz="0" w:space="0" w:color="auto"/>
        <w:right w:val="none" w:sz="0" w:space="0" w:color="auto"/>
      </w:divBdr>
    </w:div>
    <w:div w:id="827671810">
      <w:bodyDiv w:val="1"/>
      <w:marLeft w:val="0"/>
      <w:marRight w:val="0"/>
      <w:marTop w:val="0"/>
      <w:marBottom w:val="0"/>
      <w:divBdr>
        <w:top w:val="none" w:sz="0" w:space="0" w:color="auto"/>
        <w:left w:val="none" w:sz="0" w:space="0" w:color="auto"/>
        <w:bottom w:val="none" w:sz="0" w:space="0" w:color="auto"/>
        <w:right w:val="none" w:sz="0" w:space="0" w:color="auto"/>
      </w:divBdr>
    </w:div>
    <w:div w:id="828132641">
      <w:bodyDiv w:val="1"/>
      <w:marLeft w:val="0"/>
      <w:marRight w:val="0"/>
      <w:marTop w:val="0"/>
      <w:marBottom w:val="0"/>
      <w:divBdr>
        <w:top w:val="none" w:sz="0" w:space="0" w:color="auto"/>
        <w:left w:val="none" w:sz="0" w:space="0" w:color="auto"/>
        <w:bottom w:val="none" w:sz="0" w:space="0" w:color="auto"/>
        <w:right w:val="none" w:sz="0" w:space="0" w:color="auto"/>
      </w:divBdr>
    </w:div>
    <w:div w:id="833491041">
      <w:bodyDiv w:val="1"/>
      <w:marLeft w:val="0"/>
      <w:marRight w:val="0"/>
      <w:marTop w:val="0"/>
      <w:marBottom w:val="0"/>
      <w:divBdr>
        <w:top w:val="none" w:sz="0" w:space="0" w:color="auto"/>
        <w:left w:val="none" w:sz="0" w:space="0" w:color="auto"/>
        <w:bottom w:val="none" w:sz="0" w:space="0" w:color="auto"/>
        <w:right w:val="none" w:sz="0" w:space="0" w:color="auto"/>
      </w:divBdr>
    </w:div>
    <w:div w:id="838034086">
      <w:bodyDiv w:val="1"/>
      <w:marLeft w:val="0"/>
      <w:marRight w:val="0"/>
      <w:marTop w:val="0"/>
      <w:marBottom w:val="0"/>
      <w:divBdr>
        <w:top w:val="none" w:sz="0" w:space="0" w:color="auto"/>
        <w:left w:val="none" w:sz="0" w:space="0" w:color="auto"/>
        <w:bottom w:val="none" w:sz="0" w:space="0" w:color="auto"/>
        <w:right w:val="none" w:sz="0" w:space="0" w:color="auto"/>
      </w:divBdr>
    </w:div>
    <w:div w:id="884605330">
      <w:bodyDiv w:val="1"/>
      <w:marLeft w:val="0"/>
      <w:marRight w:val="0"/>
      <w:marTop w:val="0"/>
      <w:marBottom w:val="0"/>
      <w:divBdr>
        <w:top w:val="none" w:sz="0" w:space="0" w:color="auto"/>
        <w:left w:val="none" w:sz="0" w:space="0" w:color="auto"/>
        <w:bottom w:val="none" w:sz="0" w:space="0" w:color="auto"/>
        <w:right w:val="none" w:sz="0" w:space="0" w:color="auto"/>
      </w:divBdr>
    </w:div>
    <w:div w:id="901016979">
      <w:bodyDiv w:val="1"/>
      <w:marLeft w:val="0"/>
      <w:marRight w:val="0"/>
      <w:marTop w:val="0"/>
      <w:marBottom w:val="0"/>
      <w:divBdr>
        <w:top w:val="none" w:sz="0" w:space="0" w:color="auto"/>
        <w:left w:val="none" w:sz="0" w:space="0" w:color="auto"/>
        <w:bottom w:val="none" w:sz="0" w:space="0" w:color="auto"/>
        <w:right w:val="none" w:sz="0" w:space="0" w:color="auto"/>
      </w:divBdr>
    </w:div>
    <w:div w:id="901914465">
      <w:bodyDiv w:val="1"/>
      <w:marLeft w:val="0"/>
      <w:marRight w:val="0"/>
      <w:marTop w:val="0"/>
      <w:marBottom w:val="0"/>
      <w:divBdr>
        <w:top w:val="none" w:sz="0" w:space="0" w:color="auto"/>
        <w:left w:val="none" w:sz="0" w:space="0" w:color="auto"/>
        <w:bottom w:val="none" w:sz="0" w:space="0" w:color="auto"/>
        <w:right w:val="none" w:sz="0" w:space="0" w:color="auto"/>
      </w:divBdr>
    </w:div>
    <w:div w:id="902646270">
      <w:bodyDiv w:val="1"/>
      <w:marLeft w:val="0"/>
      <w:marRight w:val="0"/>
      <w:marTop w:val="0"/>
      <w:marBottom w:val="0"/>
      <w:divBdr>
        <w:top w:val="none" w:sz="0" w:space="0" w:color="auto"/>
        <w:left w:val="none" w:sz="0" w:space="0" w:color="auto"/>
        <w:bottom w:val="none" w:sz="0" w:space="0" w:color="auto"/>
        <w:right w:val="none" w:sz="0" w:space="0" w:color="auto"/>
      </w:divBdr>
    </w:div>
    <w:div w:id="916938529">
      <w:bodyDiv w:val="1"/>
      <w:marLeft w:val="0"/>
      <w:marRight w:val="0"/>
      <w:marTop w:val="0"/>
      <w:marBottom w:val="0"/>
      <w:divBdr>
        <w:top w:val="none" w:sz="0" w:space="0" w:color="auto"/>
        <w:left w:val="none" w:sz="0" w:space="0" w:color="auto"/>
        <w:bottom w:val="none" w:sz="0" w:space="0" w:color="auto"/>
        <w:right w:val="none" w:sz="0" w:space="0" w:color="auto"/>
      </w:divBdr>
    </w:div>
    <w:div w:id="919369236">
      <w:bodyDiv w:val="1"/>
      <w:marLeft w:val="0"/>
      <w:marRight w:val="0"/>
      <w:marTop w:val="0"/>
      <w:marBottom w:val="0"/>
      <w:divBdr>
        <w:top w:val="none" w:sz="0" w:space="0" w:color="auto"/>
        <w:left w:val="none" w:sz="0" w:space="0" w:color="auto"/>
        <w:bottom w:val="none" w:sz="0" w:space="0" w:color="auto"/>
        <w:right w:val="none" w:sz="0" w:space="0" w:color="auto"/>
      </w:divBdr>
    </w:div>
    <w:div w:id="927426894">
      <w:bodyDiv w:val="1"/>
      <w:marLeft w:val="0"/>
      <w:marRight w:val="0"/>
      <w:marTop w:val="0"/>
      <w:marBottom w:val="0"/>
      <w:divBdr>
        <w:top w:val="none" w:sz="0" w:space="0" w:color="auto"/>
        <w:left w:val="none" w:sz="0" w:space="0" w:color="auto"/>
        <w:bottom w:val="none" w:sz="0" w:space="0" w:color="auto"/>
        <w:right w:val="none" w:sz="0" w:space="0" w:color="auto"/>
      </w:divBdr>
    </w:div>
    <w:div w:id="953289534">
      <w:bodyDiv w:val="1"/>
      <w:marLeft w:val="0"/>
      <w:marRight w:val="0"/>
      <w:marTop w:val="0"/>
      <w:marBottom w:val="0"/>
      <w:divBdr>
        <w:top w:val="none" w:sz="0" w:space="0" w:color="auto"/>
        <w:left w:val="none" w:sz="0" w:space="0" w:color="auto"/>
        <w:bottom w:val="none" w:sz="0" w:space="0" w:color="auto"/>
        <w:right w:val="none" w:sz="0" w:space="0" w:color="auto"/>
      </w:divBdr>
    </w:div>
    <w:div w:id="966281857">
      <w:bodyDiv w:val="1"/>
      <w:marLeft w:val="0"/>
      <w:marRight w:val="0"/>
      <w:marTop w:val="0"/>
      <w:marBottom w:val="0"/>
      <w:divBdr>
        <w:top w:val="none" w:sz="0" w:space="0" w:color="auto"/>
        <w:left w:val="none" w:sz="0" w:space="0" w:color="auto"/>
        <w:bottom w:val="none" w:sz="0" w:space="0" w:color="auto"/>
        <w:right w:val="none" w:sz="0" w:space="0" w:color="auto"/>
      </w:divBdr>
    </w:div>
    <w:div w:id="973757771">
      <w:bodyDiv w:val="1"/>
      <w:marLeft w:val="0"/>
      <w:marRight w:val="0"/>
      <w:marTop w:val="0"/>
      <w:marBottom w:val="0"/>
      <w:divBdr>
        <w:top w:val="none" w:sz="0" w:space="0" w:color="auto"/>
        <w:left w:val="none" w:sz="0" w:space="0" w:color="auto"/>
        <w:bottom w:val="none" w:sz="0" w:space="0" w:color="auto"/>
        <w:right w:val="none" w:sz="0" w:space="0" w:color="auto"/>
      </w:divBdr>
    </w:div>
    <w:div w:id="997003507">
      <w:bodyDiv w:val="1"/>
      <w:marLeft w:val="0"/>
      <w:marRight w:val="0"/>
      <w:marTop w:val="0"/>
      <w:marBottom w:val="0"/>
      <w:divBdr>
        <w:top w:val="none" w:sz="0" w:space="0" w:color="auto"/>
        <w:left w:val="none" w:sz="0" w:space="0" w:color="auto"/>
        <w:bottom w:val="none" w:sz="0" w:space="0" w:color="auto"/>
        <w:right w:val="none" w:sz="0" w:space="0" w:color="auto"/>
      </w:divBdr>
    </w:div>
    <w:div w:id="1022320705">
      <w:bodyDiv w:val="1"/>
      <w:marLeft w:val="0"/>
      <w:marRight w:val="0"/>
      <w:marTop w:val="0"/>
      <w:marBottom w:val="0"/>
      <w:divBdr>
        <w:top w:val="none" w:sz="0" w:space="0" w:color="auto"/>
        <w:left w:val="none" w:sz="0" w:space="0" w:color="auto"/>
        <w:bottom w:val="none" w:sz="0" w:space="0" w:color="auto"/>
        <w:right w:val="none" w:sz="0" w:space="0" w:color="auto"/>
      </w:divBdr>
    </w:div>
    <w:div w:id="1034421550">
      <w:bodyDiv w:val="1"/>
      <w:marLeft w:val="0"/>
      <w:marRight w:val="0"/>
      <w:marTop w:val="0"/>
      <w:marBottom w:val="0"/>
      <w:divBdr>
        <w:top w:val="none" w:sz="0" w:space="0" w:color="auto"/>
        <w:left w:val="none" w:sz="0" w:space="0" w:color="auto"/>
        <w:bottom w:val="none" w:sz="0" w:space="0" w:color="auto"/>
        <w:right w:val="none" w:sz="0" w:space="0" w:color="auto"/>
      </w:divBdr>
    </w:div>
    <w:div w:id="1037703891">
      <w:bodyDiv w:val="1"/>
      <w:marLeft w:val="0"/>
      <w:marRight w:val="0"/>
      <w:marTop w:val="0"/>
      <w:marBottom w:val="0"/>
      <w:divBdr>
        <w:top w:val="none" w:sz="0" w:space="0" w:color="auto"/>
        <w:left w:val="none" w:sz="0" w:space="0" w:color="auto"/>
        <w:bottom w:val="none" w:sz="0" w:space="0" w:color="auto"/>
        <w:right w:val="none" w:sz="0" w:space="0" w:color="auto"/>
      </w:divBdr>
    </w:div>
    <w:div w:id="1099834214">
      <w:bodyDiv w:val="1"/>
      <w:marLeft w:val="0"/>
      <w:marRight w:val="0"/>
      <w:marTop w:val="0"/>
      <w:marBottom w:val="0"/>
      <w:divBdr>
        <w:top w:val="none" w:sz="0" w:space="0" w:color="auto"/>
        <w:left w:val="none" w:sz="0" w:space="0" w:color="auto"/>
        <w:bottom w:val="none" w:sz="0" w:space="0" w:color="auto"/>
        <w:right w:val="none" w:sz="0" w:space="0" w:color="auto"/>
      </w:divBdr>
    </w:div>
    <w:div w:id="1121873558">
      <w:bodyDiv w:val="1"/>
      <w:marLeft w:val="0"/>
      <w:marRight w:val="0"/>
      <w:marTop w:val="0"/>
      <w:marBottom w:val="0"/>
      <w:divBdr>
        <w:top w:val="none" w:sz="0" w:space="0" w:color="auto"/>
        <w:left w:val="none" w:sz="0" w:space="0" w:color="auto"/>
        <w:bottom w:val="none" w:sz="0" w:space="0" w:color="auto"/>
        <w:right w:val="none" w:sz="0" w:space="0" w:color="auto"/>
      </w:divBdr>
    </w:div>
    <w:div w:id="1159150763">
      <w:bodyDiv w:val="1"/>
      <w:marLeft w:val="0"/>
      <w:marRight w:val="0"/>
      <w:marTop w:val="0"/>
      <w:marBottom w:val="0"/>
      <w:divBdr>
        <w:top w:val="none" w:sz="0" w:space="0" w:color="auto"/>
        <w:left w:val="none" w:sz="0" w:space="0" w:color="auto"/>
        <w:bottom w:val="none" w:sz="0" w:space="0" w:color="auto"/>
        <w:right w:val="none" w:sz="0" w:space="0" w:color="auto"/>
      </w:divBdr>
    </w:div>
    <w:div w:id="1159541554">
      <w:bodyDiv w:val="1"/>
      <w:marLeft w:val="0"/>
      <w:marRight w:val="0"/>
      <w:marTop w:val="0"/>
      <w:marBottom w:val="0"/>
      <w:divBdr>
        <w:top w:val="none" w:sz="0" w:space="0" w:color="auto"/>
        <w:left w:val="none" w:sz="0" w:space="0" w:color="auto"/>
        <w:bottom w:val="none" w:sz="0" w:space="0" w:color="auto"/>
        <w:right w:val="none" w:sz="0" w:space="0" w:color="auto"/>
      </w:divBdr>
    </w:div>
    <w:div w:id="1162695542">
      <w:bodyDiv w:val="1"/>
      <w:marLeft w:val="0"/>
      <w:marRight w:val="0"/>
      <w:marTop w:val="0"/>
      <w:marBottom w:val="0"/>
      <w:divBdr>
        <w:top w:val="none" w:sz="0" w:space="0" w:color="auto"/>
        <w:left w:val="none" w:sz="0" w:space="0" w:color="auto"/>
        <w:bottom w:val="none" w:sz="0" w:space="0" w:color="auto"/>
        <w:right w:val="none" w:sz="0" w:space="0" w:color="auto"/>
      </w:divBdr>
    </w:div>
    <w:div w:id="1165589532">
      <w:bodyDiv w:val="1"/>
      <w:marLeft w:val="0"/>
      <w:marRight w:val="0"/>
      <w:marTop w:val="0"/>
      <w:marBottom w:val="0"/>
      <w:divBdr>
        <w:top w:val="none" w:sz="0" w:space="0" w:color="auto"/>
        <w:left w:val="none" w:sz="0" w:space="0" w:color="auto"/>
        <w:bottom w:val="none" w:sz="0" w:space="0" w:color="auto"/>
        <w:right w:val="none" w:sz="0" w:space="0" w:color="auto"/>
      </w:divBdr>
    </w:div>
    <w:div w:id="1174492530">
      <w:bodyDiv w:val="1"/>
      <w:marLeft w:val="0"/>
      <w:marRight w:val="0"/>
      <w:marTop w:val="0"/>
      <w:marBottom w:val="0"/>
      <w:divBdr>
        <w:top w:val="none" w:sz="0" w:space="0" w:color="auto"/>
        <w:left w:val="none" w:sz="0" w:space="0" w:color="auto"/>
        <w:bottom w:val="none" w:sz="0" w:space="0" w:color="auto"/>
        <w:right w:val="none" w:sz="0" w:space="0" w:color="auto"/>
      </w:divBdr>
    </w:div>
    <w:div w:id="1191841598">
      <w:bodyDiv w:val="1"/>
      <w:marLeft w:val="0"/>
      <w:marRight w:val="0"/>
      <w:marTop w:val="0"/>
      <w:marBottom w:val="0"/>
      <w:divBdr>
        <w:top w:val="none" w:sz="0" w:space="0" w:color="auto"/>
        <w:left w:val="none" w:sz="0" w:space="0" w:color="auto"/>
        <w:bottom w:val="none" w:sz="0" w:space="0" w:color="auto"/>
        <w:right w:val="none" w:sz="0" w:space="0" w:color="auto"/>
      </w:divBdr>
    </w:div>
    <w:div w:id="1195070785">
      <w:bodyDiv w:val="1"/>
      <w:marLeft w:val="0"/>
      <w:marRight w:val="0"/>
      <w:marTop w:val="0"/>
      <w:marBottom w:val="0"/>
      <w:divBdr>
        <w:top w:val="none" w:sz="0" w:space="0" w:color="auto"/>
        <w:left w:val="none" w:sz="0" w:space="0" w:color="auto"/>
        <w:bottom w:val="none" w:sz="0" w:space="0" w:color="auto"/>
        <w:right w:val="none" w:sz="0" w:space="0" w:color="auto"/>
      </w:divBdr>
    </w:div>
    <w:div w:id="1204367100">
      <w:bodyDiv w:val="1"/>
      <w:marLeft w:val="0"/>
      <w:marRight w:val="0"/>
      <w:marTop w:val="0"/>
      <w:marBottom w:val="0"/>
      <w:divBdr>
        <w:top w:val="none" w:sz="0" w:space="0" w:color="auto"/>
        <w:left w:val="none" w:sz="0" w:space="0" w:color="auto"/>
        <w:bottom w:val="none" w:sz="0" w:space="0" w:color="auto"/>
        <w:right w:val="none" w:sz="0" w:space="0" w:color="auto"/>
      </w:divBdr>
    </w:div>
    <w:div w:id="1217276407">
      <w:bodyDiv w:val="1"/>
      <w:marLeft w:val="0"/>
      <w:marRight w:val="0"/>
      <w:marTop w:val="0"/>
      <w:marBottom w:val="0"/>
      <w:divBdr>
        <w:top w:val="none" w:sz="0" w:space="0" w:color="auto"/>
        <w:left w:val="none" w:sz="0" w:space="0" w:color="auto"/>
        <w:bottom w:val="none" w:sz="0" w:space="0" w:color="auto"/>
        <w:right w:val="none" w:sz="0" w:space="0" w:color="auto"/>
      </w:divBdr>
    </w:div>
    <w:div w:id="1225870211">
      <w:bodyDiv w:val="1"/>
      <w:marLeft w:val="0"/>
      <w:marRight w:val="0"/>
      <w:marTop w:val="0"/>
      <w:marBottom w:val="0"/>
      <w:divBdr>
        <w:top w:val="none" w:sz="0" w:space="0" w:color="auto"/>
        <w:left w:val="none" w:sz="0" w:space="0" w:color="auto"/>
        <w:bottom w:val="none" w:sz="0" w:space="0" w:color="auto"/>
        <w:right w:val="none" w:sz="0" w:space="0" w:color="auto"/>
      </w:divBdr>
    </w:div>
    <w:div w:id="1231311500">
      <w:bodyDiv w:val="1"/>
      <w:marLeft w:val="0"/>
      <w:marRight w:val="0"/>
      <w:marTop w:val="0"/>
      <w:marBottom w:val="0"/>
      <w:divBdr>
        <w:top w:val="none" w:sz="0" w:space="0" w:color="auto"/>
        <w:left w:val="none" w:sz="0" w:space="0" w:color="auto"/>
        <w:bottom w:val="none" w:sz="0" w:space="0" w:color="auto"/>
        <w:right w:val="none" w:sz="0" w:space="0" w:color="auto"/>
      </w:divBdr>
    </w:div>
    <w:div w:id="1235704678">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55816921">
      <w:bodyDiv w:val="1"/>
      <w:marLeft w:val="0"/>
      <w:marRight w:val="0"/>
      <w:marTop w:val="0"/>
      <w:marBottom w:val="0"/>
      <w:divBdr>
        <w:top w:val="none" w:sz="0" w:space="0" w:color="auto"/>
        <w:left w:val="none" w:sz="0" w:space="0" w:color="auto"/>
        <w:bottom w:val="none" w:sz="0" w:space="0" w:color="auto"/>
        <w:right w:val="none" w:sz="0" w:space="0" w:color="auto"/>
      </w:divBdr>
    </w:div>
    <w:div w:id="1278411977">
      <w:bodyDiv w:val="1"/>
      <w:marLeft w:val="0"/>
      <w:marRight w:val="0"/>
      <w:marTop w:val="0"/>
      <w:marBottom w:val="0"/>
      <w:divBdr>
        <w:top w:val="none" w:sz="0" w:space="0" w:color="auto"/>
        <w:left w:val="none" w:sz="0" w:space="0" w:color="auto"/>
        <w:bottom w:val="none" w:sz="0" w:space="0" w:color="auto"/>
        <w:right w:val="none" w:sz="0" w:space="0" w:color="auto"/>
      </w:divBdr>
    </w:div>
    <w:div w:id="1283001349">
      <w:bodyDiv w:val="1"/>
      <w:marLeft w:val="0"/>
      <w:marRight w:val="0"/>
      <w:marTop w:val="0"/>
      <w:marBottom w:val="0"/>
      <w:divBdr>
        <w:top w:val="none" w:sz="0" w:space="0" w:color="auto"/>
        <w:left w:val="none" w:sz="0" w:space="0" w:color="auto"/>
        <w:bottom w:val="none" w:sz="0" w:space="0" w:color="auto"/>
        <w:right w:val="none" w:sz="0" w:space="0" w:color="auto"/>
      </w:divBdr>
    </w:div>
    <w:div w:id="1292400901">
      <w:bodyDiv w:val="1"/>
      <w:marLeft w:val="0"/>
      <w:marRight w:val="0"/>
      <w:marTop w:val="0"/>
      <w:marBottom w:val="0"/>
      <w:divBdr>
        <w:top w:val="none" w:sz="0" w:space="0" w:color="auto"/>
        <w:left w:val="none" w:sz="0" w:space="0" w:color="auto"/>
        <w:bottom w:val="none" w:sz="0" w:space="0" w:color="auto"/>
        <w:right w:val="none" w:sz="0" w:space="0" w:color="auto"/>
      </w:divBdr>
    </w:div>
    <w:div w:id="1317225731">
      <w:bodyDiv w:val="1"/>
      <w:marLeft w:val="0"/>
      <w:marRight w:val="0"/>
      <w:marTop w:val="0"/>
      <w:marBottom w:val="0"/>
      <w:divBdr>
        <w:top w:val="none" w:sz="0" w:space="0" w:color="auto"/>
        <w:left w:val="none" w:sz="0" w:space="0" w:color="auto"/>
        <w:bottom w:val="none" w:sz="0" w:space="0" w:color="auto"/>
        <w:right w:val="none" w:sz="0" w:space="0" w:color="auto"/>
      </w:divBdr>
    </w:div>
    <w:div w:id="1320235976">
      <w:bodyDiv w:val="1"/>
      <w:marLeft w:val="0"/>
      <w:marRight w:val="0"/>
      <w:marTop w:val="0"/>
      <w:marBottom w:val="0"/>
      <w:divBdr>
        <w:top w:val="none" w:sz="0" w:space="0" w:color="auto"/>
        <w:left w:val="none" w:sz="0" w:space="0" w:color="auto"/>
        <w:bottom w:val="none" w:sz="0" w:space="0" w:color="auto"/>
        <w:right w:val="none" w:sz="0" w:space="0" w:color="auto"/>
      </w:divBdr>
    </w:div>
    <w:div w:id="1338653422">
      <w:bodyDiv w:val="1"/>
      <w:marLeft w:val="0"/>
      <w:marRight w:val="0"/>
      <w:marTop w:val="0"/>
      <w:marBottom w:val="0"/>
      <w:divBdr>
        <w:top w:val="none" w:sz="0" w:space="0" w:color="auto"/>
        <w:left w:val="none" w:sz="0" w:space="0" w:color="auto"/>
        <w:bottom w:val="none" w:sz="0" w:space="0" w:color="auto"/>
        <w:right w:val="none" w:sz="0" w:space="0" w:color="auto"/>
      </w:divBdr>
    </w:div>
    <w:div w:id="1348167463">
      <w:bodyDiv w:val="1"/>
      <w:marLeft w:val="0"/>
      <w:marRight w:val="0"/>
      <w:marTop w:val="0"/>
      <w:marBottom w:val="0"/>
      <w:divBdr>
        <w:top w:val="none" w:sz="0" w:space="0" w:color="auto"/>
        <w:left w:val="none" w:sz="0" w:space="0" w:color="auto"/>
        <w:bottom w:val="none" w:sz="0" w:space="0" w:color="auto"/>
        <w:right w:val="none" w:sz="0" w:space="0" w:color="auto"/>
      </w:divBdr>
    </w:div>
    <w:div w:id="1363093097">
      <w:bodyDiv w:val="1"/>
      <w:marLeft w:val="0"/>
      <w:marRight w:val="0"/>
      <w:marTop w:val="0"/>
      <w:marBottom w:val="0"/>
      <w:divBdr>
        <w:top w:val="none" w:sz="0" w:space="0" w:color="auto"/>
        <w:left w:val="none" w:sz="0" w:space="0" w:color="auto"/>
        <w:bottom w:val="none" w:sz="0" w:space="0" w:color="auto"/>
        <w:right w:val="none" w:sz="0" w:space="0" w:color="auto"/>
      </w:divBdr>
    </w:div>
    <w:div w:id="1368411152">
      <w:bodyDiv w:val="1"/>
      <w:marLeft w:val="0"/>
      <w:marRight w:val="0"/>
      <w:marTop w:val="0"/>
      <w:marBottom w:val="0"/>
      <w:divBdr>
        <w:top w:val="none" w:sz="0" w:space="0" w:color="auto"/>
        <w:left w:val="none" w:sz="0" w:space="0" w:color="auto"/>
        <w:bottom w:val="none" w:sz="0" w:space="0" w:color="auto"/>
        <w:right w:val="none" w:sz="0" w:space="0" w:color="auto"/>
      </w:divBdr>
    </w:div>
    <w:div w:id="1396395330">
      <w:bodyDiv w:val="1"/>
      <w:marLeft w:val="0"/>
      <w:marRight w:val="0"/>
      <w:marTop w:val="0"/>
      <w:marBottom w:val="0"/>
      <w:divBdr>
        <w:top w:val="none" w:sz="0" w:space="0" w:color="auto"/>
        <w:left w:val="none" w:sz="0" w:space="0" w:color="auto"/>
        <w:bottom w:val="none" w:sz="0" w:space="0" w:color="auto"/>
        <w:right w:val="none" w:sz="0" w:space="0" w:color="auto"/>
      </w:divBdr>
    </w:div>
    <w:div w:id="1408266428">
      <w:bodyDiv w:val="1"/>
      <w:marLeft w:val="0"/>
      <w:marRight w:val="0"/>
      <w:marTop w:val="0"/>
      <w:marBottom w:val="0"/>
      <w:divBdr>
        <w:top w:val="none" w:sz="0" w:space="0" w:color="auto"/>
        <w:left w:val="none" w:sz="0" w:space="0" w:color="auto"/>
        <w:bottom w:val="none" w:sz="0" w:space="0" w:color="auto"/>
        <w:right w:val="none" w:sz="0" w:space="0" w:color="auto"/>
      </w:divBdr>
    </w:div>
    <w:div w:id="1483080462">
      <w:bodyDiv w:val="1"/>
      <w:marLeft w:val="0"/>
      <w:marRight w:val="0"/>
      <w:marTop w:val="0"/>
      <w:marBottom w:val="0"/>
      <w:divBdr>
        <w:top w:val="none" w:sz="0" w:space="0" w:color="auto"/>
        <w:left w:val="none" w:sz="0" w:space="0" w:color="auto"/>
        <w:bottom w:val="none" w:sz="0" w:space="0" w:color="auto"/>
        <w:right w:val="none" w:sz="0" w:space="0" w:color="auto"/>
      </w:divBdr>
    </w:div>
    <w:div w:id="149895588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6598060">
      <w:bodyDiv w:val="1"/>
      <w:marLeft w:val="0"/>
      <w:marRight w:val="0"/>
      <w:marTop w:val="0"/>
      <w:marBottom w:val="0"/>
      <w:divBdr>
        <w:top w:val="none" w:sz="0" w:space="0" w:color="auto"/>
        <w:left w:val="none" w:sz="0" w:space="0" w:color="auto"/>
        <w:bottom w:val="none" w:sz="0" w:space="0" w:color="auto"/>
        <w:right w:val="none" w:sz="0" w:space="0" w:color="auto"/>
      </w:divBdr>
    </w:div>
    <w:div w:id="1539662796">
      <w:bodyDiv w:val="1"/>
      <w:marLeft w:val="0"/>
      <w:marRight w:val="0"/>
      <w:marTop w:val="0"/>
      <w:marBottom w:val="0"/>
      <w:divBdr>
        <w:top w:val="none" w:sz="0" w:space="0" w:color="auto"/>
        <w:left w:val="none" w:sz="0" w:space="0" w:color="auto"/>
        <w:bottom w:val="none" w:sz="0" w:space="0" w:color="auto"/>
        <w:right w:val="none" w:sz="0" w:space="0" w:color="auto"/>
      </w:divBdr>
    </w:div>
    <w:div w:id="1547138837">
      <w:bodyDiv w:val="1"/>
      <w:marLeft w:val="0"/>
      <w:marRight w:val="0"/>
      <w:marTop w:val="0"/>
      <w:marBottom w:val="0"/>
      <w:divBdr>
        <w:top w:val="none" w:sz="0" w:space="0" w:color="auto"/>
        <w:left w:val="none" w:sz="0" w:space="0" w:color="auto"/>
        <w:bottom w:val="none" w:sz="0" w:space="0" w:color="auto"/>
        <w:right w:val="none" w:sz="0" w:space="0" w:color="auto"/>
      </w:divBdr>
    </w:div>
    <w:div w:id="1554002651">
      <w:bodyDiv w:val="1"/>
      <w:marLeft w:val="0"/>
      <w:marRight w:val="0"/>
      <w:marTop w:val="0"/>
      <w:marBottom w:val="0"/>
      <w:divBdr>
        <w:top w:val="none" w:sz="0" w:space="0" w:color="auto"/>
        <w:left w:val="none" w:sz="0" w:space="0" w:color="auto"/>
        <w:bottom w:val="none" w:sz="0" w:space="0" w:color="auto"/>
        <w:right w:val="none" w:sz="0" w:space="0" w:color="auto"/>
      </w:divBdr>
    </w:div>
    <w:div w:id="1561670823">
      <w:bodyDiv w:val="1"/>
      <w:marLeft w:val="0"/>
      <w:marRight w:val="0"/>
      <w:marTop w:val="0"/>
      <w:marBottom w:val="0"/>
      <w:divBdr>
        <w:top w:val="none" w:sz="0" w:space="0" w:color="auto"/>
        <w:left w:val="none" w:sz="0" w:space="0" w:color="auto"/>
        <w:bottom w:val="none" w:sz="0" w:space="0" w:color="auto"/>
        <w:right w:val="none" w:sz="0" w:space="0" w:color="auto"/>
      </w:divBdr>
    </w:div>
    <w:div w:id="1615750970">
      <w:bodyDiv w:val="1"/>
      <w:marLeft w:val="0"/>
      <w:marRight w:val="0"/>
      <w:marTop w:val="0"/>
      <w:marBottom w:val="0"/>
      <w:divBdr>
        <w:top w:val="none" w:sz="0" w:space="0" w:color="auto"/>
        <w:left w:val="none" w:sz="0" w:space="0" w:color="auto"/>
        <w:bottom w:val="none" w:sz="0" w:space="0" w:color="auto"/>
        <w:right w:val="none" w:sz="0" w:space="0" w:color="auto"/>
      </w:divBdr>
    </w:div>
    <w:div w:id="1634167581">
      <w:bodyDiv w:val="1"/>
      <w:marLeft w:val="0"/>
      <w:marRight w:val="0"/>
      <w:marTop w:val="0"/>
      <w:marBottom w:val="0"/>
      <w:divBdr>
        <w:top w:val="none" w:sz="0" w:space="0" w:color="auto"/>
        <w:left w:val="none" w:sz="0" w:space="0" w:color="auto"/>
        <w:bottom w:val="none" w:sz="0" w:space="0" w:color="auto"/>
        <w:right w:val="none" w:sz="0" w:space="0" w:color="auto"/>
      </w:divBdr>
    </w:div>
    <w:div w:id="1641379217">
      <w:bodyDiv w:val="1"/>
      <w:marLeft w:val="0"/>
      <w:marRight w:val="0"/>
      <w:marTop w:val="0"/>
      <w:marBottom w:val="0"/>
      <w:divBdr>
        <w:top w:val="none" w:sz="0" w:space="0" w:color="auto"/>
        <w:left w:val="none" w:sz="0" w:space="0" w:color="auto"/>
        <w:bottom w:val="none" w:sz="0" w:space="0" w:color="auto"/>
        <w:right w:val="none" w:sz="0" w:space="0" w:color="auto"/>
      </w:divBdr>
    </w:div>
    <w:div w:id="1660190428">
      <w:bodyDiv w:val="1"/>
      <w:marLeft w:val="0"/>
      <w:marRight w:val="0"/>
      <w:marTop w:val="0"/>
      <w:marBottom w:val="0"/>
      <w:divBdr>
        <w:top w:val="none" w:sz="0" w:space="0" w:color="auto"/>
        <w:left w:val="none" w:sz="0" w:space="0" w:color="auto"/>
        <w:bottom w:val="none" w:sz="0" w:space="0" w:color="auto"/>
        <w:right w:val="none" w:sz="0" w:space="0" w:color="auto"/>
      </w:divBdr>
    </w:div>
    <w:div w:id="1674185382">
      <w:bodyDiv w:val="1"/>
      <w:marLeft w:val="0"/>
      <w:marRight w:val="0"/>
      <w:marTop w:val="0"/>
      <w:marBottom w:val="0"/>
      <w:divBdr>
        <w:top w:val="none" w:sz="0" w:space="0" w:color="auto"/>
        <w:left w:val="none" w:sz="0" w:space="0" w:color="auto"/>
        <w:bottom w:val="none" w:sz="0" w:space="0" w:color="auto"/>
        <w:right w:val="none" w:sz="0" w:space="0" w:color="auto"/>
      </w:divBdr>
    </w:div>
    <w:div w:id="1692602964">
      <w:bodyDiv w:val="1"/>
      <w:marLeft w:val="0"/>
      <w:marRight w:val="0"/>
      <w:marTop w:val="0"/>
      <w:marBottom w:val="0"/>
      <w:divBdr>
        <w:top w:val="none" w:sz="0" w:space="0" w:color="auto"/>
        <w:left w:val="none" w:sz="0" w:space="0" w:color="auto"/>
        <w:bottom w:val="none" w:sz="0" w:space="0" w:color="auto"/>
        <w:right w:val="none" w:sz="0" w:space="0" w:color="auto"/>
      </w:divBdr>
    </w:div>
    <w:div w:id="1711689939">
      <w:bodyDiv w:val="1"/>
      <w:marLeft w:val="0"/>
      <w:marRight w:val="0"/>
      <w:marTop w:val="0"/>
      <w:marBottom w:val="0"/>
      <w:divBdr>
        <w:top w:val="none" w:sz="0" w:space="0" w:color="auto"/>
        <w:left w:val="none" w:sz="0" w:space="0" w:color="auto"/>
        <w:bottom w:val="none" w:sz="0" w:space="0" w:color="auto"/>
        <w:right w:val="none" w:sz="0" w:space="0" w:color="auto"/>
      </w:divBdr>
    </w:div>
    <w:div w:id="1712413665">
      <w:bodyDiv w:val="1"/>
      <w:marLeft w:val="0"/>
      <w:marRight w:val="0"/>
      <w:marTop w:val="0"/>
      <w:marBottom w:val="0"/>
      <w:divBdr>
        <w:top w:val="none" w:sz="0" w:space="0" w:color="auto"/>
        <w:left w:val="none" w:sz="0" w:space="0" w:color="auto"/>
        <w:bottom w:val="none" w:sz="0" w:space="0" w:color="auto"/>
        <w:right w:val="none" w:sz="0" w:space="0" w:color="auto"/>
      </w:divBdr>
    </w:div>
    <w:div w:id="1725329235">
      <w:bodyDiv w:val="1"/>
      <w:marLeft w:val="0"/>
      <w:marRight w:val="0"/>
      <w:marTop w:val="0"/>
      <w:marBottom w:val="0"/>
      <w:divBdr>
        <w:top w:val="none" w:sz="0" w:space="0" w:color="auto"/>
        <w:left w:val="none" w:sz="0" w:space="0" w:color="auto"/>
        <w:bottom w:val="none" w:sz="0" w:space="0" w:color="auto"/>
        <w:right w:val="none" w:sz="0" w:space="0" w:color="auto"/>
      </w:divBdr>
    </w:div>
    <w:div w:id="1735547473">
      <w:bodyDiv w:val="1"/>
      <w:marLeft w:val="0"/>
      <w:marRight w:val="0"/>
      <w:marTop w:val="0"/>
      <w:marBottom w:val="0"/>
      <w:divBdr>
        <w:top w:val="none" w:sz="0" w:space="0" w:color="auto"/>
        <w:left w:val="none" w:sz="0" w:space="0" w:color="auto"/>
        <w:bottom w:val="none" w:sz="0" w:space="0" w:color="auto"/>
        <w:right w:val="none" w:sz="0" w:space="0" w:color="auto"/>
      </w:divBdr>
    </w:div>
    <w:div w:id="1741828890">
      <w:bodyDiv w:val="1"/>
      <w:marLeft w:val="0"/>
      <w:marRight w:val="0"/>
      <w:marTop w:val="0"/>
      <w:marBottom w:val="0"/>
      <w:divBdr>
        <w:top w:val="none" w:sz="0" w:space="0" w:color="auto"/>
        <w:left w:val="none" w:sz="0" w:space="0" w:color="auto"/>
        <w:bottom w:val="none" w:sz="0" w:space="0" w:color="auto"/>
        <w:right w:val="none" w:sz="0" w:space="0" w:color="auto"/>
      </w:divBdr>
    </w:div>
    <w:div w:id="1745373087">
      <w:bodyDiv w:val="1"/>
      <w:marLeft w:val="0"/>
      <w:marRight w:val="0"/>
      <w:marTop w:val="0"/>
      <w:marBottom w:val="0"/>
      <w:divBdr>
        <w:top w:val="none" w:sz="0" w:space="0" w:color="auto"/>
        <w:left w:val="none" w:sz="0" w:space="0" w:color="auto"/>
        <w:bottom w:val="none" w:sz="0" w:space="0" w:color="auto"/>
        <w:right w:val="none" w:sz="0" w:space="0" w:color="auto"/>
      </w:divBdr>
    </w:div>
    <w:div w:id="1765607254">
      <w:bodyDiv w:val="1"/>
      <w:marLeft w:val="0"/>
      <w:marRight w:val="0"/>
      <w:marTop w:val="0"/>
      <w:marBottom w:val="0"/>
      <w:divBdr>
        <w:top w:val="none" w:sz="0" w:space="0" w:color="auto"/>
        <w:left w:val="none" w:sz="0" w:space="0" w:color="auto"/>
        <w:bottom w:val="none" w:sz="0" w:space="0" w:color="auto"/>
        <w:right w:val="none" w:sz="0" w:space="0" w:color="auto"/>
      </w:divBdr>
    </w:div>
    <w:div w:id="1776364432">
      <w:bodyDiv w:val="1"/>
      <w:marLeft w:val="0"/>
      <w:marRight w:val="0"/>
      <w:marTop w:val="0"/>
      <w:marBottom w:val="0"/>
      <w:divBdr>
        <w:top w:val="none" w:sz="0" w:space="0" w:color="auto"/>
        <w:left w:val="none" w:sz="0" w:space="0" w:color="auto"/>
        <w:bottom w:val="none" w:sz="0" w:space="0" w:color="auto"/>
        <w:right w:val="none" w:sz="0" w:space="0" w:color="auto"/>
      </w:divBdr>
    </w:div>
    <w:div w:id="1782341110">
      <w:bodyDiv w:val="1"/>
      <w:marLeft w:val="0"/>
      <w:marRight w:val="0"/>
      <w:marTop w:val="0"/>
      <w:marBottom w:val="0"/>
      <w:divBdr>
        <w:top w:val="none" w:sz="0" w:space="0" w:color="auto"/>
        <w:left w:val="none" w:sz="0" w:space="0" w:color="auto"/>
        <w:bottom w:val="none" w:sz="0" w:space="0" w:color="auto"/>
        <w:right w:val="none" w:sz="0" w:space="0" w:color="auto"/>
      </w:divBdr>
    </w:div>
    <w:div w:id="1796172850">
      <w:bodyDiv w:val="1"/>
      <w:marLeft w:val="0"/>
      <w:marRight w:val="0"/>
      <w:marTop w:val="0"/>
      <w:marBottom w:val="0"/>
      <w:divBdr>
        <w:top w:val="none" w:sz="0" w:space="0" w:color="auto"/>
        <w:left w:val="none" w:sz="0" w:space="0" w:color="auto"/>
        <w:bottom w:val="none" w:sz="0" w:space="0" w:color="auto"/>
        <w:right w:val="none" w:sz="0" w:space="0" w:color="auto"/>
      </w:divBdr>
    </w:div>
    <w:div w:id="1830748847">
      <w:bodyDiv w:val="1"/>
      <w:marLeft w:val="0"/>
      <w:marRight w:val="0"/>
      <w:marTop w:val="0"/>
      <w:marBottom w:val="0"/>
      <w:divBdr>
        <w:top w:val="none" w:sz="0" w:space="0" w:color="auto"/>
        <w:left w:val="none" w:sz="0" w:space="0" w:color="auto"/>
        <w:bottom w:val="none" w:sz="0" w:space="0" w:color="auto"/>
        <w:right w:val="none" w:sz="0" w:space="0" w:color="auto"/>
      </w:divBdr>
    </w:div>
    <w:div w:id="1844277199">
      <w:bodyDiv w:val="1"/>
      <w:marLeft w:val="0"/>
      <w:marRight w:val="0"/>
      <w:marTop w:val="0"/>
      <w:marBottom w:val="0"/>
      <w:divBdr>
        <w:top w:val="none" w:sz="0" w:space="0" w:color="auto"/>
        <w:left w:val="none" w:sz="0" w:space="0" w:color="auto"/>
        <w:bottom w:val="none" w:sz="0" w:space="0" w:color="auto"/>
        <w:right w:val="none" w:sz="0" w:space="0" w:color="auto"/>
      </w:divBdr>
    </w:div>
    <w:div w:id="1876237612">
      <w:bodyDiv w:val="1"/>
      <w:marLeft w:val="0"/>
      <w:marRight w:val="0"/>
      <w:marTop w:val="0"/>
      <w:marBottom w:val="0"/>
      <w:divBdr>
        <w:top w:val="none" w:sz="0" w:space="0" w:color="auto"/>
        <w:left w:val="none" w:sz="0" w:space="0" w:color="auto"/>
        <w:bottom w:val="none" w:sz="0" w:space="0" w:color="auto"/>
        <w:right w:val="none" w:sz="0" w:space="0" w:color="auto"/>
      </w:divBdr>
    </w:div>
    <w:div w:id="1884978675">
      <w:bodyDiv w:val="1"/>
      <w:marLeft w:val="0"/>
      <w:marRight w:val="0"/>
      <w:marTop w:val="0"/>
      <w:marBottom w:val="0"/>
      <w:divBdr>
        <w:top w:val="none" w:sz="0" w:space="0" w:color="auto"/>
        <w:left w:val="none" w:sz="0" w:space="0" w:color="auto"/>
        <w:bottom w:val="none" w:sz="0" w:space="0" w:color="auto"/>
        <w:right w:val="none" w:sz="0" w:space="0" w:color="auto"/>
      </w:divBdr>
    </w:div>
    <w:div w:id="1897154924">
      <w:bodyDiv w:val="1"/>
      <w:marLeft w:val="0"/>
      <w:marRight w:val="0"/>
      <w:marTop w:val="0"/>
      <w:marBottom w:val="0"/>
      <w:divBdr>
        <w:top w:val="none" w:sz="0" w:space="0" w:color="auto"/>
        <w:left w:val="none" w:sz="0" w:space="0" w:color="auto"/>
        <w:bottom w:val="none" w:sz="0" w:space="0" w:color="auto"/>
        <w:right w:val="none" w:sz="0" w:space="0" w:color="auto"/>
      </w:divBdr>
    </w:div>
    <w:div w:id="1910993727">
      <w:bodyDiv w:val="1"/>
      <w:marLeft w:val="0"/>
      <w:marRight w:val="0"/>
      <w:marTop w:val="0"/>
      <w:marBottom w:val="0"/>
      <w:divBdr>
        <w:top w:val="none" w:sz="0" w:space="0" w:color="auto"/>
        <w:left w:val="none" w:sz="0" w:space="0" w:color="auto"/>
        <w:bottom w:val="none" w:sz="0" w:space="0" w:color="auto"/>
        <w:right w:val="none" w:sz="0" w:space="0" w:color="auto"/>
      </w:divBdr>
    </w:div>
    <w:div w:id="1914504006">
      <w:bodyDiv w:val="1"/>
      <w:marLeft w:val="0"/>
      <w:marRight w:val="0"/>
      <w:marTop w:val="0"/>
      <w:marBottom w:val="0"/>
      <w:divBdr>
        <w:top w:val="none" w:sz="0" w:space="0" w:color="auto"/>
        <w:left w:val="none" w:sz="0" w:space="0" w:color="auto"/>
        <w:bottom w:val="none" w:sz="0" w:space="0" w:color="auto"/>
        <w:right w:val="none" w:sz="0" w:space="0" w:color="auto"/>
      </w:divBdr>
    </w:div>
    <w:div w:id="1938520583">
      <w:bodyDiv w:val="1"/>
      <w:marLeft w:val="0"/>
      <w:marRight w:val="0"/>
      <w:marTop w:val="0"/>
      <w:marBottom w:val="0"/>
      <w:divBdr>
        <w:top w:val="none" w:sz="0" w:space="0" w:color="auto"/>
        <w:left w:val="none" w:sz="0" w:space="0" w:color="auto"/>
        <w:bottom w:val="none" w:sz="0" w:space="0" w:color="auto"/>
        <w:right w:val="none" w:sz="0" w:space="0" w:color="auto"/>
      </w:divBdr>
    </w:div>
    <w:div w:id="1944150114">
      <w:bodyDiv w:val="1"/>
      <w:marLeft w:val="0"/>
      <w:marRight w:val="0"/>
      <w:marTop w:val="0"/>
      <w:marBottom w:val="0"/>
      <w:divBdr>
        <w:top w:val="none" w:sz="0" w:space="0" w:color="auto"/>
        <w:left w:val="none" w:sz="0" w:space="0" w:color="auto"/>
        <w:bottom w:val="none" w:sz="0" w:space="0" w:color="auto"/>
        <w:right w:val="none" w:sz="0" w:space="0" w:color="auto"/>
      </w:divBdr>
    </w:div>
    <w:div w:id="1949458856">
      <w:bodyDiv w:val="1"/>
      <w:marLeft w:val="0"/>
      <w:marRight w:val="0"/>
      <w:marTop w:val="0"/>
      <w:marBottom w:val="0"/>
      <w:divBdr>
        <w:top w:val="none" w:sz="0" w:space="0" w:color="auto"/>
        <w:left w:val="none" w:sz="0" w:space="0" w:color="auto"/>
        <w:bottom w:val="none" w:sz="0" w:space="0" w:color="auto"/>
        <w:right w:val="none" w:sz="0" w:space="0" w:color="auto"/>
      </w:divBdr>
    </w:div>
    <w:div w:id="1956281142">
      <w:bodyDiv w:val="1"/>
      <w:marLeft w:val="0"/>
      <w:marRight w:val="0"/>
      <w:marTop w:val="0"/>
      <w:marBottom w:val="0"/>
      <w:divBdr>
        <w:top w:val="none" w:sz="0" w:space="0" w:color="auto"/>
        <w:left w:val="none" w:sz="0" w:space="0" w:color="auto"/>
        <w:bottom w:val="none" w:sz="0" w:space="0" w:color="auto"/>
        <w:right w:val="none" w:sz="0" w:space="0" w:color="auto"/>
      </w:divBdr>
    </w:div>
    <w:div w:id="1974167848">
      <w:bodyDiv w:val="1"/>
      <w:marLeft w:val="0"/>
      <w:marRight w:val="0"/>
      <w:marTop w:val="0"/>
      <w:marBottom w:val="0"/>
      <w:divBdr>
        <w:top w:val="none" w:sz="0" w:space="0" w:color="auto"/>
        <w:left w:val="none" w:sz="0" w:space="0" w:color="auto"/>
        <w:bottom w:val="none" w:sz="0" w:space="0" w:color="auto"/>
        <w:right w:val="none" w:sz="0" w:space="0" w:color="auto"/>
      </w:divBdr>
    </w:div>
    <w:div w:id="1984462315">
      <w:bodyDiv w:val="1"/>
      <w:marLeft w:val="0"/>
      <w:marRight w:val="0"/>
      <w:marTop w:val="0"/>
      <w:marBottom w:val="0"/>
      <w:divBdr>
        <w:top w:val="none" w:sz="0" w:space="0" w:color="auto"/>
        <w:left w:val="none" w:sz="0" w:space="0" w:color="auto"/>
        <w:bottom w:val="none" w:sz="0" w:space="0" w:color="auto"/>
        <w:right w:val="none" w:sz="0" w:space="0" w:color="auto"/>
      </w:divBdr>
    </w:div>
    <w:div w:id="1999113830">
      <w:bodyDiv w:val="1"/>
      <w:marLeft w:val="0"/>
      <w:marRight w:val="0"/>
      <w:marTop w:val="0"/>
      <w:marBottom w:val="0"/>
      <w:divBdr>
        <w:top w:val="none" w:sz="0" w:space="0" w:color="auto"/>
        <w:left w:val="none" w:sz="0" w:space="0" w:color="auto"/>
        <w:bottom w:val="none" w:sz="0" w:space="0" w:color="auto"/>
        <w:right w:val="none" w:sz="0" w:space="0" w:color="auto"/>
      </w:divBdr>
    </w:div>
    <w:div w:id="2005040526">
      <w:bodyDiv w:val="1"/>
      <w:marLeft w:val="0"/>
      <w:marRight w:val="0"/>
      <w:marTop w:val="0"/>
      <w:marBottom w:val="0"/>
      <w:divBdr>
        <w:top w:val="none" w:sz="0" w:space="0" w:color="auto"/>
        <w:left w:val="none" w:sz="0" w:space="0" w:color="auto"/>
        <w:bottom w:val="none" w:sz="0" w:space="0" w:color="auto"/>
        <w:right w:val="none" w:sz="0" w:space="0" w:color="auto"/>
      </w:divBdr>
    </w:div>
    <w:div w:id="2036736012">
      <w:bodyDiv w:val="1"/>
      <w:marLeft w:val="0"/>
      <w:marRight w:val="0"/>
      <w:marTop w:val="0"/>
      <w:marBottom w:val="0"/>
      <w:divBdr>
        <w:top w:val="none" w:sz="0" w:space="0" w:color="auto"/>
        <w:left w:val="none" w:sz="0" w:space="0" w:color="auto"/>
        <w:bottom w:val="none" w:sz="0" w:space="0" w:color="auto"/>
        <w:right w:val="none" w:sz="0" w:space="0" w:color="auto"/>
      </w:divBdr>
    </w:div>
    <w:div w:id="2053535237">
      <w:bodyDiv w:val="1"/>
      <w:marLeft w:val="0"/>
      <w:marRight w:val="0"/>
      <w:marTop w:val="0"/>
      <w:marBottom w:val="0"/>
      <w:divBdr>
        <w:top w:val="none" w:sz="0" w:space="0" w:color="auto"/>
        <w:left w:val="none" w:sz="0" w:space="0" w:color="auto"/>
        <w:bottom w:val="none" w:sz="0" w:space="0" w:color="auto"/>
        <w:right w:val="none" w:sz="0" w:space="0" w:color="auto"/>
      </w:divBdr>
    </w:div>
    <w:div w:id="2053725675">
      <w:bodyDiv w:val="1"/>
      <w:marLeft w:val="0"/>
      <w:marRight w:val="0"/>
      <w:marTop w:val="0"/>
      <w:marBottom w:val="0"/>
      <w:divBdr>
        <w:top w:val="none" w:sz="0" w:space="0" w:color="auto"/>
        <w:left w:val="none" w:sz="0" w:space="0" w:color="auto"/>
        <w:bottom w:val="none" w:sz="0" w:space="0" w:color="auto"/>
        <w:right w:val="none" w:sz="0" w:space="0" w:color="auto"/>
      </w:divBdr>
    </w:div>
    <w:div w:id="2062319068">
      <w:bodyDiv w:val="1"/>
      <w:marLeft w:val="0"/>
      <w:marRight w:val="0"/>
      <w:marTop w:val="0"/>
      <w:marBottom w:val="0"/>
      <w:divBdr>
        <w:top w:val="none" w:sz="0" w:space="0" w:color="auto"/>
        <w:left w:val="none" w:sz="0" w:space="0" w:color="auto"/>
        <w:bottom w:val="none" w:sz="0" w:space="0" w:color="auto"/>
        <w:right w:val="none" w:sz="0" w:space="0" w:color="auto"/>
      </w:divBdr>
    </w:div>
    <w:div w:id="2082752261">
      <w:bodyDiv w:val="1"/>
      <w:marLeft w:val="0"/>
      <w:marRight w:val="0"/>
      <w:marTop w:val="0"/>
      <w:marBottom w:val="0"/>
      <w:divBdr>
        <w:top w:val="none" w:sz="0" w:space="0" w:color="auto"/>
        <w:left w:val="none" w:sz="0" w:space="0" w:color="auto"/>
        <w:bottom w:val="none" w:sz="0" w:space="0" w:color="auto"/>
        <w:right w:val="none" w:sz="0" w:space="0" w:color="auto"/>
      </w:divBdr>
    </w:div>
    <w:div w:id="2099674829">
      <w:bodyDiv w:val="1"/>
      <w:marLeft w:val="0"/>
      <w:marRight w:val="0"/>
      <w:marTop w:val="0"/>
      <w:marBottom w:val="0"/>
      <w:divBdr>
        <w:top w:val="none" w:sz="0" w:space="0" w:color="auto"/>
        <w:left w:val="none" w:sz="0" w:space="0" w:color="auto"/>
        <w:bottom w:val="none" w:sz="0" w:space="0" w:color="auto"/>
        <w:right w:val="none" w:sz="0" w:space="0" w:color="auto"/>
      </w:divBdr>
    </w:div>
    <w:div w:id="2104259086">
      <w:bodyDiv w:val="1"/>
      <w:marLeft w:val="0"/>
      <w:marRight w:val="0"/>
      <w:marTop w:val="0"/>
      <w:marBottom w:val="0"/>
      <w:divBdr>
        <w:top w:val="none" w:sz="0" w:space="0" w:color="auto"/>
        <w:left w:val="none" w:sz="0" w:space="0" w:color="auto"/>
        <w:bottom w:val="none" w:sz="0" w:space="0" w:color="auto"/>
        <w:right w:val="none" w:sz="0" w:space="0" w:color="auto"/>
      </w:divBdr>
    </w:div>
    <w:div w:id="2104916905">
      <w:bodyDiv w:val="1"/>
      <w:marLeft w:val="0"/>
      <w:marRight w:val="0"/>
      <w:marTop w:val="0"/>
      <w:marBottom w:val="0"/>
      <w:divBdr>
        <w:top w:val="none" w:sz="0" w:space="0" w:color="auto"/>
        <w:left w:val="none" w:sz="0" w:space="0" w:color="auto"/>
        <w:bottom w:val="none" w:sz="0" w:space="0" w:color="auto"/>
        <w:right w:val="none" w:sz="0" w:space="0" w:color="auto"/>
      </w:divBdr>
    </w:div>
    <w:div w:id="2107116473">
      <w:bodyDiv w:val="1"/>
      <w:marLeft w:val="0"/>
      <w:marRight w:val="0"/>
      <w:marTop w:val="0"/>
      <w:marBottom w:val="0"/>
      <w:divBdr>
        <w:top w:val="none" w:sz="0" w:space="0" w:color="auto"/>
        <w:left w:val="none" w:sz="0" w:space="0" w:color="auto"/>
        <w:bottom w:val="none" w:sz="0" w:space="0" w:color="auto"/>
        <w:right w:val="none" w:sz="0" w:space="0" w:color="auto"/>
      </w:divBdr>
    </w:div>
    <w:div w:id="2119331134">
      <w:bodyDiv w:val="1"/>
      <w:marLeft w:val="0"/>
      <w:marRight w:val="0"/>
      <w:marTop w:val="0"/>
      <w:marBottom w:val="0"/>
      <w:divBdr>
        <w:top w:val="none" w:sz="0" w:space="0" w:color="auto"/>
        <w:left w:val="none" w:sz="0" w:space="0" w:color="auto"/>
        <w:bottom w:val="none" w:sz="0" w:space="0" w:color="auto"/>
        <w:right w:val="none" w:sz="0" w:space="0" w:color="auto"/>
      </w:divBdr>
    </w:div>
    <w:div w:id="2127507458">
      <w:bodyDiv w:val="1"/>
      <w:marLeft w:val="0"/>
      <w:marRight w:val="0"/>
      <w:marTop w:val="0"/>
      <w:marBottom w:val="0"/>
      <w:divBdr>
        <w:top w:val="none" w:sz="0" w:space="0" w:color="auto"/>
        <w:left w:val="none" w:sz="0" w:space="0" w:color="auto"/>
        <w:bottom w:val="none" w:sz="0" w:space="0" w:color="auto"/>
        <w:right w:val="none" w:sz="0" w:space="0" w:color="auto"/>
      </w:divBdr>
    </w:div>
    <w:div w:id="2130589947">
      <w:bodyDiv w:val="1"/>
      <w:marLeft w:val="0"/>
      <w:marRight w:val="0"/>
      <w:marTop w:val="0"/>
      <w:marBottom w:val="0"/>
      <w:divBdr>
        <w:top w:val="none" w:sz="0" w:space="0" w:color="auto"/>
        <w:left w:val="none" w:sz="0" w:space="0" w:color="auto"/>
        <w:bottom w:val="none" w:sz="0" w:space="0" w:color="auto"/>
        <w:right w:val="none" w:sz="0" w:space="0" w:color="auto"/>
      </w:divBdr>
    </w:div>
    <w:div w:id="2131434304">
      <w:bodyDiv w:val="1"/>
      <w:marLeft w:val="0"/>
      <w:marRight w:val="0"/>
      <w:marTop w:val="0"/>
      <w:marBottom w:val="0"/>
      <w:divBdr>
        <w:top w:val="none" w:sz="0" w:space="0" w:color="auto"/>
        <w:left w:val="none" w:sz="0" w:space="0" w:color="auto"/>
        <w:bottom w:val="none" w:sz="0" w:space="0" w:color="auto"/>
        <w:right w:val="none" w:sz="0" w:space="0" w:color="auto"/>
      </w:divBdr>
    </w:div>
    <w:div w:id="21442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x:LPLP20111201235" TargetMode="External"/><Relationship Id="rId18" Type="http://schemas.openxmlformats.org/officeDocument/2006/relationships/hyperlink" Target="lex:LPLP2023062216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lex:LPLP20111201235" TargetMode="External"/><Relationship Id="rId17" Type="http://schemas.openxmlformats.org/officeDocument/2006/relationships/hyperlink" Target="lex:LPLP20230622162" TargetMode="External"/><Relationship Id="rId2" Type="http://schemas.openxmlformats.org/officeDocument/2006/relationships/customXml" Target="../customXml/item2.xml"/><Relationship Id="rId16" Type="http://schemas.openxmlformats.org/officeDocument/2006/relationships/hyperlink" Target="lex:LPLP201112012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20111201235" TargetMode="External"/><Relationship Id="rId5" Type="http://schemas.openxmlformats.org/officeDocument/2006/relationships/numbering" Target="numbering.xml"/><Relationship Id="rId15" Type="http://schemas.openxmlformats.org/officeDocument/2006/relationships/hyperlink" Target="lex:LPLP2011120123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lex:LPLP20111201235"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42486-1CBF-45F2-85E4-37359FC10061}">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18791</Words>
  <Characters>107113</Characters>
  <Application>Microsoft Office Word</Application>
  <DocSecurity>0</DocSecurity>
  <Lines>892</Lines>
  <Paragraphs>251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Andrei Slanina</cp:lastModifiedBy>
  <cp:revision>4</cp:revision>
  <cp:lastPrinted>2025-06-04T18:27:00Z</cp:lastPrinted>
  <dcterms:created xsi:type="dcterms:W3CDTF">2025-06-05T03:21:00Z</dcterms:created>
  <dcterms:modified xsi:type="dcterms:W3CDTF">2025-06-25T12:48:00Z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