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94" w:rsidRPr="004B1D4B" w:rsidRDefault="00EA29D8" w:rsidP="008F417E">
      <w:pPr>
        <w:spacing w:line="360" w:lineRule="auto"/>
        <w:jc w:val="right"/>
        <w:rPr>
          <w:i/>
          <w:color w:val="000000"/>
          <w:sz w:val="28"/>
          <w:szCs w:val="28"/>
        </w:rPr>
      </w:pPr>
      <w:r w:rsidRPr="004B1D4B">
        <w:rPr>
          <w:i/>
          <w:color w:val="000000"/>
          <w:sz w:val="28"/>
          <w:szCs w:val="28"/>
        </w:rPr>
        <w:t>proiect</w:t>
      </w:r>
    </w:p>
    <w:p w:rsidR="00EA29D8" w:rsidRDefault="00EA29D8" w:rsidP="008F417E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EA29D8" w:rsidRDefault="00EA29D8" w:rsidP="008F417E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0E018F" w:rsidRDefault="000E018F" w:rsidP="008F417E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EA29D8" w:rsidRDefault="00EA29D8" w:rsidP="008F417E">
      <w:pPr>
        <w:spacing w:line="360" w:lineRule="auto"/>
        <w:jc w:val="center"/>
        <w:rPr>
          <w:b/>
          <w:sz w:val="28"/>
          <w:szCs w:val="28"/>
          <w:lang w:val="it-IT"/>
        </w:rPr>
      </w:pPr>
    </w:p>
    <w:p w:rsidR="00A7338F" w:rsidRPr="00A7338F" w:rsidRDefault="00A7338F" w:rsidP="00A7338F">
      <w:pPr>
        <w:spacing w:line="360" w:lineRule="auto"/>
        <w:ind w:firstLine="706"/>
        <w:jc w:val="center"/>
        <w:rPr>
          <w:b/>
          <w:sz w:val="28"/>
          <w:szCs w:val="28"/>
        </w:rPr>
      </w:pPr>
      <w:r w:rsidRPr="00A7338F">
        <w:rPr>
          <w:b/>
          <w:sz w:val="28"/>
          <w:szCs w:val="28"/>
        </w:rPr>
        <w:t>Cu privire la modificarea și completarea</w:t>
      </w:r>
    </w:p>
    <w:p w:rsidR="00A7338F" w:rsidRPr="009F4E55" w:rsidRDefault="00A7338F" w:rsidP="00A7338F">
      <w:pPr>
        <w:spacing w:line="360" w:lineRule="auto"/>
        <w:ind w:firstLine="706"/>
        <w:jc w:val="center"/>
        <w:rPr>
          <w:b/>
          <w:sz w:val="28"/>
          <w:szCs w:val="28"/>
          <w:lang w:eastAsia="ro-RO"/>
        </w:rPr>
      </w:pPr>
      <w:r w:rsidRPr="00A7338F">
        <w:rPr>
          <w:b/>
          <w:sz w:val="28"/>
          <w:szCs w:val="28"/>
        </w:rPr>
        <w:t>unor hotărîri ale Guvernului</w:t>
      </w:r>
    </w:p>
    <w:p w:rsidR="00A7338F" w:rsidRPr="009F4E55" w:rsidRDefault="00A7338F" w:rsidP="00A7338F">
      <w:pPr>
        <w:jc w:val="center"/>
        <w:rPr>
          <w:b/>
          <w:sz w:val="28"/>
          <w:szCs w:val="28"/>
          <w:lang w:eastAsia="ro-RO"/>
        </w:rPr>
      </w:pPr>
      <w:r w:rsidRPr="009F4E55">
        <w:rPr>
          <w:b/>
          <w:sz w:val="28"/>
          <w:szCs w:val="28"/>
          <w:lang w:eastAsia="ro-RO"/>
        </w:rPr>
        <w:t>___________________________________________________</w:t>
      </w:r>
    </w:p>
    <w:p w:rsidR="00A7338F" w:rsidRPr="007D1FB1" w:rsidRDefault="00A7338F" w:rsidP="00A7338F">
      <w:pPr>
        <w:jc w:val="center"/>
        <w:rPr>
          <w:b/>
          <w:sz w:val="28"/>
          <w:szCs w:val="28"/>
          <w:lang w:eastAsia="ro-RO"/>
        </w:rPr>
      </w:pPr>
    </w:p>
    <w:p w:rsidR="00A7338F" w:rsidRPr="00A7338F" w:rsidRDefault="00A7338F" w:rsidP="00A7338F">
      <w:pPr>
        <w:spacing w:line="360" w:lineRule="auto"/>
        <w:ind w:firstLine="706"/>
        <w:jc w:val="both"/>
        <w:rPr>
          <w:b/>
          <w:sz w:val="28"/>
          <w:szCs w:val="28"/>
        </w:rPr>
      </w:pPr>
      <w:r w:rsidRPr="00A7338F">
        <w:rPr>
          <w:b/>
          <w:sz w:val="28"/>
          <w:szCs w:val="28"/>
        </w:rPr>
        <w:t>Guvernul HOTĂRĂŞTE:</w:t>
      </w:r>
    </w:p>
    <w:p w:rsidR="00A7338F" w:rsidRDefault="00A7338F" w:rsidP="00A7338F">
      <w:pPr>
        <w:spacing w:line="360" w:lineRule="auto"/>
        <w:ind w:firstLine="706"/>
        <w:jc w:val="both"/>
        <w:rPr>
          <w:sz w:val="28"/>
          <w:szCs w:val="28"/>
        </w:rPr>
      </w:pPr>
      <w:r w:rsidRPr="00A7338F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8475F">
        <w:rPr>
          <w:sz w:val="28"/>
          <w:szCs w:val="28"/>
        </w:rPr>
        <w:t xml:space="preserve">Poziţia </w:t>
      </w:r>
      <w:r>
        <w:rPr>
          <w:sz w:val="28"/>
          <w:szCs w:val="28"/>
        </w:rPr>
        <w:t xml:space="preserve">5 </w:t>
      </w:r>
      <w:r w:rsidRPr="0068475F">
        <w:rPr>
          <w:sz w:val="28"/>
          <w:szCs w:val="28"/>
        </w:rPr>
        <w:t>din compartimentul “</w:t>
      </w:r>
      <w:r w:rsidRPr="000E2CE2">
        <w:rPr>
          <w:sz w:val="28"/>
          <w:szCs w:val="28"/>
        </w:rPr>
        <w:t>Secţia de ştiinţe umanistice şi arte</w:t>
      </w:r>
      <w:r w:rsidRPr="0068475F">
        <w:rPr>
          <w:sz w:val="28"/>
          <w:szCs w:val="28"/>
        </w:rPr>
        <w:t>” al anexei nr.2 la Hotărîrea Guvernului nr.1326 din 14 decembrie 2005 “Cu privire la măsurile de optimizare a infrastructurii sferei ştiinţei şi inovării” (Monitorul Oficial al Republicii Moldova, 2005, nr.168-171, art.1406), cu modificările şi completările ulterioare, se exclud</w:t>
      </w:r>
      <w:r>
        <w:rPr>
          <w:sz w:val="28"/>
          <w:szCs w:val="28"/>
        </w:rPr>
        <w:t>e</w:t>
      </w:r>
      <w:r w:rsidRPr="0068475F">
        <w:rPr>
          <w:sz w:val="28"/>
          <w:szCs w:val="28"/>
        </w:rPr>
        <w:t>.</w:t>
      </w:r>
    </w:p>
    <w:p w:rsidR="00A7338F" w:rsidRDefault="00A7338F" w:rsidP="00A7338F">
      <w:pPr>
        <w:spacing w:line="360" w:lineRule="auto"/>
        <w:ind w:firstLine="706"/>
        <w:jc w:val="both"/>
        <w:rPr>
          <w:sz w:val="28"/>
          <w:szCs w:val="28"/>
        </w:rPr>
      </w:pPr>
      <w:r w:rsidRPr="00A7338F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Anexa nr.3 la </w:t>
      </w:r>
      <w:r w:rsidRPr="00CA596F">
        <w:rPr>
          <w:sz w:val="28"/>
          <w:szCs w:val="28"/>
        </w:rPr>
        <w:t>Hotărîrea Guvernului nr.653 din 6 noiembrie 2009 „Cu privire la aprobarea Regulamentului, structurii şi efectivului-limită ale aparatului central al Ministerului Educaţiei” (Monitorul Oficial al Republicii Moldova, 2009, nr. 162, art. 721), cu modificările şi completările ulterioare</w:t>
      </w:r>
      <w:r>
        <w:rPr>
          <w:sz w:val="28"/>
          <w:szCs w:val="28"/>
        </w:rPr>
        <w:t>, se completează cu poziţia ”</w:t>
      </w:r>
      <w:r w:rsidRPr="00E14421">
        <w:rPr>
          <w:sz w:val="28"/>
          <w:szCs w:val="28"/>
        </w:rPr>
        <w:t>Institutul de Ştiinţe ale Educaţiei</w:t>
      </w:r>
      <w:r>
        <w:rPr>
          <w:sz w:val="28"/>
          <w:szCs w:val="28"/>
        </w:rPr>
        <w:t>”.</w:t>
      </w:r>
    </w:p>
    <w:p w:rsidR="00A7338F" w:rsidRDefault="00A7338F" w:rsidP="00A7338F">
      <w:pPr>
        <w:spacing w:before="60" w:after="120"/>
        <w:ind w:firstLine="706"/>
        <w:jc w:val="both"/>
        <w:rPr>
          <w:sz w:val="28"/>
          <w:szCs w:val="28"/>
        </w:rPr>
      </w:pPr>
    </w:p>
    <w:p w:rsidR="00A7338F" w:rsidRPr="003025B2" w:rsidRDefault="00A7338F" w:rsidP="00A7338F">
      <w:pPr>
        <w:ind w:firstLine="567"/>
        <w:jc w:val="both"/>
        <w:rPr>
          <w:sz w:val="28"/>
          <w:szCs w:val="28"/>
          <w:lang w:eastAsia="ro-RO"/>
        </w:rPr>
      </w:pPr>
    </w:p>
    <w:p w:rsidR="00A7338F" w:rsidRDefault="00A7338F" w:rsidP="00A7338F">
      <w:pPr>
        <w:ind w:left="7080" w:firstLine="708"/>
        <w:rPr>
          <w:sz w:val="22"/>
          <w:szCs w:val="22"/>
        </w:rPr>
      </w:pPr>
    </w:p>
    <w:p w:rsidR="00A7338F" w:rsidRDefault="00A7338F" w:rsidP="00A7338F">
      <w:pPr>
        <w:ind w:left="7080" w:firstLine="708"/>
        <w:rPr>
          <w:sz w:val="22"/>
          <w:szCs w:val="22"/>
        </w:rPr>
      </w:pPr>
    </w:p>
    <w:p w:rsidR="00A7338F" w:rsidRDefault="00A7338F" w:rsidP="00A7338F">
      <w:pPr>
        <w:ind w:left="7080" w:firstLine="708"/>
        <w:rPr>
          <w:sz w:val="22"/>
          <w:szCs w:val="22"/>
        </w:rPr>
      </w:pPr>
    </w:p>
    <w:p w:rsidR="00A7338F" w:rsidRDefault="00A7338F" w:rsidP="00A7338F">
      <w:pPr>
        <w:ind w:left="7080" w:firstLine="708"/>
        <w:rPr>
          <w:sz w:val="22"/>
          <w:szCs w:val="22"/>
        </w:rPr>
      </w:pPr>
    </w:p>
    <w:p w:rsidR="00A7338F" w:rsidRPr="00DE39F2" w:rsidRDefault="00A7338F" w:rsidP="00A7338F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0"/>
        </w:rPr>
      </w:pPr>
      <w:r w:rsidRPr="00DE39F2">
        <w:rPr>
          <w:b/>
          <w:color w:val="000000"/>
          <w:sz w:val="28"/>
          <w:szCs w:val="20"/>
        </w:rPr>
        <w:t>P</w:t>
      </w:r>
      <w:r>
        <w:rPr>
          <w:b/>
          <w:color w:val="000000"/>
          <w:sz w:val="28"/>
          <w:szCs w:val="20"/>
        </w:rPr>
        <w:t>rim-ministru</w:t>
      </w:r>
      <w:r>
        <w:rPr>
          <w:b/>
          <w:color w:val="000000"/>
          <w:sz w:val="28"/>
          <w:szCs w:val="20"/>
        </w:rPr>
        <w:tab/>
      </w:r>
      <w:r>
        <w:rPr>
          <w:b/>
          <w:color w:val="000000"/>
          <w:sz w:val="28"/>
          <w:szCs w:val="20"/>
        </w:rPr>
        <w:tab/>
      </w:r>
      <w:r>
        <w:rPr>
          <w:b/>
          <w:color w:val="000000"/>
          <w:sz w:val="28"/>
          <w:szCs w:val="20"/>
        </w:rPr>
        <w:tab/>
      </w:r>
      <w:r>
        <w:rPr>
          <w:b/>
          <w:color w:val="000000"/>
          <w:sz w:val="28"/>
          <w:szCs w:val="20"/>
        </w:rPr>
        <w:tab/>
      </w:r>
      <w:r>
        <w:rPr>
          <w:b/>
          <w:color w:val="000000"/>
          <w:sz w:val="28"/>
          <w:szCs w:val="20"/>
        </w:rPr>
        <w:tab/>
      </w:r>
      <w:r>
        <w:rPr>
          <w:b/>
          <w:color w:val="000000"/>
          <w:sz w:val="28"/>
          <w:szCs w:val="20"/>
        </w:rPr>
        <w:tab/>
        <w:t>Iurie LEANCĂ</w:t>
      </w:r>
    </w:p>
    <w:p w:rsidR="00A7338F" w:rsidRDefault="00A7338F" w:rsidP="00A7338F">
      <w:pPr>
        <w:ind w:left="7080" w:firstLine="708"/>
        <w:rPr>
          <w:sz w:val="22"/>
          <w:szCs w:val="22"/>
        </w:rPr>
      </w:pPr>
    </w:p>
    <w:p w:rsidR="00A7338F" w:rsidRPr="004D2544" w:rsidRDefault="00A7338F" w:rsidP="00A7338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</w:p>
    <w:p w:rsidR="00A7338F" w:rsidRDefault="00A7338F" w:rsidP="00A7338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  <w:r w:rsidRPr="004D2544">
        <w:rPr>
          <w:color w:val="000000"/>
          <w:sz w:val="28"/>
          <w:szCs w:val="20"/>
        </w:rPr>
        <w:t>Contrasemnează:</w:t>
      </w:r>
    </w:p>
    <w:p w:rsidR="00A7338F" w:rsidRDefault="00A7338F" w:rsidP="00A7338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</w:p>
    <w:p w:rsidR="00A7338F" w:rsidRPr="004D2544" w:rsidRDefault="00A7338F" w:rsidP="00A7338F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0"/>
        </w:rPr>
      </w:pPr>
      <w:r w:rsidRPr="004D2544">
        <w:rPr>
          <w:color w:val="000000"/>
          <w:sz w:val="28"/>
          <w:szCs w:val="20"/>
        </w:rPr>
        <w:t>Ministrul educa</w:t>
      </w:r>
      <w:r>
        <w:rPr>
          <w:color w:val="000000"/>
          <w:sz w:val="28"/>
          <w:szCs w:val="20"/>
        </w:rPr>
        <w:t>ţ</w:t>
      </w:r>
      <w:r w:rsidRPr="004D2544">
        <w:rPr>
          <w:color w:val="000000"/>
          <w:sz w:val="28"/>
          <w:szCs w:val="20"/>
        </w:rPr>
        <w:t>iei</w:t>
      </w:r>
      <w:r w:rsidRPr="004D2544">
        <w:rPr>
          <w:color w:val="000000"/>
          <w:sz w:val="28"/>
          <w:szCs w:val="20"/>
        </w:rPr>
        <w:tab/>
      </w:r>
      <w:r>
        <w:rPr>
          <w:color w:val="000000"/>
          <w:sz w:val="28"/>
          <w:szCs w:val="20"/>
        </w:rPr>
        <w:tab/>
      </w:r>
      <w:r w:rsidRPr="004D2544">
        <w:rPr>
          <w:color w:val="000000"/>
          <w:sz w:val="28"/>
          <w:szCs w:val="20"/>
        </w:rPr>
        <w:tab/>
      </w:r>
      <w:r w:rsidRPr="004D2544">
        <w:rPr>
          <w:color w:val="000000"/>
          <w:sz w:val="28"/>
          <w:szCs w:val="20"/>
        </w:rPr>
        <w:tab/>
      </w:r>
      <w:r w:rsidRPr="004D2544">
        <w:rPr>
          <w:color w:val="000000"/>
          <w:sz w:val="28"/>
          <w:szCs w:val="20"/>
        </w:rPr>
        <w:tab/>
      </w:r>
      <w:r w:rsidRPr="004D2544">
        <w:rPr>
          <w:color w:val="000000"/>
          <w:sz w:val="28"/>
          <w:szCs w:val="20"/>
        </w:rPr>
        <w:tab/>
        <w:t>Maia Sandu</w:t>
      </w:r>
    </w:p>
    <w:p w:rsidR="00043394" w:rsidRPr="00596757" w:rsidRDefault="00043394" w:rsidP="008F417E">
      <w:pPr>
        <w:spacing w:line="360" w:lineRule="auto"/>
        <w:ind w:firstLine="720"/>
        <w:rPr>
          <w:b/>
          <w:sz w:val="28"/>
          <w:szCs w:val="28"/>
          <w:lang w:val="it-IT"/>
        </w:rPr>
      </w:pPr>
    </w:p>
    <w:p w:rsidR="00043394" w:rsidRPr="00596757" w:rsidRDefault="00043394" w:rsidP="008F417E">
      <w:pPr>
        <w:spacing w:line="360" w:lineRule="auto"/>
        <w:rPr>
          <w:sz w:val="28"/>
          <w:szCs w:val="28"/>
          <w:lang w:val="it-IT"/>
        </w:rPr>
      </w:pPr>
    </w:p>
    <w:p w:rsidR="00446CD7" w:rsidRPr="003840ED" w:rsidRDefault="00446CD7" w:rsidP="003366AC">
      <w:pPr>
        <w:jc w:val="center"/>
        <w:rPr>
          <w:b/>
          <w:sz w:val="28"/>
          <w:szCs w:val="28"/>
        </w:rPr>
      </w:pPr>
      <w:r w:rsidRPr="003840ED">
        <w:rPr>
          <w:b/>
          <w:sz w:val="28"/>
          <w:szCs w:val="28"/>
        </w:rPr>
        <w:lastRenderedPageBreak/>
        <w:t>NOTĂ DE ARGUMENTARE</w:t>
      </w:r>
    </w:p>
    <w:p w:rsidR="00A02FF1" w:rsidRDefault="00446CD7" w:rsidP="006E6E39">
      <w:pPr>
        <w:jc w:val="center"/>
        <w:rPr>
          <w:b/>
          <w:sz w:val="28"/>
          <w:szCs w:val="28"/>
        </w:rPr>
      </w:pPr>
      <w:r w:rsidRPr="003840ED">
        <w:rPr>
          <w:b/>
          <w:sz w:val="28"/>
          <w:szCs w:val="28"/>
        </w:rPr>
        <w:t xml:space="preserve">la </w:t>
      </w:r>
      <w:r>
        <w:rPr>
          <w:b/>
          <w:sz w:val="28"/>
          <w:szCs w:val="28"/>
        </w:rPr>
        <w:t>p</w:t>
      </w:r>
      <w:r w:rsidRPr="003840ED">
        <w:rPr>
          <w:b/>
          <w:sz w:val="28"/>
          <w:szCs w:val="28"/>
        </w:rPr>
        <w:t>roiectul de hotărîre a Guvernului „</w:t>
      </w:r>
      <w:r w:rsidR="006E6E39" w:rsidRPr="00A7338F">
        <w:rPr>
          <w:b/>
          <w:sz w:val="28"/>
          <w:szCs w:val="28"/>
        </w:rPr>
        <w:t xml:space="preserve">Cu privire la </w:t>
      </w:r>
    </w:p>
    <w:p w:rsidR="00446CD7" w:rsidRPr="003840ED" w:rsidRDefault="006E6E39" w:rsidP="006E6E39">
      <w:pPr>
        <w:jc w:val="center"/>
        <w:rPr>
          <w:b/>
          <w:sz w:val="28"/>
          <w:szCs w:val="28"/>
        </w:rPr>
      </w:pPr>
      <w:r w:rsidRPr="00A7338F">
        <w:rPr>
          <w:b/>
          <w:sz w:val="28"/>
          <w:szCs w:val="28"/>
        </w:rPr>
        <w:t>modificarea și completarea</w:t>
      </w:r>
      <w:r w:rsidR="00A02FF1">
        <w:rPr>
          <w:b/>
          <w:sz w:val="28"/>
          <w:szCs w:val="28"/>
        </w:rPr>
        <w:t xml:space="preserve"> </w:t>
      </w:r>
      <w:r w:rsidRPr="00A7338F">
        <w:rPr>
          <w:b/>
          <w:sz w:val="28"/>
          <w:szCs w:val="28"/>
        </w:rPr>
        <w:t>unor hotărîri ale Guvernului</w:t>
      </w:r>
      <w:r>
        <w:rPr>
          <w:b/>
          <w:sz w:val="28"/>
          <w:szCs w:val="28"/>
        </w:rPr>
        <w:t>”</w:t>
      </w:r>
      <w:r w:rsidR="003366AC" w:rsidRPr="006E6E39">
        <w:rPr>
          <w:b/>
          <w:sz w:val="28"/>
          <w:szCs w:val="28"/>
        </w:rPr>
        <w:br/>
      </w:r>
    </w:p>
    <w:p w:rsidR="001416FC" w:rsidRDefault="00446CD7" w:rsidP="00AF21FD">
      <w:pPr>
        <w:spacing w:after="120"/>
        <w:ind w:firstLine="706"/>
        <w:jc w:val="both"/>
        <w:rPr>
          <w:sz w:val="28"/>
          <w:szCs w:val="28"/>
        </w:rPr>
      </w:pPr>
      <w:r w:rsidRPr="008F4DEC">
        <w:rPr>
          <w:sz w:val="28"/>
          <w:szCs w:val="28"/>
        </w:rPr>
        <w:t xml:space="preserve">Proiectul de hotărîre a Guvernului </w:t>
      </w:r>
      <w:r w:rsidR="00AF21FD" w:rsidRPr="00AF21FD">
        <w:rPr>
          <w:sz w:val="28"/>
          <w:szCs w:val="28"/>
        </w:rPr>
        <w:t>„</w:t>
      </w:r>
      <w:r w:rsidR="006E6E39" w:rsidRPr="00EF5A86">
        <w:rPr>
          <w:sz w:val="28"/>
          <w:szCs w:val="28"/>
        </w:rPr>
        <w:t>Cu privire la modificarea și completarea unor hotărîri ale Guvernului</w:t>
      </w:r>
      <w:r w:rsidR="006E6E39" w:rsidRPr="00EF5A86">
        <w:rPr>
          <w:sz w:val="28"/>
          <w:szCs w:val="28"/>
          <w:lang w:eastAsia="ro-RO"/>
        </w:rPr>
        <w:t>”</w:t>
      </w:r>
      <w:r w:rsidR="00AF21FD">
        <w:rPr>
          <w:sz w:val="28"/>
          <w:szCs w:val="28"/>
        </w:rPr>
        <w:t xml:space="preserve"> a fost elaborat în vederea </w:t>
      </w:r>
      <w:r w:rsidR="008B73EB">
        <w:rPr>
          <w:sz w:val="28"/>
          <w:szCs w:val="28"/>
        </w:rPr>
        <w:t>optimizării activității Inst</w:t>
      </w:r>
      <w:r w:rsidR="00FB7FA5">
        <w:rPr>
          <w:sz w:val="28"/>
          <w:szCs w:val="28"/>
        </w:rPr>
        <w:t>i</w:t>
      </w:r>
      <w:r w:rsidR="008B73EB">
        <w:rPr>
          <w:sz w:val="28"/>
          <w:szCs w:val="28"/>
        </w:rPr>
        <w:t>tu</w:t>
      </w:r>
      <w:r w:rsidR="00FB7FA5">
        <w:rPr>
          <w:sz w:val="28"/>
          <w:szCs w:val="28"/>
        </w:rPr>
        <w:t>tu</w:t>
      </w:r>
      <w:r w:rsidR="008B73EB">
        <w:rPr>
          <w:sz w:val="28"/>
          <w:szCs w:val="28"/>
        </w:rPr>
        <w:t xml:space="preserve">lui de </w:t>
      </w:r>
      <w:r w:rsidR="001416FC">
        <w:rPr>
          <w:sz w:val="28"/>
          <w:szCs w:val="28"/>
        </w:rPr>
        <w:t>Științe ale Educației</w:t>
      </w:r>
      <w:r w:rsidR="00713393">
        <w:rPr>
          <w:sz w:val="28"/>
          <w:szCs w:val="28"/>
        </w:rPr>
        <w:t xml:space="preserve"> și prevede resubordonarea </w:t>
      </w:r>
      <w:r w:rsidR="00B2240E">
        <w:rPr>
          <w:sz w:val="28"/>
          <w:szCs w:val="28"/>
        </w:rPr>
        <w:t>acestuia</w:t>
      </w:r>
      <w:r w:rsidR="00713393">
        <w:rPr>
          <w:sz w:val="28"/>
          <w:szCs w:val="28"/>
        </w:rPr>
        <w:t xml:space="preserve"> de la Academia de Științe a Moldovei la Ministerul Educației</w:t>
      </w:r>
      <w:r w:rsidR="001416FC">
        <w:rPr>
          <w:sz w:val="28"/>
          <w:szCs w:val="28"/>
        </w:rPr>
        <w:t>.</w:t>
      </w:r>
    </w:p>
    <w:p w:rsidR="006E6E39" w:rsidRDefault="001416FC" w:rsidP="00AF21FD">
      <w:pPr>
        <w:spacing w:after="12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Deși atribuțiile </w:t>
      </w:r>
      <w:r w:rsidR="00ED3188">
        <w:rPr>
          <w:sz w:val="28"/>
          <w:szCs w:val="28"/>
        </w:rPr>
        <w:t>Institutului</w:t>
      </w:r>
      <w:r>
        <w:rPr>
          <w:sz w:val="28"/>
          <w:szCs w:val="28"/>
        </w:rPr>
        <w:t>, potrivit Statutului</w:t>
      </w:r>
      <w:r w:rsidR="00ED3188">
        <w:rPr>
          <w:sz w:val="28"/>
          <w:szCs w:val="28"/>
        </w:rPr>
        <w:t xml:space="preserve"> său</w:t>
      </w:r>
      <w:r>
        <w:rPr>
          <w:sz w:val="28"/>
          <w:szCs w:val="28"/>
        </w:rPr>
        <w:t>, sunt subsecvente funcțiilor Ministerului Educației, această entitate</w:t>
      </w:r>
      <w:r w:rsidR="00ED3188">
        <w:rPr>
          <w:sz w:val="28"/>
          <w:szCs w:val="28"/>
        </w:rPr>
        <w:t xml:space="preserve">, potrivit </w:t>
      </w:r>
      <w:r w:rsidR="00ED3188" w:rsidRPr="0068475F">
        <w:rPr>
          <w:sz w:val="28"/>
          <w:szCs w:val="28"/>
        </w:rPr>
        <w:t>Hotărîr</w:t>
      </w:r>
      <w:r w:rsidR="00ED3188">
        <w:rPr>
          <w:sz w:val="28"/>
          <w:szCs w:val="28"/>
        </w:rPr>
        <w:t>ii</w:t>
      </w:r>
      <w:r w:rsidR="00ED3188" w:rsidRPr="0068475F">
        <w:rPr>
          <w:sz w:val="28"/>
          <w:szCs w:val="28"/>
        </w:rPr>
        <w:t xml:space="preserve"> Guvernului nr.1326 din 14 decembrie 2005 “Cu privire la măsurile de optimizare a infrastructurii sferei ştiinţei şi inovării”</w:t>
      </w:r>
      <w:r w:rsidR="00ED318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se află în subordinea Academiei de Științe a Moldovei. </w:t>
      </w:r>
    </w:p>
    <w:p w:rsidR="00FB7FA5" w:rsidRDefault="001416FC" w:rsidP="00AF21FD">
      <w:pPr>
        <w:spacing w:after="12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Această situație </w:t>
      </w:r>
      <w:r w:rsidR="00FB7FA5">
        <w:rPr>
          <w:sz w:val="28"/>
          <w:szCs w:val="28"/>
        </w:rPr>
        <w:t xml:space="preserve">afectează </w:t>
      </w:r>
      <w:r>
        <w:rPr>
          <w:sz w:val="28"/>
          <w:szCs w:val="28"/>
        </w:rPr>
        <w:t>buna coordonare a activităților de bază ale Institutului din partea instituției responsabile de elaborarea politicilor în domeniul educației</w:t>
      </w:r>
      <w:r w:rsidR="00ED3188">
        <w:rPr>
          <w:sz w:val="28"/>
          <w:szCs w:val="28"/>
        </w:rPr>
        <w:t>, adică a</w:t>
      </w:r>
      <w:r>
        <w:rPr>
          <w:sz w:val="28"/>
          <w:szCs w:val="28"/>
        </w:rPr>
        <w:t xml:space="preserve"> Ministerului Educației</w:t>
      </w:r>
      <w:r w:rsidR="00FB7FA5">
        <w:rPr>
          <w:sz w:val="28"/>
          <w:szCs w:val="28"/>
        </w:rPr>
        <w:t>, fapt care, în final, se răsfrînge negativ asupra funcționalității entității din perspectiva realizării misiunii și obiectivelor pentru care a fost instituită.</w:t>
      </w:r>
    </w:p>
    <w:p w:rsidR="00ED3188" w:rsidRDefault="00ED3188" w:rsidP="00AF21FD">
      <w:pPr>
        <w:spacing w:after="12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Din această cauză, se propune resubordonarea Inst</w:t>
      </w:r>
      <w:r w:rsidR="00FB7FA5">
        <w:rPr>
          <w:sz w:val="28"/>
          <w:szCs w:val="28"/>
        </w:rPr>
        <w:t>itu</w:t>
      </w:r>
      <w:r>
        <w:rPr>
          <w:sz w:val="28"/>
          <w:szCs w:val="28"/>
        </w:rPr>
        <w:t xml:space="preserve">tului de Științe ale Educației, cum e și firesc, de la Academia de Științe a Moldovei la Ministerul Educației. </w:t>
      </w:r>
    </w:p>
    <w:p w:rsidR="00ED3188" w:rsidRDefault="00ED3188" w:rsidP="00AF21FD">
      <w:pPr>
        <w:spacing w:after="12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Pentru aceasta, se prop</w:t>
      </w:r>
      <w:r w:rsidR="00FB7FA5">
        <w:rPr>
          <w:sz w:val="28"/>
          <w:szCs w:val="28"/>
        </w:rPr>
        <w:t>une operarea a 2 amendamente în cadrul normativ în vigoare, și anume:</w:t>
      </w:r>
    </w:p>
    <w:p w:rsidR="00FB7FA5" w:rsidRDefault="00FB7FA5" w:rsidP="00FB7FA5">
      <w:pPr>
        <w:spacing w:after="120"/>
        <w:ind w:firstLine="706"/>
        <w:jc w:val="both"/>
        <w:rPr>
          <w:sz w:val="28"/>
          <w:szCs w:val="28"/>
        </w:rPr>
      </w:pPr>
      <w:r w:rsidRPr="00FB7FA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Excluderea poziției ”Institutul de Științe ale Educației” din </w:t>
      </w:r>
      <w:r w:rsidRPr="0068475F">
        <w:rPr>
          <w:sz w:val="28"/>
          <w:szCs w:val="28"/>
        </w:rPr>
        <w:t>Hotărîrea Guvernului nr.1326 din 14 decembrie 2005 “Cu privire la măsurile de optimizare a infrastructurii sferei ştiinţei şi inovării”</w:t>
      </w:r>
      <w:r>
        <w:rPr>
          <w:sz w:val="28"/>
          <w:szCs w:val="28"/>
        </w:rPr>
        <w:t>;</w:t>
      </w:r>
    </w:p>
    <w:p w:rsidR="00FB7FA5" w:rsidRDefault="00FB7FA5" w:rsidP="00FB7FA5">
      <w:pPr>
        <w:spacing w:after="120"/>
        <w:ind w:firstLine="706"/>
        <w:jc w:val="both"/>
        <w:rPr>
          <w:sz w:val="28"/>
          <w:szCs w:val="28"/>
        </w:rPr>
      </w:pPr>
      <w:r w:rsidRPr="00FB7FA5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Completarea cu poziția respectivă a listei instituțiilor subordonate Ministerului Educației cuprins</w:t>
      </w:r>
      <w:r w:rsidR="00B2240E">
        <w:rPr>
          <w:sz w:val="28"/>
          <w:szCs w:val="28"/>
        </w:rPr>
        <w:t>ă</w:t>
      </w:r>
      <w:r>
        <w:rPr>
          <w:sz w:val="28"/>
          <w:szCs w:val="28"/>
        </w:rPr>
        <w:t xml:space="preserve"> în anexa nr.3 la </w:t>
      </w:r>
      <w:r w:rsidRPr="00CA596F">
        <w:rPr>
          <w:sz w:val="28"/>
          <w:szCs w:val="28"/>
        </w:rPr>
        <w:t>Hotărîrea Guvernului nr.653 din 6 noiembrie 2009 „Cu privire la aprobarea Regulamentului, structurii şi efectivului-limită ale aparatului central al Ministerului Educaţiei”</w:t>
      </w:r>
      <w:r>
        <w:rPr>
          <w:sz w:val="28"/>
          <w:szCs w:val="28"/>
        </w:rPr>
        <w:t>.</w:t>
      </w:r>
    </w:p>
    <w:p w:rsidR="00DA2ED5" w:rsidRDefault="000D6535" w:rsidP="00446CD7">
      <w:pPr>
        <w:spacing w:after="120"/>
        <w:ind w:firstLine="706"/>
        <w:jc w:val="both"/>
        <w:rPr>
          <w:sz w:val="28"/>
          <w:szCs w:val="28"/>
        </w:rPr>
      </w:pPr>
      <w:r w:rsidRPr="000D6535">
        <w:rPr>
          <w:sz w:val="28"/>
          <w:szCs w:val="28"/>
        </w:rPr>
        <w:t>Pentru implementarea proiectului</w:t>
      </w:r>
      <w:r w:rsidR="00DA2ED5">
        <w:rPr>
          <w:sz w:val="28"/>
          <w:szCs w:val="28"/>
        </w:rPr>
        <w:t>,</w:t>
      </w:r>
      <w:r w:rsidRPr="000D6535">
        <w:rPr>
          <w:sz w:val="28"/>
          <w:szCs w:val="28"/>
        </w:rPr>
        <w:t xml:space="preserve"> nu sînt necesare mijloace financiare supli</w:t>
      </w:r>
      <w:r w:rsidR="00DA2ED5">
        <w:rPr>
          <w:sz w:val="28"/>
          <w:szCs w:val="28"/>
        </w:rPr>
        <w:t xml:space="preserve">mentare de la bugetul de stat. </w:t>
      </w:r>
    </w:p>
    <w:p w:rsidR="00446CD7" w:rsidRPr="00DA2ED5" w:rsidRDefault="00DA2ED5" w:rsidP="00446CD7">
      <w:pPr>
        <w:spacing w:after="12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446CD7" w:rsidRPr="00DA2ED5">
        <w:rPr>
          <w:sz w:val="28"/>
          <w:szCs w:val="28"/>
        </w:rPr>
        <w:t xml:space="preserve">vînd în vedere cele expuse, se consideră oportună aprobarea prezentului proiect de </w:t>
      </w:r>
      <w:r w:rsidR="00FB7FA5">
        <w:rPr>
          <w:sz w:val="28"/>
          <w:szCs w:val="28"/>
        </w:rPr>
        <w:t>hotărîre a Guvernului</w:t>
      </w:r>
      <w:r w:rsidR="00446CD7" w:rsidRPr="00DA2ED5">
        <w:rPr>
          <w:sz w:val="28"/>
          <w:szCs w:val="28"/>
        </w:rPr>
        <w:t>.</w:t>
      </w:r>
    </w:p>
    <w:p w:rsidR="00446CD7" w:rsidRDefault="00446CD7" w:rsidP="00446CD7">
      <w:pPr>
        <w:spacing w:after="120"/>
        <w:ind w:firstLine="709"/>
        <w:jc w:val="both"/>
        <w:rPr>
          <w:sz w:val="28"/>
          <w:szCs w:val="28"/>
        </w:rPr>
      </w:pPr>
    </w:p>
    <w:p w:rsidR="00FB3D89" w:rsidRDefault="00FB3D89" w:rsidP="00446CD7">
      <w:pPr>
        <w:spacing w:after="12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46CD7" w:rsidRPr="000169F5" w:rsidTr="000169F5">
        <w:trPr>
          <w:trHeight w:val="522"/>
        </w:trPr>
        <w:tc>
          <w:tcPr>
            <w:tcW w:w="4785" w:type="dxa"/>
          </w:tcPr>
          <w:p w:rsidR="00446CD7" w:rsidRPr="000169F5" w:rsidRDefault="00446CD7" w:rsidP="000169F5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0169F5">
              <w:rPr>
                <w:b/>
                <w:sz w:val="28"/>
                <w:szCs w:val="28"/>
              </w:rPr>
              <w:t>Ministrul educaţiei</w:t>
            </w:r>
          </w:p>
        </w:tc>
        <w:tc>
          <w:tcPr>
            <w:tcW w:w="4786" w:type="dxa"/>
          </w:tcPr>
          <w:p w:rsidR="00446CD7" w:rsidRPr="000169F5" w:rsidRDefault="00446CD7" w:rsidP="000169F5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</w:rPr>
            </w:pPr>
            <w:r w:rsidRPr="000169F5">
              <w:rPr>
                <w:b/>
                <w:sz w:val="28"/>
                <w:szCs w:val="28"/>
              </w:rPr>
              <w:t>Maia SANDU</w:t>
            </w:r>
          </w:p>
        </w:tc>
      </w:tr>
    </w:tbl>
    <w:p w:rsidR="00446CD7" w:rsidRPr="00596757" w:rsidRDefault="00446CD7" w:rsidP="00FB7FA5">
      <w:pPr>
        <w:spacing w:line="360" w:lineRule="auto"/>
        <w:jc w:val="both"/>
        <w:rPr>
          <w:sz w:val="28"/>
          <w:szCs w:val="28"/>
        </w:rPr>
      </w:pPr>
    </w:p>
    <w:sectPr w:rsidR="00446CD7" w:rsidRPr="00596757" w:rsidSect="003B672C">
      <w:pgSz w:w="12240" w:h="15840"/>
      <w:pgMar w:top="720" w:right="900" w:bottom="108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5064"/>
    <w:multiLevelType w:val="hybridMultilevel"/>
    <w:tmpl w:val="BA72222A"/>
    <w:lvl w:ilvl="0" w:tplc="28A82A6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043394"/>
    <w:rsid w:val="000169F5"/>
    <w:rsid w:val="00023979"/>
    <w:rsid w:val="00034D9F"/>
    <w:rsid w:val="00043394"/>
    <w:rsid w:val="00045BD8"/>
    <w:rsid w:val="000A53C2"/>
    <w:rsid w:val="000D1277"/>
    <w:rsid w:val="000D6535"/>
    <w:rsid w:val="000E018F"/>
    <w:rsid w:val="000F060C"/>
    <w:rsid w:val="0013515C"/>
    <w:rsid w:val="001416FC"/>
    <w:rsid w:val="00185BFF"/>
    <w:rsid w:val="001F3FC4"/>
    <w:rsid w:val="002337AA"/>
    <w:rsid w:val="00237718"/>
    <w:rsid w:val="003366AC"/>
    <w:rsid w:val="00371888"/>
    <w:rsid w:val="003B672C"/>
    <w:rsid w:val="003E0006"/>
    <w:rsid w:val="003F00C9"/>
    <w:rsid w:val="00407760"/>
    <w:rsid w:val="00446CD7"/>
    <w:rsid w:val="004B1D4B"/>
    <w:rsid w:val="004E5B50"/>
    <w:rsid w:val="00517D2F"/>
    <w:rsid w:val="0053008D"/>
    <w:rsid w:val="005312A1"/>
    <w:rsid w:val="00596782"/>
    <w:rsid w:val="005B74C6"/>
    <w:rsid w:val="005E0F21"/>
    <w:rsid w:val="005F1702"/>
    <w:rsid w:val="00601B23"/>
    <w:rsid w:val="00627B2F"/>
    <w:rsid w:val="006E6E39"/>
    <w:rsid w:val="00713393"/>
    <w:rsid w:val="00731945"/>
    <w:rsid w:val="007B6944"/>
    <w:rsid w:val="007F191E"/>
    <w:rsid w:val="00852903"/>
    <w:rsid w:val="008A3ED4"/>
    <w:rsid w:val="008B73EB"/>
    <w:rsid w:val="008B7760"/>
    <w:rsid w:val="008C33F4"/>
    <w:rsid w:val="008F417E"/>
    <w:rsid w:val="00902587"/>
    <w:rsid w:val="00915CD2"/>
    <w:rsid w:val="00937F9C"/>
    <w:rsid w:val="00952B3C"/>
    <w:rsid w:val="009618C3"/>
    <w:rsid w:val="009757E4"/>
    <w:rsid w:val="009A7E63"/>
    <w:rsid w:val="00A0140A"/>
    <w:rsid w:val="00A02FF1"/>
    <w:rsid w:val="00A270E2"/>
    <w:rsid w:val="00A4574C"/>
    <w:rsid w:val="00A7338F"/>
    <w:rsid w:val="00AA5EB5"/>
    <w:rsid w:val="00AF21FD"/>
    <w:rsid w:val="00B2240E"/>
    <w:rsid w:val="00B26855"/>
    <w:rsid w:val="00B33B72"/>
    <w:rsid w:val="00B715A3"/>
    <w:rsid w:val="00B76793"/>
    <w:rsid w:val="00B80284"/>
    <w:rsid w:val="00BD290D"/>
    <w:rsid w:val="00BF39F7"/>
    <w:rsid w:val="00C11935"/>
    <w:rsid w:val="00C550EE"/>
    <w:rsid w:val="00CA7E06"/>
    <w:rsid w:val="00D2243C"/>
    <w:rsid w:val="00D469D0"/>
    <w:rsid w:val="00DA2ED5"/>
    <w:rsid w:val="00E03409"/>
    <w:rsid w:val="00E14C96"/>
    <w:rsid w:val="00E15D21"/>
    <w:rsid w:val="00E3353A"/>
    <w:rsid w:val="00E54B2C"/>
    <w:rsid w:val="00E766AF"/>
    <w:rsid w:val="00E77D0F"/>
    <w:rsid w:val="00E77EFA"/>
    <w:rsid w:val="00E8696A"/>
    <w:rsid w:val="00EA29D8"/>
    <w:rsid w:val="00ED3188"/>
    <w:rsid w:val="00EE261C"/>
    <w:rsid w:val="00EF5A86"/>
    <w:rsid w:val="00FB3D89"/>
    <w:rsid w:val="00FB7FA5"/>
    <w:rsid w:val="00FC778C"/>
    <w:rsid w:val="00FF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394"/>
    <w:rPr>
      <w:sz w:val="24"/>
      <w:szCs w:val="24"/>
      <w:lang w:val="ro-RO" w:eastAsia="ru-RU"/>
    </w:rPr>
  </w:style>
  <w:style w:type="paragraph" w:styleId="Heading2">
    <w:name w:val="heading 2"/>
    <w:basedOn w:val="Normal"/>
    <w:link w:val="Heading2Char"/>
    <w:uiPriority w:val="9"/>
    <w:qFormat/>
    <w:rsid w:val="000F060C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3F00C9"/>
    <w:pPr>
      <w:ind w:firstLine="567"/>
      <w:jc w:val="both"/>
    </w:pPr>
    <w:rPr>
      <w:lang w:val="en-US" w:eastAsia="en-US"/>
    </w:rPr>
  </w:style>
  <w:style w:type="table" w:styleId="TableGrid">
    <w:name w:val="Table Grid"/>
    <w:basedOn w:val="TableNormal"/>
    <w:rsid w:val="0044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A2ED5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Знак Знак Char Char Char Знак Знак Char Char Char Char"/>
    <w:basedOn w:val="Normal"/>
    <w:rsid w:val="003B672C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F060C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Litvinenco</dc:creator>
  <cp:lastModifiedBy>DucaC</cp:lastModifiedBy>
  <cp:revision>2</cp:revision>
  <cp:lastPrinted>2013-12-19T06:04:00Z</cp:lastPrinted>
  <dcterms:created xsi:type="dcterms:W3CDTF">2014-04-03T06:34:00Z</dcterms:created>
  <dcterms:modified xsi:type="dcterms:W3CDTF">2014-04-03T06:34:00Z</dcterms:modified>
</cp:coreProperties>
</file>