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099A" w14:textId="5B5E966E" w:rsidR="00F52928" w:rsidRPr="001071B5" w:rsidRDefault="0037437C" w:rsidP="0006796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o-MD"/>
        </w:rPr>
      </w:pPr>
      <w:r w:rsidRPr="001071B5">
        <w:rPr>
          <w:rFonts w:asciiTheme="majorBidi" w:hAnsiTheme="majorBidi" w:cstheme="majorBidi"/>
          <w:b/>
          <w:bCs/>
          <w:sz w:val="24"/>
          <w:szCs w:val="24"/>
          <w:lang w:val="ro-MD"/>
        </w:rPr>
        <w:t>TABELUL COMPARATIV</w:t>
      </w:r>
    </w:p>
    <w:p w14:paraId="0AA9953C" w14:textId="17B23530" w:rsidR="00BE43CE" w:rsidRPr="00BE43CE" w:rsidRDefault="00BE43CE" w:rsidP="00BE43CE">
      <w:pPr>
        <w:widowControl w:val="0"/>
        <w:autoSpaceDE w:val="0"/>
        <w:autoSpaceDN w:val="0"/>
        <w:spacing w:before="4" w:after="0" w:line="242" w:lineRule="auto"/>
        <w:ind w:right="34"/>
        <w:jc w:val="center"/>
        <w:rPr>
          <w:rFonts w:ascii="Times New Roman" w:eastAsia="Times New Roman" w:hAnsi="Times New Roman" w:cs="Times New Roman"/>
          <w:b/>
          <w:bCs/>
          <w:strike/>
          <w:noProof/>
          <w:kern w:val="0"/>
          <w:sz w:val="24"/>
          <w:szCs w:val="24"/>
          <w:lang w:val="ro-RO" w:eastAsia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ro-RO" w:eastAsia="en-US"/>
          <w14:ligatures w14:val="none"/>
        </w:rPr>
        <w:t>l</w:t>
      </w:r>
      <w:r w:rsidRPr="00BE43CE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ro-RO" w:eastAsia="en-US"/>
          <w14:ligatures w14:val="none"/>
        </w:rPr>
        <w:t xml:space="preserve">a proiectul de lege </w:t>
      </w:r>
      <w:r w:rsidRPr="00BE43CE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ro-RO" w:eastAsia="en-US"/>
          <w14:ligatures w14:val="none"/>
        </w:rPr>
        <w:t>cu privire la organizarea și desfășurarea unor evenimente publice</w:t>
      </w:r>
    </w:p>
    <w:p w14:paraId="5210076B" w14:textId="77777777" w:rsidR="00E25178" w:rsidRPr="00562B77" w:rsidRDefault="00E25178" w:rsidP="00E25178">
      <w:pPr>
        <w:spacing w:after="0" w:line="240" w:lineRule="auto"/>
        <w:ind w:firstLine="709"/>
        <w:jc w:val="center"/>
        <w:rPr>
          <w:rFonts w:asciiTheme="majorBidi" w:eastAsiaTheme="minorHAnsi" w:hAnsiTheme="majorBidi" w:cstheme="majorBidi"/>
          <w:b/>
          <w:kern w:val="0"/>
          <w:sz w:val="24"/>
          <w:szCs w:val="24"/>
          <w:lang w:val="ro-MD" w:eastAsia="en-US"/>
          <w14:ligatures w14:val="none"/>
        </w:rPr>
      </w:pPr>
    </w:p>
    <w:tbl>
      <w:tblPr>
        <w:tblStyle w:val="a3"/>
        <w:tblW w:w="13968" w:type="dxa"/>
        <w:tblLook w:val="04A0" w:firstRow="1" w:lastRow="0" w:firstColumn="1" w:lastColumn="0" w:noHBand="0" w:noVBand="1"/>
      </w:tblPr>
      <w:tblGrid>
        <w:gridCol w:w="360"/>
        <w:gridCol w:w="4904"/>
        <w:gridCol w:w="3558"/>
        <w:gridCol w:w="5146"/>
      </w:tblGrid>
      <w:tr w:rsidR="0097155F" w:rsidRPr="00484FD8" w14:paraId="29AFEA1B" w14:textId="77777777" w:rsidTr="001A66F7">
        <w:tc>
          <w:tcPr>
            <w:tcW w:w="360" w:type="dxa"/>
          </w:tcPr>
          <w:p w14:paraId="0A5FA779" w14:textId="77777777" w:rsidR="0097155F" w:rsidRPr="00484FD8" w:rsidRDefault="0097155F" w:rsidP="00971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904" w:type="dxa"/>
          </w:tcPr>
          <w:p w14:paraId="06766CDF" w14:textId="0C934F8E" w:rsidR="0097155F" w:rsidRPr="00484FD8" w:rsidRDefault="0097155F" w:rsidP="00971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</w:pPr>
            <w:r w:rsidRPr="00484FD8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Prevederea legală în vigoare</w:t>
            </w:r>
          </w:p>
        </w:tc>
        <w:tc>
          <w:tcPr>
            <w:tcW w:w="3558" w:type="dxa"/>
          </w:tcPr>
          <w:p w14:paraId="083B6C40" w14:textId="17B76E5C" w:rsidR="0097155F" w:rsidRPr="00484FD8" w:rsidRDefault="0097155F" w:rsidP="00971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</w:pPr>
            <w:r w:rsidRPr="00484FD8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Modificarea propusă</w:t>
            </w:r>
          </w:p>
        </w:tc>
        <w:tc>
          <w:tcPr>
            <w:tcW w:w="5146" w:type="dxa"/>
          </w:tcPr>
          <w:p w14:paraId="6AB4806E" w14:textId="5812F5E2" w:rsidR="0097155F" w:rsidRPr="00484FD8" w:rsidRDefault="0097155F" w:rsidP="00971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</w:pPr>
            <w:r w:rsidRPr="00484FD8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Prevederea legală după modificare</w:t>
            </w:r>
          </w:p>
        </w:tc>
      </w:tr>
      <w:tr w:rsidR="00484FD8" w:rsidRPr="00484FD8" w14:paraId="562DE31F" w14:textId="77777777" w:rsidTr="00484FD8">
        <w:tc>
          <w:tcPr>
            <w:tcW w:w="13968" w:type="dxa"/>
            <w:gridSpan w:val="4"/>
            <w:shd w:val="clear" w:color="auto" w:fill="FFFF00"/>
          </w:tcPr>
          <w:p w14:paraId="18BE4370" w14:textId="6F1790B0" w:rsidR="00484FD8" w:rsidRPr="00484FD8" w:rsidRDefault="00BE43CE" w:rsidP="00050E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Codul contravențional nr. 218/2008</w:t>
            </w:r>
          </w:p>
        </w:tc>
      </w:tr>
      <w:tr w:rsidR="00BE43CE" w:rsidRPr="00484FD8" w14:paraId="59C6CBA8" w14:textId="77777777" w:rsidTr="001A66F7">
        <w:trPr>
          <w:trHeight w:val="1124"/>
        </w:trPr>
        <w:tc>
          <w:tcPr>
            <w:tcW w:w="360" w:type="dxa"/>
          </w:tcPr>
          <w:p w14:paraId="4BC5FA37" w14:textId="4A7486CA" w:rsidR="00BE43CE" w:rsidRPr="00484FD8" w:rsidRDefault="00BE43CE" w:rsidP="00BE43CE">
            <w:pPr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484FD8">
              <w:rPr>
                <w:rFonts w:asciiTheme="majorBidi" w:hAnsiTheme="majorBidi" w:cstheme="majorBidi"/>
                <w:sz w:val="24"/>
                <w:szCs w:val="24"/>
                <w:lang w:val="ro-RO"/>
              </w:rPr>
              <w:t>1</w:t>
            </w:r>
          </w:p>
        </w:tc>
        <w:tc>
          <w:tcPr>
            <w:tcW w:w="4904" w:type="dxa"/>
          </w:tcPr>
          <w:p w14:paraId="09115E99" w14:textId="77777777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b/>
                <w:bCs/>
                <w:lang w:val="ro-RO"/>
              </w:rPr>
              <w:t>Articolul 67.</w:t>
            </w:r>
            <w:r w:rsidRPr="00BE43CE">
              <w:rPr>
                <w:rFonts w:asciiTheme="majorBidi" w:hAnsiTheme="majorBidi" w:cstheme="majorBidi"/>
                <w:lang w:val="ro-RO"/>
              </w:rPr>
              <w:t xml:space="preserve"> Încălcarea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legislaţiei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privind întrunirile</w:t>
            </w:r>
          </w:p>
          <w:p w14:paraId="7A66D298" w14:textId="77777777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 xml:space="preserve">(1)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Desfăşurarea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întrunirii fără depunerea declarației prealabile de către organizatorul acesteia în modul stabilit de legislație</w:t>
            </w:r>
          </w:p>
          <w:p w14:paraId="55AA0834" w14:textId="77777777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>se sancționează cu amendă de la 18 la 24 de unități convenționale.</w:t>
            </w:r>
          </w:p>
          <w:p w14:paraId="77099DCF" w14:textId="77777777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 xml:space="preserve">(2) Împiedicarea organizării ori a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desfăşurării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întrunirilor conforme legii, precum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şi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împiedicarea participării ori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constrîngerea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de a participa la ele</w:t>
            </w:r>
          </w:p>
          <w:p w14:paraId="46F8161E" w14:textId="77777777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 xml:space="preserve">se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sancţionează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cu amendă de la 24 la 30 de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unităţi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convenţionale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>.</w:t>
            </w:r>
          </w:p>
          <w:p w14:paraId="367569EC" w14:textId="77777777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 xml:space="preserve">(3) Neîndeplinirea de către organizatorul întrunirii a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obligaţiilor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prevăzute de lege</w:t>
            </w:r>
          </w:p>
          <w:p w14:paraId="516D4139" w14:textId="77777777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 xml:space="preserve">se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sancţionează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cu amendă de la 12 la 18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unităţi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convenţionale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>.</w:t>
            </w:r>
          </w:p>
          <w:p w14:paraId="676C1447" w14:textId="77777777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>(4) Participarea la întrunire cu deținerea armei asupra sa</w:t>
            </w:r>
          </w:p>
          <w:p w14:paraId="3852C933" w14:textId="77777777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 xml:space="preserve">se sancționează cu amendă de la 60 la 90 de unități convenționale cu privarea de dreptul de deținere a armei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şi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de portarmă pe un termen de la 3 luni la un an.</w:t>
            </w:r>
          </w:p>
          <w:p w14:paraId="5AFD8876" w14:textId="77777777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>(4</w:t>
            </w:r>
            <w:r w:rsidRPr="00BE43CE">
              <w:rPr>
                <w:rFonts w:asciiTheme="majorBidi" w:hAnsiTheme="majorBidi" w:cstheme="majorBidi"/>
                <w:vertAlign w:val="superscript"/>
                <w:lang w:val="ro-RO"/>
              </w:rPr>
              <w:t>1</w:t>
            </w:r>
            <w:r w:rsidRPr="00BE43CE">
              <w:rPr>
                <w:rFonts w:asciiTheme="majorBidi" w:hAnsiTheme="majorBidi" w:cstheme="majorBidi"/>
                <w:lang w:val="ro-RO"/>
              </w:rPr>
              <w:t>) Participarea la întrunire cu deținerea asupra sa a substanțelor explozive, a oricăror substanțe interzise sau a altor obiecte ce pot pune în pericol viața ori sănătatea oamenilor</w:t>
            </w:r>
          </w:p>
          <w:p w14:paraId="4B68F607" w14:textId="77777777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>se sancționează cu amendă de la 60 la 90 de unități convenționale sau cu arest contravențional de la 5 la 15 zile.</w:t>
            </w:r>
          </w:p>
          <w:p w14:paraId="14B3383F" w14:textId="77777777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lastRenderedPageBreak/>
              <w:t xml:space="preserve">(5) Împiedicarea sub orice formă a accesului în clădirile din imediata apropiere a locului de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desfăşurare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a întrunirii</w:t>
            </w:r>
          </w:p>
          <w:p w14:paraId="3A818A3A" w14:textId="77777777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 xml:space="preserve">se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sancţionează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cu amendă de la 24 la 30 de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unităţi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convenţionale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>.</w:t>
            </w:r>
          </w:p>
          <w:p w14:paraId="396F0862" w14:textId="11A52F39" w:rsidR="00BE43CE" w:rsidRPr="00484FD8" w:rsidRDefault="00BE43CE" w:rsidP="00BE43CE">
            <w:pPr>
              <w:ind w:right="198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558" w:type="dxa"/>
          </w:tcPr>
          <w:p w14:paraId="0C0FDAF5" w14:textId="77777777" w:rsidR="00BE43CE" w:rsidRPr="00BE43CE" w:rsidRDefault="00BE43CE" w:rsidP="00BE43CE">
            <w:pPr>
              <w:numPr>
                <w:ilvl w:val="0"/>
                <w:numId w:val="9"/>
              </w:numPr>
              <w:tabs>
                <w:tab w:val="left" w:pos="324"/>
                <w:tab w:val="left" w:pos="709"/>
              </w:tabs>
              <w:ind w:left="18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lastRenderedPageBreak/>
              <w:t>La articolul 67:</w:t>
            </w:r>
          </w:p>
          <w:p w14:paraId="574F9882" w14:textId="1C792FD8" w:rsidR="00BE43CE" w:rsidRPr="00BE43CE" w:rsidRDefault="00BE43CE" w:rsidP="00BE43CE">
            <w:pPr>
              <w:numPr>
                <w:ilvl w:val="1"/>
                <w:numId w:val="9"/>
              </w:numPr>
              <w:tabs>
                <w:tab w:val="left" w:pos="324"/>
                <w:tab w:val="left" w:pos="709"/>
              </w:tabs>
              <w:ind w:left="18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titlul se completează cu cuvintele „</w:t>
            </w: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și</w:t>
            </w:r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evenimentele publice”;</w:t>
            </w:r>
          </w:p>
          <w:p w14:paraId="239A9336" w14:textId="77777777" w:rsidR="00BE43CE" w:rsidRPr="00BE43CE" w:rsidRDefault="00BE43CE" w:rsidP="00BE43CE">
            <w:pPr>
              <w:numPr>
                <w:ilvl w:val="1"/>
                <w:numId w:val="9"/>
              </w:numPr>
              <w:tabs>
                <w:tab w:val="left" w:pos="324"/>
                <w:tab w:val="left" w:pos="709"/>
              </w:tabs>
              <w:ind w:left="18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la alineatul (1), după cuvântul „întrunirii” se completează cu cuvintele „sau evenimentului public”;</w:t>
            </w:r>
          </w:p>
          <w:p w14:paraId="7C0E4C3D" w14:textId="77777777" w:rsidR="00BE43CE" w:rsidRPr="00BE43CE" w:rsidRDefault="00BE43CE" w:rsidP="00BE43CE">
            <w:pPr>
              <w:numPr>
                <w:ilvl w:val="1"/>
                <w:numId w:val="9"/>
              </w:numPr>
              <w:tabs>
                <w:tab w:val="left" w:pos="324"/>
                <w:tab w:val="left" w:pos="709"/>
              </w:tabs>
              <w:ind w:left="18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la alineatul (2), după cuvântul „întrunirilor” se completează cu cuvintele „sau evenimentelor publice”;</w:t>
            </w:r>
          </w:p>
          <w:p w14:paraId="4B8FC741" w14:textId="77777777" w:rsidR="00BE43CE" w:rsidRPr="00BE43CE" w:rsidRDefault="00BE43CE" w:rsidP="00BE43CE">
            <w:pPr>
              <w:numPr>
                <w:ilvl w:val="1"/>
                <w:numId w:val="9"/>
              </w:numPr>
              <w:tabs>
                <w:tab w:val="left" w:pos="324"/>
                <w:tab w:val="left" w:pos="709"/>
              </w:tabs>
              <w:ind w:left="18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la alineatul (3), după cuvântul „întrunirii” se completează cu cuvintele „sau a evenimentului public, precum și de către participanții la acestea”;</w:t>
            </w:r>
          </w:p>
          <w:p w14:paraId="65DBF5A2" w14:textId="1CA98BFF" w:rsidR="00BE43CE" w:rsidRPr="00BE43CE" w:rsidRDefault="00BE43CE" w:rsidP="00BE43CE">
            <w:pPr>
              <w:numPr>
                <w:ilvl w:val="1"/>
                <w:numId w:val="9"/>
              </w:numPr>
              <w:tabs>
                <w:tab w:val="left" w:pos="324"/>
                <w:tab w:val="left" w:pos="709"/>
              </w:tabs>
              <w:ind w:left="18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se completează cu alineatul (3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ro-RO"/>
              </w:rPr>
              <w:t>1</w:t>
            </w:r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), cu următorul conținut:</w:t>
            </w:r>
          </w:p>
          <w:p w14:paraId="426B2CB5" w14:textId="2F6C879C" w:rsidR="00BE43CE" w:rsidRPr="00BE43CE" w:rsidRDefault="00BE43CE" w:rsidP="00BE43CE">
            <w:pPr>
              <w:tabs>
                <w:tab w:val="left" w:pos="324"/>
                <w:tab w:val="left" w:pos="709"/>
              </w:tabs>
              <w:ind w:left="18"/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„(3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ro-RO"/>
              </w:rPr>
              <w:t>1</w:t>
            </w:r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) Neîndeplinirea de către reprezentantul administrației publice locale responsabil de monitorizarea desfășurării legale a întrunirii sau evenimentului public, a obligațiilor prevăzute de lege</w:t>
            </w:r>
          </w:p>
          <w:p w14:paraId="249EE1F7" w14:textId="77777777" w:rsidR="00BE43CE" w:rsidRPr="00BE43CE" w:rsidRDefault="00BE43CE" w:rsidP="00BE43CE">
            <w:pPr>
              <w:tabs>
                <w:tab w:val="left" w:pos="324"/>
                <w:tab w:val="left" w:pos="709"/>
              </w:tabs>
              <w:ind w:left="18"/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se sancționează cu amendă de la 6 la 12 </w:t>
            </w:r>
            <w:proofErr w:type="spellStart"/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unităţi</w:t>
            </w:r>
            <w:proofErr w:type="spellEnd"/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convenţionale</w:t>
            </w:r>
            <w:proofErr w:type="spellEnd"/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.”;</w:t>
            </w:r>
          </w:p>
          <w:p w14:paraId="7E4F7BC5" w14:textId="77777777" w:rsidR="00BE43CE" w:rsidRPr="00BE43CE" w:rsidRDefault="00BE43CE" w:rsidP="00BE43CE">
            <w:pPr>
              <w:numPr>
                <w:ilvl w:val="1"/>
                <w:numId w:val="9"/>
              </w:numPr>
              <w:tabs>
                <w:tab w:val="left" w:pos="324"/>
                <w:tab w:val="left" w:pos="709"/>
              </w:tabs>
              <w:ind w:left="18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la alineatul (4), după cuvântul „întrunire” se </w:t>
            </w:r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lastRenderedPageBreak/>
              <w:t>completează cu cuvintele „sau la evenimentul public”;</w:t>
            </w:r>
          </w:p>
          <w:p w14:paraId="4A4C39DD" w14:textId="77777777" w:rsidR="00BE43CE" w:rsidRPr="00BE43CE" w:rsidRDefault="00BE43CE" w:rsidP="00BE43CE">
            <w:pPr>
              <w:numPr>
                <w:ilvl w:val="1"/>
                <w:numId w:val="9"/>
              </w:numPr>
              <w:tabs>
                <w:tab w:val="left" w:pos="324"/>
                <w:tab w:val="left" w:pos="709"/>
              </w:tabs>
              <w:ind w:left="18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la alineatul (4¹), după cuvântul „întrunire” se completează cu cuvintele „sau la evenimentul public”;</w:t>
            </w:r>
          </w:p>
          <w:p w14:paraId="6954B284" w14:textId="77777777" w:rsidR="00BE43CE" w:rsidRPr="00BE43CE" w:rsidRDefault="00BE43CE" w:rsidP="00BE43CE">
            <w:pPr>
              <w:numPr>
                <w:ilvl w:val="1"/>
                <w:numId w:val="9"/>
              </w:numPr>
              <w:tabs>
                <w:tab w:val="left" w:pos="324"/>
                <w:tab w:val="left" w:pos="709"/>
              </w:tabs>
              <w:ind w:left="18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E43C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la alineatul (5), după cuvântul „întrunirii” se completează cu cuvintele „sau a evenimentului public”.</w:t>
            </w:r>
          </w:p>
          <w:p w14:paraId="73A1758F" w14:textId="527FCE08" w:rsidR="00BE43CE" w:rsidRPr="00484FD8" w:rsidRDefault="00BE43CE" w:rsidP="00BE43CE">
            <w:pPr>
              <w:tabs>
                <w:tab w:val="left" w:pos="709"/>
                <w:tab w:val="left" w:pos="993"/>
              </w:tabs>
              <w:ind w:left="18"/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  <w:tc>
          <w:tcPr>
            <w:tcW w:w="5146" w:type="dxa"/>
          </w:tcPr>
          <w:p w14:paraId="188C7732" w14:textId="4F1B2214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b/>
                <w:bCs/>
                <w:lang w:val="ro-RO"/>
              </w:rPr>
              <w:lastRenderedPageBreak/>
              <w:t>Articolul 67.</w:t>
            </w:r>
            <w:r w:rsidRPr="00BE43CE">
              <w:rPr>
                <w:rFonts w:asciiTheme="majorBidi" w:hAnsiTheme="majorBidi" w:cstheme="majorBidi"/>
                <w:lang w:val="ro-RO"/>
              </w:rPr>
              <w:t xml:space="preserve"> Încălcarea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legislaţiei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privind întrunirile</w:t>
            </w:r>
            <w:r w:rsidRPr="00BE43CE">
              <w:rPr>
                <w:rFonts w:asciiTheme="majorBidi" w:eastAsiaTheme="minorEastAsia" w:hAnsiTheme="majorBidi" w:cstheme="majorBidi"/>
                <w:kern w:val="2"/>
                <w:lang w:val="ro-RO"/>
                <w14:ligatures w14:val="standardContextual"/>
              </w:rPr>
              <w:t xml:space="preserve"> </w:t>
            </w:r>
            <w:r w:rsidRPr="00BE43CE">
              <w:rPr>
                <w:rFonts w:asciiTheme="majorBidi" w:hAnsiTheme="majorBidi" w:cstheme="majorBidi"/>
                <w:b/>
                <w:bCs/>
                <w:lang w:val="ro-RO"/>
              </w:rPr>
              <w:t>și</w:t>
            </w:r>
            <w:r w:rsidRPr="00BE43CE">
              <w:rPr>
                <w:rFonts w:asciiTheme="majorBidi" w:hAnsiTheme="majorBidi" w:cstheme="majorBidi"/>
                <w:b/>
                <w:bCs/>
                <w:lang w:val="ro-RO"/>
              </w:rPr>
              <w:t xml:space="preserve"> evenimentele publice</w:t>
            </w:r>
          </w:p>
          <w:p w14:paraId="5FC5788D" w14:textId="4D51EE64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 xml:space="preserve">(1)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Desfăşurarea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întrunirii </w:t>
            </w:r>
            <w:r w:rsidRPr="00BE43CE">
              <w:rPr>
                <w:rFonts w:asciiTheme="majorBidi" w:hAnsiTheme="majorBidi" w:cstheme="majorBidi"/>
                <w:b/>
                <w:bCs/>
                <w:lang w:val="ro-RO"/>
              </w:rPr>
              <w:t>sau evenimentului public</w:t>
            </w:r>
            <w:r w:rsidRPr="00BE43CE">
              <w:rPr>
                <w:rFonts w:asciiTheme="majorBidi" w:hAnsiTheme="majorBidi" w:cstheme="majorBidi"/>
                <w:lang w:val="ro-RO"/>
              </w:rPr>
              <w:t xml:space="preserve"> </w:t>
            </w:r>
            <w:r w:rsidRPr="00BE43CE">
              <w:rPr>
                <w:rFonts w:asciiTheme="majorBidi" w:hAnsiTheme="majorBidi" w:cstheme="majorBidi"/>
                <w:lang w:val="ro-RO"/>
              </w:rPr>
              <w:t>fără depunerea declarației prealabile de către organizatorul acesteia în modul stabilit de legislație</w:t>
            </w:r>
          </w:p>
          <w:p w14:paraId="35AEACB0" w14:textId="77777777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>se sancționează cu amendă de la 18 la 24 de unități convenționale.</w:t>
            </w:r>
          </w:p>
          <w:p w14:paraId="0923B242" w14:textId="1907180E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 xml:space="preserve">(2) Împiedicarea organizării ori a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desfăşurării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întrunirilor </w:t>
            </w:r>
            <w:r w:rsidRPr="00BE43CE">
              <w:rPr>
                <w:rFonts w:asciiTheme="majorBidi" w:hAnsiTheme="majorBidi" w:cstheme="majorBidi"/>
                <w:b/>
                <w:bCs/>
                <w:lang w:val="ro-RO"/>
              </w:rPr>
              <w:t>sau evenimentelor publice</w:t>
            </w:r>
            <w:r w:rsidRPr="00BE43CE">
              <w:rPr>
                <w:rFonts w:asciiTheme="majorBidi" w:hAnsiTheme="majorBidi" w:cstheme="majorBidi"/>
                <w:lang w:val="ro-RO"/>
              </w:rPr>
              <w:t xml:space="preserve"> </w:t>
            </w:r>
            <w:r w:rsidRPr="00BE43CE">
              <w:rPr>
                <w:rFonts w:asciiTheme="majorBidi" w:hAnsiTheme="majorBidi" w:cstheme="majorBidi"/>
                <w:lang w:val="ro-RO"/>
              </w:rPr>
              <w:t xml:space="preserve">conforme legii, precum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şi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împiedicarea participării ori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constrîngerea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de a participa la ele</w:t>
            </w:r>
          </w:p>
          <w:p w14:paraId="397A4B0B" w14:textId="77777777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 xml:space="preserve">se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sancţionează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cu amendă de la 24 la 30 de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unităţi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convenţionale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>.</w:t>
            </w:r>
          </w:p>
          <w:p w14:paraId="239DC043" w14:textId="0757075E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 xml:space="preserve">(3) Neîndeplinirea de către organizatorul întrunirii </w:t>
            </w:r>
            <w:r w:rsidRPr="00BE43CE">
              <w:rPr>
                <w:rFonts w:asciiTheme="majorBidi" w:hAnsiTheme="majorBidi" w:cstheme="majorBidi"/>
                <w:b/>
                <w:bCs/>
                <w:lang w:val="ro-RO"/>
              </w:rPr>
              <w:t>sau a evenimentului public, precum și de către participanții la acestea</w:t>
            </w:r>
            <w:r w:rsidRPr="00BE43CE">
              <w:rPr>
                <w:rFonts w:asciiTheme="majorBidi" w:hAnsiTheme="majorBidi" w:cstheme="majorBidi"/>
                <w:lang w:val="ro-RO"/>
              </w:rPr>
              <w:t xml:space="preserve"> </w:t>
            </w:r>
            <w:r w:rsidRPr="00BE43CE">
              <w:rPr>
                <w:rFonts w:asciiTheme="majorBidi" w:hAnsiTheme="majorBidi" w:cstheme="majorBidi"/>
                <w:lang w:val="ro-RO"/>
              </w:rPr>
              <w:t xml:space="preserve">a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obligaţiilor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prevăzute de lege</w:t>
            </w:r>
          </w:p>
          <w:p w14:paraId="54C9A3CF" w14:textId="77777777" w:rsid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 xml:space="preserve">se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sancţionează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cu amendă de la 12 la 18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unităţi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convenţionale.</w:t>
            </w:r>
          </w:p>
          <w:p w14:paraId="3725C4D5" w14:textId="569E3176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BE43CE">
              <w:rPr>
                <w:rFonts w:asciiTheme="majorBidi" w:hAnsiTheme="majorBidi" w:cstheme="majorBidi"/>
                <w:b/>
                <w:bCs/>
                <w:lang w:val="ro-RO"/>
              </w:rPr>
              <w:t>(</w:t>
            </w:r>
            <w:r w:rsidRPr="00BE43CE">
              <w:rPr>
                <w:rFonts w:asciiTheme="majorBidi" w:hAnsiTheme="majorBidi" w:cstheme="majorBidi"/>
                <w:b/>
                <w:bCs/>
                <w:lang w:val="ro-RO"/>
              </w:rPr>
              <w:t>3</w:t>
            </w:r>
            <w:r w:rsidRPr="00BE43CE">
              <w:rPr>
                <w:rFonts w:asciiTheme="majorBidi" w:hAnsiTheme="majorBidi" w:cstheme="majorBidi"/>
                <w:b/>
                <w:bCs/>
                <w:vertAlign w:val="superscript"/>
                <w:lang w:val="ro-RO"/>
              </w:rPr>
              <w:t>1</w:t>
            </w:r>
            <w:r w:rsidRPr="00BE43CE">
              <w:rPr>
                <w:rFonts w:asciiTheme="majorBidi" w:hAnsiTheme="majorBidi" w:cstheme="majorBidi"/>
                <w:b/>
                <w:bCs/>
                <w:lang w:val="ro-RO"/>
              </w:rPr>
              <w:t>) Neîndeplinirea de către reprezentantul administrației publice locale responsabil de monitorizarea desfășurării legale a întrunirii sau evenimentului public, a obligațiilor prevăzute de lege</w:t>
            </w:r>
          </w:p>
          <w:p w14:paraId="4B37CFA5" w14:textId="3EFCFBB1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BE43CE">
              <w:rPr>
                <w:rFonts w:asciiTheme="majorBidi" w:hAnsiTheme="majorBidi" w:cstheme="majorBidi"/>
                <w:b/>
                <w:bCs/>
                <w:lang w:val="ro-RO"/>
              </w:rPr>
              <w:t xml:space="preserve">se sancționează cu amendă de la 6 la 12 </w:t>
            </w:r>
            <w:proofErr w:type="spellStart"/>
            <w:r w:rsidRPr="00BE43CE">
              <w:rPr>
                <w:rFonts w:asciiTheme="majorBidi" w:hAnsiTheme="majorBidi" w:cstheme="majorBidi"/>
                <w:b/>
                <w:bCs/>
                <w:lang w:val="ro-RO"/>
              </w:rPr>
              <w:t>unităţi</w:t>
            </w:r>
            <w:proofErr w:type="spellEnd"/>
            <w:r w:rsidRPr="00BE43CE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proofErr w:type="spellStart"/>
            <w:r w:rsidRPr="00BE43CE">
              <w:rPr>
                <w:rFonts w:asciiTheme="majorBidi" w:hAnsiTheme="majorBidi" w:cstheme="majorBidi"/>
                <w:b/>
                <w:bCs/>
                <w:lang w:val="ro-RO"/>
              </w:rPr>
              <w:t>convenţionale</w:t>
            </w:r>
            <w:proofErr w:type="spellEnd"/>
          </w:p>
          <w:p w14:paraId="01773CD3" w14:textId="22763BEB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 xml:space="preserve">(4) Participarea la întrunire </w:t>
            </w:r>
            <w:r w:rsidRPr="00BE43CE">
              <w:rPr>
                <w:rFonts w:asciiTheme="majorBidi" w:hAnsiTheme="majorBidi" w:cstheme="majorBidi"/>
                <w:b/>
                <w:bCs/>
                <w:lang w:val="ro-RO"/>
              </w:rPr>
              <w:t>sau la evenimentul public</w:t>
            </w:r>
            <w:r w:rsidRPr="00BE43CE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BE43CE">
              <w:rPr>
                <w:rFonts w:asciiTheme="majorBidi" w:hAnsiTheme="majorBidi" w:cstheme="majorBidi"/>
                <w:lang w:val="ro-RO"/>
              </w:rPr>
              <w:t>cu deținerea armei asupra sa</w:t>
            </w:r>
          </w:p>
          <w:p w14:paraId="566519A2" w14:textId="77777777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 xml:space="preserve">se sancționează cu amendă de la 60 la 90 de unități convenționale cu privarea de dreptul de </w:t>
            </w:r>
            <w:r w:rsidRPr="00BE43CE">
              <w:rPr>
                <w:rFonts w:asciiTheme="majorBidi" w:hAnsiTheme="majorBidi" w:cstheme="majorBidi"/>
                <w:lang w:val="ro-RO"/>
              </w:rPr>
              <w:lastRenderedPageBreak/>
              <w:t xml:space="preserve">deținere a armei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şi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de portarmă pe un termen de la 3 luni la un an.</w:t>
            </w:r>
          </w:p>
          <w:p w14:paraId="7F95316B" w14:textId="42E0D619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>(4</w:t>
            </w:r>
            <w:r w:rsidRPr="00BE43CE">
              <w:rPr>
                <w:rFonts w:asciiTheme="majorBidi" w:hAnsiTheme="majorBidi" w:cstheme="majorBidi"/>
                <w:vertAlign w:val="superscript"/>
                <w:lang w:val="ro-RO"/>
              </w:rPr>
              <w:t>1</w:t>
            </w:r>
            <w:r w:rsidRPr="00BE43CE">
              <w:rPr>
                <w:rFonts w:asciiTheme="majorBidi" w:hAnsiTheme="majorBidi" w:cstheme="majorBidi"/>
                <w:lang w:val="ro-RO"/>
              </w:rPr>
              <w:t xml:space="preserve">) Participarea la întrunire </w:t>
            </w:r>
            <w:r w:rsidR="00707026" w:rsidRPr="00BE43CE">
              <w:rPr>
                <w:rFonts w:asciiTheme="majorBidi" w:hAnsiTheme="majorBidi" w:cstheme="majorBidi"/>
                <w:b/>
                <w:bCs/>
                <w:lang w:val="ro-RO"/>
              </w:rPr>
              <w:t>sau la evenimentul public</w:t>
            </w:r>
            <w:r w:rsidR="00707026" w:rsidRPr="00707026">
              <w:rPr>
                <w:rFonts w:asciiTheme="majorBidi" w:hAnsiTheme="majorBidi" w:cstheme="majorBidi"/>
                <w:lang w:val="ro-RO"/>
              </w:rPr>
              <w:t xml:space="preserve"> </w:t>
            </w:r>
            <w:r w:rsidRPr="00BE43CE">
              <w:rPr>
                <w:rFonts w:asciiTheme="majorBidi" w:hAnsiTheme="majorBidi" w:cstheme="majorBidi"/>
                <w:lang w:val="ro-RO"/>
              </w:rPr>
              <w:t>cu deținerea asupra sa a substanțelor explozive, a oricăror substanțe interzise sau a altor obiecte ce pot pune în pericol viața ori sănătatea oamenilor</w:t>
            </w:r>
          </w:p>
          <w:p w14:paraId="1995CBD0" w14:textId="77777777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>se sancționează cu amendă de la 60 la 90 de unități convenționale sau cu arest contravențional de la 5 la 15 zile.</w:t>
            </w:r>
          </w:p>
          <w:p w14:paraId="22B89A72" w14:textId="22109BB9" w:rsidR="00BE43CE" w:rsidRPr="00BE43CE" w:rsidRDefault="00BE43CE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 xml:space="preserve">(5) Împiedicarea sub orice formă a accesului în clădirile din imediata apropiere a locului de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desfăşurare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a întrunirii</w:t>
            </w:r>
            <w:r w:rsidR="00707026" w:rsidRPr="00BE43CE">
              <w:rPr>
                <w:rFonts w:asciiTheme="majorBidi" w:eastAsiaTheme="minorEastAsia" w:hAnsiTheme="majorBidi" w:cstheme="majorBidi"/>
                <w:kern w:val="2"/>
                <w:lang w:val="ro-RO"/>
                <w14:ligatures w14:val="standardContextual"/>
              </w:rPr>
              <w:t xml:space="preserve"> </w:t>
            </w:r>
            <w:r w:rsidR="00707026" w:rsidRPr="00BE43CE">
              <w:rPr>
                <w:rFonts w:asciiTheme="majorBidi" w:hAnsiTheme="majorBidi" w:cstheme="majorBidi"/>
                <w:b/>
                <w:bCs/>
                <w:lang w:val="ro-RO"/>
              </w:rPr>
              <w:t>sau la evenimentul public</w:t>
            </w:r>
          </w:p>
          <w:p w14:paraId="1427E69D" w14:textId="3B9543D6" w:rsidR="00BE43CE" w:rsidRPr="00484FD8" w:rsidRDefault="00BE43CE" w:rsidP="00033C15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BE43CE">
              <w:rPr>
                <w:rFonts w:asciiTheme="majorBidi" w:hAnsiTheme="majorBidi" w:cstheme="majorBidi"/>
                <w:lang w:val="ro-RO"/>
              </w:rPr>
              <w:t xml:space="preserve">se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sancţionează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cu amendă de la 24 la 30 de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unităţi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 xml:space="preserve"> </w:t>
            </w:r>
            <w:proofErr w:type="spellStart"/>
            <w:r w:rsidRPr="00BE43CE">
              <w:rPr>
                <w:rFonts w:asciiTheme="majorBidi" w:hAnsiTheme="majorBidi" w:cstheme="majorBidi"/>
                <w:lang w:val="ro-RO"/>
              </w:rPr>
              <w:t>convenţionale</w:t>
            </w:r>
            <w:proofErr w:type="spellEnd"/>
            <w:r w:rsidRPr="00BE43CE">
              <w:rPr>
                <w:rFonts w:asciiTheme="majorBidi" w:hAnsiTheme="majorBidi" w:cstheme="majorBidi"/>
                <w:lang w:val="ro-RO"/>
              </w:rPr>
              <w:t>.</w:t>
            </w:r>
          </w:p>
        </w:tc>
      </w:tr>
      <w:tr w:rsidR="00033C15" w:rsidRPr="00484FD8" w14:paraId="7191EDDC" w14:textId="77777777" w:rsidTr="001A66F7">
        <w:trPr>
          <w:trHeight w:val="1124"/>
        </w:trPr>
        <w:tc>
          <w:tcPr>
            <w:tcW w:w="360" w:type="dxa"/>
          </w:tcPr>
          <w:p w14:paraId="70FD78B3" w14:textId="77777777" w:rsidR="00033C15" w:rsidRPr="00484FD8" w:rsidRDefault="00033C15" w:rsidP="00BE43CE">
            <w:pPr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  <w:tc>
          <w:tcPr>
            <w:tcW w:w="4904" w:type="dxa"/>
          </w:tcPr>
          <w:p w14:paraId="470C50B4" w14:textId="30DB8251" w:rsidR="00033C15" w:rsidRPr="00033C15" w:rsidRDefault="00033C15" w:rsidP="00033C15">
            <w:pPr>
              <w:pStyle w:val="rg"/>
              <w:tabs>
                <w:tab w:val="left" w:pos="4483"/>
              </w:tabs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033C15">
              <w:rPr>
                <w:rFonts w:asciiTheme="majorBidi" w:hAnsiTheme="majorBidi" w:cstheme="majorBidi"/>
                <w:b/>
                <w:bCs/>
              </w:rPr>
              <w:t> </w:t>
            </w:r>
            <w:r w:rsidRPr="00033C15">
              <w:rPr>
                <w:rFonts w:asciiTheme="majorBidi" w:hAnsiTheme="majorBidi" w:cstheme="majorBidi"/>
              </w:rPr>
              <w:t>(4</w:t>
            </w:r>
            <w:r w:rsidRPr="00033C15">
              <w:rPr>
                <w:rFonts w:asciiTheme="majorBidi" w:hAnsiTheme="majorBidi" w:cstheme="majorBidi"/>
                <w:vertAlign w:val="superscript"/>
              </w:rPr>
              <w:t>1</w:t>
            </w:r>
            <w:r w:rsidRPr="00033C15">
              <w:rPr>
                <w:rFonts w:asciiTheme="majorBidi" w:hAnsiTheme="majorBidi" w:cstheme="majorBidi"/>
              </w:rPr>
              <w:t xml:space="preserve">) </w:t>
            </w:r>
            <w:proofErr w:type="spellStart"/>
            <w:r w:rsidRPr="00033C15">
              <w:rPr>
                <w:rFonts w:asciiTheme="majorBidi" w:hAnsiTheme="majorBidi" w:cstheme="majorBidi"/>
              </w:rPr>
              <w:t>Contravenţiile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prevăzute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la art.69, art.91 </w:t>
            </w:r>
            <w:proofErr w:type="spellStart"/>
            <w:r w:rsidRPr="00033C15">
              <w:rPr>
                <w:rFonts w:asciiTheme="majorBidi" w:hAnsiTheme="majorBidi" w:cstheme="majorBidi"/>
              </w:rPr>
              <w:t>alin</w:t>
            </w:r>
            <w:proofErr w:type="spellEnd"/>
            <w:r w:rsidRPr="00033C15">
              <w:rPr>
                <w:rFonts w:asciiTheme="majorBidi" w:hAnsiTheme="majorBidi" w:cstheme="majorBidi"/>
              </w:rPr>
              <w:t>.(1), art.91</w:t>
            </w:r>
            <w:r w:rsidRPr="00033C15">
              <w:rPr>
                <w:rFonts w:asciiTheme="majorBidi" w:hAnsiTheme="majorBidi" w:cstheme="majorBidi"/>
                <w:vertAlign w:val="superscript"/>
              </w:rPr>
              <w:t>1</w:t>
            </w:r>
            <w:r w:rsidRPr="00033C15">
              <w:rPr>
                <w:rFonts w:asciiTheme="majorBidi" w:hAnsiTheme="majorBidi" w:cstheme="majorBidi"/>
              </w:rPr>
              <w:t> </w:t>
            </w:r>
            <w:proofErr w:type="spellStart"/>
            <w:r w:rsidRPr="00033C15">
              <w:rPr>
                <w:rFonts w:asciiTheme="majorBidi" w:hAnsiTheme="majorBidi" w:cstheme="majorBidi"/>
              </w:rPr>
              <w:t>alin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.(16) </w:t>
            </w:r>
            <w:proofErr w:type="spellStart"/>
            <w:r w:rsidRPr="00033C15">
              <w:rPr>
                <w:rFonts w:asciiTheme="majorBidi" w:hAnsiTheme="majorBidi" w:cstheme="majorBidi"/>
              </w:rPr>
              <w:t>şi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(18), art.354, 355 </w:t>
            </w:r>
            <w:proofErr w:type="spellStart"/>
            <w:r w:rsidRPr="00033C15">
              <w:rPr>
                <w:rFonts w:asciiTheme="majorBidi" w:hAnsiTheme="majorBidi" w:cstheme="majorBidi"/>
              </w:rPr>
              <w:t>şi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357, care au </w:t>
            </w:r>
            <w:proofErr w:type="spellStart"/>
            <w:r w:rsidRPr="00033C15">
              <w:rPr>
                <w:rFonts w:asciiTheme="majorBidi" w:hAnsiTheme="majorBidi" w:cstheme="majorBidi"/>
              </w:rPr>
              <w:t>fost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săvîrşite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în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timpul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îndeplinirii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misiunilor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Inspectoratului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General de Carabinieri de </w:t>
            </w:r>
            <w:proofErr w:type="spellStart"/>
            <w:r w:rsidRPr="00033C15">
              <w:rPr>
                <w:rFonts w:asciiTheme="majorBidi" w:hAnsiTheme="majorBidi" w:cstheme="majorBidi"/>
              </w:rPr>
              <w:t>menţinere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033C15">
              <w:rPr>
                <w:rFonts w:asciiTheme="majorBidi" w:hAnsiTheme="majorBidi" w:cstheme="majorBidi"/>
              </w:rPr>
              <w:t>asigurare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şi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restabilire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a </w:t>
            </w:r>
            <w:proofErr w:type="spellStart"/>
            <w:r w:rsidRPr="00033C15">
              <w:rPr>
                <w:rFonts w:asciiTheme="majorBidi" w:hAnsiTheme="majorBidi" w:cstheme="majorBidi"/>
              </w:rPr>
              <w:t>ordinii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publice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, de </w:t>
            </w:r>
            <w:proofErr w:type="spellStart"/>
            <w:r w:rsidRPr="00033C15">
              <w:rPr>
                <w:rFonts w:asciiTheme="majorBidi" w:hAnsiTheme="majorBidi" w:cstheme="majorBidi"/>
              </w:rPr>
              <w:t>protecţie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a </w:t>
            </w:r>
            <w:proofErr w:type="spellStart"/>
            <w:r w:rsidRPr="00033C15">
              <w:rPr>
                <w:rFonts w:asciiTheme="majorBidi" w:hAnsiTheme="majorBidi" w:cstheme="majorBidi"/>
              </w:rPr>
              <w:t>obiectivelor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de </w:t>
            </w:r>
            <w:proofErr w:type="spellStart"/>
            <w:r w:rsidRPr="00033C15">
              <w:rPr>
                <w:rFonts w:asciiTheme="majorBidi" w:hAnsiTheme="majorBidi" w:cstheme="majorBidi"/>
              </w:rPr>
              <w:t>importanţă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deosebită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, de </w:t>
            </w:r>
            <w:proofErr w:type="spellStart"/>
            <w:r w:rsidRPr="00033C15">
              <w:rPr>
                <w:rFonts w:asciiTheme="majorBidi" w:hAnsiTheme="majorBidi" w:cstheme="majorBidi"/>
              </w:rPr>
              <w:t>prevenire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şi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combatere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a </w:t>
            </w:r>
            <w:proofErr w:type="spellStart"/>
            <w:r w:rsidRPr="00033C15">
              <w:rPr>
                <w:rFonts w:asciiTheme="majorBidi" w:hAnsiTheme="majorBidi" w:cstheme="majorBidi"/>
              </w:rPr>
              <w:t>terorismului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, de </w:t>
            </w:r>
            <w:proofErr w:type="spellStart"/>
            <w:r w:rsidRPr="00033C15">
              <w:rPr>
                <w:rFonts w:asciiTheme="majorBidi" w:hAnsiTheme="majorBidi" w:cstheme="majorBidi"/>
              </w:rPr>
              <w:t>asigurare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a </w:t>
            </w:r>
            <w:proofErr w:type="spellStart"/>
            <w:r w:rsidRPr="00033C15">
              <w:rPr>
                <w:rFonts w:asciiTheme="majorBidi" w:hAnsiTheme="majorBidi" w:cstheme="majorBidi"/>
              </w:rPr>
              <w:t>regimului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stării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de </w:t>
            </w:r>
            <w:proofErr w:type="spellStart"/>
            <w:r w:rsidRPr="00033C15">
              <w:rPr>
                <w:rFonts w:asciiTheme="majorBidi" w:hAnsiTheme="majorBidi" w:cstheme="majorBidi"/>
              </w:rPr>
              <w:t>urgenţă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, de </w:t>
            </w:r>
            <w:proofErr w:type="spellStart"/>
            <w:r w:rsidRPr="00033C15">
              <w:rPr>
                <w:rFonts w:asciiTheme="majorBidi" w:hAnsiTheme="majorBidi" w:cstheme="majorBidi"/>
              </w:rPr>
              <w:t>asediu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şi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de </w:t>
            </w:r>
            <w:proofErr w:type="spellStart"/>
            <w:r w:rsidRPr="00033C15">
              <w:rPr>
                <w:rFonts w:asciiTheme="majorBidi" w:hAnsiTheme="majorBidi" w:cstheme="majorBidi"/>
              </w:rPr>
              <w:t>război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, se </w:t>
            </w:r>
            <w:proofErr w:type="spellStart"/>
            <w:r w:rsidRPr="00033C15">
              <w:rPr>
                <w:rFonts w:asciiTheme="majorBidi" w:hAnsiTheme="majorBidi" w:cstheme="majorBidi"/>
              </w:rPr>
              <w:t>constată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şi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se </w:t>
            </w:r>
            <w:proofErr w:type="spellStart"/>
            <w:r w:rsidRPr="00033C15">
              <w:rPr>
                <w:rFonts w:asciiTheme="majorBidi" w:hAnsiTheme="majorBidi" w:cstheme="majorBidi"/>
              </w:rPr>
              <w:t>examinează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inclusiv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de carabinieri.</w:t>
            </w:r>
          </w:p>
        </w:tc>
        <w:tc>
          <w:tcPr>
            <w:tcW w:w="3558" w:type="dxa"/>
          </w:tcPr>
          <w:p w14:paraId="5836FB42" w14:textId="77777777" w:rsidR="00033C15" w:rsidRPr="00033C15" w:rsidRDefault="00033C15" w:rsidP="00033C15">
            <w:pPr>
              <w:tabs>
                <w:tab w:val="left" w:pos="324"/>
                <w:tab w:val="left" w:pos="709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033C15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La articolul 400 alin. (4</w:t>
            </w:r>
            <w:r w:rsidRPr="00033C15">
              <w:rPr>
                <w:rFonts w:asciiTheme="majorBidi" w:hAnsiTheme="majorBidi" w:cstheme="majorBidi"/>
                <w:sz w:val="24"/>
                <w:szCs w:val="24"/>
                <w:vertAlign w:val="superscript"/>
                <w:lang w:val="ro-RO"/>
              </w:rPr>
              <w:t>1</w:t>
            </w:r>
            <w:r w:rsidRPr="00033C15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), după textul ,,prevăzute la art. ” se completează cu textul ,, 67, ”. </w:t>
            </w:r>
          </w:p>
          <w:p w14:paraId="3E80F5F6" w14:textId="77777777" w:rsidR="00033C15" w:rsidRPr="00BE43CE" w:rsidRDefault="00033C15" w:rsidP="00033C15">
            <w:pPr>
              <w:tabs>
                <w:tab w:val="left" w:pos="324"/>
                <w:tab w:val="left" w:pos="709"/>
              </w:tabs>
              <w:ind w:left="18"/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  <w:tc>
          <w:tcPr>
            <w:tcW w:w="5146" w:type="dxa"/>
          </w:tcPr>
          <w:p w14:paraId="7468BFC5" w14:textId="7D6DE0D3" w:rsidR="00033C15" w:rsidRPr="00033C15" w:rsidRDefault="00033C15" w:rsidP="00BE43CE">
            <w:pPr>
              <w:pStyle w:val="rg"/>
              <w:spacing w:before="0" w:beforeAutospacing="0" w:after="0" w:afterAutospacing="0"/>
              <w:ind w:right="198"/>
              <w:jc w:val="both"/>
              <w:rPr>
                <w:rFonts w:asciiTheme="majorBidi" w:hAnsiTheme="majorBidi" w:cstheme="majorBidi"/>
                <w:lang w:val="ro-RO"/>
              </w:rPr>
            </w:pPr>
            <w:r w:rsidRPr="00033C15">
              <w:rPr>
                <w:rFonts w:asciiTheme="majorBidi" w:hAnsiTheme="majorBidi" w:cstheme="majorBidi"/>
              </w:rPr>
              <w:t>(4</w:t>
            </w:r>
            <w:r w:rsidRPr="00033C15">
              <w:rPr>
                <w:rFonts w:asciiTheme="majorBidi" w:hAnsiTheme="majorBidi" w:cstheme="majorBidi"/>
                <w:vertAlign w:val="superscript"/>
              </w:rPr>
              <w:t>1</w:t>
            </w:r>
            <w:r w:rsidRPr="00033C15">
              <w:rPr>
                <w:rFonts w:asciiTheme="majorBidi" w:hAnsiTheme="majorBidi" w:cstheme="majorBidi"/>
              </w:rPr>
              <w:t xml:space="preserve">) </w:t>
            </w:r>
            <w:proofErr w:type="spellStart"/>
            <w:r w:rsidRPr="00033C15">
              <w:rPr>
                <w:rFonts w:asciiTheme="majorBidi" w:hAnsiTheme="majorBidi" w:cstheme="majorBidi"/>
              </w:rPr>
              <w:t>Contravenţiile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prevăzute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la art.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33C15">
              <w:rPr>
                <w:rFonts w:asciiTheme="majorBidi" w:hAnsiTheme="majorBidi" w:cstheme="majorBidi"/>
                <w:b/>
                <w:bCs/>
              </w:rPr>
              <w:t>67,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33C15">
              <w:rPr>
                <w:rFonts w:asciiTheme="majorBidi" w:hAnsiTheme="majorBidi" w:cstheme="majorBidi"/>
              </w:rPr>
              <w:t xml:space="preserve">69, art.91 </w:t>
            </w:r>
            <w:proofErr w:type="spellStart"/>
            <w:r w:rsidRPr="00033C15">
              <w:rPr>
                <w:rFonts w:asciiTheme="majorBidi" w:hAnsiTheme="majorBidi" w:cstheme="majorBidi"/>
              </w:rPr>
              <w:t>alin</w:t>
            </w:r>
            <w:proofErr w:type="spellEnd"/>
            <w:r w:rsidRPr="00033C15">
              <w:rPr>
                <w:rFonts w:asciiTheme="majorBidi" w:hAnsiTheme="majorBidi" w:cstheme="majorBidi"/>
              </w:rPr>
              <w:t>.(1), art.91</w:t>
            </w:r>
            <w:r w:rsidRPr="00033C15">
              <w:rPr>
                <w:rFonts w:asciiTheme="majorBidi" w:hAnsiTheme="majorBidi" w:cstheme="majorBidi"/>
                <w:vertAlign w:val="superscript"/>
              </w:rPr>
              <w:t>1</w:t>
            </w:r>
            <w:r w:rsidRPr="00033C15">
              <w:rPr>
                <w:rFonts w:asciiTheme="majorBidi" w:hAnsiTheme="majorBidi" w:cstheme="majorBidi"/>
              </w:rPr>
              <w:t> </w:t>
            </w:r>
            <w:proofErr w:type="spellStart"/>
            <w:r w:rsidRPr="00033C15">
              <w:rPr>
                <w:rFonts w:asciiTheme="majorBidi" w:hAnsiTheme="majorBidi" w:cstheme="majorBidi"/>
              </w:rPr>
              <w:t>alin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.(16) </w:t>
            </w:r>
            <w:proofErr w:type="spellStart"/>
            <w:r w:rsidRPr="00033C15">
              <w:rPr>
                <w:rFonts w:asciiTheme="majorBidi" w:hAnsiTheme="majorBidi" w:cstheme="majorBidi"/>
              </w:rPr>
              <w:t>şi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(18), art.354, 355 </w:t>
            </w:r>
            <w:proofErr w:type="spellStart"/>
            <w:r w:rsidRPr="00033C15">
              <w:rPr>
                <w:rFonts w:asciiTheme="majorBidi" w:hAnsiTheme="majorBidi" w:cstheme="majorBidi"/>
              </w:rPr>
              <w:t>şi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357, care au </w:t>
            </w:r>
            <w:proofErr w:type="spellStart"/>
            <w:r w:rsidRPr="00033C15">
              <w:rPr>
                <w:rFonts w:asciiTheme="majorBidi" w:hAnsiTheme="majorBidi" w:cstheme="majorBidi"/>
              </w:rPr>
              <w:t>fost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săvîrşite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în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timpul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îndeplinirii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misiunilor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Inspectoratului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General de Carabinieri de </w:t>
            </w:r>
            <w:proofErr w:type="spellStart"/>
            <w:r w:rsidRPr="00033C15">
              <w:rPr>
                <w:rFonts w:asciiTheme="majorBidi" w:hAnsiTheme="majorBidi" w:cstheme="majorBidi"/>
              </w:rPr>
              <w:t>menţinere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033C15">
              <w:rPr>
                <w:rFonts w:asciiTheme="majorBidi" w:hAnsiTheme="majorBidi" w:cstheme="majorBidi"/>
              </w:rPr>
              <w:t>asigurare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şi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restabilire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a </w:t>
            </w:r>
            <w:proofErr w:type="spellStart"/>
            <w:r w:rsidRPr="00033C15">
              <w:rPr>
                <w:rFonts w:asciiTheme="majorBidi" w:hAnsiTheme="majorBidi" w:cstheme="majorBidi"/>
              </w:rPr>
              <w:t>ordinii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publice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, de </w:t>
            </w:r>
            <w:proofErr w:type="spellStart"/>
            <w:r w:rsidRPr="00033C15">
              <w:rPr>
                <w:rFonts w:asciiTheme="majorBidi" w:hAnsiTheme="majorBidi" w:cstheme="majorBidi"/>
              </w:rPr>
              <w:t>protecţie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a </w:t>
            </w:r>
            <w:proofErr w:type="spellStart"/>
            <w:r w:rsidRPr="00033C15">
              <w:rPr>
                <w:rFonts w:asciiTheme="majorBidi" w:hAnsiTheme="majorBidi" w:cstheme="majorBidi"/>
              </w:rPr>
              <w:t>obiectivelor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de </w:t>
            </w:r>
            <w:proofErr w:type="spellStart"/>
            <w:r w:rsidRPr="00033C15">
              <w:rPr>
                <w:rFonts w:asciiTheme="majorBidi" w:hAnsiTheme="majorBidi" w:cstheme="majorBidi"/>
              </w:rPr>
              <w:t>importanţă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deosebită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, de </w:t>
            </w:r>
            <w:proofErr w:type="spellStart"/>
            <w:r w:rsidRPr="00033C15">
              <w:rPr>
                <w:rFonts w:asciiTheme="majorBidi" w:hAnsiTheme="majorBidi" w:cstheme="majorBidi"/>
              </w:rPr>
              <w:t>prevenire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şi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combatere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a </w:t>
            </w:r>
            <w:proofErr w:type="spellStart"/>
            <w:r w:rsidRPr="00033C15">
              <w:rPr>
                <w:rFonts w:asciiTheme="majorBidi" w:hAnsiTheme="majorBidi" w:cstheme="majorBidi"/>
              </w:rPr>
              <w:t>terorismului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, de </w:t>
            </w:r>
            <w:proofErr w:type="spellStart"/>
            <w:r w:rsidRPr="00033C15">
              <w:rPr>
                <w:rFonts w:asciiTheme="majorBidi" w:hAnsiTheme="majorBidi" w:cstheme="majorBidi"/>
              </w:rPr>
              <w:t>asigurare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a </w:t>
            </w:r>
            <w:proofErr w:type="spellStart"/>
            <w:r w:rsidRPr="00033C15">
              <w:rPr>
                <w:rFonts w:asciiTheme="majorBidi" w:hAnsiTheme="majorBidi" w:cstheme="majorBidi"/>
              </w:rPr>
              <w:t>regimului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stării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de </w:t>
            </w:r>
            <w:proofErr w:type="spellStart"/>
            <w:r w:rsidRPr="00033C15">
              <w:rPr>
                <w:rFonts w:asciiTheme="majorBidi" w:hAnsiTheme="majorBidi" w:cstheme="majorBidi"/>
              </w:rPr>
              <w:t>urgenţă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, de </w:t>
            </w:r>
            <w:proofErr w:type="spellStart"/>
            <w:r w:rsidRPr="00033C15">
              <w:rPr>
                <w:rFonts w:asciiTheme="majorBidi" w:hAnsiTheme="majorBidi" w:cstheme="majorBidi"/>
              </w:rPr>
              <w:t>asediu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şi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de </w:t>
            </w:r>
            <w:proofErr w:type="spellStart"/>
            <w:r w:rsidRPr="00033C15">
              <w:rPr>
                <w:rFonts w:asciiTheme="majorBidi" w:hAnsiTheme="majorBidi" w:cstheme="majorBidi"/>
              </w:rPr>
              <w:t>război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, se </w:t>
            </w:r>
            <w:proofErr w:type="spellStart"/>
            <w:r w:rsidRPr="00033C15">
              <w:rPr>
                <w:rFonts w:asciiTheme="majorBidi" w:hAnsiTheme="majorBidi" w:cstheme="majorBidi"/>
              </w:rPr>
              <w:t>constată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şi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se </w:t>
            </w:r>
            <w:proofErr w:type="spellStart"/>
            <w:r w:rsidRPr="00033C15">
              <w:rPr>
                <w:rFonts w:asciiTheme="majorBidi" w:hAnsiTheme="majorBidi" w:cstheme="majorBidi"/>
              </w:rPr>
              <w:t>examinează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33C15">
              <w:rPr>
                <w:rFonts w:asciiTheme="majorBidi" w:hAnsiTheme="majorBidi" w:cstheme="majorBidi"/>
              </w:rPr>
              <w:t>inclusiv</w:t>
            </w:r>
            <w:proofErr w:type="spellEnd"/>
            <w:r w:rsidRPr="00033C15">
              <w:rPr>
                <w:rFonts w:asciiTheme="majorBidi" w:hAnsiTheme="majorBidi" w:cstheme="majorBidi"/>
              </w:rPr>
              <w:t xml:space="preserve"> de carabinieri.</w:t>
            </w:r>
          </w:p>
        </w:tc>
      </w:tr>
    </w:tbl>
    <w:p w14:paraId="4981751B" w14:textId="77777777" w:rsidR="0037437C" w:rsidRPr="001071B5" w:rsidRDefault="0037437C">
      <w:pPr>
        <w:rPr>
          <w:rFonts w:asciiTheme="majorBidi" w:hAnsiTheme="majorBidi" w:cstheme="majorBidi"/>
          <w:sz w:val="24"/>
          <w:szCs w:val="24"/>
          <w:lang w:val="ro-MD"/>
        </w:rPr>
      </w:pPr>
    </w:p>
    <w:p w14:paraId="3E95CAB8" w14:textId="5CB67DDC" w:rsidR="007C4E07" w:rsidRPr="00033C15" w:rsidRDefault="008E0944" w:rsidP="00033C15">
      <w:pPr>
        <w:tabs>
          <w:tab w:val="left" w:pos="8520"/>
        </w:tabs>
        <w:rPr>
          <w:rFonts w:asciiTheme="majorBidi" w:hAnsiTheme="majorBidi" w:cstheme="majorBidi"/>
          <w:sz w:val="24"/>
          <w:szCs w:val="24"/>
          <w:lang w:val="fr-FR"/>
        </w:rPr>
      </w:pPr>
      <w:r w:rsidRPr="001071B5">
        <w:rPr>
          <w:rFonts w:asciiTheme="majorBidi" w:eastAsia="Times New Roman" w:hAnsiTheme="majorBidi" w:cstheme="majorBidi"/>
          <w:kern w:val="0"/>
          <w:sz w:val="24"/>
          <w:szCs w:val="24"/>
          <w:lang w:val="ro-MD"/>
          <w14:ligatures w14:val="none"/>
        </w:rPr>
        <w:t> </w:t>
      </w:r>
      <w:r w:rsidR="00B96D70" w:rsidRPr="001071B5">
        <w:rPr>
          <w:rFonts w:asciiTheme="majorBidi" w:eastAsia="Times New Roman" w:hAnsiTheme="majorBidi" w:cstheme="majorBidi"/>
          <w:kern w:val="0"/>
          <w:sz w:val="24"/>
          <w:szCs w:val="24"/>
          <w:lang w:val="ro-MD"/>
          <w14:ligatures w14:val="none"/>
        </w:rPr>
        <w:tab/>
      </w:r>
    </w:p>
    <w:p w14:paraId="670C5338" w14:textId="5EE18879" w:rsidR="007C4E07" w:rsidRPr="007C4E07" w:rsidRDefault="007C4E07" w:rsidP="007C4E07">
      <w:pPr>
        <w:tabs>
          <w:tab w:val="left" w:pos="3636"/>
        </w:tabs>
        <w:rPr>
          <w:rFonts w:asciiTheme="majorBidi" w:hAnsiTheme="majorBidi" w:cstheme="majorBidi"/>
          <w:sz w:val="24"/>
          <w:szCs w:val="24"/>
          <w:lang w:val="ro-MD"/>
        </w:rPr>
      </w:pPr>
      <w:r>
        <w:rPr>
          <w:rFonts w:asciiTheme="majorBidi" w:hAnsiTheme="majorBidi" w:cstheme="majorBidi"/>
          <w:sz w:val="24"/>
          <w:szCs w:val="24"/>
          <w:lang w:val="ro-MD"/>
        </w:rPr>
        <w:tab/>
      </w:r>
    </w:p>
    <w:sectPr w:rsidR="007C4E07" w:rsidRPr="007C4E07" w:rsidSect="00A14A05">
      <w:footerReference w:type="default" r:id="rId8"/>
      <w:pgSz w:w="15840" w:h="12240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F8BCE" w14:textId="77777777" w:rsidR="00AA388E" w:rsidRDefault="00AA388E" w:rsidP="00617E65">
      <w:pPr>
        <w:spacing w:after="0" w:line="240" w:lineRule="auto"/>
      </w:pPr>
      <w:r>
        <w:separator/>
      </w:r>
    </w:p>
  </w:endnote>
  <w:endnote w:type="continuationSeparator" w:id="0">
    <w:p w14:paraId="405717E5" w14:textId="77777777" w:rsidR="00AA388E" w:rsidRDefault="00AA388E" w:rsidP="0061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2445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6EF6D" w14:textId="24DA358C" w:rsidR="002F1C98" w:rsidRDefault="002F1C9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9CA1C7" w14:textId="77777777" w:rsidR="002F1C98" w:rsidRDefault="002F1C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E9F3C" w14:textId="77777777" w:rsidR="00AA388E" w:rsidRDefault="00AA388E" w:rsidP="00617E65">
      <w:pPr>
        <w:spacing w:after="0" w:line="240" w:lineRule="auto"/>
      </w:pPr>
      <w:r>
        <w:separator/>
      </w:r>
    </w:p>
  </w:footnote>
  <w:footnote w:type="continuationSeparator" w:id="0">
    <w:p w14:paraId="2FB4392A" w14:textId="77777777" w:rsidR="00AA388E" w:rsidRDefault="00AA388E" w:rsidP="00617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7986"/>
    <w:multiLevelType w:val="hybridMultilevel"/>
    <w:tmpl w:val="25FC9BBE"/>
    <w:lvl w:ilvl="0" w:tplc="1CAE8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C15F21"/>
    <w:multiLevelType w:val="hybridMultilevel"/>
    <w:tmpl w:val="933ABA68"/>
    <w:lvl w:ilvl="0" w:tplc="27AA3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D5290"/>
    <w:multiLevelType w:val="hybridMultilevel"/>
    <w:tmpl w:val="485EB420"/>
    <w:lvl w:ilvl="0" w:tplc="D52EE4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4E2C55"/>
    <w:multiLevelType w:val="multilevel"/>
    <w:tmpl w:val="143CA3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8812DB8"/>
    <w:multiLevelType w:val="hybridMultilevel"/>
    <w:tmpl w:val="76726AFC"/>
    <w:lvl w:ilvl="0" w:tplc="DA4AE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7602EE"/>
    <w:multiLevelType w:val="hybridMultilevel"/>
    <w:tmpl w:val="B5784C16"/>
    <w:lvl w:ilvl="0" w:tplc="6002A23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E17FDE"/>
    <w:multiLevelType w:val="hybridMultilevel"/>
    <w:tmpl w:val="EB2A2FFC"/>
    <w:lvl w:ilvl="0" w:tplc="18BADC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89068D"/>
    <w:multiLevelType w:val="multilevel"/>
    <w:tmpl w:val="6A141F6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A811CA7"/>
    <w:multiLevelType w:val="hybridMultilevel"/>
    <w:tmpl w:val="E650486A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D82644"/>
    <w:multiLevelType w:val="multilevel"/>
    <w:tmpl w:val="6A141F6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226914284">
    <w:abstractNumId w:val="8"/>
  </w:num>
  <w:num w:numId="2" w16cid:durableId="249849682">
    <w:abstractNumId w:val="6"/>
  </w:num>
  <w:num w:numId="3" w16cid:durableId="1534340421">
    <w:abstractNumId w:val="4"/>
  </w:num>
  <w:num w:numId="4" w16cid:durableId="1652560503">
    <w:abstractNumId w:val="0"/>
  </w:num>
  <w:num w:numId="5" w16cid:durableId="837842911">
    <w:abstractNumId w:val="2"/>
  </w:num>
  <w:num w:numId="6" w16cid:durableId="651834829">
    <w:abstractNumId w:val="5"/>
  </w:num>
  <w:num w:numId="7" w16cid:durableId="722825493">
    <w:abstractNumId w:val="1"/>
  </w:num>
  <w:num w:numId="8" w16cid:durableId="1813061188">
    <w:abstractNumId w:val="3"/>
  </w:num>
  <w:num w:numId="9" w16cid:durableId="483738609">
    <w:abstractNumId w:val="7"/>
  </w:num>
  <w:num w:numId="10" w16cid:durableId="9185643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28"/>
    <w:rsid w:val="00033C15"/>
    <w:rsid w:val="00050E07"/>
    <w:rsid w:val="00060C0A"/>
    <w:rsid w:val="0006796C"/>
    <w:rsid w:val="00092472"/>
    <w:rsid w:val="000F2B88"/>
    <w:rsid w:val="000F61C2"/>
    <w:rsid w:val="001071B5"/>
    <w:rsid w:val="001347DD"/>
    <w:rsid w:val="0018065B"/>
    <w:rsid w:val="001A66F7"/>
    <w:rsid w:val="001C3121"/>
    <w:rsid w:val="001C5F66"/>
    <w:rsid w:val="001D3CDE"/>
    <w:rsid w:val="00202D98"/>
    <w:rsid w:val="00205727"/>
    <w:rsid w:val="00272F14"/>
    <w:rsid w:val="002D6173"/>
    <w:rsid w:val="002E0E0B"/>
    <w:rsid w:val="002F1C98"/>
    <w:rsid w:val="00303685"/>
    <w:rsid w:val="00334590"/>
    <w:rsid w:val="00357433"/>
    <w:rsid w:val="0037437C"/>
    <w:rsid w:val="00391865"/>
    <w:rsid w:val="00397E58"/>
    <w:rsid w:val="004613E7"/>
    <w:rsid w:val="0047371C"/>
    <w:rsid w:val="00484FD8"/>
    <w:rsid w:val="004917EC"/>
    <w:rsid w:val="00492976"/>
    <w:rsid w:val="00524FDB"/>
    <w:rsid w:val="005612C1"/>
    <w:rsid w:val="00562B77"/>
    <w:rsid w:val="005A26FE"/>
    <w:rsid w:val="005A3DB2"/>
    <w:rsid w:val="005C06C5"/>
    <w:rsid w:val="005F2DF4"/>
    <w:rsid w:val="00617E65"/>
    <w:rsid w:val="006D6553"/>
    <w:rsid w:val="0070171F"/>
    <w:rsid w:val="00707026"/>
    <w:rsid w:val="0074342E"/>
    <w:rsid w:val="00756156"/>
    <w:rsid w:val="007B3C2F"/>
    <w:rsid w:val="007C4E07"/>
    <w:rsid w:val="007E2666"/>
    <w:rsid w:val="008677FF"/>
    <w:rsid w:val="008737D2"/>
    <w:rsid w:val="008C453E"/>
    <w:rsid w:val="008E0944"/>
    <w:rsid w:val="00947A2B"/>
    <w:rsid w:val="00957CF1"/>
    <w:rsid w:val="009607F6"/>
    <w:rsid w:val="0097155F"/>
    <w:rsid w:val="00994EA4"/>
    <w:rsid w:val="00A14A05"/>
    <w:rsid w:val="00A21079"/>
    <w:rsid w:val="00AA388E"/>
    <w:rsid w:val="00AA5D99"/>
    <w:rsid w:val="00AD48EE"/>
    <w:rsid w:val="00AD7431"/>
    <w:rsid w:val="00B061E2"/>
    <w:rsid w:val="00B35C7B"/>
    <w:rsid w:val="00B84AD8"/>
    <w:rsid w:val="00B96D70"/>
    <w:rsid w:val="00BB0D9B"/>
    <w:rsid w:val="00BE43CE"/>
    <w:rsid w:val="00C35D9D"/>
    <w:rsid w:val="00C83F6A"/>
    <w:rsid w:val="00CE6A0F"/>
    <w:rsid w:val="00CE787A"/>
    <w:rsid w:val="00D21997"/>
    <w:rsid w:val="00D4703B"/>
    <w:rsid w:val="00D67DE2"/>
    <w:rsid w:val="00D76914"/>
    <w:rsid w:val="00D874DE"/>
    <w:rsid w:val="00D9412B"/>
    <w:rsid w:val="00D96B44"/>
    <w:rsid w:val="00DF16FE"/>
    <w:rsid w:val="00E236A6"/>
    <w:rsid w:val="00E25178"/>
    <w:rsid w:val="00E3268F"/>
    <w:rsid w:val="00E36049"/>
    <w:rsid w:val="00E65822"/>
    <w:rsid w:val="00EA4486"/>
    <w:rsid w:val="00EC1C26"/>
    <w:rsid w:val="00EE39D2"/>
    <w:rsid w:val="00F52928"/>
    <w:rsid w:val="00F70466"/>
    <w:rsid w:val="00F8286D"/>
    <w:rsid w:val="00FE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AB72"/>
  <w15:chartTrackingRefBased/>
  <w15:docId w15:val="{2632FD43-2E84-45E4-9521-89AEC5C4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437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97E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d">
    <w:name w:val="md"/>
    <w:basedOn w:val="a"/>
    <w:rsid w:val="0039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3300"/>
      <w:kern w:val="0"/>
      <w:sz w:val="20"/>
      <w:szCs w:val="20"/>
      <w14:ligatures w14:val="none"/>
    </w:rPr>
  </w:style>
  <w:style w:type="paragraph" w:customStyle="1" w:styleId="cn">
    <w:name w:val="cn"/>
    <w:basedOn w:val="a"/>
    <w:rsid w:val="00397E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rg">
    <w:name w:val="rg"/>
    <w:basedOn w:val="a"/>
    <w:rsid w:val="00397E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List Paragraph"/>
    <w:basedOn w:val="a"/>
    <w:uiPriority w:val="34"/>
    <w:qFormat/>
    <w:rsid w:val="00397E58"/>
    <w:pPr>
      <w:spacing w:line="240" w:lineRule="auto"/>
      <w:ind w:left="720"/>
      <w:contextualSpacing/>
    </w:pPr>
    <w:rPr>
      <w:rFonts w:ascii="Times New Roman" w:eastAsiaTheme="minorHAnsi" w:hAnsi="Times New Roman"/>
      <w:kern w:val="0"/>
      <w:sz w:val="28"/>
      <w:lang w:val="ru-RU" w:eastAsia="en-US"/>
      <w14:ligatures w14:val="none"/>
    </w:rPr>
  </w:style>
  <w:style w:type="paragraph" w:customStyle="1" w:styleId="cp">
    <w:name w:val="cp"/>
    <w:basedOn w:val="a"/>
    <w:rsid w:val="00947A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61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7E65"/>
  </w:style>
  <w:style w:type="paragraph" w:styleId="a9">
    <w:name w:val="footer"/>
    <w:basedOn w:val="a"/>
    <w:link w:val="aa"/>
    <w:uiPriority w:val="99"/>
    <w:unhideWhenUsed/>
    <w:rsid w:val="0061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7E65"/>
  </w:style>
  <w:style w:type="paragraph" w:customStyle="1" w:styleId="nt">
    <w:name w:val="nt"/>
    <w:basedOn w:val="a"/>
    <w:rsid w:val="00617E65"/>
    <w:pPr>
      <w:spacing w:before="100" w:beforeAutospacing="1" w:after="100" w:afterAutospacing="1" w:line="240" w:lineRule="auto"/>
      <w:ind w:left="567" w:right="567" w:hanging="567"/>
      <w:jc w:val="both"/>
    </w:pPr>
    <w:rPr>
      <w:rFonts w:ascii="Times New Roman" w:eastAsia="Times New Roman" w:hAnsi="Times New Roman" w:cs="Times New Roman"/>
      <w:i/>
      <w:iCs/>
      <w:color w:val="663300"/>
      <w:kern w:val="0"/>
      <w:sz w:val="20"/>
      <w:szCs w:val="20"/>
      <w14:ligatures w14:val="none"/>
    </w:rPr>
  </w:style>
  <w:style w:type="paragraph" w:customStyle="1" w:styleId="cb">
    <w:name w:val="cb"/>
    <w:basedOn w:val="a"/>
    <w:rsid w:val="00617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ab">
    <w:name w:val="Unresolved Mention"/>
    <w:basedOn w:val="a0"/>
    <w:uiPriority w:val="99"/>
    <w:semiHidden/>
    <w:unhideWhenUsed/>
    <w:rsid w:val="00EE3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F91E-3BA9-49DD-914D-46397E06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808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Gaburici Dina</dc:creator>
  <cp:keywords/>
  <dc:description/>
  <cp:lastModifiedBy>Vitalie Railean</cp:lastModifiedBy>
  <cp:revision>203</cp:revision>
  <dcterms:created xsi:type="dcterms:W3CDTF">2024-06-19T08:41:00Z</dcterms:created>
  <dcterms:modified xsi:type="dcterms:W3CDTF">2025-03-10T13:33:00Z</dcterms:modified>
</cp:coreProperties>
</file>