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89" w:type="dxa"/>
        <w:tblInd w:w="-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4"/>
        <w:gridCol w:w="3382"/>
        <w:gridCol w:w="1964"/>
        <w:gridCol w:w="2029"/>
      </w:tblGrid>
      <w:tr w:rsidR="00450458" w:rsidTr="00EF6034">
        <w:trPr>
          <w:trHeight w:val="535"/>
        </w:trPr>
        <w:tc>
          <w:tcPr>
            <w:tcW w:w="10789" w:type="dxa"/>
            <w:gridSpan w:val="4"/>
            <w:shd w:val="clear" w:color="auto" w:fill="auto"/>
          </w:tcPr>
          <w:p w:rsidR="00450458" w:rsidRDefault="00000000">
            <w:pPr>
              <w:jc w:val="both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Titlul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actului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UE,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inclusiv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cea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mai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recentă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modificare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, nr. CELEX</w:t>
            </w:r>
          </w:p>
        </w:tc>
      </w:tr>
      <w:tr w:rsidR="00450458" w:rsidTr="00EF6034">
        <w:trPr>
          <w:trHeight w:val="1020"/>
        </w:trPr>
        <w:tc>
          <w:tcPr>
            <w:tcW w:w="10789" w:type="dxa"/>
            <w:gridSpan w:val="4"/>
            <w:shd w:val="clear" w:color="auto" w:fill="auto"/>
          </w:tcPr>
          <w:p w:rsidR="00450458" w:rsidRDefault="00000000">
            <w:pPr>
              <w:jc w:val="both"/>
              <w:textAlignment w:val="top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REGULAMENTUL DE PUNERE ÎN APLICARE (UE) 2021/581 AL COMISIEI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din 9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aprilie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2021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tablourile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situaționale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ale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Sistemului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european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supraveghere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frontierelor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(EUROSUR)</w:t>
            </w:r>
          </w:p>
        </w:tc>
      </w:tr>
      <w:tr w:rsidR="00450458" w:rsidTr="00EF6034">
        <w:trPr>
          <w:trHeight w:val="560"/>
        </w:trPr>
        <w:tc>
          <w:tcPr>
            <w:tcW w:w="10789" w:type="dxa"/>
            <w:gridSpan w:val="4"/>
            <w:shd w:val="clear" w:color="auto" w:fill="auto"/>
          </w:tcPr>
          <w:p w:rsidR="00450458" w:rsidRDefault="00000000">
            <w:pPr>
              <w:jc w:val="both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Titlul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proiectului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de act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normativ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Proietul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hotărârii Guvernului cu privire la modificarea Hotărârii Guvernului nr. 429/2015 pentru aprobarea Regulamentului cu privire la Sistemul de coordonare a securității frontaliere</w:t>
            </w:r>
          </w:p>
          <w:p w:rsidR="00450458" w:rsidRDefault="00450458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10789" w:type="dxa"/>
            <w:gridSpan w:val="4"/>
            <w:shd w:val="clear" w:color="auto" w:fill="auto"/>
          </w:tcPr>
          <w:p w:rsidR="00450458" w:rsidRDefault="00000000">
            <w:pPr>
              <w:jc w:val="both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Gradul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general de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compatibilitate</w:t>
            </w:r>
            <w:proofErr w:type="spellEnd"/>
          </w:p>
          <w:p w:rsidR="00450458" w:rsidRDefault="00000000">
            <w:pPr>
              <w:ind w:rightChars="277" w:right="609"/>
              <w:jc w:val="both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Par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țial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compatibil</w:t>
            </w:r>
          </w:p>
        </w:tc>
      </w:tr>
      <w:tr w:rsidR="00450458" w:rsidTr="00EF6034">
        <w:trPr>
          <w:trHeight w:val="560"/>
        </w:trPr>
        <w:tc>
          <w:tcPr>
            <w:tcW w:w="10789" w:type="dxa"/>
            <w:gridSpan w:val="4"/>
            <w:shd w:val="clear" w:color="auto" w:fill="auto"/>
          </w:tcPr>
          <w:p w:rsidR="00450458" w:rsidRDefault="00000000">
            <w:pPr>
              <w:jc w:val="both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Autoritatea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persoana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responsabilă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Ministerul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Afacerilor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Interne</w:t>
            </w:r>
          </w:p>
        </w:tc>
      </w:tr>
      <w:tr w:rsidR="00450458" w:rsidTr="00EF6034">
        <w:trPr>
          <w:trHeight w:val="300"/>
        </w:trPr>
        <w:tc>
          <w:tcPr>
            <w:tcW w:w="10789" w:type="dxa"/>
            <w:gridSpan w:val="4"/>
            <w:shd w:val="clear" w:color="auto" w:fill="auto"/>
          </w:tcPr>
          <w:p w:rsidR="00450458" w:rsidRDefault="00000000">
            <w:pPr>
              <w:jc w:val="both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Data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întocmirii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actualizării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03.02.2025</w:t>
            </w: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Actul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Uniunii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Europene</w:t>
            </w:r>
            <w:proofErr w:type="spellEnd"/>
          </w:p>
        </w:tc>
        <w:tc>
          <w:tcPr>
            <w:tcW w:w="3382" w:type="dxa"/>
            <w:shd w:val="clear" w:color="auto" w:fill="auto"/>
          </w:tcPr>
          <w:p w:rsidR="00450458" w:rsidRDefault="00000000">
            <w:pPr>
              <w:jc w:val="both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Proiectul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de act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normativ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:rsidR="00450458" w:rsidRDefault="00000000">
            <w:pPr>
              <w:jc w:val="both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Gradul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compatibilitate</w:t>
            </w:r>
            <w:proofErr w:type="spellEnd"/>
          </w:p>
        </w:tc>
        <w:tc>
          <w:tcPr>
            <w:tcW w:w="2029" w:type="dxa"/>
            <w:shd w:val="clear" w:color="auto" w:fill="auto"/>
          </w:tcPr>
          <w:p w:rsidR="00450458" w:rsidRDefault="00000000">
            <w:pPr>
              <w:jc w:val="both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Observații</w:t>
            </w:r>
            <w:proofErr w:type="spellEnd"/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382" w:type="dxa"/>
            <w:shd w:val="clear" w:color="auto" w:fill="auto"/>
          </w:tcPr>
          <w:p w:rsidR="00450458" w:rsidRDefault="00000000">
            <w:pPr>
              <w:jc w:val="both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64" w:type="dxa"/>
            <w:shd w:val="clear" w:color="auto" w:fill="auto"/>
          </w:tcPr>
          <w:p w:rsidR="00450458" w:rsidRDefault="00000000">
            <w:pPr>
              <w:jc w:val="both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029" w:type="dxa"/>
            <w:shd w:val="clear" w:color="auto" w:fill="auto"/>
          </w:tcPr>
          <w:p w:rsidR="00450458" w:rsidRDefault="00000000">
            <w:pPr>
              <w:jc w:val="both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</w:t>
            </w: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font31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Style w:val="font31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1</w:t>
            </w:r>
            <w:r>
              <w:rPr>
                <w:rStyle w:val="font31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Style w:val="font31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Obiect</w:t>
            </w:r>
            <w:proofErr w:type="spellEnd"/>
            <w:r>
              <w:rPr>
                <w:rStyle w:val="font31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Style w:val="font01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Prezentul</w:t>
            </w:r>
            <w:proofErr w:type="spellEnd"/>
            <w:r>
              <w:rPr>
                <w:rStyle w:val="font01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font01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regulament</w:t>
            </w:r>
            <w:proofErr w:type="spellEnd"/>
            <w:r>
              <w:rPr>
                <w:rStyle w:val="font01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font01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stabilește</w:t>
            </w:r>
            <w:proofErr w:type="spellEnd"/>
            <w:r>
              <w:rPr>
                <w:rStyle w:val="font01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normele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inclusiv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trebuie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furnizate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termenele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detaliile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straturilor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modalitățile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stabilire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specifice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responsabilitățile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legate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gestionarea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precum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mentenanța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diverselor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sisteme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tehnice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rețele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sprijină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(e)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normele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protecția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(f)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mecanismele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asigurare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controlului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calității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</w:t>
            </w:r>
          </w:p>
        </w:tc>
        <w:tc>
          <w:tcPr>
            <w:tcW w:w="3382" w:type="dxa"/>
            <w:shd w:val="clear" w:color="auto" w:fill="auto"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Domeniul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aplicare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Prezentul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regulament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aplică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schimbului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cooperării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scopurile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inclusiv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conștientizării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sprijinirii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planificării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desfășurării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control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Definiții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sensul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prezentului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regulament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aplică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următoarele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definiții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72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1. „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”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înseamnă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susceptibilă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aibă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un impact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asupra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externe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privește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migrația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criminalitatea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transfrontalieră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protecția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salvarea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vieții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migranților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inclusiv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incidentele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afecta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funcționarea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inclusiv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oricare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dintre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tehnice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000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o-RO"/>
              </w:rPr>
              <w:t>1.</w:t>
            </w:r>
            <w:r w:rsidR="001B13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o-RO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o-RO"/>
              </w:rPr>
              <w:t>.</w:t>
            </w:r>
            <w:r w:rsidR="001B13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o-RO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o-RO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o-RO"/>
              </w:rPr>
              <w:t>completează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o-RO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o-RO"/>
              </w:rPr>
              <w:t>subpuncte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o-RO"/>
              </w:rPr>
              <w:t>noi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o-RO"/>
              </w:rPr>
              <w:t xml:space="preserve">, cu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o-RO"/>
              </w:rPr>
              <w:t>următorul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o-RO"/>
              </w:rPr>
              <w:t>cuprins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o-RO"/>
              </w:rPr>
              <w:t>:</w:t>
            </w:r>
          </w:p>
          <w:p w:rsidR="00450458" w:rsidRDefault="00000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o-RO"/>
              </w:rPr>
              <w:t xml:space="preserve">12)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eveniment – o situație susceptibilă care are un impact asupra frontierei în ceea ce privește migrația, criminalitatea transfrontalieră sau protecția și salvarea vieții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  <w:t>migranților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  <w:t>, inclusiv incidentele la frontieră, sau care poate afecta funcționarea Sistemului Informațional Integrat al Poliției de Frontieră, inclusiv oricare dintre componentele sale tehnice.</w:t>
            </w:r>
          </w:p>
        </w:tc>
        <w:tc>
          <w:tcPr>
            <w:tcW w:w="1964" w:type="dxa"/>
            <w:shd w:val="clear" w:color="auto" w:fill="auto"/>
            <w:noWrap/>
          </w:tcPr>
          <w:p w:rsidR="00450458" w:rsidRDefault="00000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Parțial compatibil</w:t>
            </w:r>
          </w:p>
        </w:tc>
        <w:tc>
          <w:tcPr>
            <w:tcW w:w="2029" w:type="dxa"/>
            <w:shd w:val="clear" w:color="auto" w:fill="auto"/>
            <w:noWrap/>
          </w:tcPr>
          <w:p w:rsidR="00450458" w:rsidRDefault="00000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Reglementarea adaptată la specificul național</w:t>
            </w: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2. „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gestionarea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”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înseamnă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stabilirea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actualizarea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prelucrarea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tuturor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 care 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conține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2B33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1.3.5 „13) </w:t>
            </w:r>
            <w:r w:rsidRPr="002B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stabilirea și actualizarea tabloului situațional și prelucrarea tuturor informațiilor pe care le conține acesta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3. „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proprietar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”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înseamnă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entitatea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organismul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gestionează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corespunzătoare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00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4. „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prelucrare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”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înseamnă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acțiune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întreprinsă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metadatele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incluse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într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-un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indiferent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acțiuni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sunt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automatizate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nu,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inclusiv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colectarea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înregistrarea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organizarea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structurarea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stocarea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modificarea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consultarea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utilizarea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transmiterea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publicarea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combinarea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ștergerea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declasarea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distrugerea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date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metadate;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5. „indicator”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înseamnă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evaluare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valoare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referă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sarcini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descriu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externe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contribuie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conștientizarea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sprijină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capacitățile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reacție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4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6. „indicator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tehnic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”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înseamnă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evaluare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valoare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referă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sarcini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contribuie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conștientizarea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legate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funcționarea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sprijină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capacitățile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reacție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corespunzătoare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4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7. „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salvare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 mare”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înseamnă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responsabilă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promovarea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organizări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eficiente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serviciilor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căutare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salvare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efectuării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căutare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salvare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într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-o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regiune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căutare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salvare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cum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prevăzută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Convenția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internațională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căutarea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salvarea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 mare;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72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8. „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zbor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extern”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înseamnă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zbor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aeronave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fără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pilot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pasagerii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încărcătura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acesteia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către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dinspre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teritoriile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care nu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zbor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intern,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cum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definit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3 din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Regulamentul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(UE) 2016/399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Parlamentului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European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Consiliului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9. „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”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înseamnă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structura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instituită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comune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intervenții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rapide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externe;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72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10. „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listă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supraveghere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”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înseamnă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listă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entități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active,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comportamente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profiluri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suspecte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întocmită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baza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scopul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orienta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capacitățile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detectare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Poliției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gărzii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coastă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nivel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european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declanșa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capacități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reacție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corespunzătoare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11. „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tehnice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”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înseamnă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sistemele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rețelele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utilizate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scopul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inclusiv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infrastructura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organizarea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personalul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resursele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necesare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sprijinirea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acestora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12. „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facilitare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”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înseamnă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facilitarea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intrării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tranzitului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șederii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neautorizate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cum sunt definite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Directiva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2002/90/CE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Consiliului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5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13. „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refuz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intrării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”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înseamnă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refuz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intrării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emis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externe,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conformitate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14 din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Regulamentul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(UE) 2016/399,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resortisant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țări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terțe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nu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îndeplinește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toate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condițiile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intrare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prevăzute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6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alineatul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(1)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regulamentul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menționat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nu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aparține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categoriilor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enumerate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6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alineatul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(5)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regulamentul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menționat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căruia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s-a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eliberat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un formular standard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refuz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conformitate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anexa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V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Codul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Schengen;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14. „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trafic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”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înseamnă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infracțiune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menționată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Directiva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2011/36/UE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Parlamentului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European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Consiliului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>14);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72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15. „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”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înseamnă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autorizarea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aprobarea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oficiale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acordate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sistem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EUROSUR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rețele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EUROSUR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către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materie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relevantă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prelucra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mediul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după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validarea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oficială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planului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corectă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aplicare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720"/>
        </w:trPr>
        <w:tc>
          <w:tcPr>
            <w:tcW w:w="3414" w:type="dxa"/>
            <w:shd w:val="clear" w:color="auto" w:fill="auto"/>
          </w:tcPr>
          <w:p w:rsidR="00450458" w:rsidRDefault="00000000" w:rsidP="007E2F8B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16. „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statut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”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înseamnă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capacitatea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unități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sistem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a-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îndeplini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),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caracterizată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caracterizate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) ca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„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complet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)”, „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limitate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”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„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indisponibilă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indisponibile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)”;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000000" w:rsidP="007E2F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B1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B1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  <w:t>se completează cu subpuncte noi, cu următorul cuprins:</w:t>
            </w:r>
          </w:p>
          <w:p w:rsidR="00450458" w:rsidRDefault="00000000" w:rsidP="007E2F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  <w:t>statut operațional – capacitatea unui activ, a unei unități, a unui sistem sau a unui centru de a-și îndeplini funcția (funcțiile) operațională (operaționale), caracterizată (caracterizate) ca fiind „complet operațională (operaționale)”, „funcții operaționale limitate” sau „indisponibilă (indisponibile)</w:t>
            </w:r>
          </w:p>
        </w:tc>
        <w:tc>
          <w:tcPr>
            <w:tcW w:w="1964" w:type="dxa"/>
            <w:shd w:val="clear" w:color="auto" w:fill="auto"/>
            <w:noWrap/>
          </w:tcPr>
          <w:p w:rsidR="00450458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Compatibil</w:t>
            </w: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 w:rsidP="00C92919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17. „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substrat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”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înseamnă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strat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aflat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sub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nivelul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stratului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stratului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stratului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cadrul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000000" w:rsidP="00C929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B1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B1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  <w:t>se completează cu subpuncte noi, cu următorul cuprins:</w:t>
            </w:r>
          </w:p>
          <w:p w:rsidR="00450458" w:rsidRDefault="00000000" w:rsidP="00C929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  <w:t>14) substrat – un strat de informații aflat sub nivelul stratului de evenimente, al stratului operațional sau al stratului de analiză a riscurilor din cadrul unui tablou situațional.</w:t>
            </w:r>
          </w:p>
        </w:tc>
        <w:tc>
          <w:tcPr>
            <w:tcW w:w="1964" w:type="dxa"/>
            <w:shd w:val="clear" w:color="auto" w:fill="auto"/>
            <w:noWrap/>
          </w:tcPr>
          <w:p w:rsidR="00450458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Compatibil</w:t>
            </w: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01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lastRenderedPageBreak/>
              <w:t>CAPITOLUL I</w:t>
            </w:r>
            <w:r>
              <w:rPr>
                <w:rStyle w:val="font01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br/>
            </w:r>
            <w:r>
              <w:rPr>
                <w:rStyle w:val="font31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PRINCIPIILE RAPORTĂRII ÎN EUROSUR</w:t>
            </w:r>
            <w:r>
              <w:rPr>
                <w:rStyle w:val="font01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br/>
              <w:t>SECȚIUNEA 1</w:t>
            </w:r>
            <w:r>
              <w:rPr>
                <w:rStyle w:val="font01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br/>
            </w:r>
            <w:r>
              <w:rPr>
                <w:rStyle w:val="font31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Principii generale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Rapoartele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din EUROSUR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(1)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transmit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între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două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multe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entități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unități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organisme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scopul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contribui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stabilirea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diferitelor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de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contribui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sprijini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capacitățile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reacție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sunt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alcătuite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din: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date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conțin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metadate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conțin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suplimentare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contribuie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înțelegerea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date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într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-un context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larg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sprijină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prelucrarea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acestora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(3)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pot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lua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forma: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indicatori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cum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prevede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8;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cum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prevede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9;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activele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proprii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cum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prevede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10;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planurile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cum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prevede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11;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(e)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referitoare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mediu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cum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prevede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12;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(f)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cum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prevede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13;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(g)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cereri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cum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prevede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14;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(h)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liste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supraveghere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cum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prevede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15.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5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Rolurile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cadrul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raportării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4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(1)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Europeană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Poliția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Garda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Coastă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(„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”)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entitățile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gestionează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specifice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denumite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„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emitenții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”, transmit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EUROSUR.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Proprietarii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denumiți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„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proprietarii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”, sunt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destinatarii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sunt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responsabili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prelucrarea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acestuia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conformitate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normele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aplicabile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(3)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din EUROSUR pot fi elaborate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baza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surselor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menționate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25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alineatul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26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alineatul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(2)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Regulamentul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(UE) 2019/1896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baza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surselor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proprii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6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Conexiuni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4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(1)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emitentul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stabilește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legătură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între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elemente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pot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facilita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înțelegerea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generale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contextului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respectivul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elementele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relevante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Proprietarii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pot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adauge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modifice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conexiunile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aferente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gestionează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SECȚIUNEA 2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Raportarea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evenimentelor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7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Raportarea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evenimentelor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EUROSUR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5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(1)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asigură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autoritățile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responsabile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gestionarea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inclusiv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garda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coastă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măsura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îndeplinește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sarcini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control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stratul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relevante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toate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detectate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cursul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activităților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control la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conștientizării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precum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legate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deplasările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secundare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neautorizate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sunt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disponibile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Atunci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când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îndeplinesc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sarcini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control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după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fac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obiectul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obligației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menționate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alineatul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(1).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(3)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indicatori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atât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indicatori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cât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font01"/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Style w:val="font01"/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8</w:t>
            </w:r>
            <w:r>
              <w:rPr>
                <w:rStyle w:val="font01"/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Style w:val="font31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Indicatori</w:t>
            </w:r>
            <w:proofErr w:type="spellEnd"/>
            <w:r>
              <w:rPr>
                <w:rStyle w:val="font31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font31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Style w:val="font31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font31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evenimentele</w:t>
            </w:r>
            <w:proofErr w:type="spellEnd"/>
            <w:r>
              <w:rPr>
                <w:rStyle w:val="font31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de la </w:t>
            </w:r>
            <w:proofErr w:type="spellStart"/>
            <w:r>
              <w:rPr>
                <w:rStyle w:val="font31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frontierele</w:t>
            </w:r>
            <w:proofErr w:type="spellEnd"/>
            <w:r>
              <w:rPr>
                <w:rStyle w:val="font31"/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externe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72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(1)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atunci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când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relevant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cum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prevede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planurile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indicatorii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externe,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cum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prevede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anexa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1,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furnizează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acești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indicatori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termenele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stabilite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anexa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menționată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4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corespunzătoare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indicatorilor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pot fi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obținute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statisticile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aflate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dispoziția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autorităților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inclusiv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căutări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bazele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date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relevante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Uniunii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sistemele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scară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largă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Uniunii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conform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cadrului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juridic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aplicabil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respectivelor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baze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date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sisteme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4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(3)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Indicatorii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referitori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circulația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transfrontalieră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ilicită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mărfurilor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traficul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ilicit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asociat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obțin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cooperare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autoritățile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competente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ținând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seama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mod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corespunzător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obligații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restricții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materie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Comisiei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(4)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lângă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obligația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menționată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alineatul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(1),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emitentul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trimite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specific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avertiza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modificare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anormală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valorilor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observate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anumit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mod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anumită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tendință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fost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detectată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menționate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litera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(b),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fi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specifică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5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(5)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obține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oricare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dintre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indicatorii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menționați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alineatul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(1)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intermediul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propriilor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sale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active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supraveghere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cooperării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sale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instituțiile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organele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oficiile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Uniunii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organizații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cooperării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sale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țări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terțe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indicatorii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european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aceasta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acești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indicatori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nu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aplică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obligația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prevăzută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7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alineatul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(1).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9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Rapoarte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evenimente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punctuale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(1)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atunci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când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relevant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cum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prevede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planurile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câte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necesară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reacție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promptă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punctual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specific are un impact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ridicat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foarte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ridicat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asupra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externe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menționat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anexa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4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(3)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excepția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prevede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anexa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emitentul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trimite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primul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termen de cel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mult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24 de ore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după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competentă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relevantă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luat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cunoștință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producerea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probabilitatea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producerii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4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(4)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Emitentul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transmite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suplimentare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după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scopul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completării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actualizării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punctual.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suplimentare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inițial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punctual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(5)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elaborate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temeiul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prezentului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trebuie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conțină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descriere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răspunsului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autorităților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inclusiv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acțiune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întreprinsă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planificată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fi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întreprinsă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(6)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Fără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aduce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atingere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primului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răspuns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proprietarul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emitentul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pot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solicita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suplimentare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cum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prevede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14,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(a)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completa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aferente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nivelul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încredere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prevăzut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16;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actualiza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nivelul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impact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atribuit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actualiza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legată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(7)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baza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primite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proprietarul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închide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consideră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suspectat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nu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avut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loc;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impactul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estimat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nu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justifică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descrisă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cadrul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luat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sfârșit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închis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diversele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acestuia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stochează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rămân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accesibile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scopul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30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(8)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obține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suficiente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intermediul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propriilor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sale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active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supraveghere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cooperării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sale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instituțiile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organele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oficiile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Uniunii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organizații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cooperării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sale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țări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terțe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respectivele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european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aceasta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nu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aplică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obligația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prevăzută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alineatul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(1).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(9)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include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actualizează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după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european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SECȚIUNEA 3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Raportarea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operațională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10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Rapoartele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activele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proprii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4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(1)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după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relevant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asigură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lor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participă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control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activele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proprii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european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activele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proprii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trebuie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cuprindă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00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statutul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inclusiv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capacitatea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acestora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îndeplini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sarcinile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enumerate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21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alineatul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(3)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Regulamentul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(UE) 2019/1896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după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statutul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Orice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modificare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semnificativă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statutului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timp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real;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poziția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statutul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comandă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control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utilizate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control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zonele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responsabilitate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supravegherea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verificările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trecere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distribuția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unităților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control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statutul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acestora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11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Rapoartele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planurile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operaționale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(1)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asigură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participă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control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planurile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lor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72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relevant,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planurile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european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atunci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când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nivelurile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impact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secțiunile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sunt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ridicate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critice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comune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intervențiilor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rapide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(3)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planurile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trebuie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conțină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descriere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scopul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durata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anticipată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zona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geografică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desfășura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descriere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sarcinilor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responsabilităților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instrucțiunilor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speciale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echipele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participante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, care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include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modul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obiectivele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intervenției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(e)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componența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personalului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trimis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teren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inclusiv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personalului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trimiși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teren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profilurile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acestora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(f)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planurile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comandă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control,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inclusiv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statutul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comandă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control,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îndeplinită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sistemele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instrumentele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comunicare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corespunzătoare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(g)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echipamentul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tehnic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urmează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fie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utilizat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teren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inclusiv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cerințele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specifice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cum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fi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condițiile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utilizare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echipajul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necesar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transportul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aspecte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logistice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(h)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programul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patrulelor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supraveghere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inclusiv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zona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patrulare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active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utilizate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proceduri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detaliate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12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Rapoartele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informațiile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referitoare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mediu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(1)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Autoritățile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serviciile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programele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relevante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nivel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nivelul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UE pot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referitoare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mediu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stratul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relevante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referitoare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mediu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pot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conține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imagini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timp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real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furnizate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camere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video,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sisteme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radar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dispozitive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detecție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observații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meteorologice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prognoze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meteorologice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servicii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oceanografice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servicii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elaborare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modele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direcția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plutire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produse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geospațiale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(e)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imagini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care pot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contribui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înțelegerea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externe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monitorizarea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anumite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SECȚIUNEA 4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Raportarea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analizei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13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Rapoartele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analiza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(1)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după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asigură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furnizarea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vederea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actualizării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straturilor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72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trebuie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includă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multe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dintre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următoarele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elemente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: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produse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analitice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cum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fi note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analitice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profiluri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țărilor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terțe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precum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specifice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observare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Pământului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utilizează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sisteme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geospațiale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(3)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utilizează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4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a)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facilita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înțelegerea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incidentelor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externe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relației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acestora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deplasările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secundare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neautorizate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precum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facilita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tendințelor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formularea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previziuni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facilita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planificarea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specifică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desfășurarea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control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strategică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14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  <w:t xml:space="preserve">Cerere de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00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(1)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necesar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obțină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suplimentare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specific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actualizeze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entitățile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gestionează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specifice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pot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trimite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cerere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multor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surse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menționate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25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alineatul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26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alineatul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(2)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Regulamentul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(UE) 2019/1896.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(2) 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cerere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înaintată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temeiul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alineatului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(1)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face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obiectul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nivel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clasificare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restricții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specifice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politica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materie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date.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(3)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răspuns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cerere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cererea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inițială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(4)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Principiul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consimțământului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emitenților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aplică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atât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cererilor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cât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elaborate ca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răspuns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15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Liste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supraveghere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4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(1)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întocmește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actualizează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liste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supraveghere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consolida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capacitățile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detectare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Poliției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gărzii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coastă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nivel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european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declanșa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capacități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reacție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corespunzătoare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Listele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supraveghere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sunt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alcătuite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din: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entități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active,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comportamente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profiluri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care,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baza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sunt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suspectate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legătură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imigrația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ilegală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criminalitatea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transfrontalieră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pot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pericol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siguranța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vieții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migranților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reacție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sugerată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detectării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inclusiv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restricții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politica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materie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date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aplicabilă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(3)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Listele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supraveghere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pot include: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nave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suspectate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aeronave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suspectate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aeroporturi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origine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suspectate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locuri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cunoscute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suspectate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fi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locuri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origine 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zborurilor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externe;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porturi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origine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suspectate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locuri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ancoraj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locuri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cunoscute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suspectate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fi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locuri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origine ale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traficului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maritim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(e)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operatori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suspectați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SECȚIUNEA 5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Dispoziții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comune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„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stratului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evenimente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”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„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stratului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analiză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16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Nivelurile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încredere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(1)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Emitentul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evaluează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nivelul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încredere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cadrul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metadatelor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fac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parte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Nivelul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încredere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evaluează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baza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următoarelor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criterii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credibilitatea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fiabilitatea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sursei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statutul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validare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(3)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Proprietarul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ține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seama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nivelul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încredere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aferent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actualiza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consecință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17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Atribuirea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nivelurilor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impact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(1)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Emitentul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evaluează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nivelul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impact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cadrul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metadatelor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fac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parte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Nivelul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impact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reflectă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impactul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global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asupra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detectării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prevenirii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combaterii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imigrației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ilegale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detectării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prevenirii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combaterii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criminalității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transfrontaliere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protejării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salvării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vieții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migranților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(3)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Emitenții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menționat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alineatul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(1)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atribuie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nivel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impact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fiecărui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fiecărui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(4)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referă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deja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emitentul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respectivul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(5)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Proprietarii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atribuie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nivel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impact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modifică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baza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primite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propriei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lor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SECȚIUNEA 6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Raportarea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contextul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activităților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specifice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de control la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18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Raportarea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deplasările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secundare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neautorizate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sunt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disponibile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afișează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referitoare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deplasarea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secundară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neautorizată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teritoriul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lor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într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-un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substrat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specific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substrat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specific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partajat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legate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deplasările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secundare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neautorizate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cum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prevede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9,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conformitate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procedurile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lor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indicatorii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specifici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referitori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deplasările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secundare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neautorizate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19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Raportarea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supravegherea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frontierelor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maritime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(1)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asigură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participă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supravegherea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maritime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navele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suspectate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transportă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eludează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intenționează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eludeze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verificările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trecere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eludare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legătură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migrația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ilegală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suspectate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sunt implicate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activități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contrabandă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 mare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activități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criminalității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transfrontaliere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viața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migranților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fi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pericol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4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înscrise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listele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supraveghere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fac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obiectul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cereri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referitoare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litera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(d),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ține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seama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restricțiile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politica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materie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date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prevăzute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14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alineatul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15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alineatul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litera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(b).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4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participantă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transmite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comune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intervenții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rapide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corespunzător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conformitate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planul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(3)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după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actualizează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vederea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actualizării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european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20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Evenimente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legate de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operațiunile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căutare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salvare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pe mare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(1)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Atunci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când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efectuează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supravegherea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maritime,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autoritățile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acordă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asistență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oricărei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nave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aflate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pericol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 mare,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conformitate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obligațiile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revin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temeiul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dreptului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maritim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considerare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toate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observațiile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relevante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legate de 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potențial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incident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căutare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salvare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le transmit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responsabil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salvare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 mare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lor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vederea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actualizării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respectivului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relevante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4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autoritățile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stabilesc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mod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clar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incidentul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căutare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salvare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nu 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legătură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protecția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salvarea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vieții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migranților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criminalitatea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transfrontalieră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pot decide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nu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informeze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72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(3)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Atunci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când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efectuează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supraveghere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maritime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conformitate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Regulamentul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(UE)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nr. 656/2014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Parlamentului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European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Consiliului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15),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supusă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aceleiași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obligații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menționată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alineatul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(1).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(4)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timpul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căutare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salvare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competent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actualizează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vederea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actualizării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european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(5)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actualizează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periodic: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sprijini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planificarea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desfășurarea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următoarei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faze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după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încheierea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căutare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salvare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evalua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nivelurile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impact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atribuite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incidentului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respectiv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secțiunii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maritimă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ansamblul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actualiza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indicatorii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relevanți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menționați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8.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(6)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competent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finalizarea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căutare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salvare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cel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târziu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termen de 24 de ore de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încheierea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21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Raportarea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supravegherea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frontierelor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aeriene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(1)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asigură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organismele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participă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supravegherea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aeriene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privire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zborurile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externe: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suspectate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transportă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eludează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intenționează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eludeze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verificările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trecere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incidentul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legătură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migrația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ilegală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>(b)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suspectate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sunt implicate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activități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contrabandă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calea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aerului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infracțiuni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transfrontaliere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viața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migranților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fi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pericol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4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(d)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înscrise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listele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supraveghere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fac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obiectul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cereri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referitoare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litera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(d),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ține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seama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restricțiile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politica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materie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date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prevăzute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14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alineatul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15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alineatul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litera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(b).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72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organismele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participă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supravegherea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aeriene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transmit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lor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comune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intervenții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rapide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corespunzător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conformitate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planul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(3)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după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actualizează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vederea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actualizării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european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4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SECȚIUNEA 7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Raportarea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controlului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calității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EUROSUR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22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Raportarea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calității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datelor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EUROSUR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monitoriza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calitatea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din EUROSUR,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elaborează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actualizează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următorii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indicatori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frecvența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primite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secțiune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trecere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actualitatea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exhaustivitatea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coerența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23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Raportarea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calității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serviciilor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EUROSUR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5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(1)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cadrul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monitorizării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funcționării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tehnice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EUROSUR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conformitate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23 din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Regulamentul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(UE) 2019/1896,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strânsă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cooperare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autoritățile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competente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indicatori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tehnici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cerințe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scopul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monitoriza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statutul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calitatea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serviciilor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diverselor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sisteme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rețele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conectate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tehnice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EUROSUR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care fac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parte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cum sunt definite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27.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Indicatorii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utilizează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monitoriza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timp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real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statutul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diverselor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tehnice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EUROSUR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sprijini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identificarea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răspunsul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incidentele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defecțiunile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identificate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funcționarea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asigura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(3)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incident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afectează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tehnice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EUROSUR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CAPITOLUL II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  <w:t>TABLOURILE SITUAȚIONALE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24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Structura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tablourilor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situaționale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00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(1)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Straturile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european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conțin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substrat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deplasările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secundare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neautorizate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sunt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disponibile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straturile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specific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conțin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asemenea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substraturi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deplasările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secundare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neautorizate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scopul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înțelegerii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tendințelor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volumului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rutelor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migrației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Stratul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european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conține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substraturi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funcționarea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tehnică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EUROSUR.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substraturi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descriu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statutul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principalele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elemente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tehnice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contribuie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funcționarea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statutul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acestora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calitatea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calitatea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serviciilor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din EUROSUR;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incidentele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afectează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funcționarea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tehnică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EUROSUR;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(e)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incidentele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datelor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(3)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cuprinde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substraturi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specifice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facilita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vizualizarea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către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utilizatori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(4)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stabilește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într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-un document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specifică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stratul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substraturile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politica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aplicabilă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materie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date.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25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Gestionarea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tablourilor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situaționale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Proprietarul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următoarele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obligații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prelucrează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primite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stabilește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actualizează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stratul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generează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actualizează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stratul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atribuie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nivelurile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impact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nivelurile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încredere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corespunzătoare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stabilește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actualizează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stratul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baza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activele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proprii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planurile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stabilește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actualizează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stratul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baza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atribuie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nivelurile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impact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nivelurile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încredere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corespunzătoare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(e)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stabilește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actualizează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conexiunile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dintre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diferitele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elemente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ținând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seama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conexiunile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din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(f)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gestionează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accesul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utilizatorilor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contribuie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(g)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transmite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relevante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necesare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proprietarilor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conformitate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capitolul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I;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(h)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arhivează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șterge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relevante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conformitate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politica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aplicabilă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materie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date.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26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  <w:t xml:space="preserve">Norme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stabilirea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partajarea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unui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tablou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specific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(1)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Atunci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când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stabilesc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specific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conformitate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27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Regulamentul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(UE)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2019/1896,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asigură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alinierea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principiile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prevăzute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capitolul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I;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cerințele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structura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gestionarea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prevăzute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articolele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24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25;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dispozițiile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generale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prevăzute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capitolul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III.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Normele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stabilirea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partajarea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specific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cuprind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conținutul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domeniul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aplicare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specific,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inclusiv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scopul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specific;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(ii)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straturile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substraturile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(iii)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trebuie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specific,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inclusiv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guvernanța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specific,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inclusiv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proprietarul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(ii)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organismele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oficiile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pot fi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emitenții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(iii)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normele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(iv)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dispozițiile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referitoare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inclusiv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accesul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utilizatorilor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normele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schimbul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ceilalți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utilizatori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ai EUROSUR,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inclusiv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mecanismele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schimb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europene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mecanismele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asigurare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consimțământului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emitentului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(ii)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normele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furnizarea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serviciilor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fuziune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menționate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28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Regulamentul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(UE)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2019/1896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procedurile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(iii)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aspecte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legate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funcționarea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tehnică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EUROSUR,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inclusiv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interconectarea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externe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sprijină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stabilirea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specific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europene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relevante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EUROSUR.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72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CAPITOLUL III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  <w:t>DISPOZIȚII GENERALE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  <w:t>SECȚIUNEA 1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Entitățile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responsabile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aspectele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tehnice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27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Componentele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tehnice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ale EUROSUR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(1)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tehnice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EUROSUR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europeană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alcătuită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sistemele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rețelele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utilizate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stabilirea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conștientizarea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sprijini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planificarea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desfășurarea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control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inclusiv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infrastructura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organizarea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personalul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resursele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necesare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sprijinirea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acestora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Interconexiunile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dintre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cadrul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stat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precum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interconexiunile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dintre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fac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parte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00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(3) Componenta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europeană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completează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Aceasta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include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interconectarea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Componenta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europeană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cuprinde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rețeaua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comunicare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sistemele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rețelele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utilizate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stabilirea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conștientizarea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sprijinirea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planificării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desfășurării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control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28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Responsabilitățile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tehnice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ale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agenției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responsabilă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gestionarea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europene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, care include: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definirea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standardelor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tehnice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interconectarea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rețelelor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sistemelor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aplicațiilor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echipamentelor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externe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europene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procesul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certificare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rețelelor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sistemelor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aplicațiilor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echipamentelor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vederea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conectării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acestora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EUROSUR,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strânsă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cooperare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autoritățile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responsabile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4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gestionarea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serviciilor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sistemelor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rețelelor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utilizate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stabilirea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conștientizarea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precum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sprijinirea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planificării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desfășurării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control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aspectelor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calitatea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serviciilor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gestionarea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serviciilor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sistemelor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rețelelor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menționate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litera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(c),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cum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prevede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23;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(e)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europene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29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Responsabilitățile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tehnice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ale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statelor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membre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(1)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stat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responsabil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72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gestionarea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inclusiv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gestionarea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serviciilor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asigurarea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conectării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sistemelor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rețelelor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utilizate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stabilirea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conștientizarea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sprijinirea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planificării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desfășurării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control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aspectelor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calitatea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serviciilor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gestionarea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serviciilor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sistemelor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rețelelor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menționate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litera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(a),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cum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prevede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23;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conformitatea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standardele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tehnice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stabilite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sprijină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planificarea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implementarea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contribuie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monitorizarea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regulată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calității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serviciilor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calității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asigură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sistemele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rețelele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europene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30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Componentele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externe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(1) 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externă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EUROSUR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alcătuită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sistemele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rețelele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inclusiv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infrastructura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organizarea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personalul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resursele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necesare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sprijinirea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acestora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care nu fac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parte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din EUROSUR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fac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schimb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date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EUROSUR;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sprijină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stabilirea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specific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Interconectarea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externe la EUROSUR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responsabilitatea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externe.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fapt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specificat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normele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stabilire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specific relevant.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SECȚIUNEA 2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Normele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securitatea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datelor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protecția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datelor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aplicabile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EUROSUR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31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Principiile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generale ale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securității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datelor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EUROSUR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5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(1)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cuprinde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gestionarea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activitățile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tehnice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necesare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asigura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nivel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corespunzător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protecție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gestionarea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face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față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amenințărilor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aflate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continuă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evoluție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permite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diverselor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organisme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participă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EUROSUR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îndeplinească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misiunea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Securitatea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 include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asigurarea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protecției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fizică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personală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industrială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cuprinde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gestionarea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inclusiv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controale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planuri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precum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activitățile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monitorizare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evaluare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mentenanță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îmbunătățire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conștientizare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formare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4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continuitatea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activității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recuperarea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dezastru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inclusiv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evaluarea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impactului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controale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planuri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recuperare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precum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activitățile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monitorizare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evaluare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mentenanță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îmbunătățire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conștientizare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formare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răspunsul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incidente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răspunsul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bazat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cooperarea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dintre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incidentelor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(e)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controlul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accesului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utilizatorilor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(f)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aspectele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legate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planificării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planificării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sistemelor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(g)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aspectele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interconexiunilor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(h)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gestionarea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clasificate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scopul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32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Guvernanța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securității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datelor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EUROSUR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(1)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asigură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globală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EUROSUR,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ținând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seama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mod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corespunzător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necesitatea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supravegherii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integrării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cerințelor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EUROSUR.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responsabilă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europene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(3)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stat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responsabil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4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(4)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asigură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alinierea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controalelor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proceselor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planurilor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încât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EUROSUR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fie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asigurată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nivel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orizontal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mod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eficace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baza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proces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global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gestionare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(5)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Responsabilitățile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externe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stabilesc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acordurile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înțelegerile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planurile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stabilesc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specific,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cum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prevede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26.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(6)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adoptă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standarde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stabilesc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cerințele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cerințele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asigurare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securității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controlul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accesului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tehnologiile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asigură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gestionarea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tehnologii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72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(7)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stat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asigură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măsurile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necesare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respectarea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standardelor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menționate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alineatul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(6),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elaborează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justificare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corespunzătoare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îndeplinirea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cerințelor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controlul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sunt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îndeplinite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cerințe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legate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sistemelor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ținând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seama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deplin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avizele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experților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(8)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stat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incident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afectează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EUROSUR,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cadrul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calitatea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calitatea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serviciilor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(9) Ori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câte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Uniunii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fi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afectată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trebuie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informeze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imediat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relevante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directorul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executiv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decide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măsură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adecvată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remedia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strânsă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cauză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inclusiv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deconectarea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anumitor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sisteme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rețele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europeană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EUROSUR.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33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Aplicarea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normelor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EUROSUR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00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(1)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Atunci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când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gestionează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stat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asigură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există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controale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procese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planuri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asigură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un grad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protecție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cel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puțin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echivalent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cel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garantat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normele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Comisiei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prevăzute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Decizia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(UE, Euratom) 2015/444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Decizia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(UE, Euratom) 2015/443 a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Comisiei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(16).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imediat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Comisia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adoptarea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normelor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relevante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cum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prevede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alineatul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(1).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72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(3)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fizice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reședința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țări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terțe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entitățile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juridice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stabilite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țări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terțe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pot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gestioneze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date ale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EUROSUR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numai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sunt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supuse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țări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norme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asigure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un grad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protecție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cel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puțin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echivalent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cel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garantat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normele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echivalente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Comisiei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(4)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Echivalența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normelor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aplicate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într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-o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țară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terță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fi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recunoscută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printr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-un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acord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această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țară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(5) Ca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parte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implementării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europene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EUROSUR,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sprijină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schimbul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corespunzător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rapoarteEUROSUR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interconectarea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atât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nivel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neclasificat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cât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nivel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clasificat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34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Principiile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acreditării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EUROSUR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Activitățile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desfășoară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conformitate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următoarele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principii: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activitățile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trebuie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întreprinse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deciziile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trebuie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luate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într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-un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context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responsabilitate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colectivă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Uniunii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depun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eforturi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ajunge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decizii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consens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implica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toate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părțile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relevante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interesate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aspecte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sarcinile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îndeplinesc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respectarea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normelor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standardelor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relevante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aplicabile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autorităților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Comisiei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62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proces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monitorizare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permanentă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asigură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faptul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sunt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cunoscute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sunt definite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măsuri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reducerea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nivel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acceptabil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conformitate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principiile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standardele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minime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prevăzute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normele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aplicabile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faptul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măsuri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sunt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aplicate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conformitate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conceptul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apărare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profunzime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Eficacitatea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măsuri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evaluată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permanență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4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(e)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deciziile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bazează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conformitate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procesul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definit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strategia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decizii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locale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luate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autoritățile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materie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4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(f)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activitățile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ordin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tehnic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încredințează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specialiști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sunt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calificați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mod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corespunzător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domeniul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sisteme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complexe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care au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autorizații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nivel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adecvat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desfășoară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activitatea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obiectivitate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72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(g)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deciziile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independent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entitățile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responsabile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implementarea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EUROSUR.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materie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un organism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autonom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cadrul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decizii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mod independent;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(h)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activitățile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efectuează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armonizând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cerința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independență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necesitatea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coordonări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adecvate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între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autoritățile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responsabile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aplicare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dispozițiilor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materie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35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Consiliul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al EUROSUR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(1)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cadrul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instituie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Consiliul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EUROSUR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denumit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continuare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„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Consiliul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”).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calitate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Consiliul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responsabil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privește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EUROSUR, cu: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definirea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aprobarea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strategii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inclusiv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europeană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Consiliului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lor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încât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asigure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faptul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Consiliu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lua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decizii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relevante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materie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interconectare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luarea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deciziilor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europeană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ținând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seama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avizele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entităților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competente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materie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globale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aprobarea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documentației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relevante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referitoare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(e)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consilierea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domeniul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competență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privește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instituirea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procedurilor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(„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SecOP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”)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prezentarea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declarații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conțină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poziția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finală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(f)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examinarea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aprobarea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evaluării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cooperare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Comisia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defini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măsuri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reducere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(g)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verificarea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punerii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aplicare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măsurilor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legătură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europene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efectuarea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sponsorizarea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evaluări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inspecții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reexaminări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(h)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confirmarea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selecției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produselor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măsurilor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aprobate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precum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produselor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criptografice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utilizate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asigurarea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securității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europene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EUROSUR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interconectare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aprobarea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după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participarea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împreună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entitatea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relevantă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competentă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materie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aprobarea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comună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interconectării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europene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(ii)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interconectării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externe la EUROSUR;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(j)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convenirea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împreună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cauză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procedurilor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referitoare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controlul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accesului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4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(k)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baza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propria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evaluare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consilierea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opțiunile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reziduale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anumită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decizie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(l)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desfășurarea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consultărilor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sunt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necesare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îndeplinirea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sarcinilor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revin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(3)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strategia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menționată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alineatul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litera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(a),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Consiliul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stabilește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următoarele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domeniul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aplicare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activităților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necesare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efectuarea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actualizarea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europene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EUROSUR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eventualei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interconectări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proces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europeană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un grad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detaliere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proporțional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nivelul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necesar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asigurare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precizarea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clară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condițiilor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aprobare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părților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interesate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relevante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implicate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procesul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un calendar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respecte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implementarea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standardelor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special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privește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instalarea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infrastructurilor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furnizarea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serviciilor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evoluția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(e)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principiile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urmează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fie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efectuată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entitățile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competente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materie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(f)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dispozițiile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referitoare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externe ale EUROSUR.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(4)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Consiliul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îndeplinește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sarcinile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mod independent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atunci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când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gestionează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dosare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efectuează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audituri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sistemului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elaborează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decizii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organizează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reuniunile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36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Funcționarea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Consiliului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(1)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Consiliul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format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câte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reprezentant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stat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doi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reprezentanți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ai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Comisiei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ofițer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îndeplinită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secretar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desemnat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Consiliului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(3)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Consiliul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stabilește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regulamentul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procedură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numește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președintele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(4)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nu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ajunge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consens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Consiliul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recurge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votul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majoritar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(5)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Consiliul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înființa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subgrupuri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investiga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aspecte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tehnice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(6)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Consiliul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Consiliul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administrație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directorul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executiv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Comisia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toate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deciziile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sale.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37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statelor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membre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agenției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ceea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ce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privește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Consiliul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directorul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executiv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a) transmit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Consiliului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toate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 care 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consideră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relevante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scopul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30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permit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autorizate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mod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corespunzător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numite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Consiliul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aibă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acces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clasificate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zone/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legate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sistemelor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sub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jurisdicția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lor,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conformitate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putere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lege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normele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administrative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fără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nicio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discriminare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motiv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inclusiv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scopul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verificărilor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testelor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cum au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fost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hotărâte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Consiliul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răspund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lor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cadrul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scop,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Consiliului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38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Accesul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utilizatorilor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(1)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Fără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aduce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atingere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35,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entitatea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răspunde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EUROSUR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gestionează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accesul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utilizatorilor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sistemele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sale,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rețelele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aplicația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4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personalului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acordă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acces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direct la 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sistem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utilizat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scopul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aplicație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utilizată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scopul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drepturile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acces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împreună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relevant.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4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(3)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personalului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acordă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acces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direct la 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sistem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utilizat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scopul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EUROSUR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aplicație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utilizată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scopul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responsabil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drepturile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acces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împreună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directorul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executiv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39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Securitatea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datelor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componentelor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externe ale EUROSUR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(1)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externe pot fi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conectate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EUROSUR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numai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acestora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echivalentă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Normele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stabilirea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partajarea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tablou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specific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prevăzute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26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dispoziții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specificând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pot face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obiectul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schimburilor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nivelul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clasificare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(3) Orice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interconectare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externe la EUROSUR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trebuie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aprobată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prealabil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Consiliul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acreditare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40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Normele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protecția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datelor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aplicabile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EUROSUR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4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(1)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toate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prelucrate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EUROSUR pot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conține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mod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excepțional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referitoare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fizice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identificabile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mod indirect,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date nu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trebuie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prelucrate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cadrul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identifica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fizice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4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(2)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prelucrarea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necesită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mod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excepțional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prelucrarea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date cu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caracter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personal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decât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numerele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identificare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navelor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aeronavelor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date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caracter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personal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trebuie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șterse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îndată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scopul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au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fost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colectate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fost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atins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41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Intrarea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vigoare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Prezentul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regulament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vigoare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douăzecea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zi de la data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publicării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Jurnalul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Oficial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Uniunii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Europene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Prezentul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regulament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obligatoriu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toate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elementele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aplică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direct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conformitate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tratatele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Adoptat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Bruxelles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9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aprilie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2021.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ANEXA 1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  <w:t xml:space="preserve">Lista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indicatorilor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1. INDICATORUL PRIVIND REFUZURILE INTRĂRII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cincisprezecea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zi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fiecărei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refuzuri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intrării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ultima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lună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trecere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indicator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defalcat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următorii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subindicatori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cetățenia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resortisanților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țărilor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terțe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cauză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țara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origine;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ultima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țară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îmbarcare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porturi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aeroporturi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fără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lua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considerare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tranzitul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grupa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vârstă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(e)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sexul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(f)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defalcarea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motivelor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refuz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conformitate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partea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B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anexa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V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Regulamentul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(UE)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2016/399;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(g)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motivele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refuzării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revocării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anulării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autorizațiilor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călătorie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ETIAS;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(h)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decizii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refuz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intrării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emise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aceleași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au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aceeași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identitate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decizii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refuz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intrării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emise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aceleași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utilizează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identități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multiple.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2. INDICATORUL PRIVIND ȘEDERILE ILEGALE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00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cincisprezecea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zi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fiecărei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resortisanți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țărilor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terțe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decursul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ultimei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au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fost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detectați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autoritățile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nu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îndeplinesc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nu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îndeplinesc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condițiile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ședere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reședință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respectivul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stat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indiferent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fost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detectați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interiorul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țării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timp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încercau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părăsească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teritoriul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indicator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defalcat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următorii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subindicatori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cetățenia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resortisanților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țărilor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terțe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cauză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grupa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vârstă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sexul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minori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neînsoțiți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(e)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motivul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exemplu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depășesc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perioada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ședere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prevăzută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viză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permis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ședere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expirat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etc.);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(f)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control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efectuat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atunci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când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fost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detectată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cauză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(control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control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efectuat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poliție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interiorul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țării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prevenire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criminalității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control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trafic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(g)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principalele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zone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detectare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Atunci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când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sunt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disponibile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indicatorii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corespunzători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referitori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deplasarea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secundară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neautorizată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3. INDICATORUL PRIVIND FLUXURILE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1.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cincisprezecea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zi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fiecărei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pasageri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din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ultima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lună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trecere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Atunci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când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sunt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disponibile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indicatorul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defalcat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următorii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subindicatori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cetățenie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destinație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;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intrarea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ieșirea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spațiul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Schengen.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2.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cincisprezecea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zi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fiecărei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trecere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terestre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vehicule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trecere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maritime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porturi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),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nave;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trecere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aeriene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aeroporturi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),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zboruri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externe.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Atunci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când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sunt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disponibile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indicatorii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sunt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defalcați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următorii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subindicatori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: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intrarea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ieșirea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spațiul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Schengen.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4. INDICATORII PRIVIND CONTRABANDA CU MĂRFURI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4.1.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Droguri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Capturile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droguri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împart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următoarele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categorii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1.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canabis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2.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heroină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3.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opioide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4.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cocaină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5.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stimulenți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tip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amfetamină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inclusiv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amfetamină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metamfetamină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6. MDMA (ecstasy);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7.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substanțe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psihoactive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noi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8.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droguri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ilicite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cincisprezecea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zi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fiecărei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secțiune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luna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precedentă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cantitatea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totală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confiscată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categorie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capturi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categorie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defalcarea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origine,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stabilită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defalcarea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proveniență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stabilită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(e)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defalcarea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destinație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intrarea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ieșirea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spațiul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Schengen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necunoscută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categorie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(f)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defalcarea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activitate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control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supravegherea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verificare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trecere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categorie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(g)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detectat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drogurile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(h)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total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infracțiunilor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reținuți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valoarea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substanțelor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confiscate.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4.2.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Traficul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vehicule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Traficul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vehicule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împarte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următoarele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categorii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1.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autoturisme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furate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2.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furgonete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furate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3.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camioane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furate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4.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utilaje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construcții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utilaje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agricole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furate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5.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vehicule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furate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6.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auto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furate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7.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documente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falsificate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înmatriculare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vehiculelor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cincisprezecea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zi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fiecărei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secțiune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capturi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categorie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cantitatea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totală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confiscată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categorie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defalcarea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origine,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stabilită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defalcarea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destinație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intrarea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ieșirea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spațiul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Schengen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necunoscută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categorie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(e)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defalcarea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activitate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control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supravegherea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verificare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trecere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categorie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(f)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total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infracțiunilor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reținuți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4.3. Arme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materiale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explozibile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Indicatorii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armele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materialele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explozibile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împart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următoarele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categorii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1. arme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foc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(1)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Armele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foc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pot fi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împărțite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următoarele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subcategorii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după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armă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mână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: revolver; 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armă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mână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 pistol;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armă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foc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lungă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: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pușcă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armă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foc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lungă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: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carabină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(e)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armă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foc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lungă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: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mitralieră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/100 %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automată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(f)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armă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foc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lungă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: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(g)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armă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foc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antitanc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lansator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rachete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, mortier etc.);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2.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esențiale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armelor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foc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3. arme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neletale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: arme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alarmă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arme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semnalizare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(care nu pot fi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transformate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arme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foc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4. arme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neletale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: arme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aer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comprimat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5. arme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neletale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: arme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foc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dezactivate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6.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materiale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explozibile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7.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muniție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8.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arme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cincisprezecea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zi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fiecărei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secțiune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capturi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categorie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cantitatea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totală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confiscată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categorie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defalcarea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origine,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stabilită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defalcarea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destinație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intrarea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ieșirea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spațiul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Schengen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necunoscută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categorie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(e)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defalcarea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activitate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control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supravegherea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verificare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trecere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categorie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(f)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defalcarea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modul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transport: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1. container;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2. camion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vehicul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utilitar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3.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autoturism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4.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autobuz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autocar;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5.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6.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aviație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comercială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7.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aviație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generală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8. transport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mărfuri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colete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poștale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9.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deplasare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pietonală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(g)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autoritățile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au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detectat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armele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materialele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explozibile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(h)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total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infracțiunilor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reținuți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4.4. Alte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mărfuri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Indicatorii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mărfuri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pot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împărți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următoarele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categorii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1.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tutun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2.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țigarete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3.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alcool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4.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produse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energetice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combustibili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5.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trafic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ilicit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bunuri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culturale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6.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mărfuri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cincisprezecea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zi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fiecărei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secțiune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capturi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categorie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cantitatea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totală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confiscată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categorie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defalcarea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origine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categorie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sunt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stabilite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defalcarea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proveniență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stabilită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(e)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defalcarea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destinație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intrarea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ieșirea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spațiul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Schengen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necunoscută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categorie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(f)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defalcarea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activitate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control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categorie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verificare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trecere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supravegherea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(g)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detectat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mărfurile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(h)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total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infracțiunilor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reținuți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valoarea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mărfurilor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confiscate.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5. INDICATORUL PRIVIND ALTE INFRACȚIUNI TRANSFRONTALIERE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Celelalte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infracțiuni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transfrontaliere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împart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următoarele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categorii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1.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răpirea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minor;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2.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atacuri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amenințări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adresa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personalului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poliției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gărzii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coastă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nivel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european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autorităților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personalului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3.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sechestrarea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ilegală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mijloacelor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transport;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4.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cincisprezecea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zi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fiecărei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secțiune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categorie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defalcarea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activitate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control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verificare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trecere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supravegherea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categorie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autoritățile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au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detectat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(d)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total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infracțiunilor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reținuți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6. ALȚI INDICATORI DERIVAȚI DIN RAPORTAREA EVENIMENTELOR PUNCTUALE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cincisprezecea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zi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fiecărei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fiecare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secțiune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stabilește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indicatori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lunari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Acești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indicatori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acoperă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1.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trecerile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neautorizate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baza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menționate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anexa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2.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căutare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salvare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baza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menționate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8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anexa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3.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facilitarea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traficului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traficul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baza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menționate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anexa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4.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fraudarea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documentelor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baza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menționate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4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anexa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baza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disponibile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indicatori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sunt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considerați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relevanți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conștientizarea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ANEXA 2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Cazuri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raportare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unor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evenimente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punctuale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informațiile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conexe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EUROSUR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diferitelor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enumerate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jos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contribuie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descrierea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situației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externe ale UE.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4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Primul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trebuie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conțină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colectate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declanșa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prima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reacție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baza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prim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diversele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părți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participante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EUROSUR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depun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eforturi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completa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cum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prevede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prezenta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anexă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1. RAPORTAREA UNUI EVENIMENT PUNCTUAL DE TRECERE NEAUTORIZATĂ A FRONTIEREI SAU A SUSPICIUNII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>DE TENTATIVĂ DE TRECERE NEAUTORIZATĂ A FRONTIEREI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00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legat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trecerea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neautorizată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trecerea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neautorizată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fi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facilitarea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traficului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traficul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cum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prevede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2, precum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căutare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salvare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conformitate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8.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Primul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trimite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termen de cel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mult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24 de ore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după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detectarea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Emitenții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proprietarii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depun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eforturi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următoarele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măsura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sunt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disponibile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1.1.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tentativă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trecere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ilegală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trecere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ilegală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avut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loc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efectiv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trecere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deschisă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clandestină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1.2.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Circumstanțele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evenimentului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poziția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destinația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intrare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ieșire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spațiul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Schengen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destinație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necunoscută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ultima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țară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îmbarcare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aplicabilă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numai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intrarea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porturi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aeroporturi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aflate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secțiunile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maritimă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respectiv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aeriană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țara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destinație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(e)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scopul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trecerii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ilegale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(f)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circumstanțele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detectării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1.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timpul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verificări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trecere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2.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timpul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supraveghere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3.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deplasare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secundară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zonă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prefrontalieră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(g) tentative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sustragere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controlul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(h)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mijloacele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transport: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1.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zbor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zborul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cum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prevede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7);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2.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navă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nava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cum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prevede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1,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respectivul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căutare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salvare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cum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prevede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6);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3. container;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4. camion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vehicul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utilitar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5.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autoturism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6.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autobuz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autocar;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7.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8.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deplasare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pietonală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1.3.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implicate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total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implicate;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minori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au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nevoie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protecție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internațională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(d)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defalcarea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cetățenie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presupusă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confirmată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(e)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grupa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vârstă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4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2. RAPORTAREA UNUI EVENIMENT PUNCTUAL DE FACILITARE A TRAFICULUI DE PERSOANE SAU DE TRAFIC DE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>PERSOANE SAU A SUSPICIUNII DE TENTATIVĂ DE FACILITARE A TRAFICULUI DE PERSOANE SAU DE TRAFIC DE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>PERSOANE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4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facilitare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traficului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suspiciune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tentativă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facilitare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traficului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trafic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suspiciune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tentativă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trafic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Primul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trimite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termen de cel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mult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24 de ore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după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detectarea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fi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legat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trecerea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neautorizată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Emitenții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proprietarii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depun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eforturi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următoarele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măsura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sunt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disponibile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2.1.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facilitarea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traficului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trafic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stadiul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suspiciune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tentativă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săvârșire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).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2.2.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Circumstanțele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evenimentului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locul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destinația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intrare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ieșire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spațiul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Schengen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destinație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necunoscută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circumstanțele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detectării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1.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timpul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verificări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trecere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2.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timpul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supraveghere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3.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deplasare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secundară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zonă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prefrontalieră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mijloacele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transport: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1.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zbor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zborul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cum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prevede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7);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2.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navă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nava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cum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prevede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1,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respectivul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căutare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salvare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cum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prevede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6);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3. container;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4. camion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vehicul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utilitar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5.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autoturism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6.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autobuz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autocar;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7.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8.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deplasare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pietonală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2.3.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infracțiunilor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total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implicate;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grupele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vârstă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defalcarea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cetățenie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presupusă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confirmată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țara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origine;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forma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exploatare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sexuală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muncă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).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2.4.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Victimele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nu 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legătură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trecerea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neautorizată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total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victime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minori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minori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neînsoțiți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au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nevoie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protecție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internațională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defalcarea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victimelor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țara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țările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)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tranzit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(e)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defalcarea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cetățenie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presupusă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confirmată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țara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origine.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2.5.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Motivația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modul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operare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modul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scopul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facilitării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traficului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scopul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exploatării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specifice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traficului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3. RAPORTAREA UNUI EVENIMENT PUNCTUAL DE TRAFIC DE MĂRFURI SAU A SUSPICIUNII DE TENTATIVĂ DE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>TRAFIC DE MĂRFURI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4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lângă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indicatorii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menționați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4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anexa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1,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trafic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mărfuri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suspiciunea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tentativă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trafic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mărfuri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următoarele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1.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sumele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confiscate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depășesc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pragurile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definite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anexa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3;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2.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traficul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suspiciunea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tentativă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trafic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legătură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eventuală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activitate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teroristă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reprezenta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amenințare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Uniunii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3.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traficul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suspiciunea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tentativă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trafic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implică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reacție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partea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state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are un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impact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asupra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măsurilor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control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4.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traficul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mărfuri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suspiciunea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tentativă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trafic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mărfuri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legătură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anumit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mod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descrie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respectivul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mod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5.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confiscarea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mărfurilor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anormală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indica un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nou model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infracțional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Emitenții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proprietarii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depun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eforturi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următoarele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măsura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sunt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disponibile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3.1.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Atunci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când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descrie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emitentul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utilizează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categoriile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subcategoriile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prevăzute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4 din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anexa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1, precum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unitățile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menționate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anexa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3,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după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3.2.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Circumstanțele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evenimentului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poziția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destinația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intrare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ieșire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spațiul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Schengen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destinație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necunoscută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circumstanțele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detectării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1.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timpul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verificări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trecere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2.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timpul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supraveghere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3.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deplasare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secundară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zonă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prefrontalieră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mijloacele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transport: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1.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zbor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zborul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cum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prevede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7);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2.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navă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nava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cum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prevede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1,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respectivul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caz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căutare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salvare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cum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prevede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6);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3. container;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4. camion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vehicul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utilitar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5.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autoturism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6.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autobuz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autocar;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7.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8.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deplasare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pietonală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9. transport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mărfuri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colete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poștale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(e)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modul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modul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suspectat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inclusiv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1.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ascundere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2.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detalii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ascunderea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3.3.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mărfuri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categoria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subcategoria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conformitate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4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anexa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1;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suma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estimată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confiscată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valoarea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estimată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3.4.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implicate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total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implicate;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minori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defalcarea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cetățenie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presupusă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confirmată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).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4. RAPORTAREA UNUI EVENIMENT PUNCTUAL DE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FRAUDARE A DOCUMENTELOR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punctual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legat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fraudarea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documentelor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infracțiuni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având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obiect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documente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fost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observat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cursul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control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Primul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trimite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termen de cel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mult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24 de ore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după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detectarea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fi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legat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trecerea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neautorizată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facilitarea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traficului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traficul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traficul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mărfuri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forme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criminalitate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transfrontalieră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Emitenții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proprietarii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următoarele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măsura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sunt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disponibile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4.1.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fraudare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documentelor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4.2.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Circumstanțele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evenimentului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poziția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destinația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intrare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ieșire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spațiul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Schengen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destinație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necunoscută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circumstanțele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detectării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1.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timpul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verificări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trecere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2.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timpul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supraveghere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3.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deplasare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secundară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zonă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prefrontalieră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).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4.3.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persoana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cetățenia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pretinsă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sexul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grupa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vârstă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4.4.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documentul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subtipul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documentului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pașaport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carte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identitate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permis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ședere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viză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ștampilă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țara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emis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documentul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utilizarea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documentului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prezentat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ascuns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nu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aplică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trecere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îmbarcare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(e)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trecere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tranzit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(f)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trecere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destinație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(g)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cip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(h)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ștampilă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5. RAPORTAREA UNUI EVENIMENT PUNCTUAL PRIVIND ALTE FORME DE CRIMINALITATE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TRANSFRONTALIERĂ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lângă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indicatorii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menționați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7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anexa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1,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referitoare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infracțiuni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următoarele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691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1.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infracțiunea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transfrontalieră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suspiciunea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tentativă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săvârșire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infracțiuni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transfrontaliere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obținerea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rezultat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pozitiv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într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-o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date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într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-un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sistem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informatic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scară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largă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legătură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o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eventuală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activitate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teroristă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reprezenta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amenințare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securitatea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Uniunii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sale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72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2.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infracțiunea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transfrontalieră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suspiciunea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tentativă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săvârșire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infracțiuni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transfrontaliere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obținerea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rezultat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pozitiv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într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-o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date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într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-un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sistem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informatic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scară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largă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implică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reacție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din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partea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state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agenției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are un impact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asupra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măsurilor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control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72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3.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infracțiunea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transfrontalieră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suspiciunea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tentativă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săvârșire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infracțiuni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transfrontaliere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legătură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  <w:t xml:space="preserve">cu 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anumit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mod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rapoartele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descrie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respectivul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mod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operare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Emitenții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proprietarii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depun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eforturi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următoarele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măsura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sunt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disponibile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5.1.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Atunci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când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descrie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emitentul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utilizează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categoriile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subcategoriile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prevăzute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7 din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anexa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1.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5.2.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Circumstanțele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evenimentului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poziția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destinația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intrare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ieșire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spațiul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Schengen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destinație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necunoscută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circumstanțele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detectării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1.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timpul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verificări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trecere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2.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timpul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supraveghere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3.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deplasare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secundară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zonă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prefrontalieră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mijloacele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transport: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1.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zbor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zborul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cum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prevede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7);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2.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navă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nava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cum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prevede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1,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respectivul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căutare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salvare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astfel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cum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prevede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6);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3. container;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4. camion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vehicul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utilitar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5.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autoturism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6.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autobuz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autocar;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7.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8.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deplasare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pietonală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9. transport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mărfuri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colete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poștale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5.3.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implicate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total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implicate;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minori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defalcarea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cetățenie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presupusă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confirmată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).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6. RAPORTAREA UNUI EVENIMENT PUNCTUAL PRIVIND NAVE DE INTERES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nave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interes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1.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nava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detectată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află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lista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supraveghere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navelor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suspectate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;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trebuie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fie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lista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supraveghere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corespunzătoare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2.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nava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implicată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într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-un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enumerat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prezenta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anexă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;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raportul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trebuie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fie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corespunzător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3.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nava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considerată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suspectă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către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emitent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;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trebuie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fie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analiza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Primul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nava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trimite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termen de cel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mult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24 de ore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după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prima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detectare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Emitenții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proprietarii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depun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eforturi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următoarele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măsura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sunt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disponibile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6.1.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Poziția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statutul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navei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poziția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navei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interes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cuprind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momentul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măsurării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poziția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raza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cercului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incertitudine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direcția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viteza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activul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deplasează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navei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motoare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oprite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fum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detectat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ancorată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etc.);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sursa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măsurătorii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detectării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(radar,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sistem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poziționare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etc.);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pozițiile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anterioare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cunoscute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navei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înainte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Emitenții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pot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obțină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despre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navă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trebuie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încerce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actualizeze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poziția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cât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rapid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posibil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utilizând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sursele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dispun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Informațiile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poziția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nave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interes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 mare,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odată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detectată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actualizează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cel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puțin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6.2.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navă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navă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contribuie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diferențierea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între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diversele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tipuri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nave,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anume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nave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pasageri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veliere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iahturi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motor, nave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pescuit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containere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maritime,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vrachiere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petroliere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cargoboturi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nave de mare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viteză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platforme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foraj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maritim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mobile, nave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destinație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specială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între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diversele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tipuri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utilizări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navelor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anume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activități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comerciale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agrement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6.3.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Elementele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identificare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navei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elementele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identificare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navei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cuprind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pavilionul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denumirea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navei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atribuit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navei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Organizația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Maritimă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Internațională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(OMI),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identificare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cadrul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serviciului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maritim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mobil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(MMSI)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elemente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identificare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vizuale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frecvențe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radio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utilizate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contacta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prezenta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caracteristicile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navelor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6.4.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Pasagerii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mărfurile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transportate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pasagerii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mărfurile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transportate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echipajului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defalcarea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echipajului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cetățenie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pasageri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defalcarea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pasagerilor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cetățenie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(e)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cantitatea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greutatea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mărfurilor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transportate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7. RAPORTAREA UNUI EVENIMENT PUNCTUAL PRIVIND ZBORURI EXTERNE DE INTERES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referitoare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zborurile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externe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interes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1.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zborul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detectat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află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lista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supraveghere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zborurilor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suspecte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;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trebuie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fie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lista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supraveghere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corespunzătoare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2.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zborul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implicat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într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-un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enumerat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prezenta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anexă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;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trebuie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fie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corespunzător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3.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zborul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considerat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suspect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către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emitent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;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trebuie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fie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analiza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riscurilor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Primul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zborul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trimite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termen de cel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mult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24 de ore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după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prima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detectare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Emitenții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proprietarii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depun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eforturi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următoarele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măsura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sunt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disponibile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7.1.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Poziția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aeronavei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interes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poziția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zborului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interes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cuprind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momentul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măsurării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poziția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inclusiv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altitudinea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gradul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incertitudine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direcția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viteza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deplasare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sursa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măsurătorii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detectării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(radar,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sistem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poziționare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etc.).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Emitenții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pot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obțină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despre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aeronavă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trebuie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încerce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actualizeze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poziția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utilizând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sursele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dispun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poziția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aeronavei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interes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zbor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actualizează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timp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aproape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real.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7.2.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aeronavei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interes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1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aeronavă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contribuie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diferențierea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între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aeronave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aripi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fixe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rotative,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aeronave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cu motor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reacție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elice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aeronave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pilot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pilotate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distanță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stabilirea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modelului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exact 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respectivei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aeronave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dacă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sunt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disponibile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7.3.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Elementele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identificare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aeronavei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8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elementele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identificare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aeronavei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cuprind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diferitele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elemente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identificare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vizuale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frecvențe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radio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utilizate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contacta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prezenta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caracteristicile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aeronavei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7.4.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zborul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zborul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cuprind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zbor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comercial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guvernamental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etc.);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indicativul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zbor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inclusiv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indicativul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zbor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comercial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locul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decolare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destinația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(e)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trimiterea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planul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zbor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7.5.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Pasagerii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mărfurile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transportate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pasagerii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mărfurile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transportate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echipajului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defalcarea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membrilor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echipajului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cetățenie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numărul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pasageri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(d)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defalcarea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pasagerilor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funcție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cetățenie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(e)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tipul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mărfuri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transportate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8. RAPORTAREA UNUI EVENIMENT PUNCTUAL PRIVIND EVENIMENTE DE CĂUTARE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  SALVARE</w:t>
            </w:r>
            <w:proofErr w:type="gram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național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raportează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orice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legat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căutare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salvare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conformitate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articolul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21.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144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referitoare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un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posibil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căutare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salvare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acoperă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întreaga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durată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de la prima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detectare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navei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interes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primirea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alertei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persoane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aflate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pericol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 mare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până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finalizarea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evenimentului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trecere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frontierei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încheierea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căutare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salvare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Emitenții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proprietarii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depun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eforturi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pentru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următoarele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informații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măsura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care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acestea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sunt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disponibile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8.1.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Conexiuni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nava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aflată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pericol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conformitate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6.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poate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fi,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asemenea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nave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interes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implicate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căutare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salvare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cum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fi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navele-mamă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8.2.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statutul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cazului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căutare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salvare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inclusiv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faza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căutare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salvare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incertitudine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alertă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pericol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căutare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salvare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curs,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căutare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salvare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încheiată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);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centrul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coordonare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operațiunilor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salvare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pe mare competent;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locul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sigur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preconizat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locul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sigur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efectiv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atunci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când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operațiunea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căutare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salvare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finalizată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8.3.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Conexiuni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cu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raportarea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prevăzută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la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punctele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1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după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caz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ANEXA 3</w:t>
            </w:r>
            <w:r>
              <w:rPr>
                <w:rStyle w:val="font01"/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font01"/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Praguri</w:t>
            </w:r>
            <w:proofErr w:type="spellEnd"/>
            <w:r>
              <w:rPr>
                <w:rStyle w:val="font01"/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font01"/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aplicabile</w:t>
            </w:r>
            <w:proofErr w:type="spellEnd"/>
            <w:r>
              <w:rPr>
                <w:rStyle w:val="font01"/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font01"/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raportării</w:t>
            </w:r>
            <w:proofErr w:type="spellEnd"/>
            <w:r>
              <w:rPr>
                <w:rStyle w:val="font01"/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font01"/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unui</w:t>
            </w:r>
            <w:proofErr w:type="spellEnd"/>
            <w:r>
              <w:rPr>
                <w:rStyle w:val="font01"/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font01"/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eveniment</w:t>
            </w:r>
            <w:proofErr w:type="spellEnd"/>
            <w:r>
              <w:rPr>
                <w:rStyle w:val="font01"/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punctual </w:t>
            </w:r>
            <w:proofErr w:type="spellStart"/>
            <w:r>
              <w:rPr>
                <w:rStyle w:val="font01"/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privind</w:t>
            </w:r>
            <w:proofErr w:type="spellEnd"/>
            <w:r>
              <w:rPr>
                <w:rStyle w:val="font01"/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font01"/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mărfuri</w:t>
            </w:r>
            <w:proofErr w:type="spellEnd"/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1. DROGURI ILICITE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1.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canabis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 10 kg;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2.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heroină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: 500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grame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3.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opioide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exemplu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morfină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opiu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etc.): 500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grame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4.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cocaină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 10 kg;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56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5.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stimulenți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tip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amfetamină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inclusiv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amfetamină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și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metamfetamină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): 100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grame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6. MDMA (ecstasy): 5000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comprimate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7.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substanțe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psihoactive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noi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: 500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comprimate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100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grame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8.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droguri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ilicite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2. ARME ȘI MATERIALE EXPLOZIBILE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1. arme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foc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componente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armelor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: 15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unități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2.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materiale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explozibile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 3 kg;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3.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muniție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: 10 000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bucăți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3. ALTE MĂRFURI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1.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tutun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brut: 500 kg;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2.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țigarete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: 1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milion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unități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3.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alcool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: 5 000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litri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alcool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4.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produse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energetice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combustibili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): 10 000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litri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;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458" w:rsidTr="00EF6034">
        <w:trPr>
          <w:trHeight w:val="280"/>
        </w:trPr>
        <w:tc>
          <w:tcPr>
            <w:tcW w:w="3414" w:type="dxa"/>
            <w:shd w:val="clear" w:color="auto" w:fill="auto"/>
          </w:tcPr>
          <w:p w:rsidR="00450458" w:rsidRDefault="00000000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5.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trafic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ilicit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bunuri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culturale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: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valoare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estimată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peste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1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milion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EUR.</w:t>
            </w:r>
          </w:p>
        </w:tc>
        <w:tc>
          <w:tcPr>
            <w:tcW w:w="3382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noWrap/>
          </w:tcPr>
          <w:p w:rsidR="00450458" w:rsidRDefault="00450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0458" w:rsidRDefault="00450458"/>
    <w:sectPr w:rsidR="0045045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2396" w:rsidRDefault="00BB2396">
      <w:pPr>
        <w:spacing w:line="240" w:lineRule="auto"/>
      </w:pPr>
      <w:r>
        <w:separator/>
      </w:r>
    </w:p>
  </w:endnote>
  <w:endnote w:type="continuationSeparator" w:id="0">
    <w:p w:rsidR="00BB2396" w:rsidRDefault="00BB2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2396" w:rsidRDefault="00BB2396">
      <w:pPr>
        <w:spacing w:after="0"/>
      </w:pPr>
      <w:r>
        <w:separator/>
      </w:r>
    </w:p>
  </w:footnote>
  <w:footnote w:type="continuationSeparator" w:id="0">
    <w:p w:rsidR="00BB2396" w:rsidRDefault="00BB239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458"/>
    <w:rsid w:val="001B13D8"/>
    <w:rsid w:val="002B33FF"/>
    <w:rsid w:val="00311597"/>
    <w:rsid w:val="00333AE4"/>
    <w:rsid w:val="00390EBB"/>
    <w:rsid w:val="0044213E"/>
    <w:rsid w:val="00450458"/>
    <w:rsid w:val="00517BEC"/>
    <w:rsid w:val="007E2F8B"/>
    <w:rsid w:val="007E6C1B"/>
    <w:rsid w:val="008723DA"/>
    <w:rsid w:val="008C19EE"/>
    <w:rsid w:val="00BB2396"/>
    <w:rsid w:val="00C92919"/>
    <w:rsid w:val="00E1735B"/>
    <w:rsid w:val="00EF6034"/>
    <w:rsid w:val="00F4266B"/>
    <w:rsid w:val="00F4781D"/>
    <w:rsid w:val="00F54D6F"/>
    <w:rsid w:val="00FC144B"/>
    <w:rsid w:val="307707E8"/>
    <w:rsid w:val="33824CAF"/>
    <w:rsid w:val="4D3B5010"/>
    <w:rsid w:val="4EAF4F89"/>
    <w:rsid w:val="548D6047"/>
    <w:rsid w:val="68E7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E269B"/>
  <w15:docId w15:val="{8E0B8FE0-E74D-456C-AB1E-9D2E4004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nt31">
    <w:name w:val="font31"/>
    <w:qFormat/>
    <w:rPr>
      <w:rFonts w:ascii="Calibri" w:hAnsi="Calibri" w:cs="Calibri" w:hint="default"/>
      <w:b/>
      <w:bCs/>
      <w:color w:val="000000"/>
      <w:u w:val="none"/>
    </w:rPr>
  </w:style>
  <w:style w:type="character" w:customStyle="1" w:styleId="font01">
    <w:name w:val="font01"/>
    <w:qFormat/>
    <w:rPr>
      <w:rFonts w:ascii="Calibri" w:hAnsi="Calibri" w:cs="Calibri" w:hint="default"/>
      <w:color w:val="000000"/>
      <w:u w:val="none"/>
    </w:rPr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86</Pages>
  <Words>12716</Words>
  <Characters>73753</Characters>
  <Application>Microsoft Office Word</Application>
  <DocSecurity>0</DocSecurity>
  <Lines>614</Lines>
  <Paragraphs>172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MAI STI</cp:lastModifiedBy>
  <cp:revision>7</cp:revision>
  <dcterms:created xsi:type="dcterms:W3CDTF">2025-02-03T10:34:00Z</dcterms:created>
  <dcterms:modified xsi:type="dcterms:W3CDTF">2025-02-11T10:47:00Z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3DB7EECFC65C490FA80F7E5EE9F0E9CB_12</vt:lpwstr>
  </property>
</Properties>
</file>