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E1EBB" w14:textId="77777777" w:rsidR="00D87F87" w:rsidRPr="002B7FA2" w:rsidRDefault="008E64C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8"/>
          <w:lang w:val="ro-RO"/>
        </w:rPr>
      </w:pPr>
      <w:r w:rsidRPr="002B7FA2">
        <w:rPr>
          <w:b/>
          <w:sz w:val="28"/>
          <w:szCs w:val="28"/>
          <w:lang w:val="ro-RO"/>
        </w:rPr>
        <w:t>NOTA DE FUNDAMENTARE</w:t>
      </w:r>
    </w:p>
    <w:p w14:paraId="6632B786" w14:textId="3397D0A7" w:rsidR="00D87F87" w:rsidRPr="002B7FA2" w:rsidRDefault="008E64CC" w:rsidP="005615D5">
      <w:pPr>
        <w:pBdr>
          <w:top w:val="none" w:sz="4" w:space="0" w:color="000000"/>
          <w:left w:val="none" w:sz="4" w:space="0" w:color="000000"/>
          <w:bottom w:val="none" w:sz="4" w:space="0" w:color="000000"/>
          <w:right w:val="none" w:sz="4" w:space="0" w:color="000000"/>
        </w:pBdr>
        <w:tabs>
          <w:tab w:val="left" w:pos="884"/>
          <w:tab w:val="left" w:pos="1196"/>
        </w:tabs>
        <w:spacing w:after="120"/>
        <w:ind w:firstLine="0"/>
        <w:jc w:val="center"/>
        <w:rPr>
          <w:sz w:val="28"/>
          <w:szCs w:val="28"/>
          <w:lang w:val="ro-RO"/>
        </w:rPr>
      </w:pPr>
      <w:r w:rsidRPr="002B7FA2">
        <w:rPr>
          <w:b/>
          <w:sz w:val="28"/>
          <w:szCs w:val="28"/>
          <w:lang w:val="ro-RO"/>
        </w:rPr>
        <w:t xml:space="preserve">la proiectul </w:t>
      </w:r>
      <w:r w:rsidR="00F06701" w:rsidRPr="002B7FA2">
        <w:rPr>
          <w:b/>
          <w:sz w:val="28"/>
          <w:szCs w:val="28"/>
          <w:lang w:val="ro-RO"/>
        </w:rPr>
        <w:t xml:space="preserve">cu privire la modificarea </w:t>
      </w:r>
      <w:r w:rsidR="001625B0" w:rsidRPr="002B7FA2">
        <w:rPr>
          <w:b/>
          <w:sz w:val="28"/>
          <w:szCs w:val="28"/>
          <w:lang w:val="ro-RO"/>
        </w:rPr>
        <w:t xml:space="preserve">punctului 1 din </w:t>
      </w:r>
      <w:r w:rsidR="00F06701" w:rsidRPr="002B7FA2">
        <w:rPr>
          <w:b/>
          <w:sz w:val="28"/>
          <w:szCs w:val="28"/>
          <w:lang w:val="ro-RO"/>
        </w:rPr>
        <w:t>Hotărâr</w:t>
      </w:r>
      <w:r w:rsidR="001625B0" w:rsidRPr="002B7FA2">
        <w:rPr>
          <w:b/>
          <w:sz w:val="28"/>
          <w:szCs w:val="28"/>
          <w:lang w:val="ro-RO"/>
        </w:rPr>
        <w:t>ea</w:t>
      </w:r>
      <w:r w:rsidR="00F06701" w:rsidRPr="002B7FA2">
        <w:rPr>
          <w:b/>
          <w:sz w:val="28"/>
          <w:szCs w:val="28"/>
          <w:lang w:val="ro-RO"/>
        </w:rPr>
        <w:t xml:space="preserve"> de Guvern </w:t>
      </w:r>
      <w:r w:rsidR="001625B0" w:rsidRPr="002B7FA2">
        <w:rPr>
          <w:b/>
          <w:sz w:val="28"/>
          <w:szCs w:val="28"/>
          <w:lang w:val="ro-RO"/>
        </w:rPr>
        <w:br/>
      </w:r>
      <w:r w:rsidR="00F06701" w:rsidRPr="002B7FA2">
        <w:rPr>
          <w:b/>
          <w:sz w:val="28"/>
          <w:szCs w:val="28"/>
          <w:lang w:val="ro-RO"/>
        </w:rPr>
        <w:t>nr. 1059/2023 cu privire la impunerea obligației de serviciu public în vederea asigurării securității aprovizionării cu energie electrică</w:t>
      </w:r>
    </w:p>
    <w:tbl>
      <w:tblPr>
        <w:tblStyle w:val="Tabelgril"/>
        <w:tblW w:w="10349"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49"/>
      </w:tblGrid>
      <w:tr w:rsidR="00D87F87" w:rsidRPr="002B7FA2" w14:paraId="13A52A7B" w14:textId="77777777" w:rsidTr="00736BAB">
        <w:tc>
          <w:tcPr>
            <w:tcW w:w="10349" w:type="dxa"/>
            <w:shd w:val="clear" w:color="BFBFBF" w:fill="BFBFBF"/>
            <w:tcMar>
              <w:top w:w="0" w:type="dxa"/>
              <w:left w:w="108" w:type="dxa"/>
              <w:bottom w:w="0" w:type="dxa"/>
              <w:right w:w="108" w:type="dxa"/>
            </w:tcMar>
          </w:tcPr>
          <w:p w14:paraId="42B778E1"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1. Denumirea sau numele autorului și, după caz, a/al participanților la elaborarea proiectului actului normativ</w:t>
            </w:r>
          </w:p>
        </w:tc>
      </w:tr>
      <w:tr w:rsidR="00D87F87" w:rsidRPr="002B7FA2" w14:paraId="46ED6CC4" w14:textId="77777777" w:rsidTr="00736BAB">
        <w:tc>
          <w:tcPr>
            <w:tcW w:w="10349" w:type="dxa"/>
            <w:tcMar>
              <w:top w:w="0" w:type="dxa"/>
              <w:left w:w="108" w:type="dxa"/>
              <w:bottom w:w="0" w:type="dxa"/>
              <w:right w:w="108" w:type="dxa"/>
            </w:tcMar>
          </w:tcPr>
          <w:p w14:paraId="425B62E3" w14:textId="552F7573" w:rsidR="00D87F87" w:rsidRPr="002B7FA2" w:rsidRDefault="00F06701" w:rsidP="000069ED">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t>Proiectul Hotărârii de Guvern cu privire la modificarea</w:t>
            </w:r>
            <w:r w:rsidR="001625B0" w:rsidRPr="002B7FA2">
              <w:rPr>
                <w:rFonts w:ascii="Times New Roman" w:hAnsi="Times New Roman"/>
                <w:sz w:val="28"/>
                <w:szCs w:val="28"/>
                <w:lang w:val="ro-RO"/>
              </w:rPr>
              <w:t xml:space="preserve"> punctului 1 din</w:t>
            </w:r>
            <w:r w:rsidRPr="002B7FA2">
              <w:rPr>
                <w:rFonts w:ascii="Times New Roman" w:hAnsi="Times New Roman"/>
                <w:sz w:val="28"/>
                <w:szCs w:val="28"/>
                <w:lang w:val="ro-RO"/>
              </w:rPr>
              <w:t xml:space="preserve"> Hotărâr</w:t>
            </w:r>
            <w:r w:rsidR="001625B0" w:rsidRPr="002B7FA2">
              <w:rPr>
                <w:rFonts w:ascii="Times New Roman" w:hAnsi="Times New Roman"/>
                <w:sz w:val="28"/>
                <w:szCs w:val="28"/>
                <w:lang w:val="ro-RO"/>
              </w:rPr>
              <w:t>ea</w:t>
            </w:r>
            <w:r w:rsidRPr="002B7FA2">
              <w:rPr>
                <w:rFonts w:ascii="Times New Roman" w:hAnsi="Times New Roman"/>
                <w:sz w:val="28"/>
                <w:szCs w:val="28"/>
                <w:lang w:val="ro-RO"/>
              </w:rPr>
              <w:t xml:space="preserve"> de Guvern nr. 1059/2023 cu privire la impunerea obligației de serviciu public în vederea asigurării securității aprovizionării cu energie electrică</w:t>
            </w:r>
            <w:r w:rsidR="007C4CAC" w:rsidRPr="002B7FA2">
              <w:rPr>
                <w:rFonts w:ascii="Times New Roman" w:hAnsi="Times New Roman"/>
                <w:sz w:val="28"/>
                <w:szCs w:val="28"/>
                <w:lang w:val="ro-RO"/>
              </w:rPr>
              <w:t xml:space="preserve">, a fost elaborat de către Ministerul Energiei.  </w:t>
            </w:r>
          </w:p>
        </w:tc>
      </w:tr>
      <w:tr w:rsidR="00D87F87" w:rsidRPr="002B7FA2" w14:paraId="49EFE4F4" w14:textId="77777777" w:rsidTr="00736BAB">
        <w:tc>
          <w:tcPr>
            <w:tcW w:w="10349" w:type="dxa"/>
            <w:shd w:val="clear" w:color="BFBFBF" w:fill="BFBFBF"/>
            <w:tcMar>
              <w:top w:w="0" w:type="dxa"/>
              <w:left w:w="108" w:type="dxa"/>
              <w:bottom w:w="0" w:type="dxa"/>
              <w:right w:w="108" w:type="dxa"/>
            </w:tcMar>
          </w:tcPr>
          <w:p w14:paraId="1D726DED"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2. Condițiile ce au impus elaborarea proiectului actului normativ</w:t>
            </w:r>
          </w:p>
        </w:tc>
      </w:tr>
      <w:tr w:rsidR="00D87F87" w:rsidRPr="00736BAB" w14:paraId="1799598E" w14:textId="77777777" w:rsidTr="00736BAB">
        <w:tc>
          <w:tcPr>
            <w:tcW w:w="10349" w:type="dxa"/>
            <w:shd w:val="clear" w:color="EDEDED" w:fill="EDEDED"/>
            <w:tcMar>
              <w:top w:w="0" w:type="dxa"/>
              <w:left w:w="108" w:type="dxa"/>
              <w:bottom w:w="0" w:type="dxa"/>
              <w:right w:w="108" w:type="dxa"/>
            </w:tcMar>
          </w:tcPr>
          <w:p w14:paraId="132F45E7"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2.1. Temeiul legal sau, după caz, sursa proiectului actului normativ</w:t>
            </w:r>
          </w:p>
        </w:tc>
      </w:tr>
      <w:tr w:rsidR="00C94DD0" w:rsidRPr="002B7FA2" w14:paraId="5FF411DE" w14:textId="77777777" w:rsidTr="00736BAB">
        <w:tc>
          <w:tcPr>
            <w:tcW w:w="10349" w:type="dxa"/>
            <w:shd w:val="clear" w:color="auto" w:fill="auto"/>
            <w:tcMar>
              <w:top w:w="0" w:type="dxa"/>
              <w:left w:w="108" w:type="dxa"/>
              <w:bottom w:w="0" w:type="dxa"/>
              <w:right w:w="108" w:type="dxa"/>
            </w:tcMar>
          </w:tcPr>
          <w:p w14:paraId="5E14D31E" w14:textId="10755D9C" w:rsidR="00C94DD0" w:rsidRPr="002B7FA2" w:rsidRDefault="006A3538" w:rsidP="000069ED">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t>Proiectul hotărârii este elaborat î</w:t>
            </w:r>
            <w:r w:rsidR="00C94DD0" w:rsidRPr="002B7FA2">
              <w:rPr>
                <w:rFonts w:ascii="Times New Roman" w:hAnsi="Times New Roman"/>
                <w:sz w:val="28"/>
                <w:szCs w:val="28"/>
                <w:lang w:val="ro-RO"/>
              </w:rPr>
              <w:t>n temeiul art. 4 alin. (1) lit. e) și art. 11 alin. (1) din Legea nr. 107/2016 cu privire la energia electrică (Monitorul Oficial al Republicii Moldova, 2016, nr. 193-203, art. 413)</w:t>
            </w:r>
            <w:r w:rsidR="00887413" w:rsidRPr="002B7FA2">
              <w:rPr>
                <w:rFonts w:ascii="Times New Roman" w:hAnsi="Times New Roman"/>
                <w:sz w:val="28"/>
                <w:szCs w:val="28"/>
                <w:lang w:val="ro-RO"/>
              </w:rPr>
              <w:t>.</w:t>
            </w:r>
          </w:p>
        </w:tc>
      </w:tr>
      <w:tr w:rsidR="00D87F87" w:rsidRPr="002B7FA2" w14:paraId="28CD9014" w14:textId="77777777" w:rsidTr="00736BAB">
        <w:tc>
          <w:tcPr>
            <w:tcW w:w="10349" w:type="dxa"/>
            <w:shd w:val="clear" w:color="EDEDED" w:fill="EDEDED"/>
            <w:tcMar>
              <w:top w:w="0" w:type="dxa"/>
              <w:left w:w="108" w:type="dxa"/>
              <w:bottom w:w="0" w:type="dxa"/>
              <w:right w:w="108" w:type="dxa"/>
            </w:tcMar>
          </w:tcPr>
          <w:p w14:paraId="710D5D9F"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D87F87" w:rsidRPr="00736BAB" w14:paraId="0423E07D" w14:textId="77777777" w:rsidTr="00736BAB">
        <w:tc>
          <w:tcPr>
            <w:tcW w:w="10349" w:type="dxa"/>
            <w:shd w:val="clear" w:color="auto" w:fill="auto"/>
            <w:tcMar>
              <w:top w:w="0" w:type="dxa"/>
              <w:left w:w="108" w:type="dxa"/>
              <w:bottom w:w="0" w:type="dxa"/>
              <w:right w:w="108" w:type="dxa"/>
            </w:tcMar>
          </w:tcPr>
          <w:p w14:paraId="573EC23F" w14:textId="77777777" w:rsidR="00243C52" w:rsidRPr="002B7FA2" w:rsidRDefault="00887413" w:rsidP="000069ED">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Proiectul hotărârii de Guvern a fost elaborat în contextul </w:t>
            </w:r>
            <w:r w:rsidR="00C63E79" w:rsidRPr="002B7FA2">
              <w:rPr>
                <w:rFonts w:ascii="Times New Roman" w:eastAsia="Times New Roman" w:hAnsi="Times New Roman"/>
                <w:sz w:val="28"/>
                <w:szCs w:val="28"/>
                <w:lang w:val="ro-RO"/>
              </w:rPr>
              <w:t>în care Legea nr. 107/2016 cu privire la energia electrică are ca scop/obiectiv asigurarea funcționării sigure, fiabile și eficiente a sistemului electroenergetic menită să garanteze furnizarea neîntreruptă a energiei electrice și satisfacerea cererilor de energie electrică ale consumatorilor finali, precum și stabilirea unor măsuri menite să garanteze securitatea aprovizionării cu energie electrică a consumatorilor finali, precum și crearea unei previzibilități și stabilități pentru funcționarea economiei naționale.</w:t>
            </w:r>
            <w:r w:rsidRPr="002B7FA2">
              <w:rPr>
                <w:rFonts w:ascii="Times New Roman" w:eastAsia="Times New Roman" w:hAnsi="Times New Roman"/>
                <w:sz w:val="28"/>
                <w:szCs w:val="28"/>
                <w:lang w:val="ro-RO"/>
              </w:rPr>
              <w:t xml:space="preserve"> </w:t>
            </w:r>
          </w:p>
          <w:p w14:paraId="1DE5DC6D" w14:textId="77777777" w:rsidR="00FB5A75" w:rsidRPr="002B7FA2" w:rsidRDefault="00FB5A75" w:rsidP="00FB5A75">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t>Sistarea furnizării gazelor naturale către regiunea transnistreană a Republicii Moldova de către SAP „</w:t>
            </w:r>
            <w:proofErr w:type="spellStart"/>
            <w:r w:rsidRPr="002B7FA2">
              <w:rPr>
                <w:rFonts w:ascii="Times New Roman" w:hAnsi="Times New Roman"/>
                <w:sz w:val="28"/>
                <w:szCs w:val="28"/>
                <w:lang w:val="ro-RO"/>
              </w:rPr>
              <w:t>Gazprom</w:t>
            </w:r>
            <w:proofErr w:type="spellEnd"/>
            <w:r w:rsidRPr="002B7FA2">
              <w:rPr>
                <w:rFonts w:ascii="Times New Roman" w:hAnsi="Times New Roman"/>
                <w:sz w:val="28"/>
                <w:szCs w:val="28"/>
                <w:lang w:val="ro-RO"/>
              </w:rPr>
              <w:t>” în baza contractului existent privind furnizarea gazelor naturale încheiat între SA „Moldovagaz” și SAP „</w:t>
            </w:r>
            <w:proofErr w:type="spellStart"/>
            <w:r w:rsidRPr="002B7FA2">
              <w:rPr>
                <w:rFonts w:ascii="Times New Roman" w:hAnsi="Times New Roman"/>
                <w:sz w:val="28"/>
                <w:szCs w:val="28"/>
                <w:lang w:val="ro-RO"/>
              </w:rPr>
              <w:t>Gazprom</w:t>
            </w:r>
            <w:proofErr w:type="spellEnd"/>
            <w:r w:rsidRPr="002B7FA2">
              <w:rPr>
                <w:rFonts w:ascii="Times New Roman" w:hAnsi="Times New Roman"/>
                <w:sz w:val="28"/>
                <w:szCs w:val="28"/>
                <w:lang w:val="ro-RO"/>
              </w:rPr>
              <w:t>” a generat riscuri majore pentru asigurarea stabilității sectorului electroenergetic pe întreg teritoriul Republicii Moldova.</w:t>
            </w:r>
          </w:p>
          <w:p w14:paraId="17500F20" w14:textId="35F08A72" w:rsidR="00FB5A75" w:rsidRPr="002B7FA2" w:rsidRDefault="00FB5A75" w:rsidP="00FB5A75">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t>Dependența ridicată de Centrala Termoelectrică Moldovenească (MGRES) implică vulnerabilități majore în contextul sistării livrărilor de gaze naturale către unitatea de generare începând cu 1 ianuarie 2025. Astfel, în lipsa cantităților achiziționate de la MGRES, aprovizionarea cu energie electrică a Republicii Moldova depinde direct de importurile din zonă de ofertare ENTSO-E și în special din România.</w:t>
            </w:r>
          </w:p>
          <w:p w14:paraId="5C08D3A9" w14:textId="24A83196" w:rsidR="00FB5A75" w:rsidRPr="002B7FA2" w:rsidRDefault="00FB5A75" w:rsidP="00FB5A75">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t xml:space="preserve">Având în vedere obligația de serviciu impusă prin Hotărârea Guvernului </w:t>
            </w:r>
            <w:r w:rsidRPr="002B7FA2">
              <w:rPr>
                <w:rFonts w:ascii="Times New Roman" w:hAnsi="Times New Roman"/>
                <w:sz w:val="28"/>
                <w:szCs w:val="28"/>
                <w:lang w:val="ro-RO"/>
              </w:rPr>
              <w:br/>
              <w:t xml:space="preserve">nr. 1059/2023 și prelungite până la 31 martie 2025 prin Hotărârea Guvernului </w:t>
            </w:r>
            <w:r w:rsidR="00581F17" w:rsidRPr="002B7FA2">
              <w:rPr>
                <w:rFonts w:ascii="Times New Roman" w:hAnsi="Times New Roman"/>
                <w:sz w:val="28"/>
                <w:szCs w:val="28"/>
                <w:lang w:val="ro-RO"/>
              </w:rPr>
              <w:br/>
            </w:r>
            <w:r w:rsidRPr="002B7FA2">
              <w:rPr>
                <w:rFonts w:ascii="Times New Roman" w:hAnsi="Times New Roman"/>
                <w:sz w:val="28"/>
                <w:szCs w:val="28"/>
                <w:lang w:val="ro-RO"/>
              </w:rPr>
              <w:t>nr. 79</w:t>
            </w:r>
            <w:r w:rsidR="00181ABC" w:rsidRPr="002B7FA2">
              <w:rPr>
                <w:rFonts w:ascii="Times New Roman" w:hAnsi="Times New Roman"/>
                <w:sz w:val="28"/>
                <w:szCs w:val="28"/>
                <w:lang w:val="ro-RO"/>
              </w:rPr>
              <w:t>1</w:t>
            </w:r>
            <w:r w:rsidRPr="002B7FA2">
              <w:rPr>
                <w:rFonts w:ascii="Times New Roman" w:hAnsi="Times New Roman"/>
                <w:sz w:val="28"/>
                <w:szCs w:val="28"/>
                <w:lang w:val="ro-RO"/>
              </w:rPr>
              <w:t>/2024, SA „Energocom” asigură achizițiile de energie electrică pentru acoperirea necesităților furnizorilor serviciului universal și de ultimă opțiune și operatorilor de sistem.</w:t>
            </w:r>
          </w:p>
          <w:p w14:paraId="4924E383" w14:textId="77777777" w:rsidR="00FB5A75" w:rsidRPr="002B7FA2" w:rsidRDefault="00FB5A75" w:rsidP="00FB5A75">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t>Astfel, în luna ianuarie 2025, SA Energocom a achiziționat în total, de pe piața locală și din import, circa 434 mii MWh. Cea mai mare parte din energie electrică cumpărată, 62,1%, a fost electricitatea importată în baza contractelor bilaterale, precum și prin efectuarea tranzacțiilor pe bursele de energie.</w:t>
            </w:r>
          </w:p>
          <w:p w14:paraId="1DD5BCF7" w14:textId="2738EF82" w:rsidR="00FB5A75" w:rsidRPr="002B7FA2" w:rsidRDefault="00FB5A75" w:rsidP="00FB5A75">
            <w:pPr>
              <w:spacing w:line="276" w:lineRule="auto"/>
              <w:ind w:firstLine="593"/>
              <w:rPr>
                <w:rFonts w:ascii="Times New Roman" w:hAnsi="Times New Roman"/>
                <w:sz w:val="28"/>
                <w:szCs w:val="28"/>
                <w:lang w:val="ro-RO"/>
              </w:rPr>
            </w:pPr>
            <w:r w:rsidRPr="002B7FA2">
              <w:rPr>
                <w:rFonts w:ascii="Times New Roman" w:hAnsi="Times New Roman"/>
                <w:sz w:val="28"/>
                <w:szCs w:val="28"/>
                <w:lang w:val="ro-RO"/>
              </w:rPr>
              <w:lastRenderedPageBreak/>
              <w:t>Ponderea producției interne în totalul achizițiilor din luna ianuarie a fost de 37,9%, dintre care unitățile termoenergetice din Chișinău și Bălți au generat 126 mii MWh (echivalentul a 29,1%), iar parcurile fotovoltaice și centralele electrice eoliene au livrat în sistemul electroenergetice aproape 38 mii MWh (sau 8,8%).</w:t>
            </w:r>
          </w:p>
          <w:p w14:paraId="691B1512" w14:textId="62EF91FB" w:rsidR="00A804AF" w:rsidRPr="002B7FA2" w:rsidRDefault="00FB5A75" w:rsidP="00FB5A75">
            <w:pPr>
              <w:spacing w:line="276" w:lineRule="auto"/>
              <w:ind w:firstLine="593"/>
              <w:rPr>
                <w:rFonts w:ascii="Times New Roman" w:hAnsi="Times New Roman"/>
                <w:sz w:val="28"/>
                <w:szCs w:val="28"/>
                <w:lang w:val="ro-RO"/>
              </w:rPr>
            </w:pPr>
            <w:r w:rsidRPr="002B7FA2">
              <w:rPr>
                <w:rFonts w:ascii="Times New Roman" w:eastAsia="Times New Roman" w:hAnsi="Times New Roman"/>
                <w:sz w:val="28"/>
                <w:szCs w:val="28"/>
                <w:lang w:val="ro-RO"/>
              </w:rPr>
              <w:t xml:space="preserve">Identificarea surselor de aprovizionare cu energie electrică depinde în mod direct de disponibilitatea capacității comerciale de interconexiune, </w:t>
            </w:r>
            <w:r w:rsidRPr="002B7FA2">
              <w:rPr>
                <w:rFonts w:ascii="Times New Roman" w:hAnsi="Times New Roman"/>
                <w:sz w:val="28"/>
                <w:szCs w:val="28"/>
                <w:lang w:val="ro-RO"/>
              </w:rPr>
              <w:t>din zona de ofertare a ENTSO- E către blocul comun Ucraina - Republica Moldova care la moment constituie 2 100 MW</w:t>
            </w:r>
            <w:r w:rsidR="00E53388" w:rsidRPr="002B7FA2">
              <w:rPr>
                <w:rFonts w:ascii="Times New Roman" w:hAnsi="Times New Roman"/>
                <w:sz w:val="28"/>
                <w:szCs w:val="28"/>
                <w:lang w:val="ro-RO"/>
              </w:rPr>
              <w:t xml:space="preserve"> și care este valabilă doar pe perioada sezonului de încălzire</w:t>
            </w:r>
            <w:r w:rsidRPr="002B7FA2">
              <w:rPr>
                <w:rFonts w:ascii="Times New Roman" w:hAnsi="Times New Roman"/>
                <w:sz w:val="28"/>
                <w:szCs w:val="28"/>
                <w:lang w:val="ro-RO"/>
              </w:rPr>
              <w:t>, dintre care Republicii Moldova revine - 315 MW, iar Ucrainei – 1 785 MW.</w:t>
            </w:r>
          </w:p>
          <w:p w14:paraId="33E52F49" w14:textId="69EA4764" w:rsidR="00FB5A75" w:rsidRPr="002B7FA2" w:rsidRDefault="00FB5A75" w:rsidP="00FB5A75">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Este de remarcat faptul că pentru a asigura securitatea aprovizionării cu energie electrică a Republicii Moldova, este necesar un NTC de o valoare minimă de 600 MW pentru import, destinat malului drept.</w:t>
            </w:r>
          </w:p>
          <w:p w14:paraId="4367AF90" w14:textId="026DD261" w:rsidR="00FB5A75" w:rsidRPr="002B7FA2" w:rsidRDefault="00FB5A75" w:rsidP="00FB5A75">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În acest context din contul capacității de transport nealocate de către Ucraina pe alte hotare cu ENTSO-E, pentru Republica Moldova, a fost agreată posibilitatea alocării suplimentare de capacitate comercială pentru importul cantităților adiționale de energie electrică, capacitate care variază în funcție de zi și ora zilei, SA „Energocom” deținând experiența necesară privind rezervarea de capacitate. </w:t>
            </w:r>
          </w:p>
          <w:p w14:paraId="388E2039" w14:textId="4DB70A83" w:rsidR="00FB5A75" w:rsidRPr="002B7FA2" w:rsidRDefault="00FB5A75" w:rsidP="00FB5A75">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De menționat că soluția privind alocarea suplimentară din contul celei neutilizate de Ucraina nu reprezintă o factor de stabilitate,  având în vedere că în cazul unui consum majorat de energie electrică și/sau a unui atac militar semnificativ asupra sectorului electroenergetic al Ucrainei, ar putea să nu fie disponibile capacități de interconexiune suplimentare.</w:t>
            </w:r>
          </w:p>
          <w:p w14:paraId="63538D01" w14:textId="3B3EB94C" w:rsidR="00FB5A75" w:rsidRPr="002B7FA2" w:rsidRDefault="001852B9" w:rsidP="00FB5A75">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Mai mult, odată cu încheierea sezonului de încălzire, producția locală de energie electrică de către unitățile de cogenerare se va diminua semnificativ, fiind astfel necesar asigurarea </w:t>
            </w:r>
            <w:r w:rsidR="004B233C" w:rsidRPr="002B7FA2">
              <w:rPr>
                <w:rFonts w:ascii="Times New Roman" w:eastAsia="Times New Roman" w:hAnsi="Times New Roman"/>
                <w:sz w:val="28"/>
                <w:szCs w:val="28"/>
                <w:lang w:val="ro-RO"/>
              </w:rPr>
              <w:t>unor importuri semnificative</w:t>
            </w:r>
            <w:r w:rsidRPr="002B7FA2">
              <w:rPr>
                <w:rFonts w:ascii="Times New Roman" w:eastAsia="Times New Roman" w:hAnsi="Times New Roman"/>
                <w:sz w:val="28"/>
                <w:szCs w:val="28"/>
                <w:lang w:val="ro-RO"/>
              </w:rPr>
              <w:t xml:space="preserve"> de energie electrică </w:t>
            </w:r>
            <w:r w:rsidR="004B233C" w:rsidRPr="002B7FA2">
              <w:rPr>
                <w:rFonts w:ascii="Times New Roman" w:eastAsia="Times New Roman" w:hAnsi="Times New Roman"/>
                <w:sz w:val="28"/>
                <w:szCs w:val="28"/>
                <w:lang w:val="ro-RO"/>
              </w:rPr>
              <w:t>și</w:t>
            </w:r>
            <w:r w:rsidRPr="002B7FA2">
              <w:rPr>
                <w:rFonts w:ascii="Times New Roman" w:eastAsia="Times New Roman" w:hAnsi="Times New Roman"/>
                <w:sz w:val="28"/>
                <w:szCs w:val="28"/>
                <w:lang w:val="ro-RO"/>
              </w:rPr>
              <w:t xml:space="preserve"> identificarea </w:t>
            </w:r>
            <w:r w:rsidR="00AA2C45" w:rsidRPr="002B7FA2">
              <w:rPr>
                <w:rFonts w:ascii="Times New Roman" w:eastAsia="Times New Roman" w:hAnsi="Times New Roman"/>
                <w:sz w:val="28"/>
                <w:szCs w:val="28"/>
                <w:lang w:val="ro-RO"/>
              </w:rPr>
              <w:t>producăto</w:t>
            </w:r>
            <w:r w:rsidR="004B233C" w:rsidRPr="002B7FA2">
              <w:rPr>
                <w:rFonts w:ascii="Times New Roman" w:eastAsia="Times New Roman" w:hAnsi="Times New Roman"/>
                <w:sz w:val="28"/>
                <w:szCs w:val="28"/>
                <w:lang w:val="ro-RO"/>
              </w:rPr>
              <w:t>rilor/furnizorilor</w:t>
            </w:r>
            <w:r w:rsidRPr="002B7FA2">
              <w:rPr>
                <w:rFonts w:ascii="Times New Roman" w:eastAsia="Times New Roman" w:hAnsi="Times New Roman"/>
                <w:sz w:val="28"/>
                <w:szCs w:val="28"/>
                <w:lang w:val="ro-RO"/>
              </w:rPr>
              <w:t xml:space="preserve"> </w:t>
            </w:r>
            <w:r w:rsidR="004B233C" w:rsidRPr="002B7FA2">
              <w:rPr>
                <w:rFonts w:ascii="Times New Roman" w:eastAsia="Times New Roman" w:hAnsi="Times New Roman"/>
                <w:sz w:val="28"/>
                <w:szCs w:val="28"/>
                <w:lang w:val="ro-RO"/>
              </w:rPr>
              <w:t>de alternativă</w:t>
            </w:r>
            <w:r w:rsidRPr="002B7FA2">
              <w:rPr>
                <w:rFonts w:ascii="Times New Roman" w:eastAsia="Times New Roman" w:hAnsi="Times New Roman"/>
                <w:sz w:val="28"/>
                <w:szCs w:val="28"/>
                <w:lang w:val="ro-RO"/>
              </w:rPr>
              <w:t>.</w:t>
            </w:r>
          </w:p>
          <w:p w14:paraId="097F097E" w14:textId="5CABE73F" w:rsidR="00FB5A75" w:rsidRPr="002B7FA2" w:rsidRDefault="004B233C" w:rsidP="000069ED">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Totodată, prin intermediul obligației de serviciu public, SA „Energocom” va putea încheia contracte de cumpărare a energiei electrice de la producătorii locali de energie electrică din surse regenerabile.</w:t>
            </w:r>
          </w:p>
          <w:p w14:paraId="042CBA8B" w14:textId="674BA60F" w:rsidR="002C552E" w:rsidRPr="002B7FA2" w:rsidRDefault="004B233C" w:rsidP="000069ED">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În contextul celor menționate, </w:t>
            </w:r>
            <w:r w:rsidR="006A3538" w:rsidRPr="002B7FA2">
              <w:rPr>
                <w:rFonts w:ascii="Times New Roman" w:eastAsia="Times New Roman" w:hAnsi="Times New Roman"/>
                <w:sz w:val="28"/>
                <w:szCs w:val="28"/>
                <w:lang w:val="ro-RO"/>
              </w:rPr>
              <w:t xml:space="preserve">necesitatea prelungirii termenului de aplicabilitate </w:t>
            </w:r>
            <w:r w:rsidR="00490D0B" w:rsidRPr="002B7FA2">
              <w:rPr>
                <w:rFonts w:ascii="Times New Roman" w:eastAsia="Times New Roman" w:hAnsi="Times New Roman"/>
                <w:sz w:val="28"/>
                <w:szCs w:val="28"/>
                <w:lang w:val="ro-RO"/>
              </w:rPr>
              <w:t>a</w:t>
            </w:r>
            <w:r w:rsidR="006A3538" w:rsidRPr="002B7FA2">
              <w:rPr>
                <w:rFonts w:ascii="Times New Roman" w:eastAsia="Times New Roman" w:hAnsi="Times New Roman"/>
                <w:sz w:val="28"/>
                <w:szCs w:val="28"/>
                <w:lang w:val="ro-RO"/>
              </w:rPr>
              <w:t xml:space="preserve"> impunerii obligației de serviciu public</w:t>
            </w:r>
            <w:r w:rsidR="00405972" w:rsidRPr="002B7FA2">
              <w:rPr>
                <w:rFonts w:ascii="Times New Roman" w:eastAsia="Times New Roman" w:hAnsi="Times New Roman"/>
                <w:sz w:val="28"/>
                <w:szCs w:val="28"/>
                <w:lang w:val="ro-RO"/>
              </w:rPr>
              <w:t xml:space="preserve"> cu </w:t>
            </w:r>
            <w:r w:rsidR="00A52AC2" w:rsidRPr="002B7FA2">
              <w:rPr>
                <w:rFonts w:ascii="Times New Roman" w:eastAsia="Times New Roman" w:hAnsi="Times New Roman"/>
                <w:sz w:val="28"/>
                <w:szCs w:val="28"/>
                <w:lang w:val="ro-RO"/>
              </w:rPr>
              <w:t>9</w:t>
            </w:r>
            <w:r w:rsidRPr="002B7FA2">
              <w:rPr>
                <w:rFonts w:ascii="Times New Roman" w:eastAsia="Times New Roman" w:hAnsi="Times New Roman"/>
                <w:sz w:val="28"/>
                <w:szCs w:val="28"/>
                <w:lang w:val="ro-RO"/>
              </w:rPr>
              <w:t xml:space="preserve"> (</w:t>
            </w:r>
            <w:r w:rsidR="00A52AC2" w:rsidRPr="002B7FA2">
              <w:rPr>
                <w:rFonts w:ascii="Times New Roman" w:eastAsia="Times New Roman" w:hAnsi="Times New Roman"/>
                <w:sz w:val="28"/>
                <w:szCs w:val="28"/>
                <w:lang w:val="ro-RO"/>
              </w:rPr>
              <w:t>nouă</w:t>
            </w:r>
            <w:r w:rsidRPr="002B7FA2">
              <w:rPr>
                <w:rFonts w:ascii="Times New Roman" w:eastAsia="Times New Roman" w:hAnsi="Times New Roman"/>
                <w:sz w:val="28"/>
                <w:szCs w:val="28"/>
                <w:lang w:val="ro-RO"/>
              </w:rPr>
              <w:t>) luni</w:t>
            </w:r>
            <w:r w:rsidR="00405972" w:rsidRPr="002B7FA2">
              <w:rPr>
                <w:rFonts w:ascii="Times New Roman" w:eastAsia="Times New Roman" w:hAnsi="Times New Roman"/>
                <w:sz w:val="28"/>
                <w:szCs w:val="28"/>
                <w:lang w:val="ro-RO"/>
              </w:rPr>
              <w:t xml:space="preserve"> </w:t>
            </w:r>
            <w:r w:rsidR="00490D0B" w:rsidRPr="002B7FA2">
              <w:rPr>
                <w:rFonts w:ascii="Times New Roman" w:eastAsia="Times New Roman" w:hAnsi="Times New Roman"/>
                <w:sz w:val="28"/>
                <w:szCs w:val="28"/>
                <w:lang w:val="ro-RO"/>
              </w:rPr>
              <w:t xml:space="preserve">până la </w:t>
            </w:r>
            <w:r w:rsidR="002C552E" w:rsidRPr="002B7FA2">
              <w:rPr>
                <w:rFonts w:ascii="Times New Roman" w:eastAsia="Times New Roman" w:hAnsi="Times New Roman"/>
                <w:sz w:val="28"/>
                <w:szCs w:val="28"/>
                <w:lang w:val="ro-RO"/>
              </w:rPr>
              <w:t>31</w:t>
            </w:r>
            <w:r w:rsidRPr="002B7FA2">
              <w:rPr>
                <w:rFonts w:ascii="Times New Roman" w:eastAsia="Times New Roman" w:hAnsi="Times New Roman"/>
                <w:sz w:val="28"/>
                <w:szCs w:val="28"/>
                <w:lang w:val="ro-RO"/>
              </w:rPr>
              <w:t xml:space="preserve"> </w:t>
            </w:r>
            <w:r w:rsidR="00A52AC2" w:rsidRPr="002B7FA2">
              <w:rPr>
                <w:rFonts w:ascii="Times New Roman" w:eastAsia="Times New Roman" w:hAnsi="Times New Roman"/>
                <w:sz w:val="28"/>
                <w:szCs w:val="28"/>
                <w:lang w:val="ro-RO"/>
              </w:rPr>
              <w:t>decembrie</w:t>
            </w:r>
            <w:r w:rsidR="00490D0B" w:rsidRPr="002B7FA2">
              <w:rPr>
                <w:rFonts w:ascii="Times New Roman" w:eastAsia="Times New Roman" w:hAnsi="Times New Roman"/>
                <w:sz w:val="28"/>
                <w:szCs w:val="28"/>
                <w:lang w:val="ro-RO"/>
              </w:rPr>
              <w:t xml:space="preserve"> </w:t>
            </w:r>
            <w:r w:rsidR="00405972" w:rsidRPr="002B7FA2">
              <w:rPr>
                <w:rFonts w:ascii="Times New Roman" w:eastAsia="Times New Roman" w:hAnsi="Times New Roman"/>
                <w:sz w:val="28"/>
                <w:szCs w:val="28"/>
                <w:lang w:val="ro-RO"/>
              </w:rPr>
              <w:t>202</w:t>
            </w:r>
            <w:r w:rsidR="00A52AC2" w:rsidRPr="002B7FA2">
              <w:rPr>
                <w:rFonts w:ascii="Times New Roman" w:eastAsia="Times New Roman" w:hAnsi="Times New Roman"/>
                <w:sz w:val="28"/>
                <w:szCs w:val="28"/>
                <w:lang w:val="ro-RO"/>
              </w:rPr>
              <w:t>5</w:t>
            </w:r>
            <w:r w:rsidR="006A3538" w:rsidRPr="002B7FA2">
              <w:rPr>
                <w:rFonts w:ascii="Times New Roman" w:eastAsia="Times New Roman" w:hAnsi="Times New Roman"/>
                <w:sz w:val="28"/>
                <w:szCs w:val="28"/>
                <w:lang w:val="ro-RO"/>
              </w:rPr>
              <w:t xml:space="preserve"> este justificată de complexitatea circumstanțelor din regiune și de incertitudinile legate de scenariile viitoare privind asigurarea securității aprovizionării cu energie electrică</w:t>
            </w:r>
            <w:r w:rsidR="004A0F4E" w:rsidRPr="002B7FA2">
              <w:rPr>
                <w:rFonts w:ascii="Times New Roman" w:eastAsia="Times New Roman" w:hAnsi="Times New Roman"/>
                <w:sz w:val="28"/>
                <w:szCs w:val="28"/>
                <w:lang w:val="ro-RO"/>
              </w:rPr>
              <w:t>,</w:t>
            </w:r>
            <w:r w:rsidRPr="002B7FA2">
              <w:rPr>
                <w:rFonts w:ascii="Times New Roman" w:eastAsia="Times New Roman" w:hAnsi="Times New Roman"/>
                <w:sz w:val="28"/>
                <w:szCs w:val="28"/>
                <w:lang w:val="ro-RO"/>
              </w:rPr>
              <w:t xml:space="preserve"> </w:t>
            </w:r>
            <w:r w:rsidR="004A0F4E" w:rsidRPr="002B7FA2">
              <w:rPr>
                <w:rFonts w:ascii="Times New Roman" w:eastAsia="Times New Roman" w:hAnsi="Times New Roman"/>
                <w:sz w:val="28"/>
                <w:szCs w:val="28"/>
                <w:lang w:val="ro-RO"/>
              </w:rPr>
              <w:t xml:space="preserve">or în cazul în care începând cu 1 aprilie 2025 furnizorii serviciului universal, de ultimă opțiune și operatorii de sistem ar urma să organizeze licitații, ar putea apărea situația din luna noiembrie 2024, când din lipsa suficientelor oferte, nu a fost posibilă încheierea unor contracte privind achiziția de energie electrică. </w:t>
            </w:r>
          </w:p>
          <w:p w14:paraId="46DE503A" w14:textId="4B25CCC0" w:rsidR="00AD3C36" w:rsidRPr="002B7FA2" w:rsidRDefault="002C552E" w:rsidP="000069ED">
            <w:pPr>
              <w:spacing w:line="276" w:lineRule="auto"/>
              <w:ind w:firstLine="593"/>
              <w:rPr>
                <w:rFonts w:ascii="Times New Roman" w:eastAsia="Times New Roman" w:hAnsi="Times New Roman"/>
                <w:sz w:val="28"/>
                <w:szCs w:val="28"/>
                <w:lang w:val="ro-RO"/>
              </w:rPr>
            </w:pPr>
            <w:r w:rsidRPr="002B7FA2">
              <w:rPr>
                <w:rFonts w:ascii="Times New Roman" w:hAnsi="Times New Roman"/>
                <w:sz w:val="28"/>
                <w:szCs w:val="28"/>
                <w:lang w:val="ro-RO"/>
              </w:rPr>
              <w:t xml:space="preserve">Totodată, în cazul în care Guvernul României va decide extinderea aplicabilității Ordonanței de Urgență nr. 27/2022 și după luna martie 2025, </w:t>
            </w:r>
            <w:r w:rsidRPr="002B7FA2">
              <w:rPr>
                <w:rFonts w:ascii="Times New Roman" w:eastAsia="Times New Roman" w:hAnsi="Times New Roman"/>
                <w:sz w:val="28"/>
                <w:szCs w:val="28"/>
                <w:lang w:val="ro-RO"/>
              </w:rPr>
              <w:t xml:space="preserve">SA „Energocom” va fi desemnat de către Guvernul Republicii Moldova să încheie contracte cu producătorii de </w:t>
            </w:r>
            <w:r w:rsidRPr="002B7FA2">
              <w:rPr>
                <w:rFonts w:ascii="Times New Roman" w:eastAsia="Times New Roman" w:hAnsi="Times New Roman"/>
                <w:sz w:val="28"/>
                <w:szCs w:val="28"/>
                <w:lang w:val="ro-RO"/>
              </w:rPr>
              <w:lastRenderedPageBreak/>
              <w:t>energie electrică</w:t>
            </w:r>
            <w:r w:rsidRPr="002B7FA2">
              <w:rPr>
                <w:rFonts w:ascii="Times New Roman" w:eastAsia="Times New Roman" w:hAnsi="Times New Roman"/>
                <w:i/>
                <w:iCs/>
                <w:sz w:val="28"/>
                <w:szCs w:val="28"/>
                <w:lang w:val="ro-RO"/>
              </w:rPr>
              <w:t xml:space="preserve">, </w:t>
            </w:r>
            <w:r w:rsidRPr="002B7FA2">
              <w:rPr>
                <w:rFonts w:ascii="Times New Roman" w:eastAsia="Times New Roman" w:hAnsi="Times New Roman"/>
                <w:sz w:val="28"/>
                <w:szCs w:val="28"/>
                <w:lang w:val="ro-RO"/>
              </w:rPr>
              <w:t xml:space="preserve">la prețul de referință, plafonat la 400 RON/MWh (aproximativ </w:t>
            </w:r>
            <w:r w:rsidRPr="002B7FA2">
              <w:rPr>
                <w:rFonts w:ascii="Times New Roman" w:eastAsia="Times New Roman" w:hAnsi="Times New Roman"/>
                <w:sz w:val="28"/>
                <w:szCs w:val="28"/>
                <w:lang w:val="ro-RO"/>
              </w:rPr>
              <w:br/>
              <w:t>80 Euro/MWh).</w:t>
            </w:r>
          </w:p>
          <w:p w14:paraId="392D27DA" w14:textId="77777777" w:rsidR="002C552E" w:rsidRPr="002B7FA2" w:rsidRDefault="002C552E" w:rsidP="000069ED">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Suplimentar, de menționat că, capacitatea transfrontalieră pe direcția de import din Ucraina, la moment, rămâne a fi limitată, în aceste condiții, incertitudinea existenței capacității transfrontaliere disponibile determină imposibilitatea efectuării importurilor predictibile din Ucraina de către furnizorii de energie electrică. </w:t>
            </w:r>
          </w:p>
          <w:p w14:paraId="0E4F498F" w14:textId="77777777" w:rsidR="002C552E" w:rsidRPr="002B7FA2" w:rsidRDefault="002C552E" w:rsidP="000069ED">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Astfel, instituirea obligației de serviciu public în vederea asigurării securității aprovizionării cu energie electrică pe o durată mai mare, ar crea premise pentru stabilirea de către SA „Energocom” a unor parteneriate durabile cu producătorii/furnizorii de energie electrică. </w:t>
            </w:r>
          </w:p>
          <w:p w14:paraId="711D17B8" w14:textId="0C43A2D7" w:rsidR="00EA326F" w:rsidRPr="002B7FA2" w:rsidRDefault="002C552E" w:rsidP="002C552E">
            <w:pPr>
              <w:spacing w:line="276" w:lineRule="auto"/>
              <w:ind w:firstLine="593"/>
              <w:rPr>
                <w:rFonts w:ascii="Times New Roman" w:eastAsia="Times New Roman" w:hAnsi="Times New Roman"/>
                <w:sz w:val="28"/>
                <w:szCs w:val="28"/>
                <w:lang w:val="ro-RO"/>
              </w:rPr>
            </w:pPr>
            <w:r w:rsidRPr="002B7FA2">
              <w:rPr>
                <w:rFonts w:ascii="Times New Roman" w:eastAsia="Times New Roman" w:hAnsi="Times New Roman"/>
                <w:sz w:val="28"/>
                <w:szCs w:val="28"/>
                <w:lang w:val="ro-RO"/>
              </w:rPr>
              <w:t xml:space="preserve">De asemenea, extinderea termenului până la 31 </w:t>
            </w:r>
            <w:r w:rsidR="00A52AC2" w:rsidRPr="002B7FA2">
              <w:rPr>
                <w:rFonts w:ascii="Times New Roman" w:eastAsia="Times New Roman" w:hAnsi="Times New Roman"/>
                <w:sz w:val="28"/>
                <w:szCs w:val="28"/>
                <w:lang w:val="ro-RO"/>
              </w:rPr>
              <w:t>decembrie 2025</w:t>
            </w:r>
            <w:r w:rsidRPr="002B7FA2">
              <w:rPr>
                <w:rFonts w:ascii="Times New Roman" w:eastAsia="Times New Roman" w:hAnsi="Times New Roman"/>
                <w:sz w:val="28"/>
                <w:szCs w:val="28"/>
                <w:lang w:val="ro-RO"/>
              </w:rPr>
              <w:t xml:space="preserve"> ar preveni impactul negativ urmare a creșterii prețurilor de achiziție a energiei electrice în pragul sezonului de încălzire or, procurarea de energie electrică pentru o perioadă de timp mai lungă și în volume mai mari, permite negocierea unor prețuri mai mici de achiziție a energiei electrice.</w:t>
            </w:r>
          </w:p>
        </w:tc>
      </w:tr>
      <w:tr w:rsidR="00D87F87" w:rsidRPr="00736BAB" w14:paraId="7BFA31D3" w14:textId="77777777" w:rsidTr="00736BAB">
        <w:tc>
          <w:tcPr>
            <w:tcW w:w="10349" w:type="dxa"/>
            <w:shd w:val="clear" w:color="BFBFBF" w:fill="BFBFBF"/>
            <w:tcMar>
              <w:top w:w="0" w:type="dxa"/>
              <w:left w:w="108" w:type="dxa"/>
              <w:bottom w:w="0" w:type="dxa"/>
              <w:right w:w="108" w:type="dxa"/>
            </w:tcMar>
          </w:tcPr>
          <w:p w14:paraId="6F67CB96"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lastRenderedPageBreak/>
              <w:t>3. Obiectivele urmărite și soluțiile propuse</w:t>
            </w:r>
          </w:p>
        </w:tc>
      </w:tr>
      <w:tr w:rsidR="00D87F87" w:rsidRPr="00736BAB" w14:paraId="34D694EE" w14:textId="77777777" w:rsidTr="00736BAB">
        <w:tc>
          <w:tcPr>
            <w:tcW w:w="10349" w:type="dxa"/>
            <w:shd w:val="clear" w:color="auto" w:fill="F2F2F2" w:themeFill="background1" w:themeFillShade="F2"/>
            <w:tcMar>
              <w:top w:w="0" w:type="dxa"/>
              <w:left w:w="108" w:type="dxa"/>
              <w:bottom w:w="0" w:type="dxa"/>
              <w:right w:w="108" w:type="dxa"/>
            </w:tcMar>
          </w:tcPr>
          <w:p w14:paraId="48566111"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3.1. Principalele prevederi ale proiectului și evidențierea elementelor noi</w:t>
            </w:r>
          </w:p>
        </w:tc>
      </w:tr>
      <w:tr w:rsidR="00823022" w:rsidRPr="00736BAB" w14:paraId="17FD34EA" w14:textId="77777777" w:rsidTr="00736BAB">
        <w:tc>
          <w:tcPr>
            <w:tcW w:w="10349" w:type="dxa"/>
            <w:shd w:val="clear" w:color="auto" w:fill="auto"/>
            <w:tcMar>
              <w:top w:w="0" w:type="dxa"/>
              <w:left w:w="108" w:type="dxa"/>
              <w:bottom w:w="0" w:type="dxa"/>
              <w:right w:w="108" w:type="dxa"/>
            </w:tcMar>
          </w:tcPr>
          <w:p w14:paraId="744C132B" w14:textId="77777777" w:rsidR="00C53626" w:rsidRPr="002B7FA2" w:rsidRDefault="00823022"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Proiectul hotărârii prevede modificarea </w:t>
            </w:r>
            <w:r w:rsidR="00C53626" w:rsidRPr="002B7FA2">
              <w:rPr>
                <w:rFonts w:ascii="Times New Roman" w:hAnsi="Times New Roman"/>
                <w:sz w:val="28"/>
                <w:szCs w:val="28"/>
                <w:lang w:val="ro-RO"/>
              </w:rPr>
              <w:t>Hotărârii de Guvern nr. 1059/2023 cu privire la impunerea obligației de serviciu public în vederea asigurării securității aprovizionării cu energie electrică, și anume:</w:t>
            </w:r>
          </w:p>
          <w:p w14:paraId="73FEFB57" w14:textId="389C7C88" w:rsidR="00823022" w:rsidRPr="002B7FA2" w:rsidRDefault="00B369F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Modificarea textului din pct. 1 în sensul prelungirii termenului de impunere a obligației de serviciu public </w:t>
            </w:r>
            <w:r w:rsidR="00C40385" w:rsidRPr="002B7FA2">
              <w:rPr>
                <w:rFonts w:ascii="Times New Roman" w:hAnsi="Times New Roman"/>
                <w:sz w:val="28"/>
                <w:szCs w:val="28"/>
                <w:lang w:val="ro-RO"/>
              </w:rPr>
              <w:t xml:space="preserve">cu </w:t>
            </w:r>
            <w:r w:rsidR="002C552E" w:rsidRPr="002B7FA2">
              <w:rPr>
                <w:rFonts w:ascii="Times New Roman" w:hAnsi="Times New Roman"/>
                <w:sz w:val="28"/>
                <w:szCs w:val="28"/>
                <w:lang w:val="ro-RO"/>
              </w:rPr>
              <w:t>12</w:t>
            </w:r>
            <w:r w:rsidR="00C40385" w:rsidRPr="002B7FA2">
              <w:rPr>
                <w:rFonts w:ascii="Times New Roman" w:hAnsi="Times New Roman"/>
                <w:sz w:val="28"/>
                <w:szCs w:val="28"/>
                <w:lang w:val="ro-RO"/>
              </w:rPr>
              <w:t xml:space="preserve"> luni, astfel încât textul </w:t>
            </w:r>
            <w:r w:rsidR="0085578F" w:rsidRPr="002B7FA2">
              <w:rPr>
                <w:rFonts w:ascii="Times New Roman" w:hAnsi="Times New Roman"/>
                <w:sz w:val="28"/>
                <w:szCs w:val="28"/>
                <w:lang w:val="ro-RO"/>
              </w:rPr>
              <w:t>„31</w:t>
            </w:r>
            <w:r w:rsidR="00181ABC" w:rsidRPr="002B7FA2">
              <w:rPr>
                <w:rFonts w:ascii="Times New Roman" w:hAnsi="Times New Roman"/>
                <w:sz w:val="28"/>
                <w:szCs w:val="28"/>
                <w:lang w:val="ro-RO"/>
              </w:rPr>
              <w:t xml:space="preserve"> martie 2025</w:t>
            </w:r>
            <w:r w:rsidR="0085578F" w:rsidRPr="002B7FA2">
              <w:rPr>
                <w:rFonts w:ascii="Times New Roman" w:hAnsi="Times New Roman"/>
                <w:sz w:val="28"/>
                <w:szCs w:val="28"/>
                <w:lang w:val="ro-RO"/>
              </w:rPr>
              <w:t>” să fie substituit cu textul „</w:t>
            </w:r>
            <w:r w:rsidR="002C552E" w:rsidRPr="002B7FA2">
              <w:rPr>
                <w:rFonts w:ascii="Times New Roman" w:hAnsi="Times New Roman"/>
                <w:sz w:val="28"/>
                <w:szCs w:val="28"/>
                <w:lang w:val="ro-RO"/>
              </w:rPr>
              <w:t>31</w:t>
            </w:r>
            <w:r w:rsidR="0085578F" w:rsidRPr="002B7FA2">
              <w:rPr>
                <w:rFonts w:ascii="Times New Roman" w:hAnsi="Times New Roman"/>
                <w:sz w:val="28"/>
                <w:szCs w:val="28"/>
                <w:lang w:val="ro-RO"/>
              </w:rPr>
              <w:t xml:space="preserve"> </w:t>
            </w:r>
            <w:r w:rsidR="00A52AC2" w:rsidRPr="002B7FA2">
              <w:rPr>
                <w:rFonts w:ascii="Times New Roman" w:hAnsi="Times New Roman"/>
                <w:sz w:val="28"/>
                <w:szCs w:val="28"/>
                <w:lang w:val="ro-RO"/>
              </w:rPr>
              <w:t xml:space="preserve">decembrie </w:t>
            </w:r>
            <w:r w:rsidR="0085578F" w:rsidRPr="002B7FA2">
              <w:rPr>
                <w:rFonts w:ascii="Times New Roman" w:hAnsi="Times New Roman"/>
                <w:sz w:val="28"/>
                <w:szCs w:val="28"/>
                <w:lang w:val="ro-RO"/>
              </w:rPr>
              <w:t>202</w:t>
            </w:r>
            <w:r w:rsidR="00A52AC2" w:rsidRPr="002B7FA2">
              <w:rPr>
                <w:rFonts w:ascii="Times New Roman" w:hAnsi="Times New Roman"/>
                <w:sz w:val="28"/>
                <w:szCs w:val="28"/>
                <w:lang w:val="ro-RO"/>
              </w:rPr>
              <w:t>5</w:t>
            </w:r>
            <w:r w:rsidR="0085578F" w:rsidRPr="002B7FA2">
              <w:rPr>
                <w:rFonts w:ascii="Times New Roman" w:hAnsi="Times New Roman"/>
                <w:sz w:val="28"/>
                <w:szCs w:val="28"/>
                <w:lang w:val="ro-RO"/>
              </w:rPr>
              <w:t>”.</w:t>
            </w:r>
          </w:p>
        </w:tc>
      </w:tr>
      <w:tr w:rsidR="00D87F87" w:rsidRPr="002B7FA2" w14:paraId="00FABB93" w14:textId="77777777" w:rsidTr="00736BAB">
        <w:tc>
          <w:tcPr>
            <w:tcW w:w="10349" w:type="dxa"/>
            <w:shd w:val="clear" w:color="auto" w:fill="F2F2F2" w:themeFill="background1" w:themeFillShade="F2"/>
            <w:tcMar>
              <w:top w:w="0" w:type="dxa"/>
              <w:left w:w="108" w:type="dxa"/>
              <w:bottom w:w="0" w:type="dxa"/>
              <w:right w:w="108" w:type="dxa"/>
            </w:tcMar>
          </w:tcPr>
          <w:p w14:paraId="271C3A71"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3.2. Opțiunile alternative analizate și motivele pentru care acestea nu au fost luate în considerare</w:t>
            </w:r>
          </w:p>
        </w:tc>
      </w:tr>
      <w:tr w:rsidR="00D87F87" w:rsidRPr="00736BAB" w14:paraId="0387D799" w14:textId="77777777" w:rsidTr="00736BAB">
        <w:trPr>
          <w:trHeight w:val="191"/>
        </w:trPr>
        <w:tc>
          <w:tcPr>
            <w:tcW w:w="10349" w:type="dxa"/>
            <w:tcMar>
              <w:top w:w="0" w:type="dxa"/>
              <w:left w:w="108" w:type="dxa"/>
              <w:bottom w:w="0" w:type="dxa"/>
              <w:right w:w="108" w:type="dxa"/>
            </w:tcMar>
          </w:tcPr>
          <w:p w14:paraId="4D7D9435" w14:textId="5024CB88" w:rsidR="00172CEC" w:rsidRPr="002B7FA2" w:rsidRDefault="00640E59"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În procesul elaborării proiectului de act normativ </w:t>
            </w:r>
            <w:r w:rsidR="002B3CE5" w:rsidRPr="002B7FA2">
              <w:rPr>
                <w:rFonts w:ascii="Times New Roman" w:hAnsi="Times New Roman"/>
                <w:sz w:val="28"/>
                <w:szCs w:val="28"/>
                <w:lang w:val="ro-RO"/>
              </w:rPr>
              <w:t>a fost</w:t>
            </w:r>
            <w:r w:rsidRPr="002B7FA2">
              <w:rPr>
                <w:rFonts w:ascii="Times New Roman" w:hAnsi="Times New Roman"/>
                <w:sz w:val="28"/>
                <w:szCs w:val="28"/>
                <w:lang w:val="ro-RO"/>
              </w:rPr>
              <w:t xml:space="preserve"> analizat</w:t>
            </w:r>
            <w:r w:rsidR="002B3CE5" w:rsidRPr="002B7FA2">
              <w:rPr>
                <w:rFonts w:ascii="Times New Roman" w:hAnsi="Times New Roman"/>
                <w:sz w:val="28"/>
                <w:szCs w:val="28"/>
                <w:lang w:val="ro-RO"/>
              </w:rPr>
              <w:t>ă</w:t>
            </w:r>
            <w:r w:rsidRPr="002B7FA2">
              <w:rPr>
                <w:rFonts w:ascii="Times New Roman" w:hAnsi="Times New Roman"/>
                <w:sz w:val="28"/>
                <w:szCs w:val="28"/>
                <w:lang w:val="ro-RO"/>
              </w:rPr>
              <w:t xml:space="preserve"> </w:t>
            </w:r>
            <w:r w:rsidR="002B3CE5" w:rsidRPr="002B7FA2">
              <w:rPr>
                <w:rFonts w:ascii="Times New Roman" w:hAnsi="Times New Roman"/>
                <w:sz w:val="28"/>
                <w:szCs w:val="28"/>
                <w:lang w:val="ro-RO"/>
              </w:rPr>
              <w:t xml:space="preserve">opțiunea de a nu face nimic, </w:t>
            </w:r>
            <w:r w:rsidR="00CA6C84" w:rsidRPr="002B7FA2">
              <w:rPr>
                <w:rFonts w:ascii="Times New Roman" w:hAnsi="Times New Roman"/>
                <w:sz w:val="28"/>
                <w:szCs w:val="28"/>
                <w:lang w:val="ro-RO"/>
              </w:rPr>
              <w:t>ceea ce presupune revenirea</w:t>
            </w:r>
            <w:r w:rsidR="007E6A98" w:rsidRPr="002B7FA2">
              <w:rPr>
                <w:rFonts w:ascii="Times New Roman" w:hAnsi="Times New Roman"/>
                <w:sz w:val="28"/>
                <w:szCs w:val="28"/>
                <w:lang w:val="ro-RO"/>
              </w:rPr>
              <w:t xml:space="preserve"> începând cu </w:t>
            </w:r>
            <w:r w:rsidR="003D57AE" w:rsidRPr="002B7FA2">
              <w:rPr>
                <w:rFonts w:ascii="Times New Roman" w:hAnsi="Times New Roman"/>
                <w:sz w:val="28"/>
                <w:szCs w:val="28"/>
                <w:lang w:val="ro-RO"/>
              </w:rPr>
              <w:t>01</w:t>
            </w:r>
            <w:r w:rsidR="007E6A98" w:rsidRPr="002B7FA2">
              <w:rPr>
                <w:rFonts w:ascii="Times New Roman" w:hAnsi="Times New Roman"/>
                <w:sz w:val="28"/>
                <w:szCs w:val="28"/>
                <w:lang w:val="ro-RO"/>
              </w:rPr>
              <w:t xml:space="preserve"> </w:t>
            </w:r>
            <w:r w:rsidR="003D57AE" w:rsidRPr="002B7FA2">
              <w:rPr>
                <w:rFonts w:ascii="Times New Roman" w:hAnsi="Times New Roman"/>
                <w:sz w:val="28"/>
                <w:szCs w:val="28"/>
                <w:lang w:val="ro-RO"/>
              </w:rPr>
              <w:t>aprilie</w:t>
            </w:r>
            <w:r w:rsidR="007E6A98" w:rsidRPr="002B7FA2">
              <w:rPr>
                <w:rFonts w:ascii="Times New Roman" w:hAnsi="Times New Roman"/>
                <w:sz w:val="28"/>
                <w:szCs w:val="28"/>
                <w:lang w:val="ro-RO"/>
              </w:rPr>
              <w:t xml:space="preserve"> 2025</w:t>
            </w:r>
            <w:r w:rsidR="00CA6C84" w:rsidRPr="002B7FA2">
              <w:rPr>
                <w:rFonts w:ascii="Times New Roman" w:hAnsi="Times New Roman"/>
                <w:sz w:val="28"/>
                <w:szCs w:val="28"/>
                <w:lang w:val="ro-RO"/>
              </w:rPr>
              <w:t xml:space="preserve"> la procedura de achiziție a energiei electrice descrise în Anexă la Regulile pieței energiei electrice aprobate prin Hotărârea Agenției Naționale pentru Reglementare în </w:t>
            </w:r>
            <w:r w:rsidR="00335B4E" w:rsidRPr="002B7FA2">
              <w:rPr>
                <w:rFonts w:ascii="Times New Roman" w:hAnsi="Times New Roman"/>
                <w:sz w:val="28"/>
                <w:szCs w:val="28"/>
                <w:lang w:val="ro-RO"/>
              </w:rPr>
              <w:t>E</w:t>
            </w:r>
            <w:r w:rsidR="00CA6C84" w:rsidRPr="002B7FA2">
              <w:rPr>
                <w:rFonts w:ascii="Times New Roman" w:hAnsi="Times New Roman"/>
                <w:sz w:val="28"/>
                <w:szCs w:val="28"/>
                <w:lang w:val="ro-RO"/>
              </w:rPr>
              <w:t>nergetică</w:t>
            </w:r>
            <w:r w:rsidR="002B7FA2">
              <w:rPr>
                <w:rFonts w:ascii="Times New Roman" w:hAnsi="Times New Roman"/>
                <w:sz w:val="28"/>
                <w:szCs w:val="28"/>
                <w:lang w:val="ro-RO"/>
              </w:rPr>
              <w:t xml:space="preserve"> </w:t>
            </w:r>
            <w:r w:rsidR="00887A0E" w:rsidRPr="002B7FA2">
              <w:rPr>
                <w:rFonts w:ascii="Times New Roman" w:hAnsi="Times New Roman"/>
                <w:sz w:val="28"/>
                <w:szCs w:val="28"/>
                <w:lang w:val="ro-RO"/>
              </w:rPr>
              <w:br/>
            </w:r>
            <w:r w:rsidR="00CA6C84" w:rsidRPr="002B7FA2">
              <w:rPr>
                <w:rFonts w:ascii="Times New Roman" w:hAnsi="Times New Roman"/>
                <w:sz w:val="28"/>
                <w:szCs w:val="28"/>
                <w:lang w:val="ro-RO"/>
              </w:rPr>
              <w:t>nr. 283/2020.</w:t>
            </w:r>
            <w:r w:rsidR="002B7FA2">
              <w:rPr>
                <w:rFonts w:ascii="Times New Roman" w:hAnsi="Times New Roman"/>
                <w:sz w:val="28"/>
                <w:szCs w:val="28"/>
                <w:lang w:val="ro-RO"/>
              </w:rPr>
              <w:t xml:space="preserve"> </w:t>
            </w:r>
            <w:r w:rsidR="00FA0BAF" w:rsidRPr="002B7FA2">
              <w:rPr>
                <w:rFonts w:ascii="Times New Roman" w:hAnsi="Times New Roman"/>
                <w:sz w:val="28"/>
                <w:szCs w:val="28"/>
                <w:lang w:val="ro-RO"/>
              </w:rPr>
              <w:t xml:space="preserve">În acest sens, </w:t>
            </w:r>
            <w:r w:rsidR="00CA6C84" w:rsidRPr="002B7FA2">
              <w:rPr>
                <w:rFonts w:ascii="Times New Roman" w:hAnsi="Times New Roman"/>
                <w:sz w:val="28"/>
                <w:szCs w:val="28"/>
                <w:lang w:val="ro-RO"/>
              </w:rPr>
              <w:t xml:space="preserve">de menționat că în cazul </w:t>
            </w:r>
            <w:r w:rsidR="00FA0BAF" w:rsidRPr="002B7FA2">
              <w:rPr>
                <w:rFonts w:ascii="Times New Roman" w:hAnsi="Times New Roman"/>
                <w:sz w:val="28"/>
                <w:szCs w:val="28"/>
                <w:lang w:val="ro-RO"/>
              </w:rPr>
              <w:t xml:space="preserve">aplicării </w:t>
            </w:r>
            <w:r w:rsidR="00CA6C84" w:rsidRPr="002B7FA2">
              <w:rPr>
                <w:rFonts w:ascii="Times New Roman" w:hAnsi="Times New Roman"/>
                <w:sz w:val="28"/>
                <w:szCs w:val="28"/>
                <w:lang w:val="ro-RO"/>
              </w:rPr>
              <w:t>procedur</w:t>
            </w:r>
            <w:r w:rsidR="00FA0BAF" w:rsidRPr="002B7FA2">
              <w:rPr>
                <w:rFonts w:ascii="Times New Roman" w:hAnsi="Times New Roman"/>
                <w:sz w:val="28"/>
                <w:szCs w:val="28"/>
                <w:lang w:val="ro-RO"/>
              </w:rPr>
              <w:t>ii</w:t>
            </w:r>
            <w:r w:rsidR="00CA6C84" w:rsidRPr="002B7FA2">
              <w:rPr>
                <w:rFonts w:ascii="Times New Roman" w:hAnsi="Times New Roman"/>
                <w:sz w:val="28"/>
                <w:szCs w:val="28"/>
                <w:lang w:val="ro-RO"/>
              </w:rPr>
              <w:t xml:space="preserve"> de achiziție descris</w:t>
            </w:r>
            <w:r w:rsidR="00FA0BAF" w:rsidRPr="002B7FA2">
              <w:rPr>
                <w:rFonts w:ascii="Times New Roman" w:hAnsi="Times New Roman"/>
                <w:sz w:val="28"/>
                <w:szCs w:val="28"/>
                <w:lang w:val="ro-RO"/>
              </w:rPr>
              <w:t>e</w:t>
            </w:r>
            <w:r w:rsidR="00CA6C84" w:rsidRPr="002B7FA2">
              <w:rPr>
                <w:rFonts w:ascii="Times New Roman" w:hAnsi="Times New Roman"/>
                <w:sz w:val="28"/>
                <w:szCs w:val="28"/>
                <w:lang w:val="ro-RO"/>
              </w:rPr>
              <w:t xml:space="preserve"> în Anexă la Regulile pieței energiei electrice există un risc pertinent</w:t>
            </w:r>
            <w:r w:rsidR="00BA3388" w:rsidRPr="002B7FA2">
              <w:rPr>
                <w:rFonts w:ascii="Times New Roman" w:hAnsi="Times New Roman"/>
                <w:sz w:val="28"/>
                <w:szCs w:val="28"/>
                <w:lang w:val="ro-RO"/>
              </w:rPr>
              <w:t xml:space="preserve"> major</w:t>
            </w:r>
            <w:r w:rsidR="00CA6C84" w:rsidRPr="002B7FA2">
              <w:rPr>
                <w:rFonts w:ascii="Times New Roman" w:hAnsi="Times New Roman"/>
                <w:sz w:val="28"/>
                <w:szCs w:val="28"/>
                <w:lang w:val="ro-RO"/>
              </w:rPr>
              <w:t xml:space="preserve"> de a avea o situație c</w:t>
            </w:r>
            <w:r w:rsidR="002D2ABA" w:rsidRPr="002B7FA2">
              <w:rPr>
                <w:rFonts w:ascii="Times New Roman" w:hAnsi="Times New Roman"/>
                <w:sz w:val="28"/>
                <w:szCs w:val="28"/>
                <w:lang w:val="ro-RO"/>
              </w:rPr>
              <w:t>ă</w:t>
            </w:r>
            <w:r w:rsidR="00CA6C84" w:rsidRPr="002B7FA2">
              <w:rPr>
                <w:rFonts w:ascii="Times New Roman" w:hAnsi="Times New Roman"/>
                <w:sz w:val="28"/>
                <w:szCs w:val="28"/>
                <w:lang w:val="ro-RO"/>
              </w:rPr>
              <w:t xml:space="preserve"> la licitații</w:t>
            </w:r>
            <w:r w:rsidR="002D2ABA" w:rsidRPr="002B7FA2">
              <w:rPr>
                <w:rFonts w:ascii="Times New Roman" w:hAnsi="Times New Roman"/>
                <w:sz w:val="28"/>
                <w:szCs w:val="28"/>
                <w:lang w:val="ro-RO"/>
              </w:rPr>
              <w:t>le</w:t>
            </w:r>
            <w:r w:rsidR="00BA3388" w:rsidRPr="002B7FA2">
              <w:rPr>
                <w:rFonts w:ascii="Times New Roman" w:hAnsi="Times New Roman"/>
                <w:sz w:val="28"/>
                <w:szCs w:val="28"/>
                <w:lang w:val="ro-RO"/>
              </w:rPr>
              <w:t xml:space="preserve"> organizate de furnizori</w:t>
            </w:r>
            <w:r w:rsidR="00CA6C84" w:rsidRPr="002B7FA2">
              <w:rPr>
                <w:rFonts w:ascii="Times New Roman" w:hAnsi="Times New Roman"/>
                <w:sz w:val="28"/>
                <w:szCs w:val="28"/>
                <w:lang w:val="ro-RO"/>
              </w:rPr>
              <w:t xml:space="preserve"> să nu fie prezentate suficiente oferte</w:t>
            </w:r>
            <w:r w:rsidR="002D2ABA" w:rsidRPr="002B7FA2">
              <w:rPr>
                <w:rFonts w:ascii="Times New Roman" w:hAnsi="Times New Roman"/>
                <w:sz w:val="28"/>
                <w:szCs w:val="28"/>
                <w:lang w:val="ro-RO"/>
              </w:rPr>
              <w:t>,</w:t>
            </w:r>
            <w:r w:rsidR="00CA6C84" w:rsidRPr="002B7FA2">
              <w:rPr>
                <w:rFonts w:ascii="Times New Roman" w:hAnsi="Times New Roman"/>
                <w:sz w:val="28"/>
                <w:szCs w:val="28"/>
                <w:lang w:val="ro-RO"/>
              </w:rPr>
              <w:t xml:space="preserve"> ori la aceste licitații să fie oferite oferte de prețuri neaccesibile consumatorilor și care nu reflectă costurile reale.</w:t>
            </w:r>
          </w:p>
          <w:p w14:paraId="030EBCD1" w14:textId="7B9E1B2C" w:rsidR="00CA6C84" w:rsidRPr="002B7FA2" w:rsidRDefault="00172CE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În acest sens, sectorul electroenergetic va</w:t>
            </w:r>
            <w:r w:rsidR="002D2ABA" w:rsidRPr="002B7FA2">
              <w:rPr>
                <w:rFonts w:ascii="Times New Roman" w:hAnsi="Times New Roman"/>
                <w:sz w:val="28"/>
                <w:szCs w:val="28"/>
                <w:lang w:val="ro-RO"/>
              </w:rPr>
              <w:t xml:space="preserve"> fi</w:t>
            </w:r>
            <w:r w:rsidRPr="002B7FA2">
              <w:rPr>
                <w:rFonts w:ascii="Times New Roman" w:hAnsi="Times New Roman"/>
                <w:sz w:val="28"/>
                <w:szCs w:val="28"/>
                <w:lang w:val="ro-RO"/>
              </w:rPr>
              <w:t xml:space="preserve"> pus în situație în care nu poate</w:t>
            </w:r>
            <w:r w:rsidR="008A519B" w:rsidRPr="002B7FA2">
              <w:rPr>
                <w:rFonts w:ascii="Times New Roman" w:hAnsi="Times New Roman"/>
                <w:sz w:val="28"/>
                <w:szCs w:val="28"/>
                <w:lang w:val="ro-RO"/>
              </w:rPr>
              <w:t>/nu are surse</w:t>
            </w:r>
            <w:r w:rsidR="003B5200" w:rsidRPr="002B7FA2">
              <w:rPr>
                <w:rFonts w:ascii="Times New Roman" w:hAnsi="Times New Roman"/>
                <w:sz w:val="28"/>
                <w:szCs w:val="28"/>
                <w:lang w:val="ro-RO"/>
              </w:rPr>
              <w:t xml:space="preserve"> alternative</w:t>
            </w:r>
            <w:r w:rsidR="008A519B" w:rsidRPr="002B7FA2">
              <w:rPr>
                <w:rFonts w:ascii="Times New Roman" w:hAnsi="Times New Roman"/>
                <w:sz w:val="28"/>
                <w:szCs w:val="28"/>
                <w:lang w:val="ro-RO"/>
              </w:rPr>
              <w:t xml:space="preserve"> pentru acoperii cererea de energie electrică</w:t>
            </w:r>
            <w:r w:rsidR="003B5200" w:rsidRPr="002B7FA2">
              <w:rPr>
                <w:rFonts w:ascii="Times New Roman" w:hAnsi="Times New Roman"/>
                <w:sz w:val="28"/>
                <w:szCs w:val="28"/>
                <w:lang w:val="ro-RO"/>
              </w:rPr>
              <w:t xml:space="preserve">, furnizorii nefiind capabili să achiziționeze </w:t>
            </w:r>
            <w:r w:rsidR="008C36E9" w:rsidRPr="002B7FA2">
              <w:rPr>
                <w:rFonts w:ascii="Times New Roman" w:hAnsi="Times New Roman"/>
                <w:sz w:val="28"/>
                <w:szCs w:val="28"/>
                <w:lang w:val="ro-RO"/>
              </w:rPr>
              <w:t>energi</w:t>
            </w:r>
            <w:r w:rsidR="00F53022" w:rsidRPr="002B7FA2">
              <w:rPr>
                <w:rFonts w:ascii="Times New Roman" w:hAnsi="Times New Roman"/>
                <w:sz w:val="28"/>
                <w:szCs w:val="28"/>
                <w:lang w:val="ro-RO"/>
              </w:rPr>
              <w:t>e</w:t>
            </w:r>
            <w:r w:rsidR="008C36E9" w:rsidRPr="002B7FA2">
              <w:rPr>
                <w:rFonts w:ascii="Times New Roman" w:hAnsi="Times New Roman"/>
                <w:sz w:val="28"/>
                <w:szCs w:val="28"/>
                <w:lang w:val="ro-RO"/>
              </w:rPr>
              <w:t xml:space="preserve"> din alte surse precum Romania</w:t>
            </w:r>
            <w:r w:rsidR="00D732AD" w:rsidRPr="002B7FA2">
              <w:rPr>
                <w:rFonts w:ascii="Times New Roman" w:hAnsi="Times New Roman"/>
                <w:sz w:val="28"/>
                <w:szCs w:val="28"/>
                <w:lang w:val="ro-RO"/>
              </w:rPr>
              <w:t>,</w:t>
            </w:r>
            <w:r w:rsidR="008C36E9" w:rsidRPr="002B7FA2">
              <w:rPr>
                <w:rFonts w:ascii="Times New Roman" w:hAnsi="Times New Roman"/>
                <w:sz w:val="28"/>
                <w:szCs w:val="28"/>
                <w:lang w:val="ro-RO"/>
              </w:rPr>
              <w:t xml:space="preserve"> neavând licențe și alte acte</w:t>
            </w:r>
            <w:r w:rsidR="001E7C9F" w:rsidRPr="002B7FA2">
              <w:rPr>
                <w:rFonts w:ascii="Times New Roman" w:hAnsi="Times New Roman"/>
                <w:sz w:val="28"/>
                <w:szCs w:val="28"/>
                <w:lang w:val="ro-RO"/>
              </w:rPr>
              <w:t>/condiții</w:t>
            </w:r>
            <w:r w:rsidR="00F53022" w:rsidRPr="002B7FA2">
              <w:rPr>
                <w:rFonts w:ascii="Times New Roman" w:hAnsi="Times New Roman"/>
                <w:sz w:val="28"/>
                <w:szCs w:val="28"/>
                <w:lang w:val="ro-RO"/>
              </w:rPr>
              <w:t>/acte</w:t>
            </w:r>
            <w:r w:rsidR="008C36E9" w:rsidRPr="002B7FA2">
              <w:rPr>
                <w:rFonts w:ascii="Times New Roman" w:hAnsi="Times New Roman"/>
                <w:sz w:val="28"/>
                <w:szCs w:val="28"/>
                <w:lang w:val="ro-RO"/>
              </w:rPr>
              <w:t xml:space="preserve"> permisive</w:t>
            </w:r>
            <w:r w:rsidR="001E7C9F" w:rsidRPr="002B7FA2">
              <w:rPr>
                <w:rFonts w:ascii="Times New Roman" w:hAnsi="Times New Roman"/>
                <w:sz w:val="28"/>
                <w:szCs w:val="28"/>
                <w:lang w:val="ro-RO"/>
              </w:rPr>
              <w:t xml:space="preserve"> respect</w:t>
            </w:r>
            <w:r w:rsidR="00F53022" w:rsidRPr="002B7FA2">
              <w:rPr>
                <w:rFonts w:ascii="Times New Roman" w:hAnsi="Times New Roman"/>
                <w:sz w:val="28"/>
                <w:szCs w:val="28"/>
                <w:lang w:val="ro-RO"/>
              </w:rPr>
              <w:t>ive</w:t>
            </w:r>
            <w:r w:rsidR="001E7C9F" w:rsidRPr="002B7FA2">
              <w:rPr>
                <w:rFonts w:ascii="Times New Roman" w:hAnsi="Times New Roman"/>
                <w:sz w:val="28"/>
                <w:szCs w:val="28"/>
                <w:lang w:val="ro-RO"/>
              </w:rPr>
              <w:t xml:space="preserve"> necesare pentru achizițiile de energie electrică de pe piața din Rom</w:t>
            </w:r>
            <w:r w:rsidR="00F53022" w:rsidRPr="002B7FA2">
              <w:rPr>
                <w:rFonts w:ascii="Times New Roman" w:hAnsi="Times New Roman"/>
                <w:sz w:val="28"/>
                <w:szCs w:val="28"/>
                <w:lang w:val="ro-RO"/>
              </w:rPr>
              <w:t>â</w:t>
            </w:r>
            <w:r w:rsidR="001E7C9F" w:rsidRPr="002B7FA2">
              <w:rPr>
                <w:rFonts w:ascii="Times New Roman" w:hAnsi="Times New Roman"/>
                <w:sz w:val="28"/>
                <w:szCs w:val="28"/>
                <w:lang w:val="ro-RO"/>
              </w:rPr>
              <w:t>nia sau alte state membre a</w:t>
            </w:r>
            <w:r w:rsidR="00F53022" w:rsidRPr="002B7FA2">
              <w:rPr>
                <w:rFonts w:ascii="Times New Roman" w:hAnsi="Times New Roman"/>
                <w:sz w:val="28"/>
                <w:szCs w:val="28"/>
                <w:lang w:val="ro-RO"/>
              </w:rPr>
              <w:t>le</w:t>
            </w:r>
            <w:r w:rsidR="001E7C9F" w:rsidRPr="002B7FA2">
              <w:rPr>
                <w:rFonts w:ascii="Times New Roman" w:hAnsi="Times New Roman"/>
                <w:sz w:val="28"/>
                <w:szCs w:val="28"/>
                <w:lang w:val="ro-RO"/>
              </w:rPr>
              <w:t xml:space="preserve"> Uniunii Europene din regiune</w:t>
            </w:r>
            <w:r w:rsidR="008A519B" w:rsidRPr="002B7FA2">
              <w:rPr>
                <w:rFonts w:ascii="Times New Roman" w:hAnsi="Times New Roman"/>
                <w:sz w:val="28"/>
                <w:szCs w:val="28"/>
                <w:lang w:val="ro-RO"/>
              </w:rPr>
              <w:t xml:space="preserve">. </w:t>
            </w:r>
          </w:p>
          <w:p w14:paraId="2DFAA48F" w14:textId="04EAABBF" w:rsidR="00581F17" w:rsidRPr="002B7FA2" w:rsidRDefault="002C60E9" w:rsidP="00FF55BA">
            <w:pPr>
              <w:spacing w:line="276" w:lineRule="auto"/>
              <w:rPr>
                <w:rFonts w:ascii="Times New Roman" w:hAnsi="Times New Roman"/>
                <w:sz w:val="28"/>
                <w:szCs w:val="28"/>
                <w:lang w:val="ro-RO"/>
              </w:rPr>
            </w:pPr>
            <w:r w:rsidRPr="002B7FA2">
              <w:rPr>
                <w:rFonts w:ascii="Times New Roman" w:hAnsi="Times New Roman"/>
                <w:sz w:val="28"/>
                <w:szCs w:val="28"/>
                <w:lang w:val="ro-RO"/>
              </w:rPr>
              <w:lastRenderedPageBreak/>
              <w:t xml:space="preserve">Din aceste motive, dar și din cauza riscurilor mari pentru sectorul </w:t>
            </w:r>
            <w:r w:rsidR="00F53022" w:rsidRPr="002B7FA2">
              <w:rPr>
                <w:rFonts w:ascii="Times New Roman" w:hAnsi="Times New Roman"/>
                <w:sz w:val="28"/>
                <w:szCs w:val="28"/>
                <w:lang w:val="ro-RO"/>
              </w:rPr>
              <w:t>electro</w:t>
            </w:r>
            <w:r w:rsidRPr="002B7FA2">
              <w:rPr>
                <w:rFonts w:ascii="Times New Roman" w:hAnsi="Times New Roman"/>
                <w:sz w:val="28"/>
                <w:szCs w:val="28"/>
                <w:lang w:val="ro-RO"/>
              </w:rPr>
              <w:t>energetic ace</w:t>
            </w:r>
            <w:r w:rsidR="00183887" w:rsidRPr="002B7FA2">
              <w:rPr>
                <w:rFonts w:ascii="Times New Roman" w:hAnsi="Times New Roman"/>
                <w:sz w:val="28"/>
                <w:szCs w:val="28"/>
                <w:lang w:val="ro-RO"/>
              </w:rPr>
              <w:t>a</w:t>
            </w:r>
            <w:r w:rsidRPr="002B7FA2">
              <w:rPr>
                <w:rFonts w:ascii="Times New Roman" w:hAnsi="Times New Roman"/>
                <w:sz w:val="28"/>
                <w:szCs w:val="28"/>
                <w:lang w:val="ro-RO"/>
              </w:rPr>
              <w:t>stă</w:t>
            </w:r>
            <w:r w:rsidR="00183887" w:rsidRPr="002B7FA2">
              <w:rPr>
                <w:rFonts w:ascii="Times New Roman" w:hAnsi="Times New Roman"/>
                <w:sz w:val="28"/>
                <w:szCs w:val="28"/>
                <w:lang w:val="ro-RO"/>
              </w:rPr>
              <w:t xml:space="preserve"> opțiune</w:t>
            </w:r>
            <w:r w:rsidRPr="002B7FA2">
              <w:rPr>
                <w:rFonts w:ascii="Times New Roman" w:hAnsi="Times New Roman"/>
                <w:sz w:val="28"/>
                <w:szCs w:val="28"/>
                <w:lang w:val="ro-RO"/>
              </w:rPr>
              <w:t xml:space="preserve"> nu au fost luat</w:t>
            </w:r>
            <w:r w:rsidR="00183887" w:rsidRPr="002B7FA2">
              <w:rPr>
                <w:rFonts w:ascii="Times New Roman" w:hAnsi="Times New Roman"/>
                <w:sz w:val="28"/>
                <w:szCs w:val="28"/>
                <w:lang w:val="ro-RO"/>
              </w:rPr>
              <w:t>ă</w:t>
            </w:r>
            <w:r w:rsidRPr="002B7FA2">
              <w:rPr>
                <w:rFonts w:ascii="Times New Roman" w:hAnsi="Times New Roman"/>
                <w:sz w:val="28"/>
                <w:szCs w:val="28"/>
                <w:lang w:val="ro-RO"/>
              </w:rPr>
              <w:t xml:space="preserve"> în considerare</w:t>
            </w:r>
            <w:r w:rsidR="00183887" w:rsidRPr="002B7FA2">
              <w:rPr>
                <w:rFonts w:ascii="Times New Roman" w:hAnsi="Times New Roman"/>
                <w:sz w:val="28"/>
                <w:szCs w:val="28"/>
                <w:lang w:val="ro-RO"/>
              </w:rPr>
              <w:t xml:space="preserve"> ca fiind una </w:t>
            </w:r>
            <w:r w:rsidR="00F53022" w:rsidRPr="002B7FA2">
              <w:rPr>
                <w:rFonts w:ascii="Times New Roman" w:hAnsi="Times New Roman"/>
                <w:sz w:val="28"/>
                <w:szCs w:val="28"/>
                <w:lang w:val="ro-RO"/>
              </w:rPr>
              <w:t>aplicabilă</w:t>
            </w:r>
            <w:r w:rsidR="00183887" w:rsidRPr="002B7FA2">
              <w:rPr>
                <w:rFonts w:ascii="Times New Roman" w:hAnsi="Times New Roman"/>
                <w:sz w:val="28"/>
                <w:szCs w:val="28"/>
                <w:lang w:val="ro-RO"/>
              </w:rPr>
              <w:t xml:space="preserve"> în condiții  complicate</w:t>
            </w:r>
            <w:r w:rsidR="00D732AD" w:rsidRPr="002B7FA2">
              <w:rPr>
                <w:rFonts w:ascii="Times New Roman" w:hAnsi="Times New Roman"/>
                <w:sz w:val="28"/>
                <w:szCs w:val="28"/>
                <w:lang w:val="ro-RO"/>
              </w:rPr>
              <w:t xml:space="preserve"> subliniate mai sus</w:t>
            </w:r>
            <w:r w:rsidR="00F53022" w:rsidRPr="002B7FA2">
              <w:rPr>
                <w:rFonts w:ascii="Times New Roman" w:hAnsi="Times New Roman"/>
                <w:sz w:val="28"/>
                <w:szCs w:val="28"/>
                <w:lang w:val="ro-RO"/>
              </w:rPr>
              <w:t xml:space="preserve"> care ar putea conduce la o eventuală criză energetică </w:t>
            </w:r>
            <w:r w:rsidR="00914BC9" w:rsidRPr="002B7FA2">
              <w:rPr>
                <w:rFonts w:ascii="Times New Roman" w:hAnsi="Times New Roman"/>
                <w:sz w:val="28"/>
                <w:szCs w:val="28"/>
                <w:lang w:val="ro-RO"/>
              </w:rPr>
              <w:t>dificil de gestionat</w:t>
            </w:r>
            <w:r w:rsidR="00183887" w:rsidRPr="002B7FA2">
              <w:rPr>
                <w:rFonts w:ascii="Times New Roman" w:hAnsi="Times New Roman"/>
                <w:sz w:val="28"/>
                <w:szCs w:val="28"/>
                <w:lang w:val="ro-RO"/>
              </w:rPr>
              <w:t>.</w:t>
            </w:r>
          </w:p>
        </w:tc>
      </w:tr>
      <w:tr w:rsidR="00D87F87" w:rsidRPr="002B7FA2" w14:paraId="38CC52BF" w14:textId="77777777" w:rsidTr="00736BAB">
        <w:trPr>
          <w:trHeight w:val="381"/>
        </w:trPr>
        <w:tc>
          <w:tcPr>
            <w:tcW w:w="10349" w:type="dxa"/>
            <w:shd w:val="clear" w:color="BFBFBF" w:fill="BFBFBF"/>
            <w:tcMar>
              <w:top w:w="0" w:type="dxa"/>
              <w:left w:w="108" w:type="dxa"/>
              <w:bottom w:w="0" w:type="dxa"/>
              <w:right w:w="108" w:type="dxa"/>
            </w:tcMar>
          </w:tcPr>
          <w:p w14:paraId="0D66B8CD" w14:textId="3248A825"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lastRenderedPageBreak/>
              <w:t xml:space="preserve">4. Analiza impactului de reglementare </w:t>
            </w:r>
          </w:p>
        </w:tc>
      </w:tr>
      <w:tr w:rsidR="00D87F87" w:rsidRPr="002B7FA2" w14:paraId="40FFFF09" w14:textId="77777777" w:rsidTr="00736BAB">
        <w:tc>
          <w:tcPr>
            <w:tcW w:w="10349" w:type="dxa"/>
            <w:shd w:val="clear" w:color="EDEDED" w:fill="EDEDED"/>
            <w:tcMar>
              <w:top w:w="0" w:type="dxa"/>
              <w:left w:w="108" w:type="dxa"/>
              <w:bottom w:w="0" w:type="dxa"/>
              <w:right w:w="108" w:type="dxa"/>
            </w:tcMar>
          </w:tcPr>
          <w:p w14:paraId="118F4969"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4.1. Impactul asupra sectorului public</w:t>
            </w:r>
          </w:p>
        </w:tc>
      </w:tr>
      <w:tr w:rsidR="004C4529" w:rsidRPr="002B7FA2" w14:paraId="5AC83EB6" w14:textId="77777777" w:rsidTr="00736BAB">
        <w:tc>
          <w:tcPr>
            <w:tcW w:w="10349" w:type="dxa"/>
            <w:shd w:val="clear" w:color="auto" w:fill="auto"/>
            <w:tcMar>
              <w:top w:w="0" w:type="dxa"/>
              <w:left w:w="108" w:type="dxa"/>
              <w:bottom w:w="0" w:type="dxa"/>
              <w:right w:w="108" w:type="dxa"/>
            </w:tcMar>
          </w:tcPr>
          <w:p w14:paraId="2DC0DC18" w14:textId="3430953A" w:rsidR="00FF55BA" w:rsidRPr="002B7FA2" w:rsidRDefault="00D21E85" w:rsidP="00FF55BA">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Aprobarea proiectului va avea un impact pozitiv asupra sectorului public facilitând </w:t>
            </w:r>
            <w:r w:rsidR="007A1E2C" w:rsidRPr="002B7FA2">
              <w:rPr>
                <w:rFonts w:ascii="Times New Roman" w:hAnsi="Times New Roman"/>
                <w:sz w:val="28"/>
                <w:szCs w:val="28"/>
                <w:lang w:val="ro-RO"/>
              </w:rPr>
              <w:t>la  asigurarea funcționării sigure, fiabile și eficiente a sistemului electroenergetic menită să garanteze furnizarea neîntreruptă a energiei electrice și satisfacerea cererilor de energie electrică ale consumatorilor finali.</w:t>
            </w:r>
          </w:p>
        </w:tc>
      </w:tr>
      <w:tr w:rsidR="00D87F87" w:rsidRPr="00736BAB" w14:paraId="54417F84" w14:textId="77777777" w:rsidTr="00736BAB">
        <w:tc>
          <w:tcPr>
            <w:tcW w:w="10349" w:type="dxa"/>
            <w:shd w:val="clear" w:color="EDEDED" w:fill="EDEDED"/>
            <w:tcMar>
              <w:top w:w="0" w:type="dxa"/>
              <w:left w:w="108" w:type="dxa"/>
              <w:bottom w:w="0" w:type="dxa"/>
              <w:right w:w="108" w:type="dxa"/>
            </w:tcMar>
          </w:tcPr>
          <w:p w14:paraId="37E7D775"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4.2. Impactul financiar și argumentarea costurilor estimative</w:t>
            </w:r>
          </w:p>
        </w:tc>
      </w:tr>
      <w:tr w:rsidR="004C4529" w:rsidRPr="00736BAB" w14:paraId="030739FA" w14:textId="77777777" w:rsidTr="00736BAB">
        <w:tc>
          <w:tcPr>
            <w:tcW w:w="10349" w:type="dxa"/>
            <w:shd w:val="clear" w:color="auto" w:fill="auto"/>
            <w:tcMar>
              <w:top w:w="0" w:type="dxa"/>
              <w:left w:w="108" w:type="dxa"/>
              <w:bottom w:w="0" w:type="dxa"/>
              <w:right w:w="108" w:type="dxa"/>
            </w:tcMar>
          </w:tcPr>
          <w:p w14:paraId="0B155502" w14:textId="0DE2D3FA" w:rsidR="004C4529" w:rsidRPr="002B7FA2" w:rsidRDefault="00C3114B"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Achizițiile de energie electrică efectuate de SA „Energocom” în baza obligației de serviciu public, vor fi efectuate din contul resurselor financiare </w:t>
            </w:r>
            <w:r w:rsidR="00914BC9" w:rsidRPr="002B7FA2">
              <w:rPr>
                <w:rFonts w:ascii="Times New Roman" w:hAnsi="Times New Roman"/>
                <w:sz w:val="28"/>
                <w:szCs w:val="28"/>
                <w:lang w:val="ro-RO"/>
              </w:rPr>
              <w:t xml:space="preserve">acumulate </w:t>
            </w:r>
            <w:r w:rsidRPr="002B7FA2">
              <w:rPr>
                <w:rFonts w:ascii="Times New Roman" w:hAnsi="Times New Roman"/>
                <w:sz w:val="28"/>
                <w:szCs w:val="28"/>
                <w:lang w:val="ro-RO"/>
              </w:rPr>
              <w:t xml:space="preserve">de </w:t>
            </w:r>
            <w:r w:rsidR="000C2646" w:rsidRPr="002B7FA2">
              <w:rPr>
                <w:rFonts w:ascii="Times New Roman" w:hAnsi="Times New Roman"/>
                <w:sz w:val="28"/>
                <w:szCs w:val="28"/>
                <w:lang w:val="ro-RO"/>
              </w:rPr>
              <w:br/>
            </w:r>
            <w:r w:rsidRPr="002B7FA2">
              <w:rPr>
                <w:rFonts w:ascii="Times New Roman" w:hAnsi="Times New Roman"/>
                <w:sz w:val="28"/>
                <w:szCs w:val="28"/>
                <w:lang w:val="ro-RO"/>
              </w:rPr>
              <w:t>SA „Energocom”</w:t>
            </w:r>
            <w:r w:rsidR="00914BC9" w:rsidRPr="002B7FA2">
              <w:rPr>
                <w:rFonts w:ascii="Times New Roman" w:hAnsi="Times New Roman"/>
                <w:sz w:val="28"/>
                <w:szCs w:val="28"/>
                <w:lang w:val="ro-RO"/>
              </w:rPr>
              <w:t xml:space="preserve"> urmare vânzării energiei electrice către furnizorii serviciului universal și de ultimă opțiune și operatorii de sistem</w:t>
            </w:r>
            <w:r w:rsidRPr="002B7FA2">
              <w:rPr>
                <w:rFonts w:ascii="Times New Roman" w:hAnsi="Times New Roman"/>
                <w:sz w:val="28"/>
                <w:szCs w:val="28"/>
                <w:lang w:val="ro-RO"/>
              </w:rPr>
              <w:t>.</w:t>
            </w:r>
          </w:p>
          <w:p w14:paraId="3F6F8CAE" w14:textId="77777777" w:rsidR="002B7FA2" w:rsidRDefault="003D57AE" w:rsidP="003D57AE">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Suplimentar, pentru disponibilitatea surselor financiare, în comun cu Banca Europeană pentru Reconstrucție și Dezvoltare a fost inițiat procesul de modificare a Acordului de împrumut dintre Republica Moldova și Banca Europeană pentru Reconstrucție și Dezvoltare în vederea realizării Proiectului „Securitatea furnizării gazelor naturale”, semnat la Chișinău, la 23 iunie 2022, astfel încât mijloacele financiare prevăzute de Tranșa I să fie utilizate și pentru achiziția de energie electrică. </w:t>
            </w:r>
          </w:p>
          <w:p w14:paraId="72E62ADC" w14:textId="0830490F" w:rsidR="003D57AE" w:rsidRPr="002B7FA2" w:rsidRDefault="003D57AE" w:rsidP="003D57AE">
            <w:pPr>
              <w:spacing w:line="276" w:lineRule="auto"/>
              <w:rPr>
                <w:rFonts w:ascii="Times New Roman" w:hAnsi="Times New Roman"/>
                <w:sz w:val="28"/>
                <w:szCs w:val="28"/>
                <w:lang w:val="ro-RO"/>
              </w:rPr>
            </w:pPr>
            <w:r w:rsidRPr="002B7FA2">
              <w:rPr>
                <w:rFonts w:ascii="Times New Roman" w:hAnsi="Times New Roman"/>
                <w:sz w:val="28"/>
                <w:szCs w:val="28"/>
                <w:lang w:val="ro-RO"/>
              </w:rPr>
              <w:t>În acest context în Legea bugetului de stat pentru anul 2025</w:t>
            </w:r>
            <w:r w:rsidR="00581F17" w:rsidRPr="002B7FA2">
              <w:rPr>
                <w:rFonts w:ascii="Times New Roman" w:hAnsi="Times New Roman"/>
                <w:sz w:val="28"/>
                <w:szCs w:val="28"/>
                <w:lang w:val="ro-RO"/>
              </w:rPr>
              <w:t xml:space="preserve"> nr. 310/202</w:t>
            </w:r>
            <w:r w:rsidR="00E2653D" w:rsidRPr="002B7FA2">
              <w:rPr>
                <w:rFonts w:ascii="Times New Roman" w:hAnsi="Times New Roman"/>
                <w:sz w:val="28"/>
                <w:szCs w:val="28"/>
                <w:lang w:val="ro-RO"/>
              </w:rPr>
              <w:t>4</w:t>
            </w:r>
            <w:r w:rsidRPr="002B7FA2">
              <w:rPr>
                <w:rFonts w:ascii="Times New Roman" w:hAnsi="Times New Roman"/>
                <w:sz w:val="28"/>
                <w:szCs w:val="28"/>
                <w:lang w:val="ro-RO"/>
              </w:rPr>
              <w:t xml:space="preserve"> au fost prevăzute mijloacele financiare necesare</w:t>
            </w:r>
            <w:r w:rsidR="00AF3C08" w:rsidRPr="002B7FA2">
              <w:rPr>
                <w:rFonts w:ascii="Times New Roman" w:hAnsi="Times New Roman"/>
                <w:sz w:val="28"/>
                <w:szCs w:val="28"/>
                <w:lang w:val="ro-RO"/>
              </w:rPr>
              <w:t xml:space="preserve"> în valoare de </w:t>
            </w:r>
            <w:r w:rsidR="00FD32F9" w:rsidRPr="002B7FA2">
              <w:rPr>
                <w:rFonts w:ascii="Times New Roman" w:hAnsi="Times New Roman"/>
                <w:sz w:val="28"/>
                <w:szCs w:val="28"/>
                <w:lang w:val="ro-RO"/>
              </w:rPr>
              <w:t>850,94 milioane lei</w:t>
            </w:r>
            <w:r w:rsidRPr="002B7FA2">
              <w:rPr>
                <w:rFonts w:ascii="Times New Roman" w:hAnsi="Times New Roman"/>
                <w:sz w:val="28"/>
                <w:szCs w:val="28"/>
                <w:lang w:val="ro-RO"/>
              </w:rPr>
              <w:t xml:space="preserve">. </w:t>
            </w:r>
          </w:p>
        </w:tc>
      </w:tr>
      <w:tr w:rsidR="00D87F87" w:rsidRPr="002B7FA2" w14:paraId="116BEDCD" w14:textId="77777777" w:rsidTr="00736BAB">
        <w:tc>
          <w:tcPr>
            <w:tcW w:w="10349" w:type="dxa"/>
            <w:shd w:val="clear" w:color="EDEDED" w:fill="EDEDED"/>
            <w:tcMar>
              <w:top w:w="0" w:type="dxa"/>
              <w:left w:w="108" w:type="dxa"/>
              <w:bottom w:w="0" w:type="dxa"/>
              <w:right w:w="108" w:type="dxa"/>
            </w:tcMar>
          </w:tcPr>
          <w:p w14:paraId="6FC5C6E3"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4.3. Impactul asupra sectorului privat</w:t>
            </w:r>
          </w:p>
        </w:tc>
      </w:tr>
      <w:tr w:rsidR="004C4529" w:rsidRPr="002B7FA2" w14:paraId="5022A637" w14:textId="77777777" w:rsidTr="00736BAB">
        <w:tc>
          <w:tcPr>
            <w:tcW w:w="10349" w:type="dxa"/>
            <w:shd w:val="clear" w:color="auto" w:fill="auto"/>
            <w:tcMar>
              <w:top w:w="0" w:type="dxa"/>
              <w:left w:w="108" w:type="dxa"/>
              <w:bottom w:w="0" w:type="dxa"/>
              <w:right w:w="108" w:type="dxa"/>
            </w:tcMar>
          </w:tcPr>
          <w:p w14:paraId="4FC1929E" w14:textId="709A8380" w:rsidR="000069ED" w:rsidRPr="002B7FA2" w:rsidRDefault="00C3114B" w:rsidP="008A4686">
            <w:pPr>
              <w:spacing w:line="276" w:lineRule="auto"/>
              <w:ind w:firstLine="589"/>
              <w:rPr>
                <w:rFonts w:ascii="Times New Roman" w:hAnsi="Times New Roman"/>
                <w:sz w:val="28"/>
                <w:szCs w:val="28"/>
                <w:lang w:val="ro-RO"/>
              </w:rPr>
            </w:pPr>
            <w:r w:rsidRPr="002B7FA2">
              <w:rPr>
                <w:rFonts w:ascii="Times New Roman" w:hAnsi="Times New Roman"/>
                <w:sz w:val="28"/>
                <w:szCs w:val="28"/>
                <w:lang w:val="ro-RO"/>
              </w:rPr>
              <w:t>Aprobarea proiectului va avea un impact pozitiv asupra sectorului privat facilitând la  asigurarea funcționării sigure, fiabile și eficiente a sistemului electroenergetic menită să garanteze furnizarea neîntreruptă a energiei electrice și satisfacerea cererilor de energie electrică ale consumatorilor finali</w:t>
            </w:r>
            <w:r w:rsidR="003D57AE" w:rsidRPr="002B7FA2">
              <w:rPr>
                <w:rFonts w:ascii="Times New Roman" w:hAnsi="Times New Roman"/>
                <w:sz w:val="28"/>
                <w:szCs w:val="28"/>
                <w:lang w:val="ro-RO"/>
              </w:rPr>
              <w:t>.</w:t>
            </w:r>
          </w:p>
        </w:tc>
      </w:tr>
      <w:tr w:rsidR="00D87F87" w:rsidRPr="00736BAB" w14:paraId="52BFEA77" w14:textId="77777777" w:rsidTr="00736BAB">
        <w:tc>
          <w:tcPr>
            <w:tcW w:w="10349" w:type="dxa"/>
            <w:shd w:val="clear" w:color="EDEDED" w:fill="EDEDED"/>
            <w:tcMar>
              <w:top w:w="0" w:type="dxa"/>
              <w:left w:w="108" w:type="dxa"/>
              <w:bottom w:w="0" w:type="dxa"/>
              <w:right w:w="108" w:type="dxa"/>
            </w:tcMar>
          </w:tcPr>
          <w:p w14:paraId="748E8459"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4.4. Impactul social</w:t>
            </w:r>
          </w:p>
          <w:p w14:paraId="1A7830FD"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4.4.1. Impactul asupra datelor cu caracter personal</w:t>
            </w:r>
          </w:p>
          <w:p w14:paraId="0FFC07B2"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4.4.2. Impactul asupra echității și egalității de gen</w:t>
            </w:r>
          </w:p>
        </w:tc>
      </w:tr>
      <w:tr w:rsidR="00B72F75" w:rsidRPr="002B7FA2" w14:paraId="46A32D23" w14:textId="77777777" w:rsidTr="00736BAB">
        <w:tc>
          <w:tcPr>
            <w:tcW w:w="10349" w:type="dxa"/>
            <w:shd w:val="clear" w:color="auto" w:fill="auto"/>
            <w:tcMar>
              <w:top w:w="0" w:type="dxa"/>
              <w:left w:w="108" w:type="dxa"/>
              <w:bottom w:w="0" w:type="dxa"/>
              <w:right w:w="108" w:type="dxa"/>
            </w:tcMar>
          </w:tcPr>
          <w:p w14:paraId="7438EB2E" w14:textId="17463C9C" w:rsidR="00B72F75" w:rsidRPr="002B7FA2" w:rsidRDefault="00B72F75"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Nu este aplicabil.</w:t>
            </w:r>
          </w:p>
        </w:tc>
      </w:tr>
      <w:tr w:rsidR="00D87F87" w:rsidRPr="002B7FA2" w14:paraId="42800720" w14:textId="77777777" w:rsidTr="00736BAB">
        <w:tc>
          <w:tcPr>
            <w:tcW w:w="10349" w:type="dxa"/>
            <w:shd w:val="clear" w:color="EDEDED" w:fill="EDEDED"/>
            <w:tcMar>
              <w:top w:w="0" w:type="dxa"/>
              <w:left w:w="108" w:type="dxa"/>
              <w:bottom w:w="0" w:type="dxa"/>
              <w:right w:w="108" w:type="dxa"/>
            </w:tcMar>
          </w:tcPr>
          <w:p w14:paraId="2792B6EA"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4.5. Impactul asupra mediului</w:t>
            </w:r>
          </w:p>
        </w:tc>
      </w:tr>
      <w:tr w:rsidR="00B72F75" w:rsidRPr="002B7FA2" w14:paraId="47FA2222" w14:textId="77777777" w:rsidTr="00736BAB">
        <w:tc>
          <w:tcPr>
            <w:tcW w:w="10349" w:type="dxa"/>
            <w:shd w:val="clear" w:color="auto" w:fill="auto"/>
            <w:tcMar>
              <w:top w:w="0" w:type="dxa"/>
              <w:left w:w="108" w:type="dxa"/>
              <w:bottom w:w="0" w:type="dxa"/>
              <w:right w:w="108" w:type="dxa"/>
            </w:tcMar>
          </w:tcPr>
          <w:p w14:paraId="29193B06" w14:textId="63480E90" w:rsidR="00B72F75" w:rsidRPr="002B7FA2" w:rsidRDefault="00B72F75"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Nu este aplicabil.</w:t>
            </w:r>
          </w:p>
        </w:tc>
      </w:tr>
      <w:tr w:rsidR="00D87F87" w:rsidRPr="00736BAB" w14:paraId="017730C6" w14:textId="77777777" w:rsidTr="00736BAB">
        <w:tc>
          <w:tcPr>
            <w:tcW w:w="10349" w:type="dxa"/>
            <w:shd w:val="clear" w:color="EDEDED" w:fill="EDEDED"/>
            <w:tcMar>
              <w:top w:w="0" w:type="dxa"/>
              <w:left w:w="108" w:type="dxa"/>
              <w:bottom w:w="0" w:type="dxa"/>
              <w:right w:w="108" w:type="dxa"/>
            </w:tcMar>
          </w:tcPr>
          <w:p w14:paraId="449E217A"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4.6. Alte impacturi și informații relevante</w:t>
            </w:r>
          </w:p>
        </w:tc>
      </w:tr>
      <w:tr w:rsidR="00D87F87" w:rsidRPr="002B7FA2" w14:paraId="35977D60" w14:textId="77777777" w:rsidTr="00736BAB">
        <w:tc>
          <w:tcPr>
            <w:tcW w:w="10349" w:type="dxa"/>
            <w:tcMar>
              <w:top w:w="0" w:type="dxa"/>
              <w:left w:w="108" w:type="dxa"/>
              <w:bottom w:w="0" w:type="dxa"/>
              <w:right w:w="108" w:type="dxa"/>
            </w:tcMar>
          </w:tcPr>
          <w:p w14:paraId="5496BB2D" w14:textId="3ABC5120" w:rsidR="00D87F87" w:rsidRPr="002B7FA2" w:rsidRDefault="00B72F75"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Nu este aplicabil.</w:t>
            </w:r>
          </w:p>
        </w:tc>
      </w:tr>
      <w:tr w:rsidR="00D87F87" w:rsidRPr="002B7FA2" w14:paraId="291BBE19" w14:textId="77777777" w:rsidTr="00736BAB">
        <w:tc>
          <w:tcPr>
            <w:tcW w:w="10349" w:type="dxa"/>
            <w:shd w:val="clear" w:color="BFBFBF" w:fill="BFBFBF"/>
            <w:tcMar>
              <w:top w:w="0" w:type="dxa"/>
              <w:left w:w="108" w:type="dxa"/>
              <w:bottom w:w="0" w:type="dxa"/>
              <w:right w:w="108" w:type="dxa"/>
            </w:tcMar>
          </w:tcPr>
          <w:p w14:paraId="379BECD7" w14:textId="77777777" w:rsidR="00736BAB" w:rsidRDefault="00736BAB" w:rsidP="000069ED">
            <w:pPr>
              <w:spacing w:line="276" w:lineRule="auto"/>
              <w:rPr>
                <w:rFonts w:ascii="Times New Roman" w:hAnsi="Times New Roman"/>
                <w:b/>
                <w:bCs/>
                <w:sz w:val="28"/>
                <w:szCs w:val="28"/>
                <w:lang w:val="ro-RO"/>
              </w:rPr>
            </w:pPr>
          </w:p>
          <w:p w14:paraId="0FB18A85" w14:textId="7D3A109A"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 xml:space="preserve">5. Compatibilitatea proiectului actului normativ cu legislația UE </w:t>
            </w:r>
          </w:p>
        </w:tc>
      </w:tr>
      <w:tr w:rsidR="00D87F87" w:rsidRPr="002B7FA2" w14:paraId="6ABBB691" w14:textId="77777777" w:rsidTr="00736BAB">
        <w:tc>
          <w:tcPr>
            <w:tcW w:w="10349" w:type="dxa"/>
            <w:shd w:val="clear" w:color="EDEDED" w:fill="EDEDED"/>
            <w:tcMar>
              <w:top w:w="0" w:type="dxa"/>
              <w:left w:w="108" w:type="dxa"/>
              <w:bottom w:w="0" w:type="dxa"/>
              <w:right w:w="108" w:type="dxa"/>
            </w:tcMar>
          </w:tcPr>
          <w:p w14:paraId="28589E40"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5.1. Măsuri normative necesare pentru transpunerea actelor juridice ale UE în legislația națională</w:t>
            </w:r>
          </w:p>
        </w:tc>
      </w:tr>
      <w:tr w:rsidR="00B72F75" w:rsidRPr="00736BAB" w14:paraId="3B2506E6" w14:textId="77777777" w:rsidTr="00736BAB">
        <w:tc>
          <w:tcPr>
            <w:tcW w:w="10349" w:type="dxa"/>
            <w:shd w:val="clear" w:color="auto" w:fill="auto"/>
            <w:tcMar>
              <w:top w:w="0" w:type="dxa"/>
              <w:left w:w="108" w:type="dxa"/>
              <w:bottom w:w="0" w:type="dxa"/>
              <w:right w:w="108" w:type="dxa"/>
            </w:tcMar>
          </w:tcPr>
          <w:p w14:paraId="0B970199" w14:textId="0B53B908" w:rsidR="00B72F75" w:rsidRPr="002B7FA2" w:rsidRDefault="00B72F75"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lastRenderedPageBreak/>
              <w:t>Nu este aplicabil, proiectul de hotărâre</w:t>
            </w:r>
            <w:r w:rsidRPr="002B7FA2">
              <w:rPr>
                <w:rFonts w:ascii="Times New Roman" w:hAnsi="Times New Roman"/>
                <w:b/>
                <w:bCs/>
                <w:sz w:val="28"/>
                <w:szCs w:val="28"/>
                <w:lang w:val="ro-RO"/>
              </w:rPr>
              <w:t xml:space="preserve"> nu</w:t>
            </w:r>
            <w:r w:rsidRPr="002B7FA2">
              <w:rPr>
                <w:rFonts w:ascii="Times New Roman" w:hAnsi="Times New Roman"/>
                <w:sz w:val="28"/>
                <w:szCs w:val="28"/>
                <w:lang w:val="ro-RO"/>
              </w:rPr>
              <w:t xml:space="preserve"> prevede transpunerea </w:t>
            </w:r>
            <w:r w:rsidR="00243C7B" w:rsidRPr="002B7FA2">
              <w:rPr>
                <w:rFonts w:ascii="Times New Roman" w:hAnsi="Times New Roman"/>
                <w:sz w:val="28"/>
                <w:szCs w:val="28"/>
                <w:lang w:val="ro-RO"/>
              </w:rPr>
              <w:t>actelor juridice ale UE în legislația națională.</w:t>
            </w:r>
          </w:p>
        </w:tc>
      </w:tr>
      <w:tr w:rsidR="00D87F87" w:rsidRPr="002B7FA2" w14:paraId="4AE5E462" w14:textId="77777777" w:rsidTr="00736BAB">
        <w:tc>
          <w:tcPr>
            <w:tcW w:w="10349" w:type="dxa"/>
            <w:shd w:val="clear" w:color="EDEDED" w:fill="EDEDED"/>
            <w:tcMar>
              <w:top w:w="0" w:type="dxa"/>
              <w:left w:w="108" w:type="dxa"/>
              <w:bottom w:w="0" w:type="dxa"/>
              <w:right w:w="108" w:type="dxa"/>
            </w:tcMar>
          </w:tcPr>
          <w:p w14:paraId="3E57D728" w14:textId="77777777" w:rsidR="00D87F87" w:rsidRPr="002B7FA2" w:rsidRDefault="008E64CC"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5.2. Măsuri normative care urmăresc crearea cadrului juridic intern necesar pentru implementarea legislației UE</w:t>
            </w:r>
          </w:p>
        </w:tc>
      </w:tr>
      <w:tr w:rsidR="00D87F87" w:rsidRPr="00736BAB" w14:paraId="30EC0B55" w14:textId="77777777" w:rsidTr="00736BAB">
        <w:tc>
          <w:tcPr>
            <w:tcW w:w="10349" w:type="dxa"/>
            <w:tcMar>
              <w:top w:w="0" w:type="dxa"/>
              <w:left w:w="108" w:type="dxa"/>
              <w:bottom w:w="0" w:type="dxa"/>
              <w:right w:w="108" w:type="dxa"/>
            </w:tcMar>
          </w:tcPr>
          <w:p w14:paraId="70776F0C" w14:textId="59B5841D" w:rsidR="00FF55BA" w:rsidRPr="002B7FA2" w:rsidRDefault="00243C7B" w:rsidP="00E53388">
            <w:pPr>
              <w:spacing w:line="276" w:lineRule="auto"/>
              <w:rPr>
                <w:rFonts w:ascii="Times New Roman" w:hAnsi="Times New Roman"/>
                <w:sz w:val="28"/>
                <w:szCs w:val="28"/>
                <w:lang w:val="ro-RO"/>
              </w:rPr>
            </w:pPr>
            <w:r w:rsidRPr="002B7FA2">
              <w:rPr>
                <w:rFonts w:ascii="Times New Roman" w:hAnsi="Times New Roman"/>
                <w:sz w:val="28"/>
                <w:szCs w:val="28"/>
                <w:lang w:val="ro-RO"/>
              </w:rPr>
              <w:t>Nu este aplicabil, proiectul de hotărâre</w:t>
            </w:r>
            <w:r w:rsidRPr="002B7FA2">
              <w:rPr>
                <w:rFonts w:ascii="Times New Roman" w:hAnsi="Times New Roman"/>
                <w:b/>
                <w:bCs/>
                <w:sz w:val="28"/>
                <w:szCs w:val="28"/>
                <w:lang w:val="ro-RO"/>
              </w:rPr>
              <w:t xml:space="preserve"> nu</w:t>
            </w:r>
            <w:r w:rsidRPr="002B7FA2">
              <w:rPr>
                <w:rFonts w:ascii="Times New Roman" w:hAnsi="Times New Roman"/>
                <w:sz w:val="28"/>
                <w:szCs w:val="28"/>
                <w:lang w:val="ro-RO"/>
              </w:rPr>
              <w:t xml:space="preserve"> prevede transpunerea actelor juridice ale UE în legislația națională.</w:t>
            </w:r>
          </w:p>
        </w:tc>
      </w:tr>
      <w:tr w:rsidR="00D87F87" w:rsidRPr="002B7FA2" w14:paraId="20B5D655" w14:textId="77777777" w:rsidTr="00736BAB">
        <w:tc>
          <w:tcPr>
            <w:tcW w:w="10349" w:type="dxa"/>
            <w:shd w:val="clear" w:color="BFBFBF" w:fill="BFBFBF"/>
            <w:tcMar>
              <w:top w:w="0" w:type="dxa"/>
              <w:left w:w="108" w:type="dxa"/>
              <w:bottom w:w="0" w:type="dxa"/>
              <w:right w:w="108" w:type="dxa"/>
            </w:tcMar>
          </w:tcPr>
          <w:p w14:paraId="6A7B8BFA"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6. Avizarea și consultarea publică a proiectului actului normativ</w:t>
            </w:r>
          </w:p>
        </w:tc>
      </w:tr>
      <w:tr w:rsidR="00D87F87" w:rsidRPr="00736BAB" w14:paraId="51762DD5" w14:textId="77777777" w:rsidTr="00736BAB">
        <w:tc>
          <w:tcPr>
            <w:tcW w:w="10349" w:type="dxa"/>
            <w:tcMar>
              <w:top w:w="0" w:type="dxa"/>
              <w:left w:w="108" w:type="dxa"/>
              <w:bottom w:w="0" w:type="dxa"/>
              <w:right w:w="108" w:type="dxa"/>
            </w:tcMar>
          </w:tcPr>
          <w:p w14:paraId="7AEC2C8E" w14:textId="1A1E1ABE" w:rsidR="007A6BA9" w:rsidRPr="00736BAB" w:rsidRDefault="001B6C9D" w:rsidP="003D57AE">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Pentru asigurarea transparenței în procesul decizional, Ministerul Energiei, în conformitate cu prevederile art. 23 alin. (1) din Legea cu privire la actele normative </w:t>
            </w:r>
            <w:r w:rsidR="000E23AA" w:rsidRPr="002B7FA2">
              <w:rPr>
                <w:rFonts w:ascii="Times New Roman" w:hAnsi="Times New Roman"/>
                <w:sz w:val="28"/>
                <w:szCs w:val="28"/>
                <w:lang w:val="ro-RO"/>
              </w:rPr>
              <w:br/>
            </w:r>
            <w:r w:rsidRPr="002B7FA2">
              <w:rPr>
                <w:rFonts w:ascii="Times New Roman" w:hAnsi="Times New Roman"/>
                <w:sz w:val="28"/>
                <w:szCs w:val="28"/>
                <w:lang w:val="ro-RO"/>
              </w:rPr>
              <w:t>nr. 100/2017, a plasat anunțul (</w:t>
            </w:r>
            <w:hyperlink r:id="rId11" w:history="1">
              <w:r w:rsidR="009769DB" w:rsidRPr="002B7FA2">
                <w:rPr>
                  <w:rStyle w:val="Hyperlink"/>
                  <w:rFonts w:ascii="Times New Roman" w:hAnsi="Times New Roman"/>
                  <w:sz w:val="28"/>
                  <w:szCs w:val="28"/>
                  <w:lang w:val="ro-RO"/>
                </w:rPr>
                <w:t>https://particip.gov.md/ro/document/stages/*/13933</w:t>
              </w:r>
            </w:hyperlink>
            <w:r w:rsidRPr="002B7FA2">
              <w:rPr>
                <w:rFonts w:ascii="Times New Roman" w:hAnsi="Times New Roman"/>
                <w:sz w:val="28"/>
                <w:szCs w:val="28"/>
                <w:lang w:val="ro-RO"/>
              </w:rPr>
              <w:t xml:space="preserve">) despre inițierea procesului de elaborare a proiectului Hotărârii Guvernului cu privire la modificarea </w:t>
            </w:r>
            <w:r w:rsidR="003D57AE" w:rsidRPr="002B7FA2">
              <w:rPr>
                <w:rFonts w:ascii="Times New Roman" w:hAnsi="Times New Roman"/>
                <w:sz w:val="28"/>
                <w:szCs w:val="28"/>
                <w:lang w:val="ro-RO"/>
              </w:rPr>
              <w:t xml:space="preserve">punctului 1 din </w:t>
            </w:r>
            <w:r w:rsidRPr="002B7FA2">
              <w:rPr>
                <w:rFonts w:ascii="Times New Roman" w:hAnsi="Times New Roman"/>
                <w:sz w:val="28"/>
                <w:szCs w:val="28"/>
                <w:lang w:val="ro-RO"/>
              </w:rPr>
              <w:t>Hotărâr</w:t>
            </w:r>
            <w:r w:rsidR="003D57AE" w:rsidRPr="002B7FA2">
              <w:rPr>
                <w:rFonts w:ascii="Times New Roman" w:hAnsi="Times New Roman"/>
                <w:sz w:val="28"/>
                <w:szCs w:val="28"/>
                <w:lang w:val="ro-RO"/>
              </w:rPr>
              <w:t>ea</w:t>
            </w:r>
            <w:r w:rsidRPr="002B7FA2">
              <w:rPr>
                <w:rFonts w:ascii="Times New Roman" w:hAnsi="Times New Roman"/>
                <w:sz w:val="28"/>
                <w:szCs w:val="28"/>
                <w:lang w:val="ro-RO"/>
              </w:rPr>
              <w:t xml:space="preserve"> de Guvern nr. 1059/2023 cu privire la impunerea obligației de serviciu public în vederea asigurării securității aprovizionării cu energie electrică</w:t>
            </w:r>
            <w:r w:rsidR="002B7FA2" w:rsidRPr="002B7FA2">
              <w:rPr>
                <w:rFonts w:ascii="Times New Roman" w:hAnsi="Times New Roman"/>
                <w:sz w:val="28"/>
                <w:szCs w:val="28"/>
                <w:lang w:val="ro-RO"/>
              </w:rPr>
              <w:t xml:space="preserve">. Totodată, a fost plasat anunțul pentru consultarea publică a proiectului </w:t>
            </w:r>
            <w:hyperlink r:id="rId12" w:history="1">
              <w:r w:rsidR="002B7FA2" w:rsidRPr="002B7FA2">
                <w:rPr>
                  <w:rStyle w:val="Hyperlink"/>
                  <w:rFonts w:ascii="Times New Roman" w:hAnsi="Times New Roman"/>
                  <w:sz w:val="28"/>
                  <w:szCs w:val="28"/>
                  <w:lang w:val="ro-RO"/>
                </w:rPr>
                <w:t>https://particip.gov.md/ro/document/stages/*/14055</w:t>
              </w:r>
            </w:hyperlink>
            <w:r w:rsidRPr="002B7FA2">
              <w:rPr>
                <w:rFonts w:ascii="Times New Roman" w:hAnsi="Times New Roman"/>
                <w:sz w:val="28"/>
                <w:szCs w:val="28"/>
                <w:lang w:val="ro-RO"/>
              </w:rPr>
              <w:t>.</w:t>
            </w:r>
            <w:r w:rsidR="00736BAB">
              <w:rPr>
                <w:rFonts w:ascii="Times New Roman" w:hAnsi="Times New Roman"/>
                <w:sz w:val="28"/>
                <w:szCs w:val="28"/>
                <w:lang w:val="ro-RO"/>
              </w:rPr>
              <w:t xml:space="preserve"> </w:t>
            </w:r>
            <w:r w:rsidR="00736BAB" w:rsidRPr="00736BAB">
              <w:rPr>
                <w:rFonts w:ascii="Times New Roman" w:hAnsi="Times New Roman"/>
                <w:sz w:val="28"/>
                <w:szCs w:val="28"/>
                <w:lang w:val="ro-RO"/>
              </w:rPr>
              <w:t>de asemenea fiind plasată și varianta definitivată a proiectului de act normativ, inclusiv sinteza obiecțiilor și propunerilor.</w:t>
            </w:r>
          </w:p>
        </w:tc>
      </w:tr>
      <w:tr w:rsidR="00D87F87" w:rsidRPr="002B7FA2" w14:paraId="6AE07640" w14:textId="77777777" w:rsidTr="00736BAB">
        <w:tc>
          <w:tcPr>
            <w:tcW w:w="10349" w:type="dxa"/>
            <w:shd w:val="clear" w:color="BFBFBF" w:fill="BFBFBF"/>
            <w:tcMar>
              <w:top w:w="0" w:type="dxa"/>
              <w:left w:w="108" w:type="dxa"/>
              <w:bottom w:w="0" w:type="dxa"/>
              <w:right w:w="108" w:type="dxa"/>
            </w:tcMar>
          </w:tcPr>
          <w:p w14:paraId="3DC93419"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7. Concluziile expertizelor</w:t>
            </w:r>
          </w:p>
        </w:tc>
      </w:tr>
      <w:tr w:rsidR="00D87F87" w:rsidRPr="005615D5" w14:paraId="75EA0DF9" w14:textId="77777777" w:rsidTr="00736BAB">
        <w:tc>
          <w:tcPr>
            <w:tcW w:w="10349" w:type="dxa"/>
            <w:shd w:val="clear" w:color="FFFFFF" w:fill="FFFFFF"/>
            <w:tcMar>
              <w:top w:w="0" w:type="dxa"/>
              <w:left w:w="108" w:type="dxa"/>
              <w:bottom w:w="0" w:type="dxa"/>
              <w:right w:w="108" w:type="dxa"/>
            </w:tcMar>
          </w:tcPr>
          <w:p w14:paraId="51006DAD" w14:textId="496A05A5" w:rsidR="004C6758" w:rsidRPr="002B7FA2" w:rsidRDefault="004C6758"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Proiectul de hotărâre </w:t>
            </w:r>
            <w:r w:rsidR="005615D5">
              <w:rPr>
                <w:rFonts w:ascii="Times New Roman" w:hAnsi="Times New Roman"/>
                <w:sz w:val="28"/>
                <w:szCs w:val="28"/>
                <w:lang w:val="ro-RO"/>
              </w:rPr>
              <w:t xml:space="preserve">a fost </w:t>
            </w:r>
            <w:r w:rsidR="003D57AE" w:rsidRPr="002B7FA2">
              <w:rPr>
                <w:rFonts w:ascii="Times New Roman" w:hAnsi="Times New Roman"/>
                <w:sz w:val="28"/>
                <w:szCs w:val="28"/>
                <w:lang w:val="ro-RO"/>
              </w:rPr>
              <w:t>remis</w:t>
            </w:r>
            <w:r w:rsidRPr="002B7FA2">
              <w:rPr>
                <w:rFonts w:ascii="Times New Roman" w:hAnsi="Times New Roman"/>
                <w:sz w:val="28"/>
                <w:szCs w:val="28"/>
                <w:lang w:val="ro-RO"/>
              </w:rPr>
              <w:t xml:space="preserve"> Centrului Național Anticorupție pentru efectuarea expertizei anticorupție, conform prevederilor art. 36 din Legea nr. 100/2017 cu privire la actele normative</w:t>
            </w:r>
            <w:r w:rsidR="00826EDE" w:rsidRPr="002B7FA2">
              <w:rPr>
                <w:rFonts w:ascii="Times New Roman" w:hAnsi="Times New Roman"/>
                <w:sz w:val="28"/>
                <w:szCs w:val="28"/>
                <w:lang w:val="ro-RO"/>
              </w:rPr>
              <w:t>.</w:t>
            </w:r>
            <w:r w:rsidR="005615D5">
              <w:rPr>
                <w:rFonts w:ascii="Times New Roman" w:hAnsi="Times New Roman"/>
                <w:sz w:val="28"/>
                <w:szCs w:val="28"/>
                <w:lang w:val="ro-RO"/>
              </w:rPr>
              <w:t xml:space="preserve"> Conform expertizei anticorupție, proiectul de act normativ</w:t>
            </w:r>
            <w:r w:rsidR="00736BAB" w:rsidRPr="00736BAB">
              <w:rPr>
                <w:lang w:val="ro-RO"/>
              </w:rPr>
              <w:t xml:space="preserve"> </w:t>
            </w:r>
            <w:r w:rsidR="00736BAB" w:rsidRPr="00736BAB">
              <w:rPr>
                <w:rFonts w:ascii="Times New Roman" w:hAnsi="Times New Roman"/>
                <w:sz w:val="28"/>
                <w:szCs w:val="28"/>
                <w:lang w:val="ro-RO"/>
              </w:rPr>
              <w:t>poate contribui la realizarea interesului public vizat de proiect, fapt care nu este detrimentul interesului public general</w:t>
            </w:r>
            <w:r w:rsidR="00736BAB">
              <w:rPr>
                <w:rFonts w:ascii="Times New Roman" w:hAnsi="Times New Roman"/>
                <w:sz w:val="28"/>
                <w:szCs w:val="28"/>
                <w:lang w:val="ro-RO"/>
              </w:rPr>
              <w:t>.</w:t>
            </w:r>
          </w:p>
          <w:p w14:paraId="402566EB" w14:textId="3F7307B9" w:rsidR="00826EDE" w:rsidRPr="002B7FA2" w:rsidRDefault="004C6758" w:rsidP="009769DB">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Proiectul de hotărâre </w:t>
            </w:r>
            <w:r w:rsidR="003D57AE" w:rsidRPr="002B7FA2">
              <w:rPr>
                <w:rFonts w:ascii="Times New Roman" w:hAnsi="Times New Roman"/>
                <w:sz w:val="28"/>
                <w:szCs w:val="28"/>
                <w:lang w:val="ro-RO"/>
              </w:rPr>
              <w:t xml:space="preserve">urmează a </w:t>
            </w:r>
            <w:r w:rsidR="005615D5">
              <w:rPr>
                <w:rFonts w:ascii="Times New Roman" w:hAnsi="Times New Roman"/>
                <w:sz w:val="28"/>
                <w:szCs w:val="28"/>
                <w:lang w:val="ro-RO"/>
              </w:rPr>
              <w:t>fost remis</w:t>
            </w:r>
            <w:r w:rsidRPr="002B7FA2">
              <w:rPr>
                <w:rFonts w:ascii="Times New Roman" w:hAnsi="Times New Roman"/>
                <w:sz w:val="28"/>
                <w:szCs w:val="28"/>
                <w:lang w:val="ro-RO"/>
              </w:rPr>
              <w:t xml:space="preserve"> Ministerului Justiției pentru efectuarea expertizei juridice, conform prevederilor art. 37 din Legea nr. 100/2017 cu privire la actele normative.</w:t>
            </w:r>
            <w:r w:rsidR="005615D5">
              <w:rPr>
                <w:rFonts w:ascii="Times New Roman" w:hAnsi="Times New Roman"/>
                <w:sz w:val="28"/>
                <w:szCs w:val="28"/>
                <w:lang w:val="ro-RO"/>
              </w:rPr>
              <w:t xml:space="preserve"> Conform expertizei juridice, nu au fost formulate obiecții de ordin conceptual, iar obiecțiile de tehnică legislativă au fost acceptate. </w:t>
            </w:r>
          </w:p>
        </w:tc>
      </w:tr>
      <w:tr w:rsidR="00D87F87" w:rsidRPr="00736BAB" w14:paraId="07B8C96C" w14:textId="77777777" w:rsidTr="00736BAB">
        <w:tc>
          <w:tcPr>
            <w:tcW w:w="10349" w:type="dxa"/>
            <w:shd w:val="clear" w:color="BFBFBF" w:fill="BFBFBF"/>
            <w:tcMar>
              <w:top w:w="0" w:type="dxa"/>
              <w:left w:w="108" w:type="dxa"/>
              <w:bottom w:w="0" w:type="dxa"/>
              <w:right w:w="108" w:type="dxa"/>
            </w:tcMar>
          </w:tcPr>
          <w:p w14:paraId="2F270A09"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8. Modul de încorporare a actului în cadrul normativ existent</w:t>
            </w:r>
          </w:p>
        </w:tc>
      </w:tr>
      <w:tr w:rsidR="00D87F87" w:rsidRPr="00736BAB" w14:paraId="344504EA" w14:textId="77777777" w:rsidTr="00736BAB">
        <w:tc>
          <w:tcPr>
            <w:tcW w:w="10349" w:type="dxa"/>
            <w:tcMar>
              <w:top w:w="0" w:type="dxa"/>
              <w:left w:w="108" w:type="dxa"/>
              <w:bottom w:w="0" w:type="dxa"/>
              <w:right w:w="108" w:type="dxa"/>
            </w:tcMar>
          </w:tcPr>
          <w:p w14:paraId="5713F904" w14:textId="1A3761F4" w:rsidR="00D87F87" w:rsidRPr="002B7FA2" w:rsidRDefault="004C6758"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Urmare a aprobării proiectul de hotărâre urmează a fi modificată Hotărârea de Guvern nr. 1059/2023 cu privire la impunerea obligației de serviciu public în vederea asigurării securității aprovizionării cu energie electrică.</w:t>
            </w:r>
          </w:p>
        </w:tc>
      </w:tr>
      <w:tr w:rsidR="00D87F87" w:rsidRPr="002B7FA2" w14:paraId="137550FF" w14:textId="77777777" w:rsidTr="00736BAB">
        <w:tc>
          <w:tcPr>
            <w:tcW w:w="10349" w:type="dxa"/>
            <w:shd w:val="clear" w:color="BFBFBF" w:fill="BFBFBF"/>
            <w:tcMar>
              <w:top w:w="0" w:type="dxa"/>
              <w:left w:w="108" w:type="dxa"/>
              <w:bottom w:w="0" w:type="dxa"/>
              <w:right w:w="108" w:type="dxa"/>
            </w:tcMar>
          </w:tcPr>
          <w:p w14:paraId="56DA6584" w14:textId="77777777" w:rsidR="00D87F87" w:rsidRPr="002B7FA2" w:rsidRDefault="008E64CC" w:rsidP="000069ED">
            <w:pPr>
              <w:spacing w:line="276" w:lineRule="auto"/>
              <w:rPr>
                <w:rFonts w:ascii="Times New Roman" w:hAnsi="Times New Roman"/>
                <w:b/>
                <w:bCs/>
                <w:sz w:val="28"/>
                <w:szCs w:val="28"/>
                <w:lang w:val="ro-RO"/>
              </w:rPr>
            </w:pPr>
            <w:r w:rsidRPr="002B7FA2">
              <w:rPr>
                <w:rFonts w:ascii="Times New Roman" w:hAnsi="Times New Roman"/>
                <w:b/>
                <w:bCs/>
                <w:sz w:val="28"/>
                <w:szCs w:val="28"/>
                <w:lang w:val="ro-RO"/>
              </w:rPr>
              <w:t>9. Măsurile necesare pentru implementarea prevederilor proiectului actului normativ</w:t>
            </w:r>
          </w:p>
        </w:tc>
      </w:tr>
      <w:tr w:rsidR="00D87F87" w:rsidRPr="002B7FA2" w14:paraId="20ED7FE3" w14:textId="77777777" w:rsidTr="00736BAB">
        <w:tc>
          <w:tcPr>
            <w:tcW w:w="10349" w:type="dxa"/>
            <w:tcMar>
              <w:top w:w="0" w:type="dxa"/>
              <w:left w:w="108" w:type="dxa"/>
              <w:bottom w:w="0" w:type="dxa"/>
              <w:right w:w="108" w:type="dxa"/>
            </w:tcMar>
          </w:tcPr>
          <w:p w14:paraId="16B10A86" w14:textId="740FB8F4" w:rsidR="00D87F87" w:rsidRPr="002B7FA2" w:rsidRDefault="00C707F1" w:rsidP="000069ED">
            <w:pPr>
              <w:spacing w:line="276" w:lineRule="auto"/>
              <w:rPr>
                <w:rFonts w:ascii="Times New Roman" w:hAnsi="Times New Roman"/>
                <w:sz w:val="28"/>
                <w:szCs w:val="28"/>
                <w:lang w:val="ro-RO"/>
              </w:rPr>
            </w:pPr>
            <w:r w:rsidRPr="002B7FA2">
              <w:rPr>
                <w:rFonts w:ascii="Times New Roman" w:hAnsi="Times New Roman"/>
                <w:sz w:val="28"/>
                <w:szCs w:val="28"/>
                <w:lang w:val="ro-RO"/>
              </w:rPr>
              <w:t xml:space="preserve">Proiectul de hotărâre presupune modificarea Hotărârii de Guvern </w:t>
            </w:r>
            <w:r w:rsidR="008A4686" w:rsidRPr="002B7FA2">
              <w:rPr>
                <w:rFonts w:ascii="Times New Roman" w:hAnsi="Times New Roman"/>
                <w:sz w:val="28"/>
                <w:szCs w:val="28"/>
                <w:lang w:val="ro-RO"/>
              </w:rPr>
              <w:br/>
            </w:r>
            <w:r w:rsidRPr="002B7FA2">
              <w:rPr>
                <w:rFonts w:ascii="Times New Roman" w:hAnsi="Times New Roman"/>
                <w:sz w:val="28"/>
                <w:szCs w:val="28"/>
                <w:lang w:val="ro-RO"/>
              </w:rPr>
              <w:t>nr. 1059/2023</w:t>
            </w:r>
            <w:r w:rsidR="003D57AE" w:rsidRPr="002B7FA2">
              <w:rPr>
                <w:rFonts w:ascii="Times New Roman" w:hAnsi="Times New Roman"/>
                <w:sz w:val="28"/>
                <w:szCs w:val="28"/>
                <w:lang w:val="ro-RO"/>
              </w:rPr>
              <w:t xml:space="preserve"> cu privire la impunerea obligației de serviciu public în vederea asigurării securității aprovizionării cu energie electrică.</w:t>
            </w:r>
          </w:p>
        </w:tc>
      </w:tr>
    </w:tbl>
    <w:p w14:paraId="79325FDE" w14:textId="7E26CBB2" w:rsidR="00D87F87" w:rsidRPr="002B7FA2" w:rsidRDefault="00D87F87">
      <w:pPr>
        <w:pBdr>
          <w:top w:val="none" w:sz="4" w:space="0" w:color="000000"/>
          <w:left w:val="none" w:sz="4" w:space="0" w:color="000000"/>
          <w:bottom w:val="none" w:sz="4" w:space="0" w:color="000000"/>
          <w:right w:val="none" w:sz="4" w:space="0" w:color="000000"/>
        </w:pBdr>
        <w:tabs>
          <w:tab w:val="left" w:pos="884"/>
          <w:tab w:val="left" w:pos="1196"/>
        </w:tabs>
        <w:rPr>
          <w:sz w:val="28"/>
          <w:szCs w:val="28"/>
          <w:lang w:val="ro-RO"/>
        </w:rPr>
      </w:pPr>
    </w:p>
    <w:p w14:paraId="312A777A" w14:textId="77777777" w:rsidR="00736BAB" w:rsidRDefault="00736BAB" w:rsidP="00826EDE">
      <w:pPr>
        <w:pBdr>
          <w:top w:val="none" w:sz="4" w:space="0" w:color="000000"/>
          <w:left w:val="none" w:sz="4" w:space="0" w:color="000000"/>
          <w:bottom w:val="none" w:sz="4" w:space="0" w:color="000000"/>
          <w:right w:val="none" w:sz="4" w:space="0" w:color="000000"/>
        </w:pBdr>
        <w:tabs>
          <w:tab w:val="left" w:pos="884"/>
          <w:tab w:val="left" w:pos="1196"/>
        </w:tabs>
        <w:rPr>
          <w:b/>
          <w:bCs/>
          <w:sz w:val="28"/>
          <w:szCs w:val="28"/>
          <w:lang w:val="ro-RO"/>
        </w:rPr>
      </w:pPr>
    </w:p>
    <w:p w14:paraId="5B00FCEC" w14:textId="036768C1" w:rsidR="000069ED" w:rsidRPr="002B7FA2" w:rsidRDefault="003D57AE" w:rsidP="00826EDE">
      <w:pPr>
        <w:pBdr>
          <w:top w:val="none" w:sz="4" w:space="0" w:color="000000"/>
          <w:left w:val="none" w:sz="4" w:space="0" w:color="000000"/>
          <w:bottom w:val="none" w:sz="4" w:space="0" w:color="000000"/>
          <w:right w:val="none" w:sz="4" w:space="0" w:color="000000"/>
        </w:pBdr>
        <w:tabs>
          <w:tab w:val="left" w:pos="884"/>
          <w:tab w:val="left" w:pos="1196"/>
        </w:tabs>
        <w:rPr>
          <w:b/>
          <w:bCs/>
          <w:sz w:val="28"/>
          <w:szCs w:val="28"/>
          <w:lang w:val="ro-RO"/>
        </w:rPr>
      </w:pPr>
      <w:r w:rsidRPr="002B7FA2">
        <w:rPr>
          <w:b/>
          <w:bCs/>
          <w:sz w:val="28"/>
          <w:szCs w:val="28"/>
          <w:lang w:val="ro-RO"/>
        </w:rPr>
        <w:t>Secretar de Stat</w:t>
      </w:r>
      <w:r w:rsidR="00135E02" w:rsidRPr="002B7FA2">
        <w:rPr>
          <w:b/>
          <w:bCs/>
          <w:sz w:val="28"/>
          <w:szCs w:val="28"/>
          <w:lang w:val="ro-RO"/>
        </w:rPr>
        <w:t xml:space="preserve">                  </w:t>
      </w:r>
      <w:r w:rsidR="00135E02" w:rsidRPr="002B7FA2">
        <w:rPr>
          <w:i/>
          <w:iCs/>
          <w:sz w:val="28"/>
          <w:szCs w:val="28"/>
          <w:lang w:val="ro-RO"/>
        </w:rPr>
        <w:t xml:space="preserve"> /semnat electronic/          </w:t>
      </w:r>
      <w:r w:rsidR="00135E02" w:rsidRPr="002B7FA2">
        <w:rPr>
          <w:b/>
          <w:bCs/>
          <w:sz w:val="28"/>
          <w:szCs w:val="28"/>
          <w:lang w:val="ro-RO"/>
        </w:rPr>
        <w:t xml:space="preserve">        </w:t>
      </w:r>
      <w:r w:rsidRPr="002B7FA2">
        <w:rPr>
          <w:b/>
          <w:bCs/>
          <w:sz w:val="28"/>
          <w:szCs w:val="28"/>
          <w:lang w:val="ro-RO"/>
        </w:rPr>
        <w:t>Constantin BOROSAN</w:t>
      </w:r>
    </w:p>
    <w:sectPr w:rsidR="000069ED" w:rsidRPr="002B7FA2" w:rsidSect="00736BAB">
      <w:headerReference w:type="default" r:id="rId13"/>
      <w:pgSz w:w="11906" w:h="16838" w:code="9"/>
      <w:pgMar w:top="426" w:right="849" w:bottom="568"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333EB" w14:textId="77777777" w:rsidR="001002BA" w:rsidRDefault="001002BA">
      <w:r>
        <w:separator/>
      </w:r>
    </w:p>
  </w:endnote>
  <w:endnote w:type="continuationSeparator" w:id="0">
    <w:p w14:paraId="3A1CE932" w14:textId="77777777" w:rsidR="001002BA" w:rsidRDefault="0010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0C1CC" w14:textId="77777777" w:rsidR="001002BA" w:rsidRDefault="001002BA">
      <w:r>
        <w:separator/>
      </w:r>
    </w:p>
  </w:footnote>
  <w:footnote w:type="continuationSeparator" w:id="0">
    <w:p w14:paraId="3E5881FE" w14:textId="77777777" w:rsidR="001002BA" w:rsidRDefault="0010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B5D4F" w14:textId="77777777" w:rsidR="00D87F87" w:rsidRDefault="00D87F87">
    <w:pPr>
      <w:pStyle w:val="Antet"/>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CA9"/>
    <w:multiLevelType w:val="multilevel"/>
    <w:tmpl w:val="AB2A0DE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1E322DB"/>
    <w:multiLevelType w:val="multilevel"/>
    <w:tmpl w:val="AB16DE3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410A47"/>
    <w:multiLevelType w:val="multilevel"/>
    <w:tmpl w:val="0194C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5069F"/>
    <w:multiLevelType w:val="multilevel"/>
    <w:tmpl w:val="4CE69E5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8A248E"/>
    <w:multiLevelType w:val="multilevel"/>
    <w:tmpl w:val="1DF6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E0A2D"/>
    <w:multiLevelType w:val="multilevel"/>
    <w:tmpl w:val="27CAFB6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9FF"/>
    <w:multiLevelType w:val="multilevel"/>
    <w:tmpl w:val="84E23B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337B4"/>
    <w:multiLevelType w:val="multilevel"/>
    <w:tmpl w:val="70BC56A8"/>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05041"/>
    <w:multiLevelType w:val="multilevel"/>
    <w:tmpl w:val="3A6499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6610F"/>
    <w:multiLevelType w:val="multilevel"/>
    <w:tmpl w:val="9498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D6D96"/>
    <w:multiLevelType w:val="multilevel"/>
    <w:tmpl w:val="AACAB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3321E"/>
    <w:multiLevelType w:val="multilevel"/>
    <w:tmpl w:val="EB723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17497"/>
    <w:multiLevelType w:val="multilevel"/>
    <w:tmpl w:val="4A400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0A6EF6"/>
    <w:multiLevelType w:val="multilevel"/>
    <w:tmpl w:val="6BE2384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C951546"/>
    <w:multiLevelType w:val="multilevel"/>
    <w:tmpl w:val="9A927DD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D27A7"/>
    <w:multiLevelType w:val="multilevel"/>
    <w:tmpl w:val="B7388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AD7B1A"/>
    <w:multiLevelType w:val="multilevel"/>
    <w:tmpl w:val="E7AA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7AE9"/>
    <w:multiLevelType w:val="multilevel"/>
    <w:tmpl w:val="1EC27D2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B5C58"/>
    <w:multiLevelType w:val="multilevel"/>
    <w:tmpl w:val="CFBC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604AB2"/>
    <w:multiLevelType w:val="multilevel"/>
    <w:tmpl w:val="939E8CA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404015"/>
    <w:multiLevelType w:val="multilevel"/>
    <w:tmpl w:val="5A3C342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725F06"/>
    <w:multiLevelType w:val="multilevel"/>
    <w:tmpl w:val="54B886E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3831F6"/>
    <w:multiLevelType w:val="multilevel"/>
    <w:tmpl w:val="DF26538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625438"/>
    <w:multiLevelType w:val="multilevel"/>
    <w:tmpl w:val="426CA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47C05"/>
    <w:multiLevelType w:val="multilevel"/>
    <w:tmpl w:val="55F636D6"/>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4E560CE9"/>
    <w:multiLevelType w:val="multilevel"/>
    <w:tmpl w:val="D9A4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D7A89"/>
    <w:multiLevelType w:val="multilevel"/>
    <w:tmpl w:val="6638F31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984CD1"/>
    <w:multiLevelType w:val="multilevel"/>
    <w:tmpl w:val="76BE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60B27"/>
    <w:multiLevelType w:val="multilevel"/>
    <w:tmpl w:val="1AA0F34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60F431BD"/>
    <w:multiLevelType w:val="multilevel"/>
    <w:tmpl w:val="B994DCC6"/>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9B5616"/>
    <w:multiLevelType w:val="multilevel"/>
    <w:tmpl w:val="B94AC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A12A2E"/>
    <w:multiLevelType w:val="multilevel"/>
    <w:tmpl w:val="CD6AF3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34403"/>
    <w:multiLevelType w:val="multilevel"/>
    <w:tmpl w:val="C62ACA92"/>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72382849"/>
    <w:multiLevelType w:val="multilevel"/>
    <w:tmpl w:val="7A6E3AE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8247E5"/>
    <w:multiLevelType w:val="multilevel"/>
    <w:tmpl w:val="9D8C6C4E"/>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905F22"/>
    <w:multiLevelType w:val="multilevel"/>
    <w:tmpl w:val="DE16965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15:restartNumberingAfterBreak="0">
    <w:nsid w:val="75FE555E"/>
    <w:multiLevelType w:val="multilevel"/>
    <w:tmpl w:val="81A07564"/>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802B5B"/>
    <w:multiLevelType w:val="multilevel"/>
    <w:tmpl w:val="DA4643D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F81206"/>
    <w:multiLevelType w:val="multilevel"/>
    <w:tmpl w:val="4A4237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ED47DE"/>
    <w:multiLevelType w:val="multilevel"/>
    <w:tmpl w:val="C3D08B4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C593544"/>
    <w:multiLevelType w:val="multilevel"/>
    <w:tmpl w:val="6614A73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D32FAF"/>
    <w:multiLevelType w:val="multilevel"/>
    <w:tmpl w:val="2B8E60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573065">
    <w:abstractNumId w:val="20"/>
  </w:num>
  <w:num w:numId="2" w16cid:durableId="2123452507">
    <w:abstractNumId w:val="5"/>
  </w:num>
  <w:num w:numId="3" w16cid:durableId="1737119157">
    <w:abstractNumId w:val="41"/>
  </w:num>
  <w:num w:numId="4" w16cid:durableId="84570195">
    <w:abstractNumId w:val="2"/>
  </w:num>
  <w:num w:numId="5" w16cid:durableId="48267001">
    <w:abstractNumId w:val="34"/>
  </w:num>
  <w:num w:numId="6" w16cid:durableId="261575325">
    <w:abstractNumId w:val="18"/>
  </w:num>
  <w:num w:numId="7" w16cid:durableId="431168799">
    <w:abstractNumId w:val="30"/>
  </w:num>
  <w:num w:numId="8" w16cid:durableId="875190812">
    <w:abstractNumId w:val="12"/>
  </w:num>
  <w:num w:numId="9" w16cid:durableId="1544248808">
    <w:abstractNumId w:val="8"/>
  </w:num>
  <w:num w:numId="10" w16cid:durableId="795366544">
    <w:abstractNumId w:val="39"/>
  </w:num>
  <w:num w:numId="11" w16cid:durableId="245185722">
    <w:abstractNumId w:val="35"/>
  </w:num>
  <w:num w:numId="12" w16cid:durableId="782580286">
    <w:abstractNumId w:val="7"/>
  </w:num>
  <w:num w:numId="13" w16cid:durableId="1853645805">
    <w:abstractNumId w:val="19"/>
  </w:num>
  <w:num w:numId="14" w16cid:durableId="1938054515">
    <w:abstractNumId w:val="14"/>
  </w:num>
  <w:num w:numId="15" w16cid:durableId="1484078872">
    <w:abstractNumId w:val="3"/>
  </w:num>
  <w:num w:numId="16" w16cid:durableId="422193148">
    <w:abstractNumId w:val="29"/>
  </w:num>
  <w:num w:numId="17" w16cid:durableId="239097691">
    <w:abstractNumId w:val="36"/>
  </w:num>
  <w:num w:numId="18" w16cid:durableId="1707295846">
    <w:abstractNumId w:val="37"/>
  </w:num>
  <w:num w:numId="19" w16cid:durableId="840893696">
    <w:abstractNumId w:val="1"/>
  </w:num>
  <w:num w:numId="20" w16cid:durableId="942958948">
    <w:abstractNumId w:val="21"/>
  </w:num>
  <w:num w:numId="21" w16cid:durableId="978072711">
    <w:abstractNumId w:val="26"/>
  </w:num>
  <w:num w:numId="22" w16cid:durableId="740755492">
    <w:abstractNumId w:val="31"/>
  </w:num>
  <w:num w:numId="23" w16cid:durableId="2089692447">
    <w:abstractNumId w:val="27"/>
  </w:num>
  <w:num w:numId="24" w16cid:durableId="801851435">
    <w:abstractNumId w:val="16"/>
  </w:num>
  <w:num w:numId="25" w16cid:durableId="27032034">
    <w:abstractNumId w:val="11"/>
  </w:num>
  <w:num w:numId="26" w16cid:durableId="1382749790">
    <w:abstractNumId w:val="10"/>
  </w:num>
  <w:num w:numId="27" w16cid:durableId="131942840">
    <w:abstractNumId w:val="17"/>
  </w:num>
  <w:num w:numId="28" w16cid:durableId="571743706">
    <w:abstractNumId w:val="33"/>
    <w:lvlOverride w:ilvl="0">
      <w:startOverride w:val="1"/>
    </w:lvlOverride>
  </w:num>
  <w:num w:numId="29" w16cid:durableId="1976987376">
    <w:abstractNumId w:val="22"/>
  </w:num>
  <w:num w:numId="30" w16cid:durableId="1572231030">
    <w:abstractNumId w:val="40"/>
  </w:num>
  <w:num w:numId="31" w16cid:durableId="576550222">
    <w:abstractNumId w:val="15"/>
  </w:num>
  <w:num w:numId="32" w16cid:durableId="850988443">
    <w:abstractNumId w:val="33"/>
  </w:num>
  <w:num w:numId="33" w16cid:durableId="1362126664">
    <w:abstractNumId w:val="23"/>
  </w:num>
  <w:num w:numId="34" w16cid:durableId="727874750">
    <w:abstractNumId w:val="4"/>
  </w:num>
  <w:num w:numId="35" w16cid:durableId="155653869">
    <w:abstractNumId w:val="9"/>
  </w:num>
  <w:num w:numId="36" w16cid:durableId="2016884944">
    <w:abstractNumId w:val="25"/>
  </w:num>
  <w:num w:numId="37" w16cid:durableId="672759021">
    <w:abstractNumId w:val="6"/>
  </w:num>
  <w:num w:numId="38" w16cid:durableId="1434782250">
    <w:abstractNumId w:val="38"/>
  </w:num>
  <w:num w:numId="39" w16cid:durableId="859396588">
    <w:abstractNumId w:val="28"/>
  </w:num>
  <w:num w:numId="40" w16cid:durableId="1515194717">
    <w:abstractNumId w:val="24"/>
  </w:num>
  <w:num w:numId="41" w16cid:durableId="664435447">
    <w:abstractNumId w:val="0"/>
  </w:num>
  <w:num w:numId="42" w16cid:durableId="1159924990">
    <w:abstractNumId w:val="13"/>
  </w:num>
  <w:num w:numId="43" w16cid:durableId="15177688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87"/>
    <w:rsid w:val="000069ED"/>
    <w:rsid w:val="00010B00"/>
    <w:rsid w:val="00057AEF"/>
    <w:rsid w:val="000A20E5"/>
    <w:rsid w:val="000B03FA"/>
    <w:rsid w:val="000C2646"/>
    <w:rsid w:val="000C7D16"/>
    <w:rsid w:val="000E23AA"/>
    <w:rsid w:val="001002BA"/>
    <w:rsid w:val="0010455B"/>
    <w:rsid w:val="00104AD5"/>
    <w:rsid w:val="00135E02"/>
    <w:rsid w:val="00155158"/>
    <w:rsid w:val="001625B0"/>
    <w:rsid w:val="00172CEC"/>
    <w:rsid w:val="00181ABC"/>
    <w:rsid w:val="00183887"/>
    <w:rsid w:val="001852B9"/>
    <w:rsid w:val="001859DA"/>
    <w:rsid w:val="001B6C9D"/>
    <w:rsid w:val="001E7C9F"/>
    <w:rsid w:val="001F7250"/>
    <w:rsid w:val="002114AD"/>
    <w:rsid w:val="00224ED3"/>
    <w:rsid w:val="00232061"/>
    <w:rsid w:val="00243C52"/>
    <w:rsid w:val="00243C7B"/>
    <w:rsid w:val="002778D0"/>
    <w:rsid w:val="00292927"/>
    <w:rsid w:val="002B3CE5"/>
    <w:rsid w:val="002B7FA2"/>
    <w:rsid w:val="002C552E"/>
    <w:rsid w:val="002C60E9"/>
    <w:rsid w:val="002D2ABA"/>
    <w:rsid w:val="002F28C5"/>
    <w:rsid w:val="00311559"/>
    <w:rsid w:val="003278D3"/>
    <w:rsid w:val="00330F9F"/>
    <w:rsid w:val="00335B4E"/>
    <w:rsid w:val="0036097C"/>
    <w:rsid w:val="003A259C"/>
    <w:rsid w:val="003B176C"/>
    <w:rsid w:val="003B5200"/>
    <w:rsid w:val="003D57AE"/>
    <w:rsid w:val="00401558"/>
    <w:rsid w:val="00405972"/>
    <w:rsid w:val="004501CD"/>
    <w:rsid w:val="00450CCF"/>
    <w:rsid w:val="0045231C"/>
    <w:rsid w:val="0047400C"/>
    <w:rsid w:val="00490D0B"/>
    <w:rsid w:val="004A0F4E"/>
    <w:rsid w:val="004B233C"/>
    <w:rsid w:val="004B59AA"/>
    <w:rsid w:val="004C4529"/>
    <w:rsid w:val="004C63FD"/>
    <w:rsid w:val="004C6758"/>
    <w:rsid w:val="0051388B"/>
    <w:rsid w:val="005615D5"/>
    <w:rsid w:val="00581F17"/>
    <w:rsid w:val="00590A53"/>
    <w:rsid w:val="005C08D5"/>
    <w:rsid w:val="005D797C"/>
    <w:rsid w:val="005F3AF7"/>
    <w:rsid w:val="00614915"/>
    <w:rsid w:val="00640E59"/>
    <w:rsid w:val="0065290B"/>
    <w:rsid w:val="00665097"/>
    <w:rsid w:val="00676668"/>
    <w:rsid w:val="006A3508"/>
    <w:rsid w:val="006A3538"/>
    <w:rsid w:val="00711D0C"/>
    <w:rsid w:val="0071591C"/>
    <w:rsid w:val="00724C8B"/>
    <w:rsid w:val="007274D8"/>
    <w:rsid w:val="00731FA6"/>
    <w:rsid w:val="00736BAB"/>
    <w:rsid w:val="00762871"/>
    <w:rsid w:val="0076293A"/>
    <w:rsid w:val="00763BE9"/>
    <w:rsid w:val="007A1E2C"/>
    <w:rsid w:val="007A6BA9"/>
    <w:rsid w:val="007C4CAC"/>
    <w:rsid w:val="007D32C4"/>
    <w:rsid w:val="007E13F2"/>
    <w:rsid w:val="007E4E32"/>
    <w:rsid w:val="007E6A98"/>
    <w:rsid w:val="007E7C92"/>
    <w:rsid w:val="00812163"/>
    <w:rsid w:val="00823022"/>
    <w:rsid w:val="00826EDE"/>
    <w:rsid w:val="0085578F"/>
    <w:rsid w:val="008631FC"/>
    <w:rsid w:val="00865DD6"/>
    <w:rsid w:val="00870F6F"/>
    <w:rsid w:val="00887413"/>
    <w:rsid w:val="00887A0E"/>
    <w:rsid w:val="008A1DC8"/>
    <w:rsid w:val="008A4686"/>
    <w:rsid w:val="008A519B"/>
    <w:rsid w:val="008C0393"/>
    <w:rsid w:val="008C36E9"/>
    <w:rsid w:val="008E3405"/>
    <w:rsid w:val="008E64CC"/>
    <w:rsid w:val="009019CC"/>
    <w:rsid w:val="00914BC9"/>
    <w:rsid w:val="0093589A"/>
    <w:rsid w:val="0096798B"/>
    <w:rsid w:val="00974F48"/>
    <w:rsid w:val="00975B6C"/>
    <w:rsid w:val="009769DB"/>
    <w:rsid w:val="00983DF8"/>
    <w:rsid w:val="009A14F5"/>
    <w:rsid w:val="009D4F12"/>
    <w:rsid w:val="00A0657A"/>
    <w:rsid w:val="00A202D4"/>
    <w:rsid w:val="00A44C05"/>
    <w:rsid w:val="00A52AC2"/>
    <w:rsid w:val="00A804AF"/>
    <w:rsid w:val="00A94B86"/>
    <w:rsid w:val="00AA2C45"/>
    <w:rsid w:val="00AD3C36"/>
    <w:rsid w:val="00AF3C08"/>
    <w:rsid w:val="00B369FC"/>
    <w:rsid w:val="00B71302"/>
    <w:rsid w:val="00B72F75"/>
    <w:rsid w:val="00BA3388"/>
    <w:rsid w:val="00BD6675"/>
    <w:rsid w:val="00C23E63"/>
    <w:rsid w:val="00C3114B"/>
    <w:rsid w:val="00C40385"/>
    <w:rsid w:val="00C522A1"/>
    <w:rsid w:val="00C53626"/>
    <w:rsid w:val="00C63E79"/>
    <w:rsid w:val="00C707F1"/>
    <w:rsid w:val="00C70C3F"/>
    <w:rsid w:val="00C73D5E"/>
    <w:rsid w:val="00C90E95"/>
    <w:rsid w:val="00C94DD0"/>
    <w:rsid w:val="00C95416"/>
    <w:rsid w:val="00CA6C84"/>
    <w:rsid w:val="00CF28ED"/>
    <w:rsid w:val="00CF4FD4"/>
    <w:rsid w:val="00D21E85"/>
    <w:rsid w:val="00D233E9"/>
    <w:rsid w:val="00D46E92"/>
    <w:rsid w:val="00D62824"/>
    <w:rsid w:val="00D70371"/>
    <w:rsid w:val="00D732AD"/>
    <w:rsid w:val="00D87F87"/>
    <w:rsid w:val="00D96232"/>
    <w:rsid w:val="00DA4D7A"/>
    <w:rsid w:val="00DC66E9"/>
    <w:rsid w:val="00DD1E54"/>
    <w:rsid w:val="00DF3AA9"/>
    <w:rsid w:val="00E14254"/>
    <w:rsid w:val="00E2653D"/>
    <w:rsid w:val="00E3168D"/>
    <w:rsid w:val="00E47213"/>
    <w:rsid w:val="00E53388"/>
    <w:rsid w:val="00E6677C"/>
    <w:rsid w:val="00E82321"/>
    <w:rsid w:val="00E87986"/>
    <w:rsid w:val="00EA326F"/>
    <w:rsid w:val="00EA6EAA"/>
    <w:rsid w:val="00F06701"/>
    <w:rsid w:val="00F143B9"/>
    <w:rsid w:val="00F20ED6"/>
    <w:rsid w:val="00F53022"/>
    <w:rsid w:val="00F97047"/>
    <w:rsid w:val="00FA0BAF"/>
    <w:rsid w:val="00FA67EF"/>
    <w:rsid w:val="00FB3043"/>
    <w:rsid w:val="00FB5A75"/>
    <w:rsid w:val="00FC0FD6"/>
    <w:rsid w:val="00FC1D12"/>
    <w:rsid w:val="00FD32F9"/>
    <w:rsid w:val="00FD6EB9"/>
    <w:rsid w:val="00FF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C9AF"/>
  <w15:docId w15:val="{CC4ED72E-6B10-4A7A-A763-2A06CB4E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0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93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9945A5FB-9C35-4852-8CCA-F5582A2CECD1}">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2135</Words>
  <Characters>12176</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Nicolae Negru</dc:creator>
  <cp:lastModifiedBy>Nicolae Negru</cp:lastModifiedBy>
  <cp:revision>50</cp:revision>
  <cp:lastPrinted>2025-03-05T06:19:00Z</cp:lastPrinted>
  <dcterms:created xsi:type="dcterms:W3CDTF">2024-10-29T17:02:00Z</dcterms:created>
  <dcterms:modified xsi:type="dcterms:W3CDTF">2025-03-11T15:22:00Z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