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CF" w:rsidRPr="005F5404" w:rsidRDefault="00CF0BCF" w:rsidP="00CF0BCF">
      <w:pPr>
        <w:pBdr>
          <w:top w:val="none" w:sz="4" w:space="0" w:color="000000"/>
          <w:left w:val="none" w:sz="4" w:space="0" w:color="000000"/>
          <w:bottom w:val="none" w:sz="4" w:space="0" w:color="000000"/>
          <w:right w:val="none" w:sz="4" w:space="0" w:color="000000"/>
        </w:pBdr>
        <w:tabs>
          <w:tab w:val="left" w:pos="884"/>
          <w:tab w:val="left" w:pos="1196"/>
        </w:tabs>
        <w:ind w:right="283"/>
        <w:jc w:val="center"/>
        <w:rPr>
          <w:b/>
          <w:sz w:val="28"/>
          <w:szCs w:val="28"/>
          <w:u w:val="single"/>
          <w:lang w:val="ro-MD"/>
        </w:rPr>
      </w:pPr>
      <w:r w:rsidRPr="005F5404">
        <w:rPr>
          <w:b/>
          <w:sz w:val="28"/>
          <w:szCs w:val="28"/>
          <w:u w:val="single"/>
          <w:lang w:val="ro-MD"/>
        </w:rPr>
        <w:t>NOTA DE FUNDAMENTARE</w:t>
      </w:r>
    </w:p>
    <w:p w:rsidR="00CF0BCF" w:rsidRPr="005F5404" w:rsidRDefault="00CF0BCF" w:rsidP="00CF0BCF">
      <w:pPr>
        <w:jc w:val="center"/>
        <w:rPr>
          <w:b/>
          <w:i/>
          <w:sz w:val="26"/>
          <w:szCs w:val="26"/>
          <w:lang w:val="ro-MD"/>
        </w:rPr>
      </w:pPr>
      <w:r w:rsidRPr="005F5404">
        <w:rPr>
          <w:b/>
          <w:i/>
          <w:sz w:val="26"/>
          <w:szCs w:val="26"/>
          <w:lang w:val="ro-MD"/>
        </w:rPr>
        <w:t>la proiectul Hotărârii Guvernului  cu privire la achitarea din bugetul de stat</w:t>
      </w:r>
    </w:p>
    <w:p w:rsidR="00CF0BCF" w:rsidRPr="005F5404" w:rsidRDefault="00CF0BCF" w:rsidP="00CF0BCF">
      <w:pPr>
        <w:jc w:val="center"/>
        <w:rPr>
          <w:b/>
          <w:i/>
          <w:sz w:val="26"/>
          <w:szCs w:val="26"/>
          <w:lang w:val="ro-MD"/>
        </w:rPr>
      </w:pPr>
      <w:r w:rsidRPr="005F5404">
        <w:rPr>
          <w:b/>
          <w:i/>
          <w:sz w:val="26"/>
          <w:szCs w:val="26"/>
          <w:lang w:val="ro-MD"/>
        </w:rPr>
        <w:t>pentru anul 2025 a cotizațiilor de membru ale Republicii Moldova</w:t>
      </w:r>
    </w:p>
    <w:p w:rsidR="00CF0BCF" w:rsidRPr="005F5404" w:rsidRDefault="00CF0BCF" w:rsidP="00CF0BCF">
      <w:pPr>
        <w:jc w:val="center"/>
        <w:rPr>
          <w:b/>
          <w:i/>
          <w:sz w:val="26"/>
          <w:szCs w:val="26"/>
          <w:lang w:val="ro-MD"/>
        </w:rPr>
      </w:pPr>
      <w:r w:rsidRPr="005F5404">
        <w:rPr>
          <w:b/>
          <w:i/>
          <w:sz w:val="26"/>
          <w:szCs w:val="26"/>
          <w:lang w:val="ro-MD"/>
        </w:rPr>
        <w:t xml:space="preserve"> față de organizațiile internaționale</w:t>
      </w:r>
    </w:p>
    <w:p w:rsidR="00CF0BCF" w:rsidRPr="005F5404" w:rsidRDefault="00CF0BCF" w:rsidP="00CF0BCF">
      <w:pPr>
        <w:jc w:val="center"/>
        <w:rPr>
          <w:b/>
          <w:i/>
          <w:sz w:val="26"/>
          <w:szCs w:val="26"/>
          <w:lang w:val="ro-MD"/>
        </w:rPr>
      </w:pPr>
    </w:p>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4"/>
      </w:tblGrid>
      <w:tr w:rsidR="00CF0BCF" w:rsidRPr="00834FB0" w:rsidTr="0067262C">
        <w:tc>
          <w:tcPr>
            <w:tcW w:w="1033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1. Denumirea sau numele autorului și, după caz, a/al participanților la elaborarea proiectului actului normativ</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 xml:space="preserve"> Proiectul hotărârii de Guvern a fost elaborat de către Ministerul Finanțelor.</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2. Condițiile ce au impus elaborarea proiectului actului normativ</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2.1. Temeiul legal sau, după caz, sursa proiectului actului normativ</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jc w:val="both"/>
              <w:rPr>
                <w:sz w:val="26"/>
                <w:szCs w:val="26"/>
                <w:lang w:val="ro-MD"/>
              </w:rPr>
            </w:pPr>
            <w:r w:rsidRPr="005F5404">
              <w:rPr>
                <w:sz w:val="26"/>
                <w:szCs w:val="26"/>
                <w:lang w:val="ro-MD"/>
              </w:rPr>
              <w:t xml:space="preserve">Proiectul de hotărâre a fost elaborat în conformitate cu prevederile art. 3, lit. (a) din Legea bugetului de stat pentru anul 2025 nr.310/2024, precum și în corelare cu prevederile Anexelor 2 și 3, lit. a) din Hotărârea Guvernului nr. 454/2008 cu privire la optimizarea participării organelor centrale  de specialitate ale administrației publice, precum </w:t>
            </w:r>
            <w:proofErr w:type="spellStart"/>
            <w:r w:rsidRPr="005F5404">
              <w:rPr>
                <w:sz w:val="26"/>
                <w:szCs w:val="26"/>
                <w:lang w:val="ro-MD"/>
              </w:rPr>
              <w:t>şi</w:t>
            </w:r>
            <w:proofErr w:type="spellEnd"/>
            <w:r w:rsidRPr="005F5404">
              <w:rPr>
                <w:sz w:val="26"/>
                <w:szCs w:val="26"/>
                <w:lang w:val="ro-MD"/>
              </w:rPr>
              <w:t xml:space="preserve"> a altor autorități administrative centrale la executarea angajamentelor asumate fată de organizațiile internaționale. Inițiativa în cauză rezidă din necesitatea onorării obligațiunilor financiare stabilite în conformitate cu documentele (tratatele) internaționale semnate și ratificate de către Republica Moldova în contextul colaborării Republicii Moldova în cadrul organizațiilor internaționale și regionale.</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2.2. Descrierea situației actuale și a problemelor care impun intervenția, inclusiv a cadrului normativ aplicabil și a deficiențelor/lacunelor normative</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jc w:val="both"/>
              <w:rPr>
                <w:sz w:val="26"/>
                <w:szCs w:val="26"/>
                <w:lang w:val="ro-MD"/>
              </w:rPr>
            </w:pPr>
            <w:r w:rsidRPr="005F5404">
              <w:rPr>
                <w:sz w:val="26"/>
                <w:szCs w:val="26"/>
                <w:lang w:val="ro-MD"/>
              </w:rPr>
              <w:t>Proiectul hotărârii Guvernului vine la realizarea măsurilor stabilite întru atingerea obiectivelor de dezvoltare trasate în cadrul Strategiei națională de dezvoltare „Moldova Europeană 2030” (SND), preponderent politicii externe a statului promovate de autoritățile publice pe domenii. În același timp, onorarea angajamentelor financiare identificate prin cotizații de membru ale Republicii Moldova în cadrul organizațiilor internaționale va consolida relațiile de parteneriat existente și noi între statele membre în cadrul organizațiilor internaționale și va avea un impact pozitiv asupra impulsionării relațiilor externe în diverse domenii, precum și promovarea imaginii țării, în calitate de partener credibil, inclusiv fortificarea politicilor prioritare ale RM pe arena internațională. Un impuls suplimentar la prezentul proiect îl constituie avansarea statutului, prin calitatea de stat-candidat al UE, în corelarea acțiunilor stabilite în cadrul Acordului de asociere între Uniunea Europeană și Comunitatea Europeană a Energiei Atomice și statele membre ale acestora, pe de o parte, și Republica Moldova, pe de altă parte, semnat la 27 iunie 2014 la Bruxelles (Belgia), și aliniat obiectivelor generale ale Planului național de dezvoltare pentru anii 2023-2025 care vin în strânsă legătura cu implementarea Agendei de Asociere 2021-2027.</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3. Obiectivele urmărite și soluțiile propuse</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3.1. Principalele prevederi ale proiectului și evidențierea elementelor noi</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pStyle w:val="tt"/>
              <w:jc w:val="both"/>
              <w:rPr>
                <w:b/>
                <w:sz w:val="26"/>
                <w:szCs w:val="26"/>
                <w:lang w:val="ro-MD"/>
              </w:rPr>
            </w:pPr>
            <w:r w:rsidRPr="005F5404">
              <w:rPr>
                <w:sz w:val="26"/>
                <w:szCs w:val="26"/>
                <w:lang w:val="ro-MD"/>
              </w:rPr>
              <w:t xml:space="preserve">Proiectul hotărârii Guvernului are un caracter anual, conex ciclului legii bugetare anuale, se întocmește în scopul onorării angajamentelor financiare asumate în cadrul acordurilor internaționale semnate de Republica Moldova, care identifică contribuții anuale sub formă de cotizație de membru în cadrul organizațiilor internaționale. Astfel, alocațiile bugetare care urmează a fi achitate de MF în anul 2025 constituie suma de </w:t>
            </w:r>
            <w:r w:rsidRPr="005F5404">
              <w:rPr>
                <w:i/>
                <w:sz w:val="26"/>
                <w:szCs w:val="26"/>
                <w:lang w:val="ro-MD"/>
              </w:rPr>
              <w:t>54.000,0 mii lei, repartizate pentru achitarea cotizațiilor de membru față de 59 organizații internaționale</w:t>
            </w:r>
            <w:r w:rsidRPr="005F5404">
              <w:rPr>
                <w:sz w:val="26"/>
                <w:szCs w:val="26"/>
                <w:lang w:val="ro-MD"/>
              </w:rPr>
              <w:t xml:space="preserve">, acestea fiind divizate în 2 categorii după criterii de colaborare: 4 organizații parlamentare, și respectiv 55 organizații internaționale și regionale. </w:t>
            </w:r>
            <w:r w:rsidRPr="005F5404">
              <w:rPr>
                <w:sz w:val="26"/>
                <w:szCs w:val="26"/>
                <w:lang w:val="ro-MD"/>
              </w:rPr>
              <w:lastRenderedPageBreak/>
              <w:t>Suplimentar se evidențiază că termenul stabilit în proiect aferent intrarea în vigoare a hotărârii la data publicării  este condiționat de următorii factori:</w:t>
            </w:r>
          </w:p>
          <w:p w:rsidR="00CF0BCF" w:rsidRPr="005F5404" w:rsidRDefault="00CF0BCF" w:rsidP="00CF0BCF">
            <w:pPr>
              <w:pStyle w:val="a4"/>
              <w:numPr>
                <w:ilvl w:val="0"/>
                <w:numId w:val="1"/>
              </w:numPr>
              <w:spacing w:after="0" w:line="240" w:lineRule="auto"/>
              <w:ind w:left="447"/>
              <w:jc w:val="both"/>
              <w:rPr>
                <w:sz w:val="26"/>
                <w:szCs w:val="26"/>
                <w:lang w:val="ro-MD"/>
              </w:rPr>
            </w:pPr>
            <w:r w:rsidRPr="005F5404">
              <w:rPr>
                <w:sz w:val="26"/>
                <w:szCs w:val="26"/>
                <w:lang w:val="ro-MD"/>
              </w:rPr>
              <w:t>realizarea  transferurilor conform regulamentelor financiare ale organizațiilor internaționale și executarea documentelor de plată (</w:t>
            </w:r>
            <w:proofErr w:type="spellStart"/>
            <w:r w:rsidRPr="005F5404">
              <w:rPr>
                <w:sz w:val="26"/>
                <w:szCs w:val="26"/>
                <w:lang w:val="ro-MD"/>
              </w:rPr>
              <w:t>invoice</w:t>
            </w:r>
            <w:proofErr w:type="spellEnd"/>
            <w:r w:rsidRPr="005F5404">
              <w:rPr>
                <w:sz w:val="26"/>
                <w:szCs w:val="26"/>
                <w:lang w:val="ro-MD"/>
              </w:rPr>
              <w:t xml:space="preserve">-lor) care stabilesc transferarea cotizației la data de 01.01.2025 și/sau în termen de 30 zile de la data recepționării solicitării de plată (AP OSCE, ONU, ICAO PKD, UPU, CoE etc); </w:t>
            </w:r>
          </w:p>
          <w:p w:rsidR="00CF0BCF" w:rsidRPr="005F5404" w:rsidRDefault="00CF0BCF" w:rsidP="00CF0BCF">
            <w:pPr>
              <w:pStyle w:val="a4"/>
              <w:numPr>
                <w:ilvl w:val="0"/>
                <w:numId w:val="1"/>
              </w:numPr>
              <w:spacing w:after="0" w:line="240" w:lineRule="auto"/>
              <w:ind w:left="447"/>
              <w:jc w:val="both"/>
              <w:rPr>
                <w:sz w:val="26"/>
                <w:szCs w:val="26"/>
                <w:lang w:val="ro-MD"/>
              </w:rPr>
            </w:pPr>
            <w:r w:rsidRPr="005F5404">
              <w:rPr>
                <w:sz w:val="26"/>
                <w:szCs w:val="26"/>
                <w:lang w:val="ro-MD"/>
              </w:rPr>
              <w:t xml:space="preserve">asigurarea termenului bugetar consolidat prevederilor art.46 din Legea finanțelor publice </w:t>
            </w:r>
            <w:proofErr w:type="spellStart"/>
            <w:r w:rsidRPr="005F5404">
              <w:rPr>
                <w:sz w:val="26"/>
                <w:szCs w:val="26"/>
                <w:lang w:val="ro-MD"/>
              </w:rPr>
              <w:t>şi</w:t>
            </w:r>
            <w:proofErr w:type="spellEnd"/>
            <w:r w:rsidRPr="005F5404">
              <w:rPr>
                <w:sz w:val="26"/>
                <w:szCs w:val="26"/>
                <w:lang w:val="ro-MD"/>
              </w:rPr>
              <w:t xml:space="preserve"> responsabilității bugetar-fiscale nr.181/2014.</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lastRenderedPageBreak/>
              <w:t>3.2. Opțiunile alternative analizate și motivele pentru care acestea nu au fost luate în considerare.</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Opțiuni alternative nu au fost identificate.</w:t>
            </w:r>
          </w:p>
        </w:tc>
      </w:tr>
      <w:tr w:rsidR="00CF0BCF" w:rsidRPr="005F5404" w:rsidTr="0067262C">
        <w:trPr>
          <w:trHeight w:val="381"/>
        </w:trPr>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color w:val="000000" w:themeColor="text1"/>
                <w:sz w:val="26"/>
                <w:szCs w:val="26"/>
                <w:lang w:val="ro-MD"/>
              </w:rPr>
            </w:pPr>
            <w:r w:rsidRPr="005F5404">
              <w:rPr>
                <w:b/>
                <w:bCs/>
                <w:color w:val="000000" w:themeColor="text1"/>
                <w:sz w:val="26"/>
                <w:szCs w:val="26"/>
                <w:lang w:val="ro-MD"/>
              </w:rPr>
              <w:t xml:space="preserve">4. Analiza impactului de reglementare </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4.1. Impactul asupra sectorului public</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 xml:space="preserve">Nu are impact. </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4.2. Impactul financiar și argumentarea costurilor estimative</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jc w:val="both"/>
              <w:rPr>
                <w:sz w:val="26"/>
                <w:szCs w:val="26"/>
                <w:lang w:val="ro-MD"/>
              </w:rPr>
            </w:pPr>
            <w:r w:rsidRPr="005F5404">
              <w:rPr>
                <w:sz w:val="26"/>
                <w:szCs w:val="26"/>
                <w:lang w:val="ro-MD"/>
              </w:rPr>
              <w:t xml:space="preserve">În conformitate cu prevederile art. 3, lit. (a) din proiectul Legii bugetului de stat pentru anul 2025, suma alocată achitării cotizațiilor de membru ale Republicii Moldova față de organizațiile internaționale pentru anul 2025 constituie </w:t>
            </w:r>
            <w:r w:rsidRPr="005F5404">
              <w:rPr>
                <w:b/>
                <w:sz w:val="26"/>
                <w:szCs w:val="26"/>
                <w:lang w:val="ro-MD"/>
              </w:rPr>
              <w:t>54 000,0 mii lei</w:t>
            </w:r>
            <w:r w:rsidRPr="005F5404">
              <w:rPr>
                <w:sz w:val="26"/>
                <w:szCs w:val="26"/>
                <w:lang w:val="ro-MD"/>
              </w:rPr>
              <w:t>. Alocațiile bugetare pentru anul 2025 în acest scop prezintă o diminuare cu 2,5 mil. lei (sau cu 4,4%) față de suma alocată în anul 2024, executată în mărime de 53,3 mil. lei (sau la 94,4%). Alocațiile sunt repartizate în cadrul prezentului proiect conform propunerilor autorităților/instituțiilor publice, prezentate în baza Formularului nr. 7 „Propuneri de cheltuieli pentru achitarea  cotizațiilor de membru față de organizațiile internaționale și regionale” la circulara MF nr.06/1-17/42 din 07.08.2024</w:t>
            </w:r>
            <w:r w:rsidRPr="005F5404">
              <w:rPr>
                <w:color w:val="FF0000"/>
                <w:sz w:val="26"/>
                <w:szCs w:val="26"/>
                <w:lang w:val="ro-MD"/>
              </w:rPr>
              <w:t xml:space="preserve"> </w:t>
            </w:r>
            <w:r w:rsidRPr="005F5404">
              <w:rPr>
                <w:sz w:val="26"/>
                <w:szCs w:val="26"/>
                <w:lang w:val="ro-MD"/>
              </w:rPr>
              <w:t xml:space="preserve">privind elaborarea și prezentarea propunerilor de buget pentru anul 2025 și estimările pentru anii 2026-2027, precum și în baza solicitărilor prezentate Ministerului Finanțelor nemijlocit din partea organizațiilor internaționale. Proiectul prevede repartizarea mijloacelor financiare pentru: </w:t>
            </w:r>
          </w:p>
          <w:p w:rsidR="00CF0BCF" w:rsidRPr="005F5404" w:rsidRDefault="00CF0BCF" w:rsidP="0067262C">
            <w:pPr>
              <w:ind w:left="306" w:hanging="284"/>
              <w:jc w:val="both"/>
              <w:rPr>
                <w:sz w:val="26"/>
                <w:szCs w:val="26"/>
                <w:lang w:val="ro-MD"/>
              </w:rPr>
            </w:pPr>
            <w:r w:rsidRPr="005F5404">
              <w:rPr>
                <w:sz w:val="26"/>
                <w:szCs w:val="26"/>
                <w:lang w:val="ro-MD"/>
              </w:rPr>
              <w:t>1) achitarea cotizațiilor de membru în cadrul organizațiilor parlamentare internaționale – în sumă de 1.660,4 mii lei (sau cca 3,1% din alocațiile aprobate);</w:t>
            </w:r>
          </w:p>
          <w:p w:rsidR="00CF0BCF" w:rsidRPr="005F5404" w:rsidRDefault="00CF0BCF" w:rsidP="0067262C">
            <w:pPr>
              <w:ind w:left="306" w:hanging="284"/>
              <w:jc w:val="both"/>
              <w:rPr>
                <w:color w:val="000000" w:themeColor="text1"/>
                <w:sz w:val="26"/>
                <w:szCs w:val="26"/>
                <w:lang w:val="ro-MD"/>
              </w:rPr>
            </w:pPr>
            <w:r w:rsidRPr="005F5404">
              <w:rPr>
                <w:sz w:val="26"/>
                <w:szCs w:val="26"/>
                <w:lang w:val="ro-MD"/>
              </w:rPr>
              <w:t>2) achitarea cotizațiilor de membru față de organizațiile internaționale și regionale – în sumă de 52.339,6 mii lei (cca 96,9% din alocațiile aprobate).</w:t>
            </w:r>
            <w:r w:rsidRPr="005F5404">
              <w:rPr>
                <w:i/>
                <w:sz w:val="26"/>
                <w:szCs w:val="26"/>
                <w:lang w:val="ro-MD"/>
              </w:rPr>
              <w:t xml:space="preserve"> </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4.3. Impactul asupra sectorului privat</w:t>
            </w:r>
          </w:p>
        </w:tc>
      </w:tr>
      <w:tr w:rsidR="00CF0BCF" w:rsidRPr="005F5404"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Nu are impact.</w:t>
            </w:r>
          </w:p>
        </w:tc>
      </w:tr>
      <w:tr w:rsidR="00CF0BCF" w:rsidRPr="005F5404"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4.4. Impactul social</w:t>
            </w:r>
          </w:p>
        </w:tc>
      </w:tr>
      <w:tr w:rsidR="00CF0BCF" w:rsidRPr="005F5404"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Nu este aplicabil.</w:t>
            </w:r>
          </w:p>
        </w:tc>
      </w:tr>
      <w:tr w:rsidR="00CF0BCF" w:rsidRPr="00834FB0"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4.4.1. Impactul asupra datelor cu caracter personal</w:t>
            </w:r>
          </w:p>
        </w:tc>
      </w:tr>
      <w:tr w:rsidR="00CF0BCF" w:rsidRPr="00834FB0"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 xml:space="preserve">Nu este aplicabil. </w:t>
            </w:r>
          </w:p>
          <w:p w:rsidR="00CF0BCF" w:rsidRPr="005F5404" w:rsidRDefault="00CF0BCF" w:rsidP="0067262C">
            <w:pPr>
              <w:rPr>
                <w:color w:val="000000" w:themeColor="text1"/>
                <w:sz w:val="26"/>
                <w:szCs w:val="26"/>
                <w:lang w:val="ro-MD"/>
              </w:rPr>
            </w:pPr>
            <w:r w:rsidRPr="005F5404">
              <w:rPr>
                <w:color w:val="000000" w:themeColor="text1"/>
                <w:sz w:val="26"/>
                <w:szCs w:val="26"/>
                <w:lang w:val="ro-MD"/>
              </w:rPr>
              <w:t xml:space="preserve">Proiectul nu aduce atingere regulilor de prelucrare a datelor cu caracter personal în vigoare. </w:t>
            </w:r>
          </w:p>
        </w:tc>
      </w:tr>
      <w:tr w:rsidR="00CF0BCF" w:rsidRPr="00834FB0"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4.4.2. Impactul asupra echității și egalității de gen</w:t>
            </w:r>
          </w:p>
        </w:tc>
      </w:tr>
      <w:tr w:rsidR="00CF0BCF" w:rsidRPr="00834FB0" w:rsidTr="0067262C">
        <w:trPr>
          <w:trHeight w:val="208"/>
        </w:trPr>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bCs/>
                <w:color w:val="000000" w:themeColor="text1"/>
                <w:sz w:val="26"/>
                <w:szCs w:val="26"/>
                <w:lang w:val="ro-MD"/>
              </w:rPr>
            </w:pPr>
            <w:r w:rsidRPr="005F5404">
              <w:rPr>
                <w:bCs/>
                <w:color w:val="000000" w:themeColor="text1"/>
                <w:sz w:val="26"/>
                <w:szCs w:val="26"/>
                <w:lang w:val="ro-MD"/>
              </w:rPr>
              <w:t>Nu este aplicabil.</w:t>
            </w:r>
          </w:p>
          <w:p w:rsidR="00CF0BCF" w:rsidRPr="005F5404" w:rsidRDefault="00CF0BCF" w:rsidP="0067262C">
            <w:pPr>
              <w:rPr>
                <w:color w:val="000000" w:themeColor="text1"/>
                <w:sz w:val="26"/>
                <w:szCs w:val="26"/>
                <w:lang w:val="ro-MD"/>
              </w:rPr>
            </w:pPr>
            <w:r w:rsidRPr="005F5404">
              <w:rPr>
                <w:bCs/>
                <w:color w:val="000000" w:themeColor="text1"/>
                <w:sz w:val="26"/>
                <w:szCs w:val="26"/>
                <w:lang w:val="ro-MD"/>
              </w:rPr>
              <w:t>Proiectul nu stabilește norme diferențiate în dependență de gen.</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4.5. Impactul asupra mediului</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Nu este aplicabil.</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lastRenderedPageBreak/>
              <w:t>4.6. Alte impacturi și informații relevante</w:t>
            </w:r>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rPr>
                <w:color w:val="000000" w:themeColor="text1"/>
                <w:sz w:val="26"/>
                <w:szCs w:val="26"/>
                <w:lang w:val="ro-MD"/>
              </w:rPr>
            </w:pPr>
            <w:r w:rsidRPr="005F5404">
              <w:rPr>
                <w:color w:val="000000" w:themeColor="text1"/>
                <w:sz w:val="26"/>
                <w:szCs w:val="26"/>
                <w:lang w:val="ro-MD"/>
              </w:rPr>
              <w:t>Nu este aplicabil.</w:t>
            </w:r>
          </w:p>
          <w:p w:rsidR="00CF0BCF" w:rsidRPr="005F5404" w:rsidRDefault="00CF0BCF" w:rsidP="0067262C">
            <w:pPr>
              <w:rPr>
                <w:color w:val="000000" w:themeColor="text1"/>
                <w:sz w:val="26"/>
                <w:szCs w:val="26"/>
                <w:lang w:val="ro-MD"/>
              </w:rPr>
            </w:pP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 xml:space="preserve">5. Compatibilitatea proiectului actului normativ cu legislația UE </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5.1. Măsuri normative necesare pentru transpunerea actelor juridice ale UE în legislația națională</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Nu este aplicabil. Proiectul nu are ca scop armonizarea legislației naționale cu legislația Uniunii Europene.</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5.2. Măsuri normative care urmăresc crearea cadrului juridic intern necesar pentru implementarea legislației UE</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 xml:space="preserve"> Nu este aplicabil. Proiectul nu are ca scop armonizarea legislației naționale cu legislația Uniunii Europene.</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6. Avizarea și consultarea publică a proiectului actului normativ</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jc w:val="both"/>
              <w:rPr>
                <w:sz w:val="26"/>
                <w:szCs w:val="26"/>
                <w:lang w:val="ro-MD"/>
              </w:rPr>
            </w:pPr>
            <w:r w:rsidRPr="005F5404">
              <w:rPr>
                <w:sz w:val="26"/>
                <w:szCs w:val="26"/>
                <w:lang w:val="ro-MD"/>
              </w:rPr>
              <w:t xml:space="preserve">În scopul respectării prevederilor Legii nr. 239/2008 privind transparența în procesul decizional </w:t>
            </w:r>
            <w:proofErr w:type="spellStart"/>
            <w:r w:rsidRPr="005F5404">
              <w:rPr>
                <w:sz w:val="26"/>
                <w:szCs w:val="26"/>
                <w:lang w:val="ro-MD"/>
              </w:rPr>
              <w:t>şi</w:t>
            </w:r>
            <w:proofErr w:type="spellEnd"/>
            <w:r w:rsidRPr="005F5404">
              <w:rPr>
                <w:sz w:val="26"/>
                <w:szCs w:val="26"/>
                <w:lang w:val="ro-MD"/>
              </w:rPr>
              <w:t xml:space="preserve"> în vederea elaborării actelor normative, anunțul despre inițierea procesului de elaborare a proiectului hotărârii Guvernului cu privire la achitarea din bugetul de stat pentru anul 2025 a cotizațiilor de membru ale Republicii Moldova față de organizațiile internaționale a fost plasat pe platforma particip.gov.md și pe pagina oficială a Ministerului Finanțelor, fiind accesibile la următoarele link-uri: </w:t>
            </w:r>
            <w:hyperlink r:id="rId5" w:tooltip="https://particip.gov.md/ro/document/stages/proiectul-hotararii-guvernului-cu-privire-la-achitarea-din-bugetul-de-stat-pentru-anul-2025-a-cotelor-de-membru-ale-republicii-moldova-fata-de-organizatiile-internationale/13514" w:history="1">
              <w:r w:rsidRPr="005F5404">
                <w:rPr>
                  <w:rStyle w:val="a5"/>
                  <w:sz w:val="26"/>
                  <w:szCs w:val="26"/>
                  <w:lang w:val="ro-MD"/>
                </w:rPr>
                <w:t>https://particip.gov.md/ro/document/stages/proiectul-hotararii-guvernului-cu-privire-la-achitarea-din-bugetul-de-stat-pentru-anul-2025-a-cotelor-de-membru-ale-republicii-moldova-fata-de-organizatiile-internationale/13514</w:t>
              </w:r>
            </w:hyperlink>
            <w:r w:rsidRPr="005F5404">
              <w:rPr>
                <w:sz w:val="26"/>
                <w:szCs w:val="26"/>
                <w:lang w:val="ro-MD"/>
              </w:rPr>
              <w:t xml:space="preserve"> </w:t>
            </w:r>
          </w:p>
          <w:p w:rsidR="00CF0BCF" w:rsidRPr="005F5404" w:rsidRDefault="00CF0BCF" w:rsidP="0067262C">
            <w:pPr>
              <w:jc w:val="both"/>
              <w:rPr>
                <w:sz w:val="26"/>
                <w:szCs w:val="26"/>
                <w:lang w:val="ro-MD"/>
              </w:rPr>
            </w:pPr>
            <w:r w:rsidRPr="005F5404">
              <w:rPr>
                <w:sz w:val="26"/>
                <w:szCs w:val="26"/>
                <w:lang w:val="ro-MD"/>
              </w:rPr>
              <w:t xml:space="preserve">și </w:t>
            </w:r>
            <w:hyperlink r:id="rId6" w:tooltip="https://mf.gov.md/ro/content/anun%C8%9B-privind-ini%C8%9Bierea-elabor%C4%83rii-proiectului-582" w:history="1">
              <w:r w:rsidRPr="005F5404">
                <w:rPr>
                  <w:rStyle w:val="a5"/>
                  <w:sz w:val="26"/>
                  <w:szCs w:val="26"/>
                  <w:lang w:val="ro-MD"/>
                </w:rPr>
                <w:t>https://mf.gov.md/ro/content/anun%C8%9B-privind-ini%C8%9Bierea-elabor%C4%83rii-proiectului-582</w:t>
              </w:r>
            </w:hyperlink>
          </w:p>
        </w:tc>
      </w:tr>
      <w:tr w:rsidR="00CF0BCF" w:rsidRPr="005F5404"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7. Concluziile expertizelor</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CF0BCF" w:rsidRPr="005F5404" w:rsidRDefault="00CF0BCF" w:rsidP="0067262C">
            <w:pPr>
              <w:jc w:val="both"/>
              <w:rPr>
                <w:b/>
                <w:bCs/>
                <w:sz w:val="26"/>
                <w:szCs w:val="26"/>
                <w:lang w:val="ro-MD"/>
              </w:rPr>
            </w:pPr>
            <w:r w:rsidRPr="005F5404">
              <w:rPr>
                <w:b/>
                <w:bCs/>
                <w:sz w:val="26"/>
                <w:szCs w:val="26"/>
                <w:lang w:val="ro-MD"/>
              </w:rPr>
              <w:t xml:space="preserve"> </w:t>
            </w:r>
            <w:r w:rsidRPr="005F5404">
              <w:rPr>
                <w:color w:val="000000" w:themeColor="text1"/>
                <w:sz w:val="26"/>
                <w:szCs w:val="26"/>
                <w:lang w:val="ro-MD" w:eastAsia="ro-RO"/>
              </w:rPr>
              <w:t xml:space="preserve">Proiectul a fost supus expertizei juridice ale Ministerului Justiției și expertizei anticorupție ale </w:t>
            </w:r>
            <w:r w:rsidRPr="005F5404">
              <w:rPr>
                <w:sz w:val="26"/>
                <w:szCs w:val="26"/>
                <w:lang w:val="ro-MD"/>
              </w:rPr>
              <w:t>Centrului Național Anticorupție. Rezultatele expertizelor au fost generalizate în cadrul Sintezei la proiect și nu necesită intervenții conceptuale asupra conținutului actului normativ promovat.</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sz w:val="26"/>
                <w:szCs w:val="26"/>
                <w:lang w:val="ro-MD"/>
              </w:rPr>
              <w:t>8. Modul de încorporare a actului în cadrul normativ existent</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jc w:val="both"/>
              <w:rPr>
                <w:sz w:val="26"/>
                <w:szCs w:val="26"/>
                <w:lang w:val="ro-MD"/>
              </w:rPr>
            </w:pPr>
            <w:r w:rsidRPr="005F5404">
              <w:rPr>
                <w:sz w:val="26"/>
                <w:szCs w:val="26"/>
                <w:lang w:val="ro-MD"/>
              </w:rPr>
              <w:t xml:space="preserve"> Proiectul se integrează în sistemul legislației, este corelat cu prevederile actelor normative conexe în vigoare, iar implementarea prevederilor acestui proiect nu necesită modificarea altor acte normative.</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F0BCF" w:rsidRPr="005F5404" w:rsidRDefault="00CF0BCF" w:rsidP="0067262C">
            <w:pPr>
              <w:rPr>
                <w:b/>
                <w:bCs/>
                <w:sz w:val="26"/>
                <w:szCs w:val="26"/>
                <w:lang w:val="ro-MD"/>
              </w:rPr>
            </w:pPr>
            <w:r w:rsidRPr="005F5404">
              <w:rPr>
                <w:b/>
                <w:bCs/>
                <w:color w:val="000000" w:themeColor="text1"/>
                <w:sz w:val="26"/>
                <w:szCs w:val="26"/>
                <w:lang w:val="ro-MD"/>
              </w:rPr>
              <w:t>9. Măsurile necesare pentru implementarea prevederilor proiectului actului normativ</w:t>
            </w:r>
          </w:p>
        </w:tc>
      </w:tr>
      <w:tr w:rsidR="00CF0BCF" w:rsidRPr="00834FB0" w:rsidTr="0067262C">
        <w:tc>
          <w:tcPr>
            <w:tcW w:w="1033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F0BCF" w:rsidRPr="005F5404" w:rsidRDefault="00CF0BCF" w:rsidP="0067262C">
            <w:pPr>
              <w:rPr>
                <w:sz w:val="26"/>
                <w:szCs w:val="26"/>
                <w:lang w:val="ro-MD"/>
              </w:rPr>
            </w:pPr>
            <w:r w:rsidRPr="005F5404">
              <w:rPr>
                <w:sz w:val="26"/>
                <w:szCs w:val="26"/>
                <w:lang w:val="ro-MD"/>
              </w:rPr>
              <w:t>Nu necesită careva măsuri pentru implementare.</w:t>
            </w:r>
          </w:p>
        </w:tc>
      </w:tr>
    </w:tbl>
    <w:p w:rsidR="00CF0BCF" w:rsidRPr="005F5404" w:rsidRDefault="00CF0BCF" w:rsidP="00CF0BCF">
      <w:pPr>
        <w:jc w:val="right"/>
        <w:rPr>
          <w:b/>
          <w:lang w:val="ro-MD"/>
        </w:rPr>
      </w:pPr>
    </w:p>
    <w:p w:rsidR="00CF0BCF" w:rsidRPr="005F5404" w:rsidRDefault="00CF0BCF" w:rsidP="00CF0BCF">
      <w:pPr>
        <w:jc w:val="right"/>
        <w:rPr>
          <w:b/>
          <w:lang w:val="ro-MD"/>
        </w:rPr>
      </w:pPr>
    </w:p>
    <w:p w:rsidR="00CF0BCF" w:rsidRPr="005F5404" w:rsidRDefault="00CF0BCF" w:rsidP="00CF0BCF">
      <w:pPr>
        <w:jc w:val="right"/>
        <w:rPr>
          <w:b/>
          <w:lang w:val="ro-MD"/>
        </w:rPr>
      </w:pPr>
      <w:bookmarkStart w:id="0" w:name="_GoBack"/>
      <w:bookmarkEnd w:id="0"/>
    </w:p>
    <w:p w:rsidR="00CF0BCF" w:rsidRPr="005F5404" w:rsidRDefault="00CF0BCF" w:rsidP="00CF0BCF">
      <w:pPr>
        <w:ind w:firstLine="540"/>
        <w:jc w:val="center"/>
        <w:rPr>
          <w:lang w:val="ro-MD"/>
        </w:rPr>
      </w:pPr>
      <w:r w:rsidRPr="005F5404">
        <w:rPr>
          <w:b/>
          <w:sz w:val="28"/>
          <w:szCs w:val="28"/>
          <w:lang w:val="ro-MD"/>
        </w:rPr>
        <w:t>Secretar de Stat</w:t>
      </w:r>
      <w:r w:rsidRPr="005F5404">
        <w:rPr>
          <w:sz w:val="28"/>
          <w:szCs w:val="28"/>
          <w:lang w:val="ro-MD"/>
        </w:rPr>
        <w:t xml:space="preserve">                       </w:t>
      </w:r>
      <w:r w:rsidRPr="005F5404">
        <w:rPr>
          <w:sz w:val="28"/>
          <w:szCs w:val="28"/>
          <w:lang w:val="ro-MD"/>
        </w:rPr>
        <w:tab/>
      </w:r>
      <w:r w:rsidRPr="005F5404">
        <w:rPr>
          <w:sz w:val="28"/>
          <w:szCs w:val="28"/>
          <w:lang w:val="ro-MD"/>
        </w:rPr>
        <w:tab/>
        <w:t xml:space="preserve">                     </w:t>
      </w:r>
      <w:r w:rsidRPr="005F5404">
        <w:rPr>
          <w:b/>
          <w:sz w:val="28"/>
          <w:szCs w:val="28"/>
          <w:lang w:val="ro-MD"/>
        </w:rPr>
        <w:t>Alina CERTAN</w:t>
      </w:r>
    </w:p>
    <w:p w:rsidR="00F12C76" w:rsidRPr="00CF0BCF" w:rsidRDefault="00F12C76" w:rsidP="006C0B77">
      <w:pPr>
        <w:ind w:firstLine="709"/>
        <w:jc w:val="both"/>
        <w:rPr>
          <w:lang w:val="en-US"/>
        </w:rPr>
      </w:pPr>
    </w:p>
    <w:sectPr w:rsidR="00F12C76" w:rsidRPr="00CF0BC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51D7C"/>
    <w:multiLevelType w:val="hybridMultilevel"/>
    <w:tmpl w:val="A4420088"/>
    <w:lvl w:ilvl="0" w:tplc="9DA4418E">
      <w:start w:val="1"/>
      <w:numFmt w:val="decimal"/>
      <w:lvlText w:val="%1."/>
      <w:lvlJc w:val="left"/>
      <w:pPr>
        <w:ind w:left="720" w:hanging="360"/>
      </w:pPr>
      <w:rPr>
        <w:rFonts w:hint="default"/>
        <w:b w:val="0"/>
      </w:rPr>
    </w:lvl>
    <w:lvl w:ilvl="1" w:tplc="3E28DAE6">
      <w:start w:val="1"/>
      <w:numFmt w:val="bullet"/>
      <w:lvlText w:val="o"/>
      <w:lvlJc w:val="left"/>
      <w:pPr>
        <w:ind w:left="1440" w:hanging="360"/>
      </w:pPr>
      <w:rPr>
        <w:rFonts w:ascii="Courier New" w:hAnsi="Courier New" w:cs="Courier New" w:hint="default"/>
      </w:rPr>
    </w:lvl>
    <w:lvl w:ilvl="2" w:tplc="2244DDDC">
      <w:start w:val="1"/>
      <w:numFmt w:val="bullet"/>
      <w:lvlText w:val=""/>
      <w:lvlJc w:val="left"/>
      <w:pPr>
        <w:ind w:left="2160" w:hanging="360"/>
      </w:pPr>
      <w:rPr>
        <w:rFonts w:ascii="Wingdings" w:hAnsi="Wingdings" w:hint="default"/>
      </w:rPr>
    </w:lvl>
    <w:lvl w:ilvl="3" w:tplc="BA061812">
      <w:start w:val="1"/>
      <w:numFmt w:val="bullet"/>
      <w:lvlText w:val=""/>
      <w:lvlJc w:val="left"/>
      <w:pPr>
        <w:ind w:left="2880" w:hanging="360"/>
      </w:pPr>
      <w:rPr>
        <w:rFonts w:ascii="Symbol" w:hAnsi="Symbol" w:hint="default"/>
      </w:rPr>
    </w:lvl>
    <w:lvl w:ilvl="4" w:tplc="EB385800">
      <w:start w:val="1"/>
      <w:numFmt w:val="bullet"/>
      <w:lvlText w:val="o"/>
      <w:lvlJc w:val="left"/>
      <w:pPr>
        <w:ind w:left="3600" w:hanging="360"/>
      </w:pPr>
      <w:rPr>
        <w:rFonts w:ascii="Courier New" w:hAnsi="Courier New" w:cs="Courier New" w:hint="default"/>
      </w:rPr>
    </w:lvl>
    <w:lvl w:ilvl="5" w:tplc="685C2DA6">
      <w:start w:val="1"/>
      <w:numFmt w:val="bullet"/>
      <w:lvlText w:val=""/>
      <w:lvlJc w:val="left"/>
      <w:pPr>
        <w:ind w:left="4320" w:hanging="360"/>
      </w:pPr>
      <w:rPr>
        <w:rFonts w:ascii="Wingdings" w:hAnsi="Wingdings" w:hint="default"/>
      </w:rPr>
    </w:lvl>
    <w:lvl w:ilvl="6" w:tplc="AE30DFE0">
      <w:start w:val="1"/>
      <w:numFmt w:val="bullet"/>
      <w:lvlText w:val=""/>
      <w:lvlJc w:val="left"/>
      <w:pPr>
        <w:ind w:left="5040" w:hanging="360"/>
      </w:pPr>
      <w:rPr>
        <w:rFonts w:ascii="Symbol" w:hAnsi="Symbol" w:hint="default"/>
      </w:rPr>
    </w:lvl>
    <w:lvl w:ilvl="7" w:tplc="18E4694C">
      <w:start w:val="1"/>
      <w:numFmt w:val="bullet"/>
      <w:lvlText w:val="o"/>
      <w:lvlJc w:val="left"/>
      <w:pPr>
        <w:ind w:left="5760" w:hanging="360"/>
      </w:pPr>
      <w:rPr>
        <w:rFonts w:ascii="Courier New" w:hAnsi="Courier New" w:cs="Courier New" w:hint="default"/>
      </w:rPr>
    </w:lvl>
    <w:lvl w:ilvl="8" w:tplc="F77E346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CF"/>
    <w:rsid w:val="006C0B77"/>
    <w:rsid w:val="008242FF"/>
    <w:rsid w:val="00870751"/>
    <w:rsid w:val="00922C48"/>
    <w:rsid w:val="00B915B7"/>
    <w:rsid w:val="00CF0BC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F5F57-552D-4CFD-A9F1-820F8C8E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B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0BC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CF0BCF"/>
    <w:pPr>
      <w:spacing w:after="200" w:line="276" w:lineRule="auto"/>
      <w:ind w:left="720"/>
      <w:contextualSpacing/>
    </w:pPr>
    <w:rPr>
      <w:rFonts w:ascii="Calibri" w:eastAsia="Calibri" w:hAnsi="Calibri"/>
      <w:sz w:val="22"/>
      <w:szCs w:val="22"/>
      <w:lang w:eastAsia="en-US"/>
    </w:rPr>
  </w:style>
  <w:style w:type="character" w:styleId="a5">
    <w:name w:val="Hyperlink"/>
    <w:uiPriority w:val="99"/>
    <w:rsid w:val="00CF0BCF"/>
    <w:rPr>
      <w:color w:val="0000FF"/>
      <w:u w:val="single"/>
    </w:rPr>
  </w:style>
  <w:style w:type="paragraph" w:customStyle="1" w:styleId="tt">
    <w:name w:val="tt"/>
    <w:basedOn w:val="a"/>
    <w:rsid w:val="00CF0BC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gov.md/ro/content/anun%C8%9B-privind-ini%C8%9Bierea-elabor%C4%83rii-proiectului-582" TargetMode="External"/><Relationship Id="rId5" Type="http://schemas.openxmlformats.org/officeDocument/2006/relationships/hyperlink" Target="https://particip.gov.md/ro/document/stages/proiectul-hotararii-guvernului-cu-privire-la-achitarea-din-bugetul-de-stat-pentru-anul-2025-a-cotelor-de-membru-ale-republicii-moldova-fata-de-organizatiile-internationale/135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1391</Words>
  <Characters>7930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Balanel, Alexandru</dc:creator>
  <cp:keywords/>
  <dc:description/>
  <cp:lastModifiedBy>Balanel, Alexandru</cp:lastModifiedBy>
  <cp:revision>1</cp:revision>
  <dcterms:created xsi:type="dcterms:W3CDTF">2025-02-07T11:26:00Z</dcterms:created>
  <dcterms:modified xsi:type="dcterms:W3CDTF">2025-02-07T11:30:00Z</dcterms:modified>
</cp:coreProperties>
</file>