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EAB8" w14:textId="77777777" w:rsidR="00F26F08" w:rsidRPr="005429CB" w:rsidRDefault="00F26F08" w:rsidP="002C1D00">
      <w:pPr>
        <w:pStyle w:val="Bodytext20"/>
        <w:spacing w:after="820"/>
      </w:pPr>
      <w:r w:rsidRPr="005429CB">
        <w:rPr>
          <w:color w:val="000000"/>
          <w:lang w:val="ro-MD" w:eastAsia="ro-MD" w:bidi="ro-MD"/>
        </w:rPr>
        <w:t>Proiect</w:t>
      </w:r>
    </w:p>
    <w:p w14:paraId="7FCE8349" w14:textId="77777777" w:rsidR="00F26F08" w:rsidRPr="005429CB" w:rsidRDefault="00F26F08" w:rsidP="00F26F08">
      <w:pPr>
        <w:pStyle w:val="af0"/>
        <w:spacing w:after="320"/>
        <w:jc w:val="center"/>
      </w:pPr>
      <w:r w:rsidRPr="005429CB">
        <w:rPr>
          <w:b/>
          <w:bCs/>
          <w:color w:val="000000"/>
          <w:lang w:val="ro-MD" w:eastAsia="ro-MD" w:bidi="ro-MD"/>
        </w:rPr>
        <w:t>GUVERNUL REPUBLICII MOLDOVA</w:t>
      </w:r>
    </w:p>
    <w:p w14:paraId="308F7DAF" w14:textId="77777777" w:rsidR="00F26F08" w:rsidRPr="005429CB" w:rsidRDefault="00F26F08" w:rsidP="00F26F08">
      <w:pPr>
        <w:pStyle w:val="af0"/>
        <w:tabs>
          <w:tab w:val="left" w:leader="underscore" w:pos="2525"/>
        </w:tabs>
        <w:spacing w:after="320"/>
        <w:jc w:val="center"/>
      </w:pPr>
      <w:r w:rsidRPr="005429CB">
        <w:rPr>
          <w:b/>
          <w:bCs/>
          <w:color w:val="000000"/>
          <w:lang w:val="ro-MD" w:eastAsia="ro-MD" w:bidi="ro-MD"/>
        </w:rPr>
        <w:t xml:space="preserve">HOTĂRÂRE </w:t>
      </w:r>
      <w:r w:rsidRPr="005429CB">
        <w:rPr>
          <w:color w:val="000000"/>
          <w:lang w:val="ro-MD" w:eastAsia="ro-MD" w:bidi="ro-MD"/>
        </w:rPr>
        <w:t>nr. _____</w:t>
      </w:r>
    </w:p>
    <w:p w14:paraId="0BD56749" w14:textId="77777777" w:rsidR="00F26F08" w:rsidRPr="005429CB" w:rsidRDefault="00F26F08" w:rsidP="00F26F08">
      <w:pPr>
        <w:pStyle w:val="af0"/>
        <w:tabs>
          <w:tab w:val="left" w:leader="underscore" w:pos="2448"/>
        </w:tabs>
        <w:spacing w:after="0"/>
        <w:jc w:val="center"/>
      </w:pPr>
      <w:r w:rsidRPr="005429CB">
        <w:rPr>
          <w:color w:val="000000"/>
          <w:lang w:val="ro-MD" w:eastAsia="ro-MD" w:bidi="ro-MD"/>
        </w:rPr>
        <w:t>din _________________</w:t>
      </w:r>
    </w:p>
    <w:p w14:paraId="14E824A7" w14:textId="77777777" w:rsidR="00F26F08" w:rsidRPr="005429CB" w:rsidRDefault="00F26F08" w:rsidP="00F26F08">
      <w:pPr>
        <w:pStyle w:val="af0"/>
        <w:spacing w:after="640"/>
        <w:jc w:val="center"/>
      </w:pPr>
      <w:r w:rsidRPr="005429CB">
        <w:rPr>
          <w:b/>
          <w:bCs/>
          <w:color w:val="000000"/>
          <w:lang w:val="ro-MD" w:eastAsia="ro-MD" w:bidi="ro-MD"/>
        </w:rPr>
        <w:t>Chișinău</w:t>
      </w:r>
    </w:p>
    <w:p w14:paraId="38C74201" w14:textId="50CBA5E8" w:rsidR="00F26F08" w:rsidRPr="005429CB" w:rsidRDefault="00F26F08" w:rsidP="008038B5">
      <w:pPr>
        <w:pStyle w:val="af0"/>
        <w:spacing w:after="0"/>
        <w:jc w:val="center"/>
        <w:rPr>
          <w:b/>
          <w:bCs/>
          <w:color w:val="000000"/>
          <w:lang w:val="ro-MD" w:eastAsia="ro-MD" w:bidi="ro-MD"/>
        </w:rPr>
      </w:pPr>
      <w:r w:rsidRPr="005429CB">
        <w:rPr>
          <w:b/>
          <w:bCs/>
          <w:color w:val="000000"/>
          <w:lang w:val="ro-MD" w:eastAsia="ro-MD" w:bidi="ro-MD"/>
        </w:rPr>
        <w:t xml:space="preserve">cu privire la aprobarea </w:t>
      </w:r>
      <w:r w:rsidR="008038B5" w:rsidRPr="005429CB">
        <w:rPr>
          <w:b/>
          <w:bCs/>
          <w:color w:val="000000"/>
          <w:lang w:val="ro-MD" w:eastAsia="ro-MD" w:bidi="ro-MD"/>
        </w:rPr>
        <w:t>Programului de compensare a creșterii prețului la energia electrică pentru întreprinderile din Republica Moldova</w:t>
      </w:r>
    </w:p>
    <w:p w14:paraId="2F0DAFF4" w14:textId="3B23F5C3" w:rsidR="008038B5" w:rsidRPr="005429CB" w:rsidRDefault="008038B5" w:rsidP="008038B5">
      <w:pPr>
        <w:pStyle w:val="af0"/>
        <w:spacing w:after="0"/>
        <w:jc w:val="center"/>
        <w:rPr>
          <w:b/>
          <w:bCs/>
          <w:color w:val="000000"/>
          <w:lang w:val="ro-MD" w:eastAsia="ro-MD" w:bidi="ro-MD"/>
        </w:rPr>
      </w:pPr>
    </w:p>
    <w:p w14:paraId="6D9816AC" w14:textId="77777777" w:rsidR="008038B5" w:rsidRPr="005429CB" w:rsidRDefault="008038B5" w:rsidP="008038B5">
      <w:pPr>
        <w:pStyle w:val="af0"/>
        <w:spacing w:after="0"/>
        <w:jc w:val="center"/>
        <w:rPr>
          <w:b/>
          <w:bCs/>
          <w:color w:val="000000"/>
          <w:lang w:val="ro-MD" w:eastAsia="ro-MD" w:bidi="ro-MD"/>
        </w:rPr>
      </w:pPr>
    </w:p>
    <w:p w14:paraId="52C44785" w14:textId="517A5C04" w:rsidR="00F26F08" w:rsidRPr="005429CB" w:rsidRDefault="00F26F08" w:rsidP="00F26F08">
      <w:pPr>
        <w:pStyle w:val="af0"/>
        <w:spacing w:after="640"/>
        <w:ind w:left="198" w:firstLine="709"/>
        <w:jc w:val="both"/>
        <w:rPr>
          <w:color w:val="000000"/>
          <w:lang w:val="ro-MD" w:eastAsia="ro-MD" w:bidi="ro-MD"/>
        </w:rPr>
      </w:pPr>
      <w:r w:rsidRPr="005429CB">
        <w:rPr>
          <w:color w:val="000000"/>
          <w:lang w:val="ro-MD" w:eastAsia="ro-MD" w:bidi="ro-MD"/>
        </w:rPr>
        <w:t>În temeiul art.</w:t>
      </w:r>
      <w:r w:rsidR="008038B5" w:rsidRPr="005429CB">
        <w:rPr>
          <w:color w:val="000000"/>
          <w:lang w:val="ro-MD" w:eastAsia="ro-MD" w:bidi="ro-MD"/>
        </w:rPr>
        <w:t xml:space="preserve"> 5</w:t>
      </w:r>
      <w:r w:rsidR="002C1D00" w:rsidRPr="005429CB">
        <w:rPr>
          <w:color w:val="000000"/>
          <w:vertAlign w:val="superscript"/>
          <w:lang w:val="ro-MD" w:eastAsia="ro-MD" w:bidi="ro-MD"/>
        </w:rPr>
        <w:t>1</w:t>
      </w:r>
      <w:r w:rsidRPr="005429CB">
        <w:rPr>
          <w:color w:val="000000"/>
          <w:lang w:val="ro-MD" w:eastAsia="ro-MD" w:bidi="ro-MD"/>
        </w:rPr>
        <w:t xml:space="preserve"> </w:t>
      </w:r>
      <w:r w:rsidR="00D7661E">
        <w:rPr>
          <w:color w:val="000000"/>
          <w:lang w:val="ro-MD" w:eastAsia="ro-MD" w:bidi="ro-MD"/>
        </w:rPr>
        <w:t xml:space="preserve">și art. 6, alin. (4) </w:t>
      </w:r>
      <w:r w:rsidRPr="005429CB">
        <w:rPr>
          <w:color w:val="000000"/>
          <w:lang w:val="ro-MD" w:eastAsia="ro-MD" w:bidi="ro-MD"/>
        </w:rPr>
        <w:t>din Legea nr. 139/2012 cu privire la ajutorul de stat (publicat în Monitorul Oficial al Republicii Moldova, 2012, nr. 166-169</w:t>
      </w:r>
      <w:r w:rsidRPr="005429CB">
        <w:rPr>
          <w:color w:val="000000"/>
          <w:lang w:val="ro-RO" w:eastAsia="ro-MD" w:bidi="ro-MD"/>
        </w:rPr>
        <w:t xml:space="preserve">, </w:t>
      </w:r>
      <w:r w:rsidRPr="005429CB">
        <w:rPr>
          <w:color w:val="000000"/>
          <w:lang w:val="ro-MD" w:eastAsia="ro-MD" w:bidi="ro-MD"/>
        </w:rPr>
        <w:t>art. 565), cu modificările ulterioare</w:t>
      </w:r>
    </w:p>
    <w:p w14:paraId="4EF8A30A" w14:textId="77777777" w:rsidR="00F26F08" w:rsidRPr="005429CB" w:rsidRDefault="00F26F08" w:rsidP="00F26F08">
      <w:pPr>
        <w:pStyle w:val="af0"/>
        <w:spacing w:after="320"/>
        <w:ind w:firstLine="640"/>
      </w:pPr>
      <w:r w:rsidRPr="005429CB">
        <w:rPr>
          <w:b/>
          <w:bCs/>
          <w:color w:val="000000"/>
          <w:lang w:val="ro-MD" w:eastAsia="ro-MD" w:bidi="ro-MD"/>
        </w:rPr>
        <w:t>HOTĂRĂȘTE:</w:t>
      </w:r>
    </w:p>
    <w:tbl>
      <w:tblPr>
        <w:tblStyle w:val="ae"/>
        <w:tblpPr w:leftFromText="180" w:rightFromText="180" w:vertAnchor="text" w:horzAnchor="margin" w:tblpX="709" w:tblpY="18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18"/>
      </w:tblGrid>
      <w:tr w:rsidR="00F26F08" w:rsidRPr="005429CB" w14:paraId="7929C65D" w14:textId="77777777" w:rsidTr="00275795">
        <w:trPr>
          <w:cantSplit/>
          <w:trHeight w:val="907"/>
        </w:trPr>
        <w:tc>
          <w:tcPr>
            <w:tcW w:w="6658" w:type="dxa"/>
          </w:tcPr>
          <w:p w14:paraId="33939BC9" w14:textId="77777777" w:rsidR="00F26F08" w:rsidRPr="005429CB" w:rsidRDefault="00F26F08" w:rsidP="00275795">
            <w:pPr>
              <w:pStyle w:val="af0"/>
              <w:tabs>
                <w:tab w:val="left" w:pos="1188"/>
              </w:tabs>
              <w:spacing w:after="0"/>
            </w:pPr>
            <w:r w:rsidRPr="005429CB">
              <w:rPr>
                <w:b/>
                <w:bCs/>
                <w:color w:val="000000"/>
                <w:lang w:val="ro-MD" w:eastAsia="ro-MD" w:bidi="ro-MD"/>
              </w:rPr>
              <w:t>PRIM-MINISTRU</w:t>
            </w:r>
          </w:p>
        </w:tc>
        <w:tc>
          <w:tcPr>
            <w:tcW w:w="0" w:type="auto"/>
          </w:tcPr>
          <w:p w14:paraId="40CC501A" w14:textId="77777777" w:rsidR="00F26F08" w:rsidRPr="005429CB" w:rsidRDefault="00F26F08" w:rsidP="00275795">
            <w:pPr>
              <w:pStyle w:val="af0"/>
              <w:tabs>
                <w:tab w:val="left" w:pos="1188"/>
              </w:tabs>
              <w:spacing w:after="0"/>
            </w:pPr>
            <w:r w:rsidRPr="005429CB">
              <w:rPr>
                <w:b/>
                <w:bCs/>
                <w:color w:val="000000"/>
                <w:lang w:val="ro-MD" w:eastAsia="ro-MD" w:bidi="ro-MD"/>
              </w:rPr>
              <w:t>Dorin RECEAN</w:t>
            </w:r>
          </w:p>
        </w:tc>
      </w:tr>
      <w:tr w:rsidR="00F26F08" w:rsidRPr="005429CB" w14:paraId="1AA3E7C5" w14:textId="77777777" w:rsidTr="00275795">
        <w:trPr>
          <w:cantSplit/>
          <w:trHeight w:val="907"/>
        </w:trPr>
        <w:tc>
          <w:tcPr>
            <w:tcW w:w="6658" w:type="dxa"/>
          </w:tcPr>
          <w:p w14:paraId="52ABE495" w14:textId="77777777" w:rsidR="00F26F08" w:rsidRPr="005429CB" w:rsidRDefault="00F26F08" w:rsidP="00275795">
            <w:pPr>
              <w:pStyle w:val="af0"/>
              <w:spacing w:after="0"/>
            </w:pPr>
            <w:r w:rsidRPr="005429CB">
              <w:rPr>
                <w:b/>
                <w:bCs/>
                <w:color w:val="000000"/>
                <w:lang w:val="ro-MD" w:eastAsia="ro-MD" w:bidi="ro-MD"/>
              </w:rPr>
              <w:t>Contrasemnează:</w:t>
            </w:r>
          </w:p>
        </w:tc>
        <w:tc>
          <w:tcPr>
            <w:tcW w:w="0" w:type="auto"/>
          </w:tcPr>
          <w:p w14:paraId="276CF947" w14:textId="77777777" w:rsidR="00F26F08" w:rsidRPr="005429CB" w:rsidRDefault="00F26F08" w:rsidP="00275795">
            <w:pPr>
              <w:pStyle w:val="af0"/>
              <w:tabs>
                <w:tab w:val="left" w:pos="1188"/>
              </w:tabs>
              <w:spacing w:after="0"/>
            </w:pPr>
          </w:p>
        </w:tc>
      </w:tr>
      <w:tr w:rsidR="00F26F08" w:rsidRPr="005429CB" w14:paraId="7782A78B" w14:textId="77777777" w:rsidTr="00275795">
        <w:trPr>
          <w:cantSplit/>
          <w:trHeight w:val="907"/>
        </w:trPr>
        <w:tc>
          <w:tcPr>
            <w:tcW w:w="6658" w:type="dxa"/>
          </w:tcPr>
          <w:p w14:paraId="1CFF3547" w14:textId="77777777" w:rsidR="00F26F08" w:rsidRPr="005429CB" w:rsidRDefault="00F26F08" w:rsidP="00275795">
            <w:pPr>
              <w:pStyle w:val="af0"/>
              <w:tabs>
                <w:tab w:val="left" w:pos="1188"/>
              </w:tabs>
              <w:spacing w:after="0"/>
              <w:rPr>
                <w:b/>
                <w:bCs/>
                <w:color w:val="000000"/>
                <w:lang w:val="ro-MD" w:eastAsia="ro-MD" w:bidi="ro-MD"/>
              </w:rPr>
            </w:pPr>
            <w:r w:rsidRPr="005429CB">
              <w:rPr>
                <w:b/>
                <w:bCs/>
                <w:color w:val="000000"/>
                <w:lang w:val="ro-MD" w:eastAsia="ro-MD" w:bidi="ro-MD"/>
              </w:rPr>
              <w:t xml:space="preserve">Viceprim-ministru, </w:t>
            </w:r>
          </w:p>
          <w:p w14:paraId="05ABADED" w14:textId="77777777" w:rsidR="00F26F08" w:rsidRPr="005429CB" w:rsidRDefault="00F26F08" w:rsidP="00275795">
            <w:pPr>
              <w:pStyle w:val="af0"/>
              <w:tabs>
                <w:tab w:val="left" w:pos="1188"/>
              </w:tabs>
              <w:spacing w:after="0"/>
              <w:rPr>
                <w:b/>
                <w:bCs/>
                <w:color w:val="000000"/>
                <w:lang w:val="ro-MD" w:eastAsia="ro-MD" w:bidi="ro-MD"/>
              </w:rPr>
            </w:pPr>
            <w:r w:rsidRPr="005429CB">
              <w:rPr>
                <w:b/>
                <w:bCs/>
                <w:color w:val="000000"/>
                <w:lang w:val="ro-MD" w:eastAsia="ro-MD" w:bidi="ro-MD"/>
              </w:rPr>
              <w:t xml:space="preserve">ministrul dezvoltării economice și </w:t>
            </w:r>
          </w:p>
          <w:p w14:paraId="263C1B5D" w14:textId="77777777" w:rsidR="00F26F08" w:rsidRPr="005429CB" w:rsidRDefault="00F26F08" w:rsidP="00275795">
            <w:pPr>
              <w:pStyle w:val="af0"/>
              <w:tabs>
                <w:tab w:val="left" w:pos="1188"/>
              </w:tabs>
              <w:spacing w:after="0"/>
            </w:pPr>
            <w:r w:rsidRPr="005429CB">
              <w:rPr>
                <w:b/>
                <w:bCs/>
                <w:color w:val="000000"/>
                <w:lang w:val="ro-MD" w:eastAsia="ro-MD" w:bidi="ro-MD"/>
              </w:rPr>
              <w:t>digitalizării</w:t>
            </w:r>
          </w:p>
        </w:tc>
        <w:tc>
          <w:tcPr>
            <w:tcW w:w="0" w:type="auto"/>
          </w:tcPr>
          <w:p w14:paraId="6AF29673" w14:textId="77777777" w:rsidR="00F26F08" w:rsidRPr="005429CB" w:rsidRDefault="00F26F08" w:rsidP="00275795">
            <w:pPr>
              <w:pStyle w:val="af0"/>
              <w:tabs>
                <w:tab w:val="left" w:pos="1188"/>
              </w:tabs>
              <w:spacing w:after="0"/>
            </w:pPr>
            <w:r w:rsidRPr="005429CB">
              <w:rPr>
                <w:b/>
                <w:bCs/>
                <w:color w:val="000000"/>
                <w:lang w:val="ro-MD" w:eastAsia="ro-MD" w:bidi="ro-MD"/>
              </w:rPr>
              <w:t>Dumitru ALAIBA</w:t>
            </w:r>
          </w:p>
        </w:tc>
      </w:tr>
      <w:tr w:rsidR="00F26F08" w:rsidRPr="005429CB" w14:paraId="1D3952F7" w14:textId="77777777" w:rsidTr="00275795">
        <w:trPr>
          <w:cantSplit/>
          <w:trHeight w:val="907"/>
        </w:trPr>
        <w:tc>
          <w:tcPr>
            <w:tcW w:w="6658" w:type="dxa"/>
          </w:tcPr>
          <w:p w14:paraId="6A6283BE" w14:textId="77777777" w:rsidR="00F26F08" w:rsidRPr="005429CB" w:rsidRDefault="00F26F08" w:rsidP="00275795">
            <w:pPr>
              <w:pStyle w:val="af0"/>
              <w:tabs>
                <w:tab w:val="left" w:pos="1188"/>
              </w:tabs>
              <w:spacing w:after="0"/>
              <w:rPr>
                <w:b/>
                <w:bCs/>
                <w:color w:val="000000"/>
                <w:lang w:val="ro-MD" w:eastAsia="ro-MD" w:bidi="ro-MD"/>
              </w:rPr>
            </w:pPr>
          </w:p>
          <w:p w14:paraId="606500CA" w14:textId="77777777" w:rsidR="00F26F08" w:rsidRPr="005429CB" w:rsidRDefault="00F26F08" w:rsidP="00275795">
            <w:pPr>
              <w:pStyle w:val="af0"/>
              <w:tabs>
                <w:tab w:val="left" w:pos="1188"/>
              </w:tabs>
              <w:spacing w:after="0"/>
              <w:rPr>
                <w:b/>
                <w:bCs/>
                <w:color w:val="000000"/>
                <w:lang w:val="ro-MD" w:eastAsia="ro-MD" w:bidi="ro-MD"/>
              </w:rPr>
            </w:pPr>
            <w:r w:rsidRPr="005429CB">
              <w:rPr>
                <w:b/>
                <w:bCs/>
                <w:color w:val="000000"/>
                <w:lang w:val="ro-MD" w:eastAsia="ro-MD" w:bidi="ro-MD"/>
              </w:rPr>
              <w:t>Ministrul finanțelor</w:t>
            </w:r>
          </w:p>
        </w:tc>
        <w:tc>
          <w:tcPr>
            <w:tcW w:w="0" w:type="auto"/>
          </w:tcPr>
          <w:p w14:paraId="1DDC2D63" w14:textId="77777777" w:rsidR="00F26F08" w:rsidRPr="005429CB" w:rsidRDefault="00F26F08" w:rsidP="00275795">
            <w:pPr>
              <w:pStyle w:val="af0"/>
              <w:tabs>
                <w:tab w:val="left" w:pos="1188"/>
              </w:tabs>
              <w:spacing w:after="0"/>
              <w:rPr>
                <w:b/>
                <w:bCs/>
                <w:color w:val="000000"/>
                <w:lang w:val="ro-MD" w:eastAsia="ro-MD" w:bidi="ro-MD"/>
              </w:rPr>
            </w:pPr>
          </w:p>
          <w:p w14:paraId="22C5E6F0" w14:textId="77777777" w:rsidR="00F26F08" w:rsidRPr="005429CB" w:rsidRDefault="00F26F08" w:rsidP="00275795">
            <w:pPr>
              <w:pStyle w:val="af0"/>
              <w:tabs>
                <w:tab w:val="left" w:pos="1188"/>
              </w:tabs>
              <w:spacing w:after="0"/>
              <w:rPr>
                <w:b/>
                <w:bCs/>
                <w:color w:val="000000"/>
                <w:lang w:val="ro-MD" w:eastAsia="ro-MD" w:bidi="ro-MD"/>
              </w:rPr>
            </w:pPr>
            <w:r w:rsidRPr="005429CB">
              <w:rPr>
                <w:b/>
                <w:bCs/>
                <w:color w:val="000000"/>
                <w:lang w:val="ro-MD" w:eastAsia="ro-MD" w:bidi="ro-MD"/>
              </w:rPr>
              <w:t>Victoria BELOUS</w:t>
            </w:r>
          </w:p>
        </w:tc>
      </w:tr>
    </w:tbl>
    <w:p w14:paraId="3B309609" w14:textId="2FA89DCF" w:rsidR="00F26F08" w:rsidRPr="005429CB" w:rsidRDefault="00F26F08" w:rsidP="00B25DB2">
      <w:pPr>
        <w:pStyle w:val="af0"/>
        <w:numPr>
          <w:ilvl w:val="0"/>
          <w:numId w:val="21"/>
        </w:numPr>
        <w:tabs>
          <w:tab w:val="left" w:pos="1188"/>
        </w:tabs>
        <w:spacing w:after="0" w:line="276" w:lineRule="auto"/>
        <w:ind w:left="1200" w:hanging="420"/>
        <w:jc w:val="both"/>
      </w:pPr>
      <w:r w:rsidRPr="005429CB">
        <w:rPr>
          <w:color w:val="000000"/>
          <w:lang w:val="ro-MD" w:eastAsia="ro-MD" w:bidi="ro-MD"/>
        </w:rPr>
        <w:t xml:space="preserve">Se aprobă </w:t>
      </w:r>
      <w:r w:rsidR="002C69F3" w:rsidRPr="005429CB">
        <w:rPr>
          <w:color w:val="000000"/>
          <w:lang w:val="ro-MD" w:eastAsia="ro-MD" w:bidi="ro-MD"/>
        </w:rPr>
        <w:t>Programului de compensare a</w:t>
      </w:r>
      <w:r w:rsidR="002C1D00" w:rsidRPr="005429CB">
        <w:rPr>
          <w:b/>
          <w:bCs/>
          <w:color w:val="000000"/>
          <w:lang w:val="ro-MD" w:eastAsia="ro-MD" w:bidi="ro-MD"/>
        </w:rPr>
        <w:t xml:space="preserve"> </w:t>
      </w:r>
      <w:r w:rsidR="002C1D00" w:rsidRPr="005429CB">
        <w:rPr>
          <w:color w:val="000000"/>
          <w:lang w:val="ro-MD" w:eastAsia="ro-MD" w:bidi="ro-MD"/>
        </w:rPr>
        <w:t>creșterii prețului la energia electrică pentru întreprinderile din Republica Moldova</w:t>
      </w:r>
      <w:r w:rsidR="002C69F3" w:rsidRPr="005429CB">
        <w:rPr>
          <w:color w:val="000000"/>
          <w:lang w:val="ro-MD" w:eastAsia="ro-MD" w:bidi="ro-MD"/>
        </w:rPr>
        <w:t xml:space="preserve"> </w:t>
      </w:r>
      <w:r w:rsidRPr="005429CB">
        <w:rPr>
          <w:color w:val="000000"/>
          <w:lang w:val="ro-MD" w:eastAsia="ro-MD" w:bidi="ro-MD"/>
        </w:rPr>
        <w:t>(se anexează).</w:t>
      </w:r>
    </w:p>
    <w:p w14:paraId="51F8BBF9" w14:textId="1DF78F8E" w:rsidR="00F26F08" w:rsidRPr="005429CB" w:rsidRDefault="00F26F08" w:rsidP="00F26F08">
      <w:pPr>
        <w:pStyle w:val="af0"/>
        <w:numPr>
          <w:ilvl w:val="0"/>
          <w:numId w:val="21"/>
        </w:numPr>
        <w:tabs>
          <w:tab w:val="left" w:pos="1188"/>
        </w:tabs>
        <w:spacing w:after="960" w:line="276" w:lineRule="auto"/>
        <w:ind w:left="1200" w:hanging="420"/>
        <w:jc w:val="both"/>
      </w:pPr>
      <w:r w:rsidRPr="005429CB">
        <w:rPr>
          <w:color w:val="000000"/>
          <w:lang w:val="ro-MD" w:eastAsia="ro-MD" w:bidi="ro-MD"/>
        </w:rPr>
        <w:t xml:space="preserve">Prezenta hotărâre intră în vigoare la data </w:t>
      </w:r>
      <w:r w:rsidR="002C69F3" w:rsidRPr="005429CB">
        <w:rPr>
          <w:color w:val="000000"/>
          <w:lang w:val="ro-MD" w:eastAsia="ro-MD" w:bidi="ro-MD"/>
        </w:rPr>
        <w:t>publicării în Monitorul Oficial al Republicii Moldova</w:t>
      </w:r>
      <w:r w:rsidRPr="005429CB">
        <w:rPr>
          <w:color w:val="000000"/>
          <w:lang w:val="ro-MD" w:eastAsia="ro-MD" w:bidi="ro-MD"/>
        </w:rPr>
        <w:t>.</w:t>
      </w:r>
      <w:r w:rsidRPr="005429CB">
        <w:rPr>
          <w:b/>
          <w:bCs/>
          <w:color w:val="000000"/>
          <w:lang w:val="ro-MD" w:eastAsia="ro-MD" w:bidi="ro-MD"/>
        </w:rPr>
        <w:t xml:space="preserve"> </w:t>
      </w:r>
    </w:p>
    <w:p w14:paraId="4E501E17" w14:textId="77777777" w:rsidR="00F26F08" w:rsidRPr="005429CB" w:rsidRDefault="00F26F08" w:rsidP="00F26F08">
      <w:pPr>
        <w:spacing w:after="0"/>
        <w:ind w:firstLine="709"/>
        <w:jc w:val="both"/>
      </w:pPr>
    </w:p>
    <w:p w14:paraId="007BFBA9" w14:textId="77777777" w:rsidR="00F26F08" w:rsidRPr="005429CB" w:rsidRDefault="00F26F08" w:rsidP="004D46C0">
      <w:pPr>
        <w:spacing w:before="120" w:after="120" w:line="276" w:lineRule="auto"/>
        <w:jc w:val="center"/>
        <w:rPr>
          <w:rFonts w:ascii="Times New Roman" w:hAnsi="Times New Roman" w:cs="Times New Roman"/>
          <w:b/>
          <w:bCs/>
          <w:lang w:val="ro-RO"/>
        </w:rPr>
      </w:pPr>
      <w:r w:rsidRPr="005429CB">
        <w:rPr>
          <w:rFonts w:ascii="Times New Roman" w:hAnsi="Times New Roman" w:cs="Times New Roman"/>
          <w:b/>
          <w:bCs/>
          <w:lang w:val="ro-RO"/>
        </w:rPr>
        <w:br w:type="page"/>
      </w:r>
    </w:p>
    <w:p w14:paraId="682EF7B1" w14:textId="77777777" w:rsidR="002C69F3" w:rsidRPr="005429CB" w:rsidRDefault="002C69F3" w:rsidP="002C69F3">
      <w:pPr>
        <w:spacing w:before="120" w:after="120" w:line="276" w:lineRule="auto"/>
        <w:jc w:val="right"/>
        <w:rPr>
          <w:rFonts w:ascii="Times New Roman" w:hAnsi="Times New Roman" w:cs="Times New Roman"/>
          <w:b/>
          <w:bCs/>
          <w:lang w:val="ro-RO"/>
        </w:rPr>
      </w:pPr>
      <w:r w:rsidRPr="005429CB">
        <w:rPr>
          <w:rFonts w:ascii="Times New Roman" w:hAnsi="Times New Roman" w:cs="Times New Roman"/>
          <w:b/>
          <w:bCs/>
          <w:lang w:val="ro-RO"/>
        </w:rPr>
        <w:lastRenderedPageBreak/>
        <w:t>Aprobat</w:t>
      </w:r>
    </w:p>
    <w:p w14:paraId="75D2450A" w14:textId="07152C21" w:rsidR="002C69F3" w:rsidRPr="005429CB" w:rsidRDefault="002C69F3" w:rsidP="002C69F3">
      <w:pPr>
        <w:spacing w:before="120" w:after="120" w:line="276" w:lineRule="auto"/>
        <w:jc w:val="right"/>
        <w:rPr>
          <w:rFonts w:ascii="Times New Roman" w:hAnsi="Times New Roman" w:cs="Times New Roman"/>
          <w:b/>
          <w:bCs/>
          <w:lang w:val="ro-RO"/>
        </w:rPr>
      </w:pPr>
      <w:r w:rsidRPr="005429CB">
        <w:rPr>
          <w:rFonts w:ascii="Times New Roman" w:hAnsi="Times New Roman" w:cs="Times New Roman"/>
          <w:b/>
          <w:bCs/>
          <w:lang w:val="ro-RO"/>
        </w:rPr>
        <w:t>prin Hotărârea Guvernului nr.____</w:t>
      </w:r>
    </w:p>
    <w:p w14:paraId="524AAFB3" w14:textId="16434B55" w:rsidR="002C69F3" w:rsidRPr="005429CB" w:rsidRDefault="002C69F3" w:rsidP="002C69F3">
      <w:pPr>
        <w:spacing w:before="120" w:after="120" w:line="276" w:lineRule="auto"/>
        <w:jc w:val="right"/>
        <w:rPr>
          <w:rFonts w:ascii="Times New Roman" w:hAnsi="Times New Roman" w:cs="Times New Roman"/>
          <w:b/>
          <w:bCs/>
          <w:lang w:val="ro-RO"/>
        </w:rPr>
      </w:pPr>
    </w:p>
    <w:p w14:paraId="2EADC589" w14:textId="77777777" w:rsidR="002C69F3" w:rsidRPr="005429CB" w:rsidRDefault="002C69F3" w:rsidP="002C69F3">
      <w:pPr>
        <w:spacing w:before="120" w:after="120" w:line="276" w:lineRule="auto"/>
        <w:jc w:val="right"/>
        <w:rPr>
          <w:rFonts w:ascii="Times New Roman" w:hAnsi="Times New Roman" w:cs="Times New Roman"/>
          <w:b/>
          <w:bCs/>
          <w:lang w:val="ro-RO"/>
        </w:rPr>
      </w:pPr>
    </w:p>
    <w:p w14:paraId="53F8D9F5" w14:textId="77777777" w:rsidR="002C69F3" w:rsidRPr="005429CB" w:rsidRDefault="002C69F3" w:rsidP="004D46C0">
      <w:pPr>
        <w:spacing w:before="120" w:after="120" w:line="276" w:lineRule="auto"/>
        <w:jc w:val="center"/>
        <w:rPr>
          <w:rFonts w:ascii="Times New Roman" w:hAnsi="Times New Roman" w:cs="Times New Roman"/>
          <w:b/>
          <w:bCs/>
          <w:lang w:val="ro-RO"/>
        </w:rPr>
      </w:pPr>
    </w:p>
    <w:p w14:paraId="4D2B811E" w14:textId="77777777" w:rsidR="008038B5" w:rsidRPr="005429CB" w:rsidRDefault="008038B5" w:rsidP="004D46C0">
      <w:pPr>
        <w:spacing w:before="120" w:after="120" w:line="276" w:lineRule="auto"/>
        <w:jc w:val="center"/>
        <w:rPr>
          <w:rFonts w:ascii="Times New Roman" w:hAnsi="Times New Roman" w:cs="Times New Roman"/>
          <w:b/>
          <w:bCs/>
          <w:sz w:val="28"/>
          <w:szCs w:val="28"/>
          <w:lang w:val="ro-RO"/>
        </w:rPr>
      </w:pPr>
      <w:r w:rsidRPr="005429CB">
        <w:rPr>
          <w:rFonts w:ascii="Times New Roman" w:hAnsi="Times New Roman" w:cs="Times New Roman"/>
          <w:b/>
          <w:bCs/>
          <w:sz w:val="28"/>
          <w:szCs w:val="28"/>
          <w:lang w:val="ro-RO"/>
        </w:rPr>
        <w:t xml:space="preserve">Programul de compensare a creșterii prețului </w:t>
      </w:r>
    </w:p>
    <w:p w14:paraId="4CE9064D" w14:textId="1019E9D0" w:rsidR="007D5422" w:rsidRPr="005429CB" w:rsidRDefault="008038B5" w:rsidP="004D46C0">
      <w:pPr>
        <w:spacing w:before="120" w:after="120" w:line="276" w:lineRule="auto"/>
        <w:jc w:val="center"/>
        <w:rPr>
          <w:rFonts w:ascii="Times New Roman" w:hAnsi="Times New Roman" w:cs="Times New Roman"/>
          <w:b/>
          <w:bCs/>
          <w:sz w:val="28"/>
          <w:szCs w:val="28"/>
          <w:lang w:val="ro-RO"/>
        </w:rPr>
      </w:pPr>
      <w:r w:rsidRPr="005429CB">
        <w:rPr>
          <w:rFonts w:ascii="Times New Roman" w:hAnsi="Times New Roman" w:cs="Times New Roman"/>
          <w:b/>
          <w:bCs/>
          <w:sz w:val="28"/>
          <w:szCs w:val="28"/>
          <w:lang w:val="ro-RO"/>
        </w:rPr>
        <w:t>la energia electrică pentru întreprinderile din Republica Moldova</w:t>
      </w:r>
    </w:p>
    <w:p w14:paraId="2AF63837" w14:textId="77777777" w:rsidR="008038B5" w:rsidRPr="005429CB" w:rsidRDefault="008038B5" w:rsidP="004D46C0">
      <w:pPr>
        <w:spacing w:before="120" w:after="120" w:line="276" w:lineRule="auto"/>
        <w:jc w:val="center"/>
        <w:rPr>
          <w:rFonts w:ascii="Times New Roman" w:hAnsi="Times New Roman" w:cs="Times New Roman"/>
          <w:lang w:val="ro-RO"/>
        </w:rPr>
      </w:pPr>
    </w:p>
    <w:p w14:paraId="0850DCB4" w14:textId="76BBACA7" w:rsidR="007D5422" w:rsidRPr="005429CB" w:rsidRDefault="007D5422" w:rsidP="004D46C0">
      <w:pPr>
        <w:pStyle w:val="ac"/>
        <w:numPr>
          <w:ilvl w:val="0"/>
          <w:numId w:val="5"/>
        </w:numPr>
        <w:spacing w:before="120" w:beforeAutospacing="0" w:after="120" w:afterAutospacing="0" w:line="276" w:lineRule="auto"/>
        <w:ind w:right="26"/>
        <w:jc w:val="center"/>
        <w:rPr>
          <w:lang w:val="ro-RO"/>
        </w:rPr>
      </w:pPr>
      <w:r w:rsidRPr="005429CB">
        <w:rPr>
          <w:b/>
          <w:bCs/>
          <w:color w:val="000000"/>
          <w:lang w:val="ro-RO"/>
        </w:rPr>
        <w:t>DISPOZIȚII GENERALE</w:t>
      </w:r>
    </w:p>
    <w:p w14:paraId="220797CE" w14:textId="49EF26C1" w:rsidR="000565C0" w:rsidRPr="005429CB" w:rsidRDefault="008038B5" w:rsidP="004D46C0">
      <w:pPr>
        <w:pStyle w:val="a7"/>
        <w:numPr>
          <w:ilvl w:val="0"/>
          <w:numId w:val="1"/>
        </w:numPr>
        <w:spacing w:before="120" w:after="120" w:line="276" w:lineRule="auto"/>
        <w:contextualSpacing w:val="0"/>
        <w:jc w:val="both"/>
        <w:rPr>
          <w:rFonts w:ascii="Times New Roman" w:hAnsi="Times New Roman" w:cs="Times New Roman"/>
          <w:lang w:val="ro-RO"/>
        </w:rPr>
      </w:pPr>
      <w:r w:rsidRPr="005429CB">
        <w:rPr>
          <w:rFonts w:ascii="Times New Roman" w:hAnsi="Times New Roman" w:cs="Times New Roman"/>
          <w:lang w:val="ro-RO"/>
        </w:rPr>
        <w:t>Programul de compensare a creșterii prețului la energia electrică pentru întreprinderile din Republica Moldova</w:t>
      </w:r>
      <w:r w:rsidR="001F63BB" w:rsidRPr="005429CB">
        <w:rPr>
          <w:rFonts w:ascii="Times New Roman" w:hAnsi="Times New Roman" w:cs="Times New Roman"/>
          <w:lang w:val="ro-RO"/>
        </w:rPr>
        <w:t xml:space="preserve"> </w:t>
      </w:r>
      <w:r w:rsidR="000565C0" w:rsidRPr="005429CB">
        <w:rPr>
          <w:rFonts w:ascii="Times New Roman" w:hAnsi="Times New Roman" w:cs="Times New Roman"/>
          <w:i/>
          <w:iCs/>
          <w:lang w:val="ro-RO"/>
        </w:rPr>
        <w:t xml:space="preserve">(în continuare </w:t>
      </w:r>
      <w:r w:rsidR="00232786" w:rsidRPr="005429CB">
        <w:rPr>
          <w:rFonts w:ascii="Times New Roman" w:hAnsi="Times New Roman" w:cs="Times New Roman"/>
          <w:i/>
          <w:iCs/>
          <w:lang w:val="ro-RO"/>
        </w:rPr>
        <w:t>- Program</w:t>
      </w:r>
      <w:r w:rsidR="000565C0" w:rsidRPr="005429CB">
        <w:rPr>
          <w:rFonts w:ascii="Times New Roman" w:hAnsi="Times New Roman" w:cs="Times New Roman"/>
          <w:i/>
          <w:iCs/>
          <w:lang w:val="ro-RO"/>
        </w:rPr>
        <w:t>)</w:t>
      </w:r>
      <w:r w:rsidR="000565C0" w:rsidRPr="005429CB">
        <w:rPr>
          <w:rFonts w:ascii="Times New Roman" w:hAnsi="Times New Roman" w:cs="Times New Roman"/>
          <w:lang w:val="ro-RO"/>
        </w:rPr>
        <w:t xml:space="preserve"> stabilește procedura, modalitatea și condițiile de compensarea parțială a diferenței de preț la energia electrică pentru întreprinderi</w:t>
      </w:r>
      <w:r w:rsidR="00232786" w:rsidRPr="005429CB">
        <w:rPr>
          <w:rFonts w:ascii="Times New Roman" w:hAnsi="Times New Roman" w:cs="Times New Roman"/>
          <w:lang w:val="ro-RO"/>
        </w:rPr>
        <w:t xml:space="preserve">. </w:t>
      </w:r>
    </w:p>
    <w:p w14:paraId="7718F8AF" w14:textId="5762719F" w:rsidR="000565C0" w:rsidRPr="005429CB" w:rsidRDefault="000565C0" w:rsidP="004D46C0">
      <w:pPr>
        <w:pStyle w:val="a7"/>
        <w:numPr>
          <w:ilvl w:val="0"/>
          <w:numId w:val="1"/>
        </w:numPr>
        <w:spacing w:before="120" w:after="120" w:line="276" w:lineRule="auto"/>
        <w:contextualSpacing w:val="0"/>
        <w:jc w:val="both"/>
        <w:rPr>
          <w:rFonts w:ascii="Times New Roman" w:hAnsi="Times New Roman" w:cs="Times New Roman"/>
          <w:lang w:val="ro-RO"/>
        </w:rPr>
      </w:pPr>
      <w:r w:rsidRPr="005429CB">
        <w:rPr>
          <w:rFonts w:ascii="Times New Roman" w:hAnsi="Times New Roman" w:cs="Times New Roman"/>
          <w:lang w:val="ro-RO"/>
        </w:rPr>
        <w:t xml:space="preserve">Obiectivul </w:t>
      </w:r>
      <w:r w:rsidR="001F63BB" w:rsidRPr="005429CB">
        <w:rPr>
          <w:rFonts w:ascii="Times New Roman" w:hAnsi="Times New Roman" w:cs="Times New Roman"/>
          <w:lang w:val="ro-RO"/>
        </w:rPr>
        <w:t xml:space="preserve">Programului </w:t>
      </w:r>
      <w:r w:rsidRPr="005429CB">
        <w:rPr>
          <w:rFonts w:ascii="Times New Roman" w:hAnsi="Times New Roman" w:cs="Times New Roman"/>
          <w:lang w:val="ro-RO"/>
        </w:rPr>
        <w:t>este sprijinirea întreprinderilor din sectoarele prioritare prin compensarea parțială a creșterii prețurilor la energia electrică, pentru a menține competitivitatea și sustenabilitatea economică.</w:t>
      </w:r>
    </w:p>
    <w:p w14:paraId="1E2CE811" w14:textId="68AD05FD" w:rsidR="00F1566A" w:rsidRPr="005429CB" w:rsidRDefault="00716CDF" w:rsidP="004D46C0">
      <w:pPr>
        <w:pStyle w:val="a7"/>
        <w:numPr>
          <w:ilvl w:val="0"/>
          <w:numId w:val="1"/>
        </w:numPr>
        <w:spacing w:before="120" w:after="120" w:line="276" w:lineRule="auto"/>
        <w:contextualSpacing w:val="0"/>
        <w:jc w:val="both"/>
        <w:rPr>
          <w:rFonts w:ascii="Times New Roman" w:hAnsi="Times New Roman" w:cs="Times New Roman"/>
          <w:lang w:val="ro-RO"/>
        </w:rPr>
      </w:pPr>
      <w:r w:rsidRPr="005429CB">
        <w:rPr>
          <w:rFonts w:ascii="Times New Roman" w:hAnsi="Times New Roman" w:cs="Times New Roman"/>
          <w:lang w:val="ro-RO"/>
        </w:rPr>
        <w:t>Acordarea compensațiilor în cadrul Programului constituie o s</w:t>
      </w:r>
      <w:r w:rsidR="00F1566A" w:rsidRPr="005429CB">
        <w:rPr>
          <w:rFonts w:ascii="Times New Roman" w:hAnsi="Times New Roman" w:cs="Times New Roman"/>
          <w:lang w:val="ro-RO"/>
        </w:rPr>
        <w:t>chem</w:t>
      </w:r>
      <w:r w:rsidRPr="005429CB">
        <w:rPr>
          <w:rFonts w:ascii="Times New Roman" w:hAnsi="Times New Roman" w:cs="Times New Roman"/>
          <w:lang w:val="ro-RO"/>
        </w:rPr>
        <w:t xml:space="preserve">ă de ajutor de </w:t>
      </w:r>
      <w:proofErr w:type="spellStart"/>
      <w:r w:rsidRPr="005429CB">
        <w:rPr>
          <w:rFonts w:ascii="Times New Roman" w:hAnsi="Times New Roman" w:cs="Times New Roman"/>
          <w:lang w:val="ro-RO"/>
        </w:rPr>
        <w:t>minimis</w:t>
      </w:r>
      <w:proofErr w:type="spellEnd"/>
      <w:r w:rsidR="00F1566A" w:rsidRPr="005429CB">
        <w:rPr>
          <w:rFonts w:ascii="Times New Roman" w:hAnsi="Times New Roman" w:cs="Times New Roman"/>
          <w:lang w:val="ro-RO"/>
        </w:rPr>
        <w:t xml:space="preserve"> </w:t>
      </w:r>
      <w:r w:rsidRPr="005429CB">
        <w:rPr>
          <w:rFonts w:ascii="Times New Roman" w:hAnsi="Times New Roman" w:cs="Times New Roman"/>
          <w:lang w:val="ro-RO"/>
        </w:rPr>
        <w:t xml:space="preserve">și </w:t>
      </w:r>
      <w:r w:rsidR="00F1566A" w:rsidRPr="005429CB">
        <w:rPr>
          <w:rFonts w:ascii="Times New Roman" w:hAnsi="Times New Roman" w:cs="Times New Roman"/>
          <w:lang w:val="ro-RO"/>
        </w:rPr>
        <w:t>cade sub incidența prevederilor Legii nr.139/2012 cu privire la ajutorul de stat</w:t>
      </w:r>
      <w:r w:rsidR="004D46C0" w:rsidRPr="005429CB">
        <w:rPr>
          <w:rFonts w:ascii="Times New Roman" w:hAnsi="Times New Roman" w:cs="Times New Roman"/>
          <w:lang w:val="ro-RO"/>
        </w:rPr>
        <w:t>, cu modificările ulterioare</w:t>
      </w:r>
      <w:r w:rsidR="00F1566A" w:rsidRPr="005429CB">
        <w:rPr>
          <w:rFonts w:ascii="Times New Roman" w:hAnsi="Times New Roman" w:cs="Times New Roman"/>
          <w:lang w:val="ro-RO"/>
        </w:rPr>
        <w:t xml:space="preserve"> </w:t>
      </w:r>
      <w:proofErr w:type="spellStart"/>
      <w:r w:rsidR="00F1566A" w:rsidRPr="005429CB">
        <w:rPr>
          <w:rFonts w:ascii="Times New Roman" w:hAnsi="Times New Roman" w:cs="Times New Roman"/>
          <w:lang w:val="ro-RO"/>
        </w:rPr>
        <w:t>şi</w:t>
      </w:r>
      <w:proofErr w:type="spellEnd"/>
      <w:r w:rsidR="00F1566A" w:rsidRPr="005429CB">
        <w:rPr>
          <w:rFonts w:ascii="Times New Roman" w:hAnsi="Times New Roman" w:cs="Times New Roman"/>
          <w:lang w:val="ro-RO"/>
        </w:rPr>
        <w:t xml:space="preserve"> Regulamentului privind ajutorul de </w:t>
      </w:r>
      <w:proofErr w:type="spellStart"/>
      <w:r w:rsidR="00F1566A" w:rsidRPr="005429CB">
        <w:rPr>
          <w:rFonts w:ascii="Times New Roman" w:hAnsi="Times New Roman" w:cs="Times New Roman"/>
          <w:lang w:val="ro-RO"/>
        </w:rPr>
        <w:t>minimis</w:t>
      </w:r>
      <w:proofErr w:type="spellEnd"/>
      <w:r w:rsidR="00F1566A" w:rsidRPr="005429CB">
        <w:rPr>
          <w:rFonts w:ascii="Times New Roman" w:hAnsi="Times New Roman" w:cs="Times New Roman"/>
          <w:lang w:val="ro-RO"/>
        </w:rPr>
        <w:t xml:space="preserve">, aprobat prin Hotărârea Plenului Consiliului Concurenței nr. </w:t>
      </w:r>
      <w:r w:rsidR="009D772A" w:rsidRPr="005429CB">
        <w:rPr>
          <w:rFonts w:ascii="Times New Roman" w:hAnsi="Times New Roman" w:cs="Times New Roman"/>
        </w:rPr>
        <w:t>H</w:t>
      </w:r>
      <w:r w:rsidR="009D772A" w:rsidRPr="005429CB">
        <w:rPr>
          <w:rFonts w:ascii="Times New Roman" w:hAnsi="Times New Roman" w:cs="Times New Roman"/>
          <w:lang w:val="ru-MD"/>
        </w:rPr>
        <w:t>СС</w:t>
      </w:r>
      <w:r w:rsidR="009D772A" w:rsidRPr="005429CB">
        <w:rPr>
          <w:rFonts w:ascii="Times New Roman" w:hAnsi="Times New Roman" w:cs="Times New Roman"/>
        </w:rPr>
        <w:t>06/2024.</w:t>
      </w:r>
    </w:p>
    <w:p w14:paraId="6F2BA217" w14:textId="72BAD095" w:rsidR="007D5422" w:rsidRPr="005429CB" w:rsidRDefault="007D5422" w:rsidP="004D46C0">
      <w:pPr>
        <w:pStyle w:val="ac"/>
        <w:numPr>
          <w:ilvl w:val="0"/>
          <w:numId w:val="1"/>
        </w:numPr>
        <w:shd w:val="clear" w:color="auto" w:fill="FFFFFF"/>
        <w:spacing w:before="120" w:beforeAutospacing="0" w:after="120" w:afterAutospacing="0" w:line="276" w:lineRule="auto"/>
        <w:jc w:val="both"/>
        <w:rPr>
          <w:color w:val="333333"/>
          <w:lang w:val="ro-RO"/>
        </w:rPr>
      </w:pPr>
      <w:r w:rsidRPr="005429CB">
        <w:rPr>
          <w:color w:val="333333"/>
          <w:lang w:val="ro-RO"/>
        </w:rPr>
        <w:t>În sensul prezent</w:t>
      </w:r>
      <w:r w:rsidR="00975604" w:rsidRPr="005429CB">
        <w:rPr>
          <w:color w:val="333333"/>
          <w:lang w:val="ro-RO"/>
        </w:rPr>
        <w:t>ului</w:t>
      </w:r>
      <w:r w:rsidRPr="005429CB">
        <w:rPr>
          <w:color w:val="333333"/>
          <w:lang w:val="ro-RO"/>
        </w:rPr>
        <w:t xml:space="preserve"> </w:t>
      </w:r>
      <w:r w:rsidR="004D46C0" w:rsidRPr="005429CB">
        <w:rPr>
          <w:color w:val="333333"/>
          <w:lang w:val="ro-RO"/>
        </w:rPr>
        <w:t xml:space="preserve">Program </w:t>
      </w:r>
      <w:r w:rsidRPr="005429CB">
        <w:rPr>
          <w:color w:val="333333"/>
          <w:lang w:val="ro-RO"/>
        </w:rPr>
        <w:t>se definesc următoarele noțiuni:</w:t>
      </w:r>
    </w:p>
    <w:p w14:paraId="29223222" w14:textId="03E0E1CA" w:rsidR="007D5422" w:rsidRPr="005429CB" w:rsidRDefault="007D5422" w:rsidP="004D46C0">
      <w:pPr>
        <w:pStyle w:val="ac"/>
        <w:numPr>
          <w:ilvl w:val="0"/>
          <w:numId w:val="6"/>
        </w:numPr>
        <w:shd w:val="clear" w:color="auto" w:fill="FFFFFF"/>
        <w:spacing w:before="120" w:beforeAutospacing="0" w:after="120" w:afterAutospacing="0" w:line="276" w:lineRule="auto"/>
        <w:jc w:val="both"/>
        <w:rPr>
          <w:color w:val="333333"/>
          <w:lang w:val="ro-RO"/>
        </w:rPr>
      </w:pPr>
      <w:r w:rsidRPr="005429CB">
        <w:rPr>
          <w:color w:val="333333"/>
          <w:lang w:val="ro-RO"/>
        </w:rPr>
        <w:t xml:space="preserve">furnizor al ajutorului </w:t>
      </w:r>
      <w:r w:rsidR="004D46C0" w:rsidRPr="005429CB">
        <w:rPr>
          <w:color w:val="333333"/>
          <w:lang w:val="ro-RO"/>
        </w:rPr>
        <w:t xml:space="preserve">de </w:t>
      </w:r>
      <w:proofErr w:type="spellStart"/>
      <w:r w:rsidR="004D46C0" w:rsidRPr="005429CB">
        <w:rPr>
          <w:color w:val="333333"/>
          <w:lang w:val="ro-RO"/>
        </w:rPr>
        <w:t>minimis</w:t>
      </w:r>
      <w:proofErr w:type="spellEnd"/>
      <w:r w:rsidR="004D46C0" w:rsidRPr="005429CB">
        <w:rPr>
          <w:color w:val="333333"/>
          <w:lang w:val="ro-RO"/>
        </w:rPr>
        <w:t xml:space="preserve"> </w:t>
      </w:r>
      <w:r w:rsidRPr="005429CB">
        <w:rPr>
          <w:color w:val="333333"/>
          <w:lang w:val="ro-RO"/>
        </w:rPr>
        <w:t xml:space="preserve">(în continuare – furnizor) </w:t>
      </w:r>
      <w:r w:rsidR="00975604" w:rsidRPr="005429CB">
        <w:rPr>
          <w:color w:val="333333"/>
          <w:lang w:val="ro-RO"/>
        </w:rPr>
        <w:t>-</w:t>
      </w:r>
      <w:r w:rsidRPr="005429CB">
        <w:rPr>
          <w:color w:val="333333"/>
          <w:lang w:val="ro-RO"/>
        </w:rPr>
        <w:t xml:space="preserve"> Ministerul Dezvoltării Economice și Digitalizării; </w:t>
      </w:r>
    </w:p>
    <w:p w14:paraId="3A1E32BC" w14:textId="69434706" w:rsidR="007D5422" w:rsidRPr="005429CB" w:rsidRDefault="007D5422" w:rsidP="004D46C0">
      <w:pPr>
        <w:pStyle w:val="ac"/>
        <w:numPr>
          <w:ilvl w:val="0"/>
          <w:numId w:val="6"/>
        </w:numPr>
        <w:shd w:val="clear" w:color="auto" w:fill="FFFFFF"/>
        <w:spacing w:before="120" w:beforeAutospacing="0" w:after="120" w:afterAutospacing="0" w:line="276" w:lineRule="auto"/>
        <w:jc w:val="both"/>
        <w:rPr>
          <w:color w:val="333333"/>
          <w:lang w:val="ro-RO"/>
        </w:rPr>
      </w:pPr>
      <w:r w:rsidRPr="005429CB">
        <w:rPr>
          <w:color w:val="333333"/>
          <w:lang w:val="ro-RO"/>
        </w:rPr>
        <w:t xml:space="preserve">beneficiar al ajutorului de </w:t>
      </w:r>
      <w:proofErr w:type="spellStart"/>
      <w:r w:rsidR="004D46C0" w:rsidRPr="005429CB">
        <w:rPr>
          <w:color w:val="333333"/>
          <w:lang w:val="ro-RO"/>
        </w:rPr>
        <w:t>minimis</w:t>
      </w:r>
      <w:proofErr w:type="spellEnd"/>
      <w:r w:rsidRPr="005429CB">
        <w:rPr>
          <w:color w:val="333333"/>
          <w:lang w:val="ro-RO"/>
        </w:rPr>
        <w:t xml:space="preserve"> (în continuare – beneficiar) – orice întreprindere care îndeplinește condițiile stipulate la pct. </w:t>
      </w:r>
      <w:r w:rsidR="00681BC7" w:rsidRPr="005429CB">
        <w:rPr>
          <w:color w:val="333333"/>
          <w:lang w:val="ro-RO"/>
        </w:rPr>
        <w:t>7</w:t>
      </w:r>
      <w:r w:rsidRPr="005429CB">
        <w:rPr>
          <w:color w:val="333333"/>
          <w:lang w:val="ro-RO"/>
        </w:rPr>
        <w:t>;</w:t>
      </w:r>
    </w:p>
    <w:p w14:paraId="12DA8F3C" w14:textId="6542A705" w:rsidR="00234FC9" w:rsidRPr="005429CB" w:rsidRDefault="00234FC9"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 xml:space="preserve">diferența de preț în urma majorării prețurilor reglementate pentru furnizarea energiei electrice </w:t>
      </w:r>
      <w:r w:rsidR="00975604" w:rsidRPr="005429CB">
        <w:rPr>
          <w:rFonts w:ascii="Times New Roman" w:eastAsia="Times New Roman" w:hAnsi="Times New Roman" w:cs="Times New Roman"/>
          <w:color w:val="333333"/>
          <w:kern w:val="0"/>
          <w:lang w:val="ro-RO"/>
          <w14:ligatures w14:val="none"/>
        </w:rPr>
        <w:t>-</w:t>
      </w:r>
      <w:r w:rsidRPr="005429CB">
        <w:rPr>
          <w:rFonts w:ascii="Times New Roman" w:eastAsia="Times New Roman" w:hAnsi="Times New Roman" w:cs="Times New Roman"/>
          <w:color w:val="333333"/>
          <w:kern w:val="0"/>
          <w:lang w:val="ro-RO"/>
          <w14:ligatures w14:val="none"/>
        </w:rPr>
        <w:t xml:space="preserve"> diferența dintre prețul reglementat pentru furnizarea energiei electrice pentru perioada compensată și prețul respectiv din luna decembrie 2024.</w:t>
      </w:r>
    </w:p>
    <w:p w14:paraId="4037B661" w14:textId="719E9942" w:rsidR="00417F0C"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 xml:space="preserve">produse agricole - produsele prevăzute în Anexa nr.1 la Acordul privind agricultura, ratificat prin Legea nr. 218/2001 pentru aderarea Republicii Moldova la </w:t>
      </w:r>
      <w:proofErr w:type="spellStart"/>
      <w:r w:rsidRPr="005429CB">
        <w:rPr>
          <w:rFonts w:ascii="Times New Roman" w:eastAsia="Times New Roman" w:hAnsi="Times New Roman" w:cs="Times New Roman"/>
          <w:color w:val="333333"/>
          <w:kern w:val="0"/>
          <w:lang w:val="ro-RO"/>
          <w14:ligatures w14:val="none"/>
        </w:rPr>
        <w:t>Organizaţia</w:t>
      </w:r>
      <w:proofErr w:type="spellEnd"/>
      <w:r w:rsidRPr="005429CB">
        <w:rPr>
          <w:rFonts w:ascii="Times New Roman" w:eastAsia="Times New Roman" w:hAnsi="Times New Roman" w:cs="Times New Roman"/>
          <w:color w:val="333333"/>
          <w:kern w:val="0"/>
          <w:lang w:val="ro-RO"/>
          <w14:ligatures w14:val="none"/>
        </w:rPr>
        <w:t xml:space="preserve"> Mondială a </w:t>
      </w:r>
      <w:proofErr w:type="spellStart"/>
      <w:r w:rsidRPr="005429CB">
        <w:rPr>
          <w:rFonts w:ascii="Times New Roman" w:eastAsia="Times New Roman" w:hAnsi="Times New Roman" w:cs="Times New Roman"/>
          <w:color w:val="333333"/>
          <w:kern w:val="0"/>
          <w:lang w:val="ro-RO"/>
          <w14:ligatures w14:val="none"/>
        </w:rPr>
        <w:t>Comerţului</w:t>
      </w:r>
      <w:proofErr w:type="spellEnd"/>
      <w:r w:rsidRPr="005429CB">
        <w:rPr>
          <w:rFonts w:ascii="Times New Roman" w:eastAsia="Times New Roman" w:hAnsi="Times New Roman" w:cs="Times New Roman"/>
          <w:color w:val="333333"/>
          <w:kern w:val="0"/>
          <w:lang w:val="ro-RO"/>
          <w14:ligatures w14:val="none"/>
        </w:rPr>
        <w:t>;</w:t>
      </w:r>
    </w:p>
    <w:p w14:paraId="6F226910" w14:textId="3D269C45" w:rsidR="00417F0C"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 xml:space="preserve">producție agricolă primară - producția de produse ale solului și ale creșterii animalelor, prevăzute în Anexa nr.1 la Acordul privind agricultura, ratificat prin Legea nr. 218/2001 pentru aderarea Republicii Moldova la </w:t>
      </w:r>
      <w:proofErr w:type="spellStart"/>
      <w:r w:rsidRPr="005429CB">
        <w:rPr>
          <w:rFonts w:ascii="Times New Roman" w:eastAsia="Times New Roman" w:hAnsi="Times New Roman" w:cs="Times New Roman"/>
          <w:color w:val="333333"/>
          <w:kern w:val="0"/>
          <w:lang w:val="ro-RO"/>
          <w14:ligatures w14:val="none"/>
        </w:rPr>
        <w:t>Organizaţia</w:t>
      </w:r>
      <w:proofErr w:type="spellEnd"/>
      <w:r w:rsidRPr="005429CB">
        <w:rPr>
          <w:rFonts w:ascii="Times New Roman" w:eastAsia="Times New Roman" w:hAnsi="Times New Roman" w:cs="Times New Roman"/>
          <w:color w:val="333333"/>
          <w:kern w:val="0"/>
          <w:lang w:val="ro-RO"/>
          <w14:ligatures w14:val="none"/>
        </w:rPr>
        <w:t xml:space="preserve"> Mondială a </w:t>
      </w:r>
      <w:proofErr w:type="spellStart"/>
      <w:r w:rsidRPr="005429CB">
        <w:rPr>
          <w:rFonts w:ascii="Times New Roman" w:eastAsia="Times New Roman" w:hAnsi="Times New Roman" w:cs="Times New Roman"/>
          <w:color w:val="333333"/>
          <w:kern w:val="0"/>
          <w:lang w:val="ro-RO"/>
          <w14:ligatures w14:val="none"/>
        </w:rPr>
        <w:t>Comerţului</w:t>
      </w:r>
      <w:proofErr w:type="spellEnd"/>
      <w:r w:rsidRPr="005429CB">
        <w:rPr>
          <w:rFonts w:ascii="Times New Roman" w:eastAsia="Times New Roman" w:hAnsi="Times New Roman" w:cs="Times New Roman"/>
          <w:color w:val="333333"/>
          <w:kern w:val="0"/>
          <w:lang w:val="ro-RO"/>
          <w14:ligatures w14:val="none"/>
        </w:rPr>
        <w:t>, fără a se mai efectua o altă operațiune de modificare a naturii produselor respective;</w:t>
      </w:r>
    </w:p>
    <w:p w14:paraId="4468A503" w14:textId="3C5025B5" w:rsidR="00417F0C"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 xml:space="preserve">prelucrarea produselor agricole - orice operațiune efectuată asupra unui produs agricol care are drept rezultat un produs care este tot un produs agricol, cu excepția activităților </w:t>
      </w:r>
      <w:r w:rsidRPr="005429CB">
        <w:rPr>
          <w:rFonts w:ascii="Times New Roman" w:eastAsia="Times New Roman" w:hAnsi="Times New Roman" w:cs="Times New Roman"/>
          <w:color w:val="333333"/>
          <w:kern w:val="0"/>
          <w:lang w:val="ro-RO"/>
          <w14:ligatures w14:val="none"/>
        </w:rPr>
        <w:lastRenderedPageBreak/>
        <w:t>desfășurate în exploatațiile agricole necesare în vederea pregătirii unui produs de origine animală sau vegetală pentru prima vânzare;</w:t>
      </w:r>
    </w:p>
    <w:p w14:paraId="11D85B43" w14:textId="12196084" w:rsidR="00417F0C" w:rsidRPr="005429CB" w:rsidRDefault="00417F0C" w:rsidP="00234FC9">
      <w:pPr>
        <w:pStyle w:val="a7"/>
        <w:numPr>
          <w:ilvl w:val="0"/>
          <w:numId w:val="6"/>
        </w:numPr>
        <w:jc w:val="both"/>
        <w:rPr>
          <w:rFonts w:ascii="Times New Roman" w:hAnsi="Times New Roman" w:cs="Times New Roman"/>
          <w:color w:val="333333"/>
          <w:lang w:val="ro-RO"/>
        </w:rPr>
      </w:pPr>
      <w:r w:rsidRPr="005429CB">
        <w:rPr>
          <w:rFonts w:ascii="Times New Roman" w:eastAsia="Times New Roman" w:hAnsi="Times New Roman" w:cs="Times New Roman"/>
          <w:color w:val="333333"/>
          <w:kern w:val="0"/>
          <w:lang w:val="ro-RO"/>
          <w14:ligatures w14:val="none"/>
        </w:rPr>
        <w:t>comercializare de produse agricole - deținerea sau expunerea unui produs agricol în vederea vânzării, livrării sau a oricărei alte forme de introducere pe piață, cu excepția primei vânzări</w:t>
      </w:r>
      <w:r w:rsidRPr="005429CB">
        <w:rPr>
          <w:rFonts w:ascii="Times New Roman" w:hAnsi="Times New Roman" w:cs="Times New Roman"/>
          <w:color w:val="333333"/>
          <w:lang w:val="ro-RO"/>
        </w:rPr>
        <w:t xml:space="preserve"> de către un producător primar către revânzători sau prelucrători și a oricărei alte activități de pregătire a produsului în vederea primei vânzări; o vânzare efectuată de un producător primar către consumatorii finali este considerată comercializare de produse agricole în cazul în care se desfășoară în spații separate, rezervate acestui scop;</w:t>
      </w:r>
    </w:p>
    <w:p w14:paraId="7568C126" w14:textId="38470F7F" w:rsidR="00417F0C"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produse pescărești și de acvacultură - produsele definite în Hotărârea Guvernului nr. 610/2023 cu privire la aprobarea Cerințelor de calitate pentru pește și produsele din pește;</w:t>
      </w:r>
    </w:p>
    <w:p w14:paraId="6E022701" w14:textId="07688D9E" w:rsidR="00417F0C"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producția primară de produse pescărești și de acvacultură - toate operațiunile legate de pescuitul, creșterea sau cultivarea organismelor acvatice, precum și activitățile desfășurate în ferme sau la bord necesare pentru pregătirea unui animal sau a unei plante pentru prima vânzare, inclusiv tranșarea, filetarea sau congelarea, și prima vânzare către revânzători sau prelucrători;</w:t>
      </w:r>
    </w:p>
    <w:p w14:paraId="4A87FFDE" w14:textId="31176F7B" w:rsidR="007D5422" w:rsidRPr="005429CB" w:rsidRDefault="00417F0C" w:rsidP="00234FC9">
      <w:pPr>
        <w:pStyle w:val="a7"/>
        <w:numPr>
          <w:ilvl w:val="0"/>
          <w:numId w:val="6"/>
        </w:numPr>
        <w:jc w:val="both"/>
        <w:rPr>
          <w:rFonts w:ascii="Times New Roman" w:eastAsia="Times New Roman" w:hAnsi="Times New Roman" w:cs="Times New Roman"/>
          <w:color w:val="333333"/>
          <w:kern w:val="0"/>
          <w:lang w:val="ro-RO"/>
          <w14:ligatures w14:val="none"/>
        </w:rPr>
      </w:pPr>
      <w:r w:rsidRPr="005429CB">
        <w:rPr>
          <w:rFonts w:ascii="Times New Roman" w:eastAsia="Times New Roman" w:hAnsi="Times New Roman" w:cs="Times New Roman"/>
          <w:color w:val="333333"/>
          <w:kern w:val="0"/>
          <w:lang w:val="ro-RO"/>
          <w14:ligatures w14:val="none"/>
        </w:rPr>
        <w:t>prelucrarea și comercializarea produselor pescărești și de acvacultură – toate operațiunile, inclusiv manipularea, tratarea și transformarea, efectuate după momentul debarcării – sau al recoltării, în cazul acvaculturii – care au ca rezultat un produs prelucrat,</w:t>
      </w:r>
      <w:r w:rsidR="00574A42" w:rsidRPr="005429CB">
        <w:rPr>
          <w:rFonts w:ascii="Times New Roman" w:eastAsia="Times New Roman" w:hAnsi="Times New Roman" w:cs="Times New Roman"/>
          <w:color w:val="333333"/>
          <w:kern w:val="0"/>
          <w:lang w:val="ro-RO"/>
          <w14:ligatures w14:val="none"/>
        </w:rPr>
        <w:t xml:space="preserve"> </w:t>
      </w:r>
      <w:r w:rsidRPr="005429CB">
        <w:rPr>
          <w:rFonts w:ascii="Times New Roman" w:eastAsia="Times New Roman" w:hAnsi="Times New Roman" w:cs="Times New Roman"/>
          <w:color w:val="333333"/>
          <w:kern w:val="0"/>
          <w:lang w:val="ro-RO"/>
          <w14:ligatures w14:val="none"/>
        </w:rPr>
        <w:t>precum și distribuția acestuia;</w:t>
      </w:r>
    </w:p>
    <w:p w14:paraId="45610A45" w14:textId="46CF9DAE" w:rsidR="00574A42" w:rsidRPr="005429CB" w:rsidRDefault="00574A42" w:rsidP="00234FC9">
      <w:pPr>
        <w:pStyle w:val="a7"/>
        <w:numPr>
          <w:ilvl w:val="0"/>
          <w:numId w:val="6"/>
        </w:numPr>
        <w:jc w:val="both"/>
        <w:rPr>
          <w:rFonts w:ascii="Times New Roman" w:hAnsi="Times New Roman" w:cs="Times New Roman"/>
          <w:kern w:val="0"/>
          <w:lang w:val="ro-RO"/>
        </w:rPr>
      </w:pPr>
      <w:r w:rsidRPr="005429CB">
        <w:rPr>
          <w:rFonts w:ascii="Times New Roman" w:eastAsia="Times New Roman" w:hAnsi="Times New Roman" w:cs="Times New Roman"/>
          <w:color w:val="333333"/>
          <w:kern w:val="0"/>
          <w:lang w:val="ro-RO"/>
          <w14:ligatures w14:val="none"/>
        </w:rPr>
        <w:t>întreprindere unică - toate întreprinderile care sunt controlate din punct de vedere juridic sau de</w:t>
      </w:r>
      <w:r w:rsidRPr="005429CB">
        <w:rPr>
          <w:rFonts w:ascii="Times New Roman" w:hAnsi="Times New Roman" w:cs="Times New Roman"/>
          <w:kern w:val="0"/>
          <w:lang w:val="ro-RO"/>
        </w:rPr>
        <w:t xml:space="preserve"> facto de către aceeași întreprindere sau când există cel puțin una dintre</w:t>
      </w:r>
      <w:r w:rsidRPr="005429CB">
        <w:rPr>
          <w:rFonts w:ascii="Times New Roman" w:hAnsi="Times New Roman" w:cs="Times New Roman"/>
          <w:lang w:val="ro-RO"/>
        </w:rPr>
        <w:t xml:space="preserve"> </w:t>
      </w:r>
      <w:r w:rsidRPr="005429CB">
        <w:rPr>
          <w:rFonts w:ascii="Times New Roman" w:hAnsi="Times New Roman" w:cs="Times New Roman"/>
          <w:kern w:val="0"/>
          <w:lang w:val="ro-RO"/>
        </w:rPr>
        <w:t>relațiile următoare:</w:t>
      </w:r>
    </w:p>
    <w:p w14:paraId="75F30F99" w14:textId="63D3CA1B" w:rsidR="00574A42" w:rsidRPr="005429CB" w:rsidRDefault="00574A42" w:rsidP="00574A42">
      <w:pPr>
        <w:pStyle w:val="ac"/>
        <w:numPr>
          <w:ilvl w:val="0"/>
          <w:numId w:val="17"/>
        </w:numPr>
        <w:shd w:val="clear" w:color="auto" w:fill="FFFFFF"/>
        <w:autoSpaceDE w:val="0"/>
        <w:autoSpaceDN w:val="0"/>
        <w:adjustRightInd w:val="0"/>
        <w:spacing w:before="120" w:beforeAutospacing="0" w:after="0" w:afterAutospacing="0"/>
        <w:jc w:val="both"/>
        <w:rPr>
          <w:lang w:val="ro-RO"/>
        </w:rPr>
      </w:pPr>
      <w:r w:rsidRPr="005429CB">
        <w:rPr>
          <w:lang w:val="ro-RO"/>
        </w:rPr>
        <w:t>întreprinderea deține majoritatea drepturilor de vot ale acționarilor sau ale asociaților unei alte întreprinderi;</w:t>
      </w:r>
    </w:p>
    <w:p w14:paraId="0B3BB19A" w14:textId="6424FD1D" w:rsidR="00574A42" w:rsidRPr="005429CB" w:rsidRDefault="00574A42" w:rsidP="00574A42">
      <w:pPr>
        <w:pStyle w:val="ac"/>
        <w:numPr>
          <w:ilvl w:val="0"/>
          <w:numId w:val="17"/>
        </w:numPr>
        <w:shd w:val="clear" w:color="auto" w:fill="FFFFFF"/>
        <w:autoSpaceDE w:val="0"/>
        <w:autoSpaceDN w:val="0"/>
        <w:adjustRightInd w:val="0"/>
        <w:spacing w:before="120" w:beforeAutospacing="0" w:after="0" w:afterAutospacing="0"/>
        <w:jc w:val="both"/>
        <w:rPr>
          <w:lang w:val="ro-RO"/>
        </w:rPr>
      </w:pPr>
      <w:r w:rsidRPr="005429CB">
        <w:rPr>
          <w:lang w:val="ro-RO"/>
        </w:rPr>
        <w:t>întreprinderea are dreptul de a numi sau revoca majoritatea membrilor organelor de administrare, de conducere sau de supraveghere ale unei alte întreprinderi;</w:t>
      </w:r>
    </w:p>
    <w:p w14:paraId="67984E36" w14:textId="6B313475" w:rsidR="00574A42" w:rsidRPr="005429CB" w:rsidRDefault="00574A42" w:rsidP="00574A42">
      <w:pPr>
        <w:pStyle w:val="ac"/>
        <w:numPr>
          <w:ilvl w:val="0"/>
          <w:numId w:val="17"/>
        </w:numPr>
        <w:shd w:val="clear" w:color="auto" w:fill="FFFFFF"/>
        <w:autoSpaceDE w:val="0"/>
        <w:autoSpaceDN w:val="0"/>
        <w:adjustRightInd w:val="0"/>
        <w:spacing w:before="120" w:beforeAutospacing="0" w:after="0" w:afterAutospacing="0"/>
        <w:jc w:val="both"/>
        <w:rPr>
          <w:lang w:val="ro-RO"/>
        </w:rPr>
      </w:pPr>
      <w:r w:rsidRPr="005429CB">
        <w:rPr>
          <w:lang w:val="ro-RO"/>
        </w:rPr>
        <w:t>întreprinderea are dreptul de a exercita o influență decisivă asupra altei întreprinderi în temeiul unui contract încheiat cu întreprinderea în cauză sau în temeiul unei prevederi din actul constitutiv sau din statutul acesteia;</w:t>
      </w:r>
    </w:p>
    <w:p w14:paraId="2BDA6A6F" w14:textId="0194B5F9" w:rsidR="00574A42" w:rsidRPr="005429CB" w:rsidRDefault="00574A42" w:rsidP="00574A42">
      <w:pPr>
        <w:pStyle w:val="ac"/>
        <w:numPr>
          <w:ilvl w:val="0"/>
          <w:numId w:val="17"/>
        </w:numPr>
        <w:shd w:val="clear" w:color="auto" w:fill="FFFFFF"/>
        <w:autoSpaceDE w:val="0"/>
        <w:autoSpaceDN w:val="0"/>
        <w:adjustRightInd w:val="0"/>
        <w:spacing w:before="120" w:beforeAutospacing="0" w:after="0" w:afterAutospacing="0"/>
        <w:jc w:val="both"/>
        <w:rPr>
          <w:lang w:val="ro-RO"/>
        </w:rPr>
      </w:pPr>
      <w:r w:rsidRPr="005429CB">
        <w:rPr>
          <w:lang w:val="ro-RO"/>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B132E62" w14:textId="4826DC42" w:rsidR="00574A42" w:rsidRPr="005429CB" w:rsidRDefault="00574A42" w:rsidP="009D772A">
      <w:pPr>
        <w:autoSpaceDE w:val="0"/>
        <w:autoSpaceDN w:val="0"/>
        <w:adjustRightInd w:val="0"/>
        <w:spacing w:after="0" w:line="240" w:lineRule="auto"/>
        <w:ind w:left="1440"/>
        <w:jc w:val="both"/>
        <w:rPr>
          <w:rFonts w:ascii="Times New Roman" w:hAnsi="Times New Roman" w:cs="Times New Roman"/>
          <w:kern w:val="0"/>
          <w:lang w:val="ro-RO"/>
        </w:rPr>
      </w:pPr>
      <w:r w:rsidRPr="005429CB">
        <w:rPr>
          <w:rFonts w:ascii="Times New Roman" w:hAnsi="Times New Roman" w:cs="Times New Roman"/>
          <w:kern w:val="0"/>
          <w:lang w:val="ro-RO"/>
        </w:rPr>
        <w:t>Întreprinderile care întrețin, prin intermediul uneia sau al mai multor întreprinderi, oricare din relațiile prevăzute de sub pct. 4.1</w:t>
      </w:r>
      <w:r w:rsidR="00975604" w:rsidRPr="005429CB">
        <w:rPr>
          <w:rFonts w:ascii="Times New Roman" w:hAnsi="Times New Roman" w:cs="Times New Roman"/>
          <w:kern w:val="0"/>
          <w:lang w:val="ro-RO"/>
        </w:rPr>
        <w:t>1</w:t>
      </w:r>
      <w:r w:rsidRPr="005429CB">
        <w:rPr>
          <w:rFonts w:ascii="Times New Roman" w:hAnsi="Times New Roman" w:cs="Times New Roman"/>
          <w:kern w:val="0"/>
          <w:lang w:val="ro-RO"/>
        </w:rPr>
        <w:t>.1</w:t>
      </w:r>
      <w:r w:rsidR="000648DF" w:rsidRPr="005429CB">
        <w:rPr>
          <w:rFonts w:ascii="Times New Roman" w:hAnsi="Times New Roman" w:cs="Times New Roman"/>
          <w:kern w:val="0"/>
          <w:lang w:val="ro-RO"/>
        </w:rPr>
        <w:t>.</w:t>
      </w:r>
      <w:r w:rsidRPr="005429CB">
        <w:rPr>
          <w:rFonts w:ascii="Times New Roman" w:hAnsi="Times New Roman" w:cs="Times New Roman"/>
          <w:kern w:val="0"/>
          <w:lang w:val="ro-RO"/>
        </w:rPr>
        <w:t xml:space="preserve"> </w:t>
      </w:r>
      <w:r w:rsidR="000648DF" w:rsidRPr="005429CB">
        <w:rPr>
          <w:rFonts w:ascii="Times New Roman" w:hAnsi="Times New Roman" w:cs="Times New Roman"/>
          <w:kern w:val="0"/>
          <w:lang w:val="ro-RO"/>
        </w:rPr>
        <w:t>–</w:t>
      </w:r>
      <w:r w:rsidRPr="005429CB">
        <w:rPr>
          <w:rFonts w:ascii="Times New Roman" w:hAnsi="Times New Roman" w:cs="Times New Roman"/>
          <w:kern w:val="0"/>
          <w:lang w:val="ro-RO"/>
        </w:rPr>
        <w:t xml:space="preserve"> 4</w:t>
      </w:r>
      <w:r w:rsidR="000648DF" w:rsidRPr="005429CB">
        <w:rPr>
          <w:rFonts w:ascii="Times New Roman" w:hAnsi="Times New Roman" w:cs="Times New Roman"/>
          <w:kern w:val="0"/>
          <w:lang w:val="ro-RO"/>
        </w:rPr>
        <w:t>.1</w:t>
      </w:r>
      <w:r w:rsidR="00975604" w:rsidRPr="005429CB">
        <w:rPr>
          <w:rFonts w:ascii="Times New Roman" w:hAnsi="Times New Roman" w:cs="Times New Roman"/>
          <w:kern w:val="0"/>
          <w:lang w:val="ro-RO"/>
        </w:rPr>
        <w:t>1</w:t>
      </w:r>
      <w:r w:rsidR="000648DF" w:rsidRPr="005429CB">
        <w:rPr>
          <w:rFonts w:ascii="Times New Roman" w:hAnsi="Times New Roman" w:cs="Times New Roman"/>
          <w:kern w:val="0"/>
          <w:lang w:val="ro-RO"/>
        </w:rPr>
        <w:t>.4.</w:t>
      </w:r>
      <w:r w:rsidRPr="005429CB">
        <w:rPr>
          <w:rFonts w:ascii="Times New Roman" w:hAnsi="Times New Roman" w:cs="Times New Roman"/>
          <w:kern w:val="0"/>
          <w:lang w:val="ro-RO"/>
        </w:rPr>
        <w:t xml:space="preserve"> sunt considerate o întreprindere unică.</w:t>
      </w:r>
    </w:p>
    <w:p w14:paraId="067EB847" w14:textId="77777777" w:rsidR="00574A42" w:rsidRPr="005429CB" w:rsidRDefault="00574A42" w:rsidP="00574A42">
      <w:pPr>
        <w:pStyle w:val="ac"/>
        <w:numPr>
          <w:ilvl w:val="0"/>
          <w:numId w:val="6"/>
        </w:numPr>
        <w:shd w:val="clear" w:color="auto" w:fill="FFFFFF"/>
        <w:spacing w:before="120" w:beforeAutospacing="0" w:after="120" w:afterAutospacing="0" w:line="276" w:lineRule="auto"/>
        <w:jc w:val="both"/>
        <w:rPr>
          <w:color w:val="333333"/>
          <w:lang w:val="ro-RO"/>
        </w:rPr>
      </w:pPr>
      <w:r w:rsidRPr="005429CB">
        <w:rPr>
          <w:color w:val="333333"/>
          <w:lang w:val="ro-RO"/>
        </w:rPr>
        <w:t>Alte noțiuni utilizate în prezentul Program sunt definite în sensul Legii concurenței nr. 183/2012, Legii nr.139/2012 cu privire la ajutorul de stat și instrumentelor de interpretare ale Uniunii Europene.</w:t>
      </w:r>
    </w:p>
    <w:p w14:paraId="7E10AFDA" w14:textId="0CCE7C66" w:rsidR="00574A42" w:rsidRPr="005429CB" w:rsidRDefault="00574A42" w:rsidP="00574A42">
      <w:pPr>
        <w:autoSpaceDE w:val="0"/>
        <w:autoSpaceDN w:val="0"/>
        <w:adjustRightInd w:val="0"/>
        <w:spacing w:after="0" w:line="240" w:lineRule="auto"/>
        <w:rPr>
          <w:rFonts w:ascii="Times New Roman" w:hAnsi="Times New Roman" w:cs="Times New Roman"/>
          <w:color w:val="333333"/>
          <w:lang w:val="ro-RO"/>
        </w:rPr>
      </w:pPr>
    </w:p>
    <w:p w14:paraId="68871A36" w14:textId="22057C8F" w:rsidR="002C69F3" w:rsidRPr="005429CB" w:rsidRDefault="002C69F3" w:rsidP="00574A42">
      <w:pPr>
        <w:autoSpaceDE w:val="0"/>
        <w:autoSpaceDN w:val="0"/>
        <w:adjustRightInd w:val="0"/>
        <w:spacing w:after="0" w:line="240" w:lineRule="auto"/>
        <w:rPr>
          <w:rFonts w:ascii="Times New Roman" w:hAnsi="Times New Roman" w:cs="Times New Roman"/>
          <w:color w:val="333333"/>
          <w:lang w:val="ro-RO"/>
        </w:rPr>
      </w:pPr>
    </w:p>
    <w:p w14:paraId="478845DA" w14:textId="77777777" w:rsidR="002C69F3" w:rsidRPr="005429CB" w:rsidRDefault="002C69F3" w:rsidP="00574A42">
      <w:pPr>
        <w:autoSpaceDE w:val="0"/>
        <w:autoSpaceDN w:val="0"/>
        <w:adjustRightInd w:val="0"/>
        <w:spacing w:after="0" w:line="240" w:lineRule="auto"/>
        <w:rPr>
          <w:rFonts w:ascii="Times New Roman" w:hAnsi="Times New Roman" w:cs="Times New Roman"/>
          <w:color w:val="333333"/>
          <w:lang w:val="ro-RO"/>
        </w:rPr>
      </w:pPr>
    </w:p>
    <w:p w14:paraId="0CC9EA9B" w14:textId="2BF8ADBF" w:rsidR="007D5422" w:rsidRPr="005429CB" w:rsidRDefault="007D5422" w:rsidP="00574A42">
      <w:pPr>
        <w:pStyle w:val="ac"/>
        <w:numPr>
          <w:ilvl w:val="0"/>
          <w:numId w:val="5"/>
        </w:numPr>
        <w:shd w:val="clear" w:color="auto" w:fill="FFFFFF"/>
        <w:spacing w:before="120" w:beforeAutospacing="0" w:after="120" w:afterAutospacing="0" w:line="276" w:lineRule="auto"/>
        <w:jc w:val="center"/>
        <w:rPr>
          <w:b/>
          <w:bCs/>
          <w:color w:val="333333"/>
          <w:lang w:val="ro-RO"/>
        </w:rPr>
      </w:pPr>
      <w:r w:rsidRPr="005429CB">
        <w:rPr>
          <w:b/>
          <w:bCs/>
          <w:color w:val="333333"/>
          <w:lang w:val="ro-RO"/>
        </w:rPr>
        <w:lastRenderedPageBreak/>
        <w:t>DOMENIUL DE APLICARE</w:t>
      </w:r>
    </w:p>
    <w:p w14:paraId="18223532" w14:textId="121C2234" w:rsidR="007D5422" w:rsidRPr="005429CB" w:rsidRDefault="007D5422" w:rsidP="004D46C0">
      <w:pPr>
        <w:pStyle w:val="ac"/>
        <w:numPr>
          <w:ilvl w:val="0"/>
          <w:numId w:val="1"/>
        </w:numPr>
        <w:shd w:val="clear" w:color="auto" w:fill="FFFFFF"/>
        <w:spacing w:before="120" w:beforeAutospacing="0" w:after="120" w:afterAutospacing="0" w:line="276" w:lineRule="auto"/>
        <w:jc w:val="both"/>
        <w:rPr>
          <w:color w:val="333333"/>
          <w:lang w:val="ro-RO"/>
        </w:rPr>
      </w:pPr>
      <w:r w:rsidRPr="005429CB">
        <w:rPr>
          <w:color w:val="333333"/>
          <w:lang w:val="ro-RO"/>
        </w:rPr>
        <w:t>Prezent</w:t>
      </w:r>
      <w:r w:rsidR="007F151A" w:rsidRPr="005429CB">
        <w:rPr>
          <w:color w:val="333333"/>
          <w:lang w:val="ro-RO"/>
        </w:rPr>
        <w:t xml:space="preserve">ul Program </w:t>
      </w:r>
      <w:r w:rsidRPr="005429CB">
        <w:rPr>
          <w:color w:val="333333"/>
          <w:lang w:val="ro-RO"/>
        </w:rPr>
        <w:t xml:space="preserve">se aplică </w:t>
      </w:r>
      <w:r w:rsidR="00234FC9" w:rsidRPr="005429CB">
        <w:rPr>
          <w:color w:val="333333"/>
          <w:lang w:val="ro-RO"/>
        </w:rPr>
        <w:t xml:space="preserve">întreprinderilor </w:t>
      </w:r>
      <w:r w:rsidR="00234FC9" w:rsidRPr="005429CB">
        <w:rPr>
          <w:i/>
          <w:iCs/>
          <w:color w:val="333333"/>
          <w:lang w:val="ro-RO"/>
        </w:rPr>
        <w:t xml:space="preserve">(conform Legii nr.845/1992 cu privire la </w:t>
      </w:r>
      <w:proofErr w:type="spellStart"/>
      <w:r w:rsidR="00234FC9" w:rsidRPr="005429CB">
        <w:rPr>
          <w:i/>
          <w:iCs/>
          <w:color w:val="333333"/>
          <w:lang w:val="ro-RO"/>
        </w:rPr>
        <w:t>antreprenoriat</w:t>
      </w:r>
      <w:proofErr w:type="spellEnd"/>
      <w:r w:rsidR="00234FC9" w:rsidRPr="005429CB">
        <w:rPr>
          <w:i/>
          <w:iCs/>
          <w:color w:val="333333"/>
          <w:lang w:val="ro-RO"/>
        </w:rPr>
        <w:t xml:space="preserve"> și întreprinderi)</w:t>
      </w:r>
      <w:r w:rsidR="00234FC9" w:rsidRPr="005429CB">
        <w:rPr>
          <w:color w:val="333333"/>
          <w:lang w:val="ro-RO"/>
        </w:rPr>
        <w:t xml:space="preserve"> care procură energie electrică de la furnizorii de energie electrică la prețuri reglementate sau care nu au relații contractuale directe cu furnizorii de energie electrică, dar procură energie electrică de la un consumator angro sau în calitate de utilizator într-un sistem de distribuție închis al energiei electrice, care își desfășoară activitatea principală în domeniile specificate </w:t>
      </w:r>
      <w:r w:rsidRPr="005429CB">
        <w:rPr>
          <w:color w:val="333333"/>
          <w:lang w:val="ro-RO"/>
        </w:rPr>
        <w:t>în Anexa nr.1, cu excepția:</w:t>
      </w:r>
    </w:p>
    <w:p w14:paraId="26BB76A0" w14:textId="55D4B52D" w:rsidR="007F151A" w:rsidRPr="005429CB" w:rsidRDefault="007F151A" w:rsidP="001D0AEB">
      <w:pPr>
        <w:pStyle w:val="ac"/>
        <w:numPr>
          <w:ilvl w:val="0"/>
          <w:numId w:val="15"/>
        </w:numPr>
        <w:shd w:val="clear" w:color="auto" w:fill="FFFFFF"/>
        <w:spacing w:before="120" w:after="120" w:line="276" w:lineRule="auto"/>
        <w:jc w:val="both"/>
        <w:rPr>
          <w:color w:val="333333"/>
          <w:lang w:val="ro-RO"/>
        </w:rPr>
      </w:pPr>
      <w:r w:rsidRPr="005429CB">
        <w:rPr>
          <w:color w:val="333333"/>
          <w:lang w:val="ro-RO"/>
        </w:rPr>
        <w:t xml:space="preserve"> ajutoarelor acordate întreprinderilor care își desfășoară activitatea în domeniul producției primare de produse pescărești și de acvacultură;</w:t>
      </w:r>
    </w:p>
    <w:p w14:paraId="18A97740" w14:textId="17E5615C" w:rsidR="007F151A" w:rsidRPr="005429CB" w:rsidRDefault="007F151A" w:rsidP="001A6569">
      <w:pPr>
        <w:pStyle w:val="ac"/>
        <w:numPr>
          <w:ilvl w:val="0"/>
          <w:numId w:val="15"/>
        </w:numPr>
        <w:shd w:val="clear" w:color="auto" w:fill="FFFFFF"/>
        <w:spacing w:before="120" w:after="120" w:line="276" w:lineRule="auto"/>
        <w:jc w:val="both"/>
        <w:rPr>
          <w:color w:val="333333"/>
          <w:lang w:val="ro-RO"/>
        </w:rPr>
      </w:pPr>
      <w:r w:rsidRPr="005429CB">
        <w:rPr>
          <w:color w:val="333333"/>
          <w:lang w:val="ro-RO"/>
        </w:rPr>
        <w:t xml:space="preserve"> 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0682A716" w14:textId="3427FB8A" w:rsidR="007F151A" w:rsidRPr="005429CB" w:rsidRDefault="007F151A" w:rsidP="00E561CC">
      <w:pPr>
        <w:pStyle w:val="ac"/>
        <w:numPr>
          <w:ilvl w:val="0"/>
          <w:numId w:val="15"/>
        </w:numPr>
        <w:shd w:val="clear" w:color="auto" w:fill="FFFFFF"/>
        <w:spacing w:before="120" w:after="120" w:line="276" w:lineRule="auto"/>
        <w:jc w:val="both"/>
        <w:rPr>
          <w:color w:val="333333"/>
          <w:lang w:val="ro-RO"/>
        </w:rPr>
      </w:pPr>
      <w:r w:rsidRPr="005429CB">
        <w:rPr>
          <w:color w:val="333333"/>
          <w:lang w:val="ro-RO"/>
        </w:rPr>
        <w:t xml:space="preserve"> ajutoarelor acordate întreprinderilor care își desfășoară activitatea în domeniul</w:t>
      </w:r>
      <w:r w:rsidR="005A67F5" w:rsidRPr="005429CB">
        <w:rPr>
          <w:color w:val="333333"/>
          <w:lang w:val="ro-RO"/>
        </w:rPr>
        <w:t xml:space="preserve"> </w:t>
      </w:r>
      <w:r w:rsidRPr="005429CB">
        <w:rPr>
          <w:color w:val="333333"/>
          <w:lang w:val="ro-RO"/>
        </w:rPr>
        <w:t>producției agricole primare;</w:t>
      </w:r>
    </w:p>
    <w:p w14:paraId="7D20F2CF" w14:textId="53273595" w:rsidR="007F151A" w:rsidRPr="005429CB" w:rsidRDefault="005A67F5" w:rsidP="00D970AF">
      <w:pPr>
        <w:pStyle w:val="ac"/>
        <w:numPr>
          <w:ilvl w:val="0"/>
          <w:numId w:val="15"/>
        </w:numPr>
        <w:shd w:val="clear" w:color="auto" w:fill="FFFFFF"/>
        <w:spacing w:before="120" w:after="120" w:line="276" w:lineRule="auto"/>
        <w:jc w:val="both"/>
        <w:rPr>
          <w:color w:val="333333"/>
          <w:lang w:val="ro-RO"/>
        </w:rPr>
      </w:pPr>
      <w:r w:rsidRPr="005429CB">
        <w:rPr>
          <w:color w:val="333333"/>
          <w:lang w:val="ro-RO"/>
        </w:rPr>
        <w:t xml:space="preserve"> </w:t>
      </w:r>
      <w:r w:rsidR="007F151A" w:rsidRPr="005429CB">
        <w:rPr>
          <w:color w:val="333333"/>
          <w:lang w:val="ro-RO"/>
        </w:rPr>
        <w:t>ajutoarelor acordate întreprinderilor care desfășoară activități de prelucrare și</w:t>
      </w:r>
      <w:r w:rsidRPr="005429CB">
        <w:rPr>
          <w:color w:val="333333"/>
          <w:lang w:val="ro-RO"/>
        </w:rPr>
        <w:t xml:space="preserve"> </w:t>
      </w:r>
      <w:r w:rsidR="007F151A" w:rsidRPr="005429CB">
        <w:rPr>
          <w:color w:val="333333"/>
          <w:lang w:val="ro-RO"/>
        </w:rPr>
        <w:t>comercializare a produselor agricole, în unul din următoarele cazuri:</w:t>
      </w:r>
    </w:p>
    <w:p w14:paraId="4101B7CB" w14:textId="10D27044" w:rsidR="007F151A" w:rsidRPr="005429CB" w:rsidRDefault="007F151A" w:rsidP="00D12D17">
      <w:pPr>
        <w:pStyle w:val="ac"/>
        <w:numPr>
          <w:ilvl w:val="0"/>
          <w:numId w:val="16"/>
        </w:numPr>
        <w:shd w:val="clear" w:color="auto" w:fill="FFFFFF"/>
        <w:spacing w:before="120" w:after="120" w:line="276" w:lineRule="auto"/>
        <w:jc w:val="both"/>
        <w:rPr>
          <w:color w:val="333333"/>
          <w:lang w:val="ro-RO"/>
        </w:rPr>
      </w:pPr>
      <w:r w:rsidRPr="005429CB">
        <w:rPr>
          <w:color w:val="333333"/>
          <w:lang w:val="ro-RO"/>
        </w:rPr>
        <w:t>atunci când valoarea ajutoarelor este stabilită pe baza prețului sau a cantității</w:t>
      </w:r>
      <w:r w:rsidR="005A67F5" w:rsidRPr="005429CB">
        <w:rPr>
          <w:color w:val="333333"/>
          <w:lang w:val="ro-RO"/>
        </w:rPr>
        <w:t xml:space="preserve"> </w:t>
      </w:r>
      <w:r w:rsidRPr="005429CB">
        <w:rPr>
          <w:color w:val="333333"/>
          <w:lang w:val="ro-RO"/>
        </w:rPr>
        <w:t>de produse de acest tip achiziționate de la producători primari sau introduse pe piață de</w:t>
      </w:r>
      <w:r w:rsidR="005A67F5" w:rsidRPr="005429CB">
        <w:rPr>
          <w:color w:val="333333"/>
          <w:lang w:val="ro-RO"/>
        </w:rPr>
        <w:t xml:space="preserve"> </w:t>
      </w:r>
      <w:r w:rsidRPr="005429CB">
        <w:rPr>
          <w:color w:val="333333"/>
          <w:lang w:val="ro-RO"/>
        </w:rPr>
        <w:t>întreprinderile respective;</w:t>
      </w:r>
    </w:p>
    <w:p w14:paraId="3AF50A0A" w14:textId="2ACB3C8E" w:rsidR="007F151A" w:rsidRPr="005429CB" w:rsidRDefault="007F151A" w:rsidP="00F94AEF">
      <w:pPr>
        <w:pStyle w:val="ac"/>
        <w:numPr>
          <w:ilvl w:val="0"/>
          <w:numId w:val="16"/>
        </w:numPr>
        <w:shd w:val="clear" w:color="auto" w:fill="FFFFFF"/>
        <w:spacing w:before="120" w:after="120" w:line="276" w:lineRule="auto"/>
        <w:jc w:val="both"/>
        <w:rPr>
          <w:color w:val="333333"/>
          <w:lang w:val="ro-RO"/>
        </w:rPr>
      </w:pPr>
      <w:r w:rsidRPr="005429CB">
        <w:rPr>
          <w:color w:val="333333"/>
          <w:lang w:val="ro-RO"/>
        </w:rPr>
        <w:t>atunci când ajutoarele sunt condiționate de transferarea lor parțială sau</w:t>
      </w:r>
      <w:r w:rsidR="005A67F5" w:rsidRPr="005429CB">
        <w:rPr>
          <w:color w:val="333333"/>
          <w:lang w:val="ro-RO"/>
        </w:rPr>
        <w:t xml:space="preserve"> </w:t>
      </w:r>
      <w:r w:rsidRPr="005429CB">
        <w:rPr>
          <w:color w:val="333333"/>
          <w:lang w:val="ro-RO"/>
        </w:rPr>
        <w:t>integrală către producătorii primari.</w:t>
      </w:r>
    </w:p>
    <w:p w14:paraId="2D5A58B0" w14:textId="3CA880D4" w:rsidR="007F151A" w:rsidRPr="005429CB" w:rsidRDefault="007F151A" w:rsidP="005A67F5">
      <w:pPr>
        <w:pStyle w:val="ac"/>
        <w:numPr>
          <w:ilvl w:val="0"/>
          <w:numId w:val="15"/>
        </w:numPr>
        <w:shd w:val="clear" w:color="auto" w:fill="FFFFFF"/>
        <w:spacing w:before="120" w:after="120" w:line="276" w:lineRule="auto"/>
        <w:jc w:val="both"/>
        <w:rPr>
          <w:color w:val="333333"/>
          <w:lang w:val="ro-RO"/>
        </w:rPr>
      </w:pPr>
      <w:r w:rsidRPr="005429CB">
        <w:rPr>
          <w:color w:val="333333"/>
          <w:lang w:val="ro-RO"/>
        </w:rPr>
        <w:t xml:space="preserve"> ajutoarelor destinate activităților legate de export către alte țări, respectiv</w:t>
      </w:r>
      <w:r w:rsidR="005A67F5" w:rsidRPr="005429CB">
        <w:rPr>
          <w:color w:val="333333"/>
          <w:lang w:val="ro-RO"/>
        </w:rPr>
        <w:t xml:space="preserve"> </w:t>
      </w:r>
      <w:r w:rsidRPr="005429CB">
        <w:rPr>
          <w:color w:val="333333"/>
          <w:lang w:val="ro-RO"/>
        </w:rPr>
        <w:t>ajutoarelor direct legate de cantitățile exportate, ajutoarelor destinate înființării și</w:t>
      </w:r>
      <w:r w:rsidR="005A67F5" w:rsidRPr="005429CB">
        <w:rPr>
          <w:color w:val="333333"/>
          <w:lang w:val="ro-RO"/>
        </w:rPr>
        <w:t xml:space="preserve"> </w:t>
      </w:r>
      <w:r w:rsidRPr="005429CB">
        <w:rPr>
          <w:color w:val="333333"/>
          <w:lang w:val="ro-RO"/>
        </w:rPr>
        <w:t>funcționării unei rețele de distribuție sau destinate altor cheltuieli curente legate de</w:t>
      </w:r>
      <w:r w:rsidR="005A67F5" w:rsidRPr="005429CB">
        <w:rPr>
          <w:color w:val="333333"/>
          <w:lang w:val="ro-RO"/>
        </w:rPr>
        <w:t xml:space="preserve"> </w:t>
      </w:r>
      <w:r w:rsidRPr="005429CB">
        <w:rPr>
          <w:color w:val="333333"/>
          <w:lang w:val="ro-RO"/>
        </w:rPr>
        <w:t>activitatea de export;</w:t>
      </w:r>
    </w:p>
    <w:p w14:paraId="43FAD644" w14:textId="3CA4DA66" w:rsidR="005A67F5" w:rsidRPr="005429CB" w:rsidRDefault="007F151A" w:rsidP="005A67F5">
      <w:pPr>
        <w:pStyle w:val="ac"/>
        <w:numPr>
          <w:ilvl w:val="0"/>
          <w:numId w:val="15"/>
        </w:numPr>
        <w:shd w:val="clear" w:color="auto" w:fill="FFFFFF"/>
        <w:spacing w:before="120" w:after="120" w:line="276" w:lineRule="auto"/>
        <w:jc w:val="both"/>
        <w:rPr>
          <w:lang w:val="ro-RO"/>
        </w:rPr>
      </w:pPr>
      <w:r w:rsidRPr="005429CB">
        <w:rPr>
          <w:color w:val="333333"/>
          <w:lang w:val="ro-RO"/>
        </w:rPr>
        <w:t>ajutoarelor condiționate de utilizarea preferențială a bunurilor și serviciilor</w:t>
      </w:r>
      <w:r w:rsidR="005A67F5" w:rsidRPr="005429CB">
        <w:rPr>
          <w:color w:val="333333"/>
          <w:lang w:val="ro-RO"/>
        </w:rPr>
        <w:t xml:space="preserve"> </w:t>
      </w:r>
      <w:r w:rsidRPr="005429CB">
        <w:rPr>
          <w:color w:val="333333"/>
          <w:lang w:val="ro-RO"/>
        </w:rPr>
        <w:t xml:space="preserve">naționale față de bunurile și serviciile importate. </w:t>
      </w:r>
    </w:p>
    <w:p w14:paraId="30DB7BE9" w14:textId="09322927" w:rsidR="007D5422" w:rsidRPr="005429CB" w:rsidRDefault="005A67F5" w:rsidP="00596B70">
      <w:pPr>
        <w:pStyle w:val="ac"/>
        <w:numPr>
          <w:ilvl w:val="0"/>
          <w:numId w:val="1"/>
        </w:numPr>
        <w:shd w:val="clear" w:color="auto" w:fill="FFFFFF"/>
        <w:spacing w:before="120" w:beforeAutospacing="0" w:after="120" w:afterAutospacing="0" w:line="276" w:lineRule="auto"/>
        <w:jc w:val="both"/>
        <w:rPr>
          <w:lang w:val="ro-RO"/>
        </w:rPr>
      </w:pPr>
      <w:r w:rsidRPr="005429CB">
        <w:rPr>
          <w:color w:val="333333"/>
          <w:lang w:val="ro-RO"/>
        </w:rPr>
        <w:t xml:space="preserve">În cazul în care o întreprindere își desfășoară activitatea, atât în sectoarele prevăzute la pct. </w:t>
      </w:r>
      <w:r w:rsidR="00DE594C" w:rsidRPr="005429CB">
        <w:rPr>
          <w:color w:val="333333"/>
          <w:lang w:val="ro-RO"/>
        </w:rPr>
        <w:t>5</w:t>
      </w:r>
      <w:r w:rsidRPr="005429CB">
        <w:rPr>
          <w:color w:val="333333"/>
          <w:lang w:val="ro-RO"/>
        </w:rPr>
        <w:t xml:space="preserve"> </w:t>
      </w:r>
      <w:proofErr w:type="spellStart"/>
      <w:r w:rsidRPr="005429CB">
        <w:rPr>
          <w:color w:val="333333"/>
          <w:lang w:val="ro-RO"/>
        </w:rPr>
        <w:t>subpct</w:t>
      </w:r>
      <w:proofErr w:type="spellEnd"/>
      <w:r w:rsidRPr="005429CB">
        <w:rPr>
          <w:color w:val="333333"/>
          <w:lang w:val="ro-RO"/>
        </w:rPr>
        <w:t>. 5.1.- 5.4., cât și în unul sau mai multe sectoare economice naționale</w:t>
      </w:r>
      <w:r w:rsidR="00DE594C" w:rsidRPr="005429CB">
        <w:rPr>
          <w:color w:val="333333"/>
          <w:lang w:val="ro-RO"/>
        </w:rPr>
        <w:t xml:space="preserve"> expuse în Anexa nr.1</w:t>
      </w:r>
      <w:r w:rsidRPr="005429CB">
        <w:rPr>
          <w:color w:val="333333"/>
          <w:lang w:val="ro-RO"/>
        </w:rPr>
        <w:t>, prezentul Program se aplică</w:t>
      </w:r>
      <w:r w:rsidR="00DE594C" w:rsidRPr="005429CB">
        <w:rPr>
          <w:color w:val="333333"/>
          <w:lang w:val="ro-RO"/>
        </w:rPr>
        <w:t xml:space="preserve"> </w:t>
      </w:r>
      <w:r w:rsidRPr="005429CB">
        <w:rPr>
          <w:color w:val="333333"/>
          <w:lang w:val="ro-RO"/>
        </w:rPr>
        <w:t>ajutoarelor acordate pentru aceste din urmă sectoare sau activități. În aceste condiții,</w:t>
      </w:r>
      <w:r w:rsidR="00DE594C" w:rsidRPr="005429CB">
        <w:rPr>
          <w:color w:val="333333"/>
          <w:lang w:val="ro-RO"/>
        </w:rPr>
        <w:t xml:space="preserve"> </w:t>
      </w:r>
      <w:r w:rsidRPr="005429CB">
        <w:rPr>
          <w:color w:val="333333"/>
          <w:lang w:val="ro-RO"/>
        </w:rPr>
        <w:t>furnizorul trebuie să se asigure, prin mijloace corespunzătoare, precum separarea</w:t>
      </w:r>
      <w:r w:rsidR="00DE594C" w:rsidRPr="005429CB">
        <w:rPr>
          <w:color w:val="333333"/>
          <w:lang w:val="ro-RO"/>
        </w:rPr>
        <w:t xml:space="preserve"> </w:t>
      </w:r>
      <w:r w:rsidRPr="005429CB">
        <w:rPr>
          <w:color w:val="333333"/>
          <w:lang w:val="ro-RO"/>
        </w:rPr>
        <w:t>activităților sau o distincție între conturile contabile că activitățile desfășurate în sectoarele</w:t>
      </w:r>
      <w:r w:rsidR="00DE594C" w:rsidRPr="005429CB">
        <w:rPr>
          <w:color w:val="333333"/>
          <w:lang w:val="ro-RO"/>
        </w:rPr>
        <w:t xml:space="preserve"> </w:t>
      </w:r>
      <w:r w:rsidRPr="005429CB">
        <w:rPr>
          <w:color w:val="333333"/>
          <w:lang w:val="ro-RO"/>
        </w:rPr>
        <w:t xml:space="preserve">excluse din domeniul de aplicare al </w:t>
      </w:r>
      <w:r w:rsidR="00DE594C" w:rsidRPr="005429CB">
        <w:rPr>
          <w:color w:val="333333"/>
          <w:lang w:val="ro-RO"/>
        </w:rPr>
        <w:t>Programului</w:t>
      </w:r>
      <w:r w:rsidRPr="005429CB">
        <w:rPr>
          <w:color w:val="333333"/>
          <w:lang w:val="ro-RO"/>
        </w:rPr>
        <w:t xml:space="preserve"> nu beneficiază de ajutoare de </w:t>
      </w:r>
      <w:proofErr w:type="spellStart"/>
      <w:r w:rsidRPr="005429CB">
        <w:rPr>
          <w:color w:val="333333"/>
          <w:lang w:val="ro-RO"/>
        </w:rPr>
        <w:t>minimis</w:t>
      </w:r>
      <w:proofErr w:type="spellEnd"/>
      <w:r w:rsidR="00DE594C" w:rsidRPr="005429CB">
        <w:rPr>
          <w:color w:val="333333"/>
          <w:lang w:val="ro-RO"/>
        </w:rPr>
        <w:t xml:space="preserve"> </w:t>
      </w:r>
      <w:r w:rsidRPr="005429CB">
        <w:rPr>
          <w:color w:val="333333"/>
          <w:lang w:val="ro-RO"/>
        </w:rPr>
        <w:t xml:space="preserve">ce cad sub incidența prezentului </w:t>
      </w:r>
      <w:r w:rsidR="00DE594C" w:rsidRPr="005429CB">
        <w:rPr>
          <w:color w:val="333333"/>
          <w:lang w:val="ro-RO"/>
        </w:rPr>
        <w:t>Program</w:t>
      </w:r>
      <w:r w:rsidRPr="005429CB">
        <w:rPr>
          <w:color w:val="333333"/>
          <w:lang w:val="ro-RO"/>
        </w:rPr>
        <w:t>.</w:t>
      </w:r>
    </w:p>
    <w:p w14:paraId="646170CB" w14:textId="77777777" w:rsidR="00DE594C" w:rsidRPr="005429CB" w:rsidRDefault="00DE594C" w:rsidP="00DE594C">
      <w:pPr>
        <w:pStyle w:val="ac"/>
        <w:shd w:val="clear" w:color="auto" w:fill="FFFFFF"/>
        <w:spacing w:before="120" w:beforeAutospacing="0" w:after="120" w:afterAutospacing="0" w:line="276" w:lineRule="auto"/>
        <w:ind w:left="720"/>
        <w:jc w:val="both"/>
        <w:rPr>
          <w:lang w:val="ro-RO"/>
        </w:rPr>
      </w:pPr>
    </w:p>
    <w:p w14:paraId="5967D364" w14:textId="1F766511" w:rsidR="00EA5420" w:rsidRPr="005429CB" w:rsidRDefault="00EA5420" w:rsidP="004D46C0">
      <w:pPr>
        <w:pStyle w:val="ac"/>
        <w:numPr>
          <w:ilvl w:val="0"/>
          <w:numId w:val="5"/>
        </w:numPr>
        <w:shd w:val="clear" w:color="auto" w:fill="FFFFFF"/>
        <w:spacing w:before="120" w:beforeAutospacing="0" w:after="120" w:afterAutospacing="0" w:line="276" w:lineRule="auto"/>
        <w:jc w:val="both"/>
        <w:rPr>
          <w:b/>
          <w:bCs/>
          <w:lang w:val="ro-RO"/>
        </w:rPr>
      </w:pPr>
      <w:r w:rsidRPr="005429CB">
        <w:rPr>
          <w:b/>
          <w:bCs/>
          <w:lang w:val="ro-RO"/>
        </w:rPr>
        <w:t>CRITERIILE DE ELIGIBILITATE  PENTRU BENEFICIARI</w:t>
      </w:r>
    </w:p>
    <w:p w14:paraId="1E4EEE37" w14:textId="1FC54540" w:rsidR="00EA5420" w:rsidRPr="005429CB" w:rsidRDefault="00EA5420" w:rsidP="00DE594C">
      <w:pPr>
        <w:pStyle w:val="ac"/>
        <w:numPr>
          <w:ilvl w:val="0"/>
          <w:numId w:val="1"/>
        </w:numPr>
        <w:shd w:val="clear" w:color="auto" w:fill="FFFFFF"/>
        <w:spacing w:before="120" w:beforeAutospacing="0" w:after="120" w:afterAutospacing="0" w:line="276" w:lineRule="auto"/>
        <w:jc w:val="both"/>
        <w:rPr>
          <w:lang w:val="ro-RO"/>
        </w:rPr>
      </w:pPr>
      <w:r w:rsidRPr="005429CB">
        <w:rPr>
          <w:lang w:val="ro-RO"/>
        </w:rPr>
        <w:t>Sunt eligibile pentru compensare întreprinderile care îndeplinesc cumulativ următoarele condiții:</w:t>
      </w:r>
    </w:p>
    <w:p w14:paraId="55D4E2D1" w14:textId="5A683DAD" w:rsidR="00EA5420" w:rsidRPr="005429CB" w:rsidRDefault="00DE594C" w:rsidP="004D46C0">
      <w:pPr>
        <w:pStyle w:val="ac"/>
        <w:numPr>
          <w:ilvl w:val="0"/>
          <w:numId w:val="4"/>
        </w:numPr>
        <w:spacing w:before="120" w:beforeAutospacing="0" w:after="120" w:afterAutospacing="0" w:line="276" w:lineRule="auto"/>
        <w:jc w:val="both"/>
        <w:rPr>
          <w:lang w:val="ro-RO"/>
        </w:rPr>
      </w:pPr>
      <w:r w:rsidRPr="005429CB">
        <w:rPr>
          <w:lang w:val="ro-RO"/>
        </w:rPr>
        <w:lastRenderedPageBreak/>
        <w:t xml:space="preserve"> î</w:t>
      </w:r>
      <w:r w:rsidR="00EA5420" w:rsidRPr="005429CB">
        <w:rPr>
          <w:lang w:val="ro-RO"/>
        </w:rPr>
        <w:t xml:space="preserve">și desfășoară activitatea principală în unul dintre domeniile economice specificate </w:t>
      </w:r>
      <w:r w:rsidR="00975604" w:rsidRPr="005429CB">
        <w:rPr>
          <w:lang w:val="ro-RO"/>
        </w:rPr>
        <w:t>în</w:t>
      </w:r>
      <w:r w:rsidR="00EA5420" w:rsidRPr="005429CB">
        <w:rPr>
          <w:lang w:val="ro-RO"/>
        </w:rPr>
        <w:t xml:space="preserve"> </w:t>
      </w:r>
      <w:proofErr w:type="spellStart"/>
      <w:r w:rsidR="00EA5420" w:rsidRPr="005429CB">
        <w:rPr>
          <w:lang w:val="ro-RO"/>
        </w:rPr>
        <w:t>Anexe</w:t>
      </w:r>
      <w:r w:rsidR="00975604" w:rsidRPr="005429CB">
        <w:rPr>
          <w:lang w:val="ro-RO"/>
        </w:rPr>
        <w:t>a</w:t>
      </w:r>
      <w:proofErr w:type="spellEnd"/>
      <w:r w:rsidR="00EA5420" w:rsidRPr="005429CB">
        <w:rPr>
          <w:lang w:val="ro-RO"/>
        </w:rPr>
        <w:t xml:space="preserve"> nr.1.</w:t>
      </w:r>
    </w:p>
    <w:p w14:paraId="630E3E0C" w14:textId="0A19D8D8" w:rsidR="00EA5420" w:rsidRPr="005429CB" w:rsidRDefault="00DE594C" w:rsidP="004D46C0">
      <w:pPr>
        <w:pStyle w:val="ac"/>
        <w:numPr>
          <w:ilvl w:val="0"/>
          <w:numId w:val="4"/>
        </w:numPr>
        <w:spacing w:before="120" w:beforeAutospacing="0" w:after="120" w:afterAutospacing="0" w:line="276" w:lineRule="auto"/>
        <w:jc w:val="both"/>
        <w:rPr>
          <w:lang w:val="ro-RO"/>
        </w:rPr>
      </w:pPr>
      <w:r w:rsidRPr="005429CB">
        <w:rPr>
          <w:lang w:val="ro-RO"/>
        </w:rPr>
        <w:t xml:space="preserve"> </w:t>
      </w:r>
      <w:r w:rsidR="00182B1D" w:rsidRPr="005429CB">
        <w:rPr>
          <w:lang w:val="ro-RO"/>
        </w:rPr>
        <w:t xml:space="preserve">cheltuielile </w:t>
      </w:r>
      <w:r w:rsidR="00417F0C" w:rsidRPr="005429CB">
        <w:rPr>
          <w:lang w:val="ro-RO"/>
        </w:rPr>
        <w:t xml:space="preserve">pentru </w:t>
      </w:r>
      <w:r w:rsidR="00EA5420" w:rsidRPr="005429CB">
        <w:rPr>
          <w:lang w:val="ro-RO"/>
        </w:rPr>
        <w:t xml:space="preserve"> energia electrică </w:t>
      </w:r>
      <w:r w:rsidR="00182B1D" w:rsidRPr="005429CB">
        <w:rPr>
          <w:lang w:val="ro-RO"/>
        </w:rPr>
        <w:t xml:space="preserve">în anul 2024 au constituit </w:t>
      </w:r>
      <w:r w:rsidR="00EA5420" w:rsidRPr="005429CB">
        <w:rPr>
          <w:lang w:val="ro-RO"/>
        </w:rPr>
        <w:t>cel puțin 3% din venit.</w:t>
      </w:r>
    </w:p>
    <w:p w14:paraId="018CE670" w14:textId="0C19737E" w:rsidR="00682969" w:rsidRPr="005429CB" w:rsidRDefault="00296B99" w:rsidP="003C7703">
      <w:pPr>
        <w:pStyle w:val="ac"/>
        <w:numPr>
          <w:ilvl w:val="0"/>
          <w:numId w:val="4"/>
        </w:numPr>
        <w:spacing w:before="120" w:beforeAutospacing="0" w:after="120" w:afterAutospacing="0" w:line="276" w:lineRule="auto"/>
        <w:jc w:val="both"/>
        <w:rPr>
          <w:lang w:val="ro-RO"/>
        </w:rPr>
      </w:pPr>
      <w:r w:rsidRPr="005429CB">
        <w:rPr>
          <w:lang w:val="ro-RO"/>
        </w:rPr>
        <w:t>n</w:t>
      </w:r>
      <w:r w:rsidR="00682969" w:rsidRPr="005429CB">
        <w:rPr>
          <w:lang w:val="ro-RO"/>
        </w:rPr>
        <w:t xml:space="preserve">u au depășit, </w:t>
      </w:r>
      <w:bookmarkStart w:id="0" w:name="_Hlk189654876"/>
      <w:r w:rsidR="000648DF" w:rsidRPr="005429CB">
        <w:rPr>
          <w:lang w:val="ro-RO"/>
        </w:rPr>
        <w:t>pe parcursul anului curent acordării ajutorului și a 2 ani calendaristici precedenți</w:t>
      </w:r>
      <w:r w:rsidR="00682969" w:rsidRPr="005429CB">
        <w:rPr>
          <w:lang w:val="ro-RO"/>
        </w:rPr>
        <w:t xml:space="preserve">, </w:t>
      </w:r>
      <w:bookmarkEnd w:id="0"/>
      <w:r w:rsidR="00682969" w:rsidRPr="005429CB">
        <w:rPr>
          <w:lang w:val="ro-RO"/>
        </w:rPr>
        <w:t xml:space="preserve">valoarea totală a ajutorului de </w:t>
      </w:r>
      <w:proofErr w:type="spellStart"/>
      <w:r w:rsidR="00682969" w:rsidRPr="005429CB">
        <w:rPr>
          <w:lang w:val="ro-RO"/>
        </w:rPr>
        <w:t>minimis</w:t>
      </w:r>
      <w:proofErr w:type="spellEnd"/>
      <w:r w:rsidR="00682969" w:rsidRPr="005429CB">
        <w:rPr>
          <w:lang w:val="ro-RO"/>
        </w:rPr>
        <w:t xml:space="preserve"> acordat, indiferent de forma acestuia și de obiectivul urmărit, după cum urmează:</w:t>
      </w:r>
    </w:p>
    <w:p w14:paraId="2F0CA2FF" w14:textId="77777777" w:rsidR="00682969" w:rsidRPr="005429CB" w:rsidRDefault="00682969" w:rsidP="004D46C0">
      <w:pPr>
        <w:pStyle w:val="a7"/>
        <w:numPr>
          <w:ilvl w:val="0"/>
          <w:numId w:val="8"/>
        </w:numPr>
        <w:spacing w:before="120" w:after="120" w:line="276" w:lineRule="auto"/>
        <w:contextualSpacing w:val="0"/>
        <w:jc w:val="both"/>
        <w:rPr>
          <w:rFonts w:ascii="Times New Roman" w:eastAsia="Times New Roman" w:hAnsi="Times New Roman" w:cs="Times New Roman"/>
          <w:kern w:val="0"/>
          <w:lang w:val="ro-RO"/>
          <w14:ligatures w14:val="none"/>
        </w:rPr>
      </w:pPr>
      <w:r w:rsidRPr="005429CB">
        <w:rPr>
          <w:rFonts w:ascii="Times New Roman" w:eastAsia="Times New Roman" w:hAnsi="Times New Roman" w:cs="Times New Roman"/>
          <w:kern w:val="0"/>
          <w:lang w:val="ro-RO"/>
          <w14:ligatures w14:val="none"/>
        </w:rPr>
        <w:t>5.000.000 de lei pentru întreprinderile generale;</w:t>
      </w:r>
    </w:p>
    <w:p w14:paraId="12D5EDBD" w14:textId="77777777" w:rsidR="00682969" w:rsidRPr="005429CB" w:rsidRDefault="00682969" w:rsidP="004D46C0">
      <w:pPr>
        <w:pStyle w:val="a7"/>
        <w:numPr>
          <w:ilvl w:val="0"/>
          <w:numId w:val="8"/>
        </w:numPr>
        <w:spacing w:before="120" w:after="120" w:line="276" w:lineRule="auto"/>
        <w:contextualSpacing w:val="0"/>
        <w:jc w:val="both"/>
        <w:rPr>
          <w:rFonts w:ascii="Times New Roman" w:eastAsia="Times New Roman" w:hAnsi="Times New Roman" w:cs="Times New Roman"/>
          <w:kern w:val="0"/>
          <w:lang w:val="ro-RO"/>
          <w14:ligatures w14:val="none"/>
        </w:rPr>
      </w:pPr>
      <w:r w:rsidRPr="005429CB">
        <w:rPr>
          <w:rFonts w:ascii="Times New Roman" w:eastAsia="Times New Roman" w:hAnsi="Times New Roman" w:cs="Times New Roman"/>
          <w:kern w:val="0"/>
          <w:lang w:val="ro-RO"/>
          <w14:ligatures w14:val="none"/>
        </w:rPr>
        <w:t>10.000.000 de lei pentru întreprinderile care prestează servicii de interes economic general;</w:t>
      </w:r>
    </w:p>
    <w:p w14:paraId="1B3A9849" w14:textId="340E265E" w:rsidR="00EA5420" w:rsidRPr="005429CB" w:rsidRDefault="00682969" w:rsidP="004D46C0">
      <w:pPr>
        <w:pStyle w:val="a7"/>
        <w:numPr>
          <w:ilvl w:val="0"/>
          <w:numId w:val="8"/>
        </w:numPr>
        <w:spacing w:before="120" w:after="120" w:line="276" w:lineRule="auto"/>
        <w:contextualSpacing w:val="0"/>
        <w:jc w:val="both"/>
        <w:rPr>
          <w:rFonts w:ascii="Times New Roman" w:hAnsi="Times New Roman" w:cs="Times New Roman"/>
          <w:lang w:val="ro-RO"/>
        </w:rPr>
      </w:pPr>
      <w:r w:rsidRPr="005429CB">
        <w:rPr>
          <w:rFonts w:ascii="Times New Roman" w:eastAsia="Times New Roman" w:hAnsi="Times New Roman" w:cs="Times New Roman"/>
          <w:kern w:val="0"/>
          <w:lang w:val="ro-RO"/>
          <w14:ligatures w14:val="none"/>
        </w:rPr>
        <w:t>2.700.000 de lei pentru întreprinderile care efectuează transport de mărfuri în contul terților sau contra cost.</w:t>
      </w:r>
    </w:p>
    <w:p w14:paraId="1717EB5E" w14:textId="77777777" w:rsidR="00682969" w:rsidRPr="005429CB" w:rsidRDefault="00682969" w:rsidP="0040349A">
      <w:pPr>
        <w:pStyle w:val="ac"/>
        <w:numPr>
          <w:ilvl w:val="0"/>
          <w:numId w:val="1"/>
        </w:numPr>
        <w:shd w:val="clear" w:color="auto" w:fill="FFFFFF"/>
        <w:spacing w:before="120" w:beforeAutospacing="0" w:after="120" w:afterAutospacing="0" w:line="276" w:lineRule="auto"/>
        <w:jc w:val="both"/>
        <w:rPr>
          <w:lang w:val="ro-RO"/>
        </w:rPr>
      </w:pPr>
      <w:r w:rsidRPr="005429CB">
        <w:rPr>
          <w:lang w:val="ro-RO"/>
        </w:rPr>
        <w:t>Eligibilitatea întreprinderilor se determină în baza datelor din Declarația privind reținerea impozitului pe venit, a primelor de asigurare obligatorie de asistență medicală și a contribuțiilor de asigurări sociale de stat obligatorii calculate (forma IPC21) pentru luna noiembrie 2024, prezentată de întreprinderi către Serviciului Fiscal de Stat până la data de 31 decembrie 2024.</w:t>
      </w:r>
    </w:p>
    <w:p w14:paraId="2E004FD9" w14:textId="0A25BB9D" w:rsidR="00682969" w:rsidRPr="005429CB" w:rsidRDefault="00682969" w:rsidP="002C1D00">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lang w:val="ro-RO"/>
        </w:rPr>
        <w:t>Serviciul Fiscal de Stat prezintă Ministerului Dezvoltării Economice și Digitalizării informația</w:t>
      </w:r>
      <w:r w:rsidRPr="005429CB">
        <w:rPr>
          <w:rFonts w:eastAsiaTheme="minorHAnsi"/>
          <w:kern w:val="2"/>
          <w:lang w:val="ro-RO"/>
          <w14:ligatures w14:val="standardContextual"/>
        </w:rPr>
        <w:t xml:space="preserve"> menționată în pct.</w:t>
      </w:r>
      <w:r w:rsidR="0040349A" w:rsidRPr="005429CB">
        <w:rPr>
          <w:rFonts w:eastAsiaTheme="minorHAnsi"/>
          <w:kern w:val="2"/>
          <w:lang w:val="ro-RO"/>
          <w14:ligatures w14:val="standardContextual"/>
        </w:rPr>
        <w:t>8</w:t>
      </w:r>
      <w:r w:rsidRPr="005429CB">
        <w:rPr>
          <w:rFonts w:eastAsiaTheme="minorHAnsi"/>
          <w:kern w:val="2"/>
          <w:lang w:val="ro-RO"/>
          <w14:ligatures w14:val="standardContextual"/>
        </w:rPr>
        <w:t xml:space="preserve"> la adresa electronică compensatii@mded.gov.md până la data de 31 ianuarie 2025, conform Anexei nr.</w:t>
      </w:r>
      <w:r w:rsidR="0040349A" w:rsidRPr="005429CB">
        <w:rPr>
          <w:rFonts w:eastAsiaTheme="minorHAnsi"/>
          <w:kern w:val="2"/>
          <w:lang w:val="ro-RO"/>
          <w14:ligatures w14:val="standardContextual"/>
        </w:rPr>
        <w:t>2</w:t>
      </w:r>
      <w:r w:rsidRPr="005429CB">
        <w:rPr>
          <w:rFonts w:eastAsiaTheme="minorHAnsi"/>
          <w:kern w:val="2"/>
          <w:lang w:val="ro-RO"/>
          <w14:ligatures w14:val="standardContextual"/>
        </w:rPr>
        <w:t>.</w:t>
      </w:r>
    </w:p>
    <w:p w14:paraId="7C4788CF" w14:textId="5F5868D4" w:rsidR="002C69F3" w:rsidRPr="005429CB" w:rsidRDefault="002C69F3" w:rsidP="004D46C0">
      <w:pPr>
        <w:pStyle w:val="ac"/>
        <w:spacing w:before="120" w:beforeAutospacing="0" w:after="120" w:afterAutospacing="0" w:line="276" w:lineRule="auto"/>
        <w:ind w:left="360"/>
        <w:jc w:val="both"/>
        <w:rPr>
          <w:rFonts w:eastAsiaTheme="minorHAnsi"/>
          <w:kern w:val="2"/>
          <w:lang w:val="ro-RO"/>
          <w14:ligatures w14:val="standardContextual"/>
        </w:rPr>
      </w:pPr>
    </w:p>
    <w:p w14:paraId="5DBA8221" w14:textId="77777777" w:rsidR="002C69F3" w:rsidRPr="005429CB" w:rsidRDefault="002C69F3" w:rsidP="004D46C0">
      <w:pPr>
        <w:pStyle w:val="ac"/>
        <w:spacing w:before="120" w:beforeAutospacing="0" w:after="120" w:afterAutospacing="0" w:line="276" w:lineRule="auto"/>
        <w:ind w:left="360"/>
        <w:jc w:val="both"/>
        <w:rPr>
          <w:rFonts w:eastAsiaTheme="minorHAnsi"/>
          <w:kern w:val="2"/>
          <w:lang w:val="ro-RO"/>
          <w14:ligatures w14:val="standardContextual"/>
        </w:rPr>
      </w:pPr>
    </w:p>
    <w:p w14:paraId="29995374" w14:textId="1E347F26" w:rsidR="00682969" w:rsidRPr="005429CB" w:rsidRDefault="00682969" w:rsidP="00296B99">
      <w:pPr>
        <w:pStyle w:val="ac"/>
        <w:numPr>
          <w:ilvl w:val="0"/>
          <w:numId w:val="5"/>
        </w:numPr>
        <w:shd w:val="clear" w:color="auto" w:fill="FFFFFF"/>
        <w:spacing w:before="120" w:beforeAutospacing="0" w:after="120" w:afterAutospacing="0" w:line="276" w:lineRule="auto"/>
        <w:jc w:val="center"/>
        <w:rPr>
          <w:lang w:val="ro-RO"/>
        </w:rPr>
      </w:pPr>
      <w:r w:rsidRPr="005429CB">
        <w:rPr>
          <w:rStyle w:val="ad"/>
          <w:rFonts w:eastAsiaTheme="majorEastAsia"/>
          <w:lang w:val="ro-RO"/>
        </w:rPr>
        <w:t>CONDIŢII DE ACORDARE A AJUTORULUI DE MINIMIS</w:t>
      </w:r>
    </w:p>
    <w:p w14:paraId="7A234EAC" w14:textId="07525958" w:rsidR="00682969" w:rsidRPr="005429CB" w:rsidRDefault="00682969"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Ajutorul </w:t>
      </w:r>
      <w:r w:rsidR="008D6264" w:rsidRPr="005429CB">
        <w:rPr>
          <w:rFonts w:eastAsiaTheme="minorHAnsi"/>
          <w:kern w:val="2"/>
          <w:lang w:val="ro-RO"/>
          <w14:ligatures w14:val="standardContextual"/>
        </w:rPr>
        <w:t xml:space="preserve">de </w:t>
      </w:r>
      <w:proofErr w:type="spellStart"/>
      <w:r w:rsidR="008D6264" w:rsidRPr="005429CB">
        <w:rPr>
          <w:rFonts w:eastAsiaTheme="minorHAnsi"/>
          <w:kern w:val="2"/>
          <w:lang w:val="ro-RO"/>
          <w14:ligatures w14:val="standardContextual"/>
        </w:rPr>
        <w:t>minimis</w:t>
      </w:r>
      <w:proofErr w:type="spellEnd"/>
      <w:r w:rsidR="008D6264" w:rsidRPr="005429CB">
        <w:rPr>
          <w:rFonts w:eastAsiaTheme="minorHAnsi"/>
          <w:kern w:val="2"/>
          <w:lang w:val="ro-RO"/>
          <w14:ligatures w14:val="standardContextual"/>
        </w:rPr>
        <w:t xml:space="preserve"> </w:t>
      </w:r>
      <w:r w:rsidRPr="005429CB">
        <w:rPr>
          <w:rFonts w:eastAsiaTheme="minorHAnsi"/>
          <w:kern w:val="2"/>
          <w:lang w:val="ro-RO"/>
          <w14:ligatures w14:val="standardContextual"/>
        </w:rPr>
        <w:t xml:space="preserve">se va acorda sub formă </w:t>
      </w:r>
      <w:r w:rsidR="008D6264" w:rsidRPr="005429CB">
        <w:rPr>
          <w:rFonts w:eastAsiaTheme="minorHAnsi"/>
          <w:kern w:val="2"/>
          <w:lang w:val="ro-RO"/>
          <w14:ligatures w14:val="standardContextual"/>
        </w:rPr>
        <w:t>de compensare în mărime de 50% din diferența de preț (fără TVA), în urma majorării prețurilor reglementate pentru furnizarea energiei electrice</w:t>
      </w:r>
      <w:r w:rsidRPr="005429CB">
        <w:rPr>
          <w:rFonts w:eastAsiaTheme="minorHAnsi"/>
          <w:kern w:val="2"/>
          <w:lang w:val="ro-RO"/>
          <w14:ligatures w14:val="standardContextual"/>
        </w:rPr>
        <w:t>;</w:t>
      </w:r>
    </w:p>
    <w:p w14:paraId="55C73E82" w14:textId="293893C9" w:rsidR="006557C6" w:rsidRPr="005429CB" w:rsidRDefault="00682969"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Valoarea maximă a ajutorului </w:t>
      </w:r>
      <w:r w:rsidR="006557C6" w:rsidRPr="005429CB">
        <w:rPr>
          <w:rFonts w:eastAsiaTheme="minorHAnsi"/>
          <w:kern w:val="2"/>
          <w:lang w:val="ro-RO"/>
          <w14:ligatures w14:val="standardContextual"/>
        </w:rPr>
        <w:t xml:space="preserve">de </w:t>
      </w:r>
      <w:proofErr w:type="spellStart"/>
      <w:r w:rsidR="006557C6" w:rsidRPr="005429CB">
        <w:rPr>
          <w:rFonts w:eastAsiaTheme="minorHAnsi"/>
          <w:kern w:val="2"/>
          <w:lang w:val="ro-RO"/>
          <w14:ligatures w14:val="standardContextual"/>
        </w:rPr>
        <w:t>minimis</w:t>
      </w:r>
      <w:proofErr w:type="spellEnd"/>
      <w:r w:rsidR="006557C6" w:rsidRPr="005429CB">
        <w:rPr>
          <w:rFonts w:eastAsiaTheme="minorHAnsi"/>
          <w:kern w:val="2"/>
          <w:lang w:val="ro-RO"/>
          <w14:ligatures w14:val="standardContextual"/>
        </w:rPr>
        <w:t xml:space="preserve"> pe</w:t>
      </w:r>
      <w:r w:rsidR="003963C7" w:rsidRPr="005429CB">
        <w:rPr>
          <w:rFonts w:eastAsiaTheme="minorHAnsi"/>
          <w:kern w:val="2"/>
          <w:lang w:val="ro-RO"/>
          <w14:ligatures w14:val="standardContextual"/>
        </w:rPr>
        <w:t>r</w:t>
      </w:r>
      <w:r w:rsidR="006557C6" w:rsidRPr="005429CB">
        <w:rPr>
          <w:rFonts w:eastAsiaTheme="minorHAnsi"/>
          <w:kern w:val="2"/>
          <w:lang w:val="ro-RO"/>
          <w14:ligatures w14:val="standardContextual"/>
        </w:rPr>
        <w:t xml:space="preserve"> beneficiar nu va depăși pragurile de </w:t>
      </w:r>
      <w:proofErr w:type="spellStart"/>
      <w:r w:rsidR="006557C6" w:rsidRPr="005429CB">
        <w:rPr>
          <w:rFonts w:eastAsiaTheme="minorHAnsi"/>
          <w:kern w:val="2"/>
          <w:lang w:val="ro-RO"/>
          <w14:ligatures w14:val="standardContextual"/>
        </w:rPr>
        <w:t>minimis</w:t>
      </w:r>
      <w:proofErr w:type="spellEnd"/>
      <w:r w:rsidR="006557C6" w:rsidRPr="005429CB">
        <w:rPr>
          <w:rFonts w:eastAsiaTheme="minorHAnsi"/>
          <w:kern w:val="2"/>
          <w:lang w:val="ro-RO"/>
          <w14:ligatures w14:val="standardContextual"/>
        </w:rPr>
        <w:t xml:space="preserve"> prevăzute la art. 3 alin. (1) din Legea nr. 139/2012 cu privire la ajutorul de stat.</w:t>
      </w:r>
    </w:p>
    <w:p w14:paraId="470BB0B8" w14:textId="402948A5" w:rsidR="00682969" w:rsidRPr="005429CB" w:rsidRDefault="006557C6"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Ajutorul de </w:t>
      </w:r>
      <w:proofErr w:type="spellStart"/>
      <w:r w:rsidRPr="005429CB">
        <w:rPr>
          <w:rFonts w:eastAsiaTheme="minorHAnsi"/>
          <w:kern w:val="2"/>
          <w:lang w:val="ro-RO"/>
          <w14:ligatures w14:val="standardContextual"/>
        </w:rPr>
        <w:t>minimis</w:t>
      </w:r>
      <w:proofErr w:type="spellEnd"/>
      <w:r w:rsidRPr="005429CB">
        <w:rPr>
          <w:rFonts w:eastAsiaTheme="minorHAnsi"/>
          <w:kern w:val="2"/>
          <w:lang w:val="ro-RO"/>
          <w14:ligatures w14:val="standardContextual"/>
        </w:rPr>
        <w:t xml:space="preserve"> se va acorda </w:t>
      </w:r>
      <w:r w:rsidR="00296B99" w:rsidRPr="005429CB">
        <w:rPr>
          <w:rFonts w:eastAsiaTheme="minorHAnsi"/>
          <w:kern w:val="2"/>
          <w:lang w:val="ro-RO"/>
          <w14:ligatures w14:val="standardContextual"/>
        </w:rPr>
        <w:t xml:space="preserve">începând cu data publicării prezentului Program </w:t>
      </w:r>
      <w:r w:rsidRPr="005429CB">
        <w:rPr>
          <w:rFonts w:eastAsiaTheme="minorHAnsi"/>
          <w:kern w:val="2"/>
          <w:lang w:val="ro-RO"/>
          <w14:ligatures w14:val="standardContextual"/>
        </w:rPr>
        <w:t>în Monitorul Oficial al Republicii Moldova și până la data de 31.12.2025</w:t>
      </w:r>
      <w:r w:rsidR="00F43C25" w:rsidRPr="005429CB">
        <w:rPr>
          <w:rFonts w:eastAsiaTheme="minorHAnsi"/>
          <w:kern w:val="2"/>
          <w:lang w:val="ro-RO"/>
          <w14:ligatures w14:val="standardContextual"/>
        </w:rPr>
        <w:t>.</w:t>
      </w:r>
    </w:p>
    <w:p w14:paraId="543ED3FC" w14:textId="77777777" w:rsidR="00296B99" w:rsidRPr="005429CB" w:rsidRDefault="00296B99" w:rsidP="00296B99">
      <w:pPr>
        <w:pStyle w:val="ac"/>
        <w:spacing w:before="120" w:beforeAutospacing="0" w:after="120" w:afterAutospacing="0" w:line="276" w:lineRule="auto"/>
        <w:ind w:left="720"/>
        <w:jc w:val="both"/>
        <w:rPr>
          <w:rFonts w:eastAsiaTheme="minorHAnsi"/>
          <w:kern w:val="2"/>
          <w:lang w:val="ro-RO"/>
          <w14:ligatures w14:val="standardContextual"/>
        </w:rPr>
      </w:pPr>
    </w:p>
    <w:p w14:paraId="79354DB7" w14:textId="649B246A" w:rsidR="00F43C25" w:rsidRPr="005429CB" w:rsidRDefault="00F43C25" w:rsidP="00296B99">
      <w:pPr>
        <w:pStyle w:val="ac"/>
        <w:numPr>
          <w:ilvl w:val="0"/>
          <w:numId w:val="5"/>
        </w:numPr>
        <w:shd w:val="clear" w:color="auto" w:fill="FFFFFF"/>
        <w:spacing w:before="120" w:beforeAutospacing="0" w:after="120" w:afterAutospacing="0" w:line="276" w:lineRule="auto"/>
        <w:jc w:val="center"/>
        <w:rPr>
          <w:rStyle w:val="ad"/>
          <w:rFonts w:eastAsiaTheme="majorEastAsia"/>
          <w:lang w:val="ro-RO"/>
        </w:rPr>
      </w:pPr>
      <w:r w:rsidRPr="005429CB">
        <w:rPr>
          <w:rStyle w:val="ad"/>
          <w:rFonts w:eastAsiaTheme="majorEastAsia"/>
          <w:lang w:val="ro-RO"/>
        </w:rPr>
        <w:t>MODALITATEA DE IMPLEMENTARE</w:t>
      </w:r>
    </w:p>
    <w:p w14:paraId="2ED0E10F" w14:textId="2952716C" w:rsidR="002C1D00" w:rsidRPr="005429CB" w:rsidRDefault="002C1D00" w:rsidP="002C1D00">
      <w:pPr>
        <w:pStyle w:val="ac"/>
        <w:shd w:val="clear" w:color="auto" w:fill="FFFFFF"/>
        <w:spacing w:before="120" w:beforeAutospacing="0" w:after="120" w:afterAutospacing="0" w:line="276" w:lineRule="auto"/>
        <w:rPr>
          <w:rStyle w:val="ad"/>
          <w:rFonts w:eastAsiaTheme="majorEastAsia"/>
          <w:lang w:val="ro-RO"/>
        </w:rPr>
      </w:pPr>
    </w:p>
    <w:p w14:paraId="36D0A72B" w14:textId="77777777" w:rsidR="002C1D00" w:rsidRPr="005429CB" w:rsidRDefault="002C1D00" w:rsidP="002C1D00">
      <w:pPr>
        <w:pStyle w:val="ac"/>
        <w:numPr>
          <w:ilvl w:val="0"/>
          <w:numId w:val="1"/>
        </w:numPr>
        <w:shd w:val="clear" w:color="auto" w:fill="FFFFFF"/>
        <w:spacing w:before="120" w:beforeAutospacing="0" w:after="120" w:afterAutospacing="0" w:line="276" w:lineRule="auto"/>
        <w:jc w:val="both"/>
        <w:rPr>
          <w:lang w:val="ro-RO"/>
        </w:rPr>
      </w:pPr>
      <w:r w:rsidRPr="005429CB">
        <w:rPr>
          <w:lang w:val="ro-RO"/>
        </w:rPr>
        <w:t xml:space="preserve">Ministerul Dezvoltări Economice și Digitalizării va utiliza informația furnizată de Serviciul Fiscal de Stat pentru actualizarea secțiunii dedicate pe portalul </w:t>
      </w:r>
      <w:proofErr w:type="spellStart"/>
      <w:r w:rsidRPr="005429CB">
        <w:rPr>
          <w:lang w:val="ro-RO"/>
        </w:rPr>
        <w:t>MCabinet</w:t>
      </w:r>
      <w:proofErr w:type="spellEnd"/>
      <w:r w:rsidRPr="005429CB">
        <w:rPr>
          <w:lang w:val="ro-RO"/>
        </w:rPr>
        <w:t>/EVO în scopul asigurării accesului rapid al întreprinderilor la modulul de depunere a cererilor.</w:t>
      </w:r>
    </w:p>
    <w:p w14:paraId="7DAA0033" w14:textId="77777777" w:rsidR="002C1D00" w:rsidRPr="005429CB" w:rsidRDefault="002C1D00" w:rsidP="002C1D00">
      <w:pPr>
        <w:pStyle w:val="ac"/>
        <w:numPr>
          <w:ilvl w:val="0"/>
          <w:numId w:val="1"/>
        </w:numPr>
        <w:shd w:val="clear" w:color="auto" w:fill="FFFFFF"/>
        <w:spacing w:before="120" w:beforeAutospacing="0" w:after="120" w:afterAutospacing="0" w:line="276" w:lineRule="auto"/>
        <w:jc w:val="both"/>
        <w:rPr>
          <w:lang w:val="ro-RO"/>
        </w:rPr>
      </w:pPr>
      <w:r w:rsidRPr="005429CB">
        <w:rPr>
          <w:lang w:val="ro-RO"/>
        </w:rPr>
        <w:lastRenderedPageBreak/>
        <w:t>Furnizorii de energie electrică (ICS „Premier Energy” SRL și SA „FEE Nord”) prezintă Ministerului Dezvoltării Economice și Digitalizării datele cu privire la facturile emise întreprinderilor eligibile, volumul consumat/per NLC și categoria de energie electrică furnizată, conform Anexei nr.3.</w:t>
      </w:r>
    </w:p>
    <w:p w14:paraId="21A0F480" w14:textId="2794BE01" w:rsidR="002C1D00" w:rsidRPr="005429CB" w:rsidRDefault="002C1D00" w:rsidP="002C1D00">
      <w:pPr>
        <w:pStyle w:val="ac"/>
        <w:numPr>
          <w:ilvl w:val="0"/>
          <w:numId w:val="1"/>
        </w:numPr>
        <w:shd w:val="clear" w:color="auto" w:fill="FFFFFF"/>
        <w:spacing w:before="120" w:beforeAutospacing="0" w:after="120" w:afterAutospacing="0" w:line="276" w:lineRule="auto"/>
        <w:jc w:val="both"/>
        <w:rPr>
          <w:rStyle w:val="ad"/>
          <w:rFonts w:eastAsiaTheme="minorHAnsi"/>
          <w:b w:val="0"/>
          <w:bCs w:val="0"/>
          <w:kern w:val="2"/>
          <w:lang w:val="ro-RO"/>
          <w14:ligatures w14:val="standardContextual"/>
        </w:rPr>
      </w:pPr>
      <w:r w:rsidRPr="005429CB">
        <w:rPr>
          <w:lang w:val="ro-RO"/>
        </w:rPr>
        <w:t>Prezentarea informației menționate în pct.14 se  efectuează în ziua următoare celei în care au fost emise facturile, la adresa electronică compensatii@mded.gov.md, iar Ministerul Dezvoltării Economice și Digitalizării asigură actualizarea corespunzătoare a datelor expuse în secțiunea</w:t>
      </w:r>
      <w:r w:rsidRPr="005429CB">
        <w:rPr>
          <w:rFonts w:eastAsiaTheme="minorHAnsi"/>
          <w:kern w:val="2"/>
          <w:lang w:val="ro-RO"/>
          <w14:ligatures w14:val="standardContextual"/>
        </w:rPr>
        <w:t xml:space="preserve"> dedicată pe portalul </w:t>
      </w:r>
      <w:proofErr w:type="spellStart"/>
      <w:r w:rsidRPr="005429CB">
        <w:rPr>
          <w:rFonts w:eastAsiaTheme="minorHAnsi"/>
          <w:kern w:val="2"/>
          <w:lang w:val="ro-RO"/>
          <w14:ligatures w14:val="standardContextual"/>
        </w:rPr>
        <w:t>MCabinet</w:t>
      </w:r>
      <w:proofErr w:type="spellEnd"/>
      <w:r w:rsidRPr="005429CB">
        <w:rPr>
          <w:rFonts w:eastAsiaTheme="minorHAnsi"/>
          <w:kern w:val="2"/>
          <w:lang w:val="ro-RO"/>
          <w14:ligatures w14:val="standardContextual"/>
        </w:rPr>
        <w:t xml:space="preserve">/EVO. </w:t>
      </w:r>
    </w:p>
    <w:p w14:paraId="3354F9BC" w14:textId="517DC6C7" w:rsidR="00F43C25" w:rsidRPr="005429CB" w:rsidRDefault="00F43C25"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Pentru a beneficia de compensații, întreprinderile eligibile vor depune cereri pentru fiecare lună pentru care se solicită acordarea compensației, pe propria răspundere. Administratorii întreprinderilor eligibile sau persoanele cu împuternicire de reprezentare, incluse în Registrul împuternicirilor de reprezentare în baza semnăturii electronice, după autentificarea în </w:t>
      </w:r>
      <w:proofErr w:type="spellStart"/>
      <w:r w:rsidRPr="005429CB">
        <w:rPr>
          <w:rFonts w:eastAsiaTheme="minorHAnsi"/>
          <w:kern w:val="2"/>
          <w:lang w:val="ro-RO"/>
          <w14:ligatures w14:val="standardContextual"/>
        </w:rPr>
        <w:t>MCabinet</w:t>
      </w:r>
      <w:proofErr w:type="spellEnd"/>
      <w:r w:rsidRPr="005429CB">
        <w:rPr>
          <w:rFonts w:eastAsiaTheme="minorHAnsi"/>
          <w:kern w:val="2"/>
          <w:lang w:val="ro-RO"/>
          <w14:ligatures w14:val="standardContextual"/>
        </w:rPr>
        <w:t xml:space="preserve">/EVO, accesează  modulul  „Compensații”. În cazul în care un administrator reprezintă mai mulți beneficiari de compensații, acesta selectează întreprinderea pentru care solicită compensația. </w:t>
      </w:r>
    </w:p>
    <w:p w14:paraId="5DFD7358" w14:textId="77777777" w:rsidR="00F43C25" w:rsidRPr="005429CB" w:rsidRDefault="00F43C25"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Termenul-limită pentru depunerea cererii pentru acordarea compensațiilor este de 10 zile de la data emiterii facturii pentru energia electrică. Cererile depuse cu depășirea termenului stabilit, nu se examinează.</w:t>
      </w:r>
    </w:p>
    <w:p w14:paraId="07450DBB" w14:textId="77C57FC1" w:rsidR="00F43C25" w:rsidRPr="005429CB" w:rsidRDefault="00F43C25" w:rsidP="00296B99">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Cererea completată conform pct.1</w:t>
      </w:r>
      <w:r w:rsidR="00296B99" w:rsidRPr="005429CB">
        <w:rPr>
          <w:rFonts w:eastAsiaTheme="minorHAnsi"/>
          <w:kern w:val="2"/>
          <w:lang w:val="ro-RO"/>
          <w14:ligatures w14:val="standardContextual"/>
        </w:rPr>
        <w:t>6</w:t>
      </w:r>
      <w:r w:rsidRPr="005429CB">
        <w:rPr>
          <w:rFonts w:eastAsiaTheme="minorHAnsi"/>
          <w:kern w:val="2"/>
          <w:lang w:val="ro-RO"/>
          <w14:ligatures w14:val="standardContextual"/>
        </w:rPr>
        <w:t xml:space="preserve"> va conține următoarea informație:</w:t>
      </w:r>
    </w:p>
    <w:p w14:paraId="7F2C6631" w14:textId="77777777"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 Furnizorul de energie electrică;</w:t>
      </w:r>
    </w:p>
    <w:p w14:paraId="65596CE5" w14:textId="77777777"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 NLC-</w:t>
      </w:r>
      <w:proofErr w:type="spellStart"/>
      <w:r w:rsidRPr="005429CB">
        <w:rPr>
          <w:rFonts w:eastAsiaTheme="minorHAnsi"/>
          <w:kern w:val="2"/>
          <w:lang w:val="ro-RO"/>
          <w14:ligatures w14:val="standardContextual"/>
        </w:rPr>
        <w:t>ul</w:t>
      </w:r>
      <w:proofErr w:type="spellEnd"/>
      <w:r w:rsidRPr="005429CB">
        <w:rPr>
          <w:rFonts w:eastAsiaTheme="minorHAnsi"/>
          <w:kern w:val="2"/>
          <w:lang w:val="ro-RO"/>
          <w14:ligatures w14:val="standardContextual"/>
        </w:rPr>
        <w:t xml:space="preserve"> pentru care se solicită compensație;</w:t>
      </w:r>
    </w:p>
    <w:p w14:paraId="32B37A37" w14:textId="77777777"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Seria și numărul facturii;</w:t>
      </w:r>
    </w:p>
    <w:p w14:paraId="2A644E79" w14:textId="77777777"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Data eliberării facturii;</w:t>
      </w:r>
    </w:p>
    <w:p w14:paraId="65233E2A" w14:textId="77777777"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Volumul de energie electrică consumat la tarif majorat, în kWh;</w:t>
      </w:r>
    </w:p>
    <w:p w14:paraId="1414B2AB" w14:textId="36A264B9" w:rsidR="00F43C25" w:rsidRPr="005429CB" w:rsidRDefault="00F43C25" w:rsidP="004D46C0">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Tipul de tensiune.</w:t>
      </w:r>
    </w:p>
    <w:p w14:paraId="0EFED6B7" w14:textId="69F72B5B" w:rsidR="00D15CC8" w:rsidRPr="005429CB" w:rsidRDefault="009D772A" w:rsidP="00FD1515">
      <w:pPr>
        <w:pStyle w:val="ac"/>
        <w:numPr>
          <w:ilvl w:val="0"/>
          <w:numId w:val="11"/>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V</w:t>
      </w:r>
      <w:r w:rsidR="00D15CC8" w:rsidRPr="005429CB">
        <w:rPr>
          <w:rFonts w:eastAsiaTheme="minorHAnsi"/>
          <w:kern w:val="2"/>
          <w:lang w:val="ro-RO"/>
          <w14:ligatures w14:val="standardContextual"/>
        </w:rPr>
        <w:t>aloarea</w:t>
      </w:r>
      <w:r w:rsidR="0048423C" w:rsidRPr="005429CB">
        <w:rPr>
          <w:rFonts w:eastAsiaTheme="minorHAnsi"/>
          <w:kern w:val="2"/>
          <w:lang w:val="ro-RO"/>
          <w14:ligatures w14:val="standardContextual"/>
        </w:rPr>
        <w:t xml:space="preserve"> </w:t>
      </w:r>
      <w:r w:rsidR="00D15CC8" w:rsidRPr="005429CB">
        <w:rPr>
          <w:rFonts w:eastAsiaTheme="minorHAnsi"/>
          <w:kern w:val="2"/>
          <w:lang w:val="ro-RO"/>
          <w14:ligatures w14:val="standardContextual"/>
        </w:rPr>
        <w:t xml:space="preserve">ajutorului de </w:t>
      </w:r>
      <w:proofErr w:type="spellStart"/>
      <w:r w:rsidR="00D15CC8" w:rsidRPr="005429CB">
        <w:rPr>
          <w:rFonts w:eastAsiaTheme="minorHAnsi"/>
          <w:kern w:val="2"/>
          <w:lang w:val="ro-RO"/>
          <w14:ligatures w14:val="standardContextual"/>
        </w:rPr>
        <w:t>minimis</w:t>
      </w:r>
      <w:proofErr w:type="spellEnd"/>
      <w:r w:rsidR="00D15CC8" w:rsidRPr="005429CB">
        <w:rPr>
          <w:rFonts w:eastAsiaTheme="minorHAnsi"/>
          <w:kern w:val="2"/>
          <w:lang w:val="ro-RO"/>
          <w14:ligatures w14:val="standardContextual"/>
        </w:rPr>
        <w:t xml:space="preserve"> primit </w:t>
      </w:r>
      <w:r w:rsidR="00024E3C" w:rsidRPr="005429CB">
        <w:rPr>
          <w:rFonts w:eastAsiaTheme="minorHAnsi"/>
          <w:kern w:val="2"/>
          <w:lang w:val="ro-RO"/>
          <w14:ligatures w14:val="standardContextual"/>
        </w:rPr>
        <w:t>pe parcursul anului curent și a 2 ani calendaristici precedenți,</w:t>
      </w:r>
    </w:p>
    <w:p w14:paraId="791702B0" w14:textId="440F4A98" w:rsidR="00F43C25" w:rsidRPr="005429CB" w:rsidRDefault="00F43C25" w:rsidP="00182B1D">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În cazul în care beneficiarul compensației nu are relații contractuale directe cu furnizorii de energie electrică, dar procură energie de la un consumator angro sau este participant/utilizator într-un sistem de distribuție închis a energiei electrice, acesta va introduce manual detaliile facturii, după cum urmează:</w:t>
      </w:r>
    </w:p>
    <w:p w14:paraId="02CF1F77" w14:textId="77777777" w:rsidR="00F43C25" w:rsidRPr="005429CB" w:rsidRDefault="00F43C25" w:rsidP="00182B1D">
      <w:pPr>
        <w:pStyle w:val="ac"/>
        <w:numPr>
          <w:ilvl w:val="0"/>
          <w:numId w:val="19"/>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Furnizorul de energie electrică;</w:t>
      </w:r>
    </w:p>
    <w:p w14:paraId="5EF6BFB7" w14:textId="77777777" w:rsidR="00F43C25" w:rsidRPr="005429CB" w:rsidRDefault="00F43C25" w:rsidP="00182B1D">
      <w:pPr>
        <w:pStyle w:val="ac"/>
        <w:numPr>
          <w:ilvl w:val="0"/>
          <w:numId w:val="19"/>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 Seria și numărul facturii;</w:t>
      </w:r>
    </w:p>
    <w:p w14:paraId="3B25C51F" w14:textId="77777777" w:rsidR="00F43C25" w:rsidRPr="005429CB" w:rsidRDefault="00F43C25" w:rsidP="00182B1D">
      <w:pPr>
        <w:pStyle w:val="ac"/>
        <w:numPr>
          <w:ilvl w:val="0"/>
          <w:numId w:val="19"/>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Data eliberării facturii;</w:t>
      </w:r>
    </w:p>
    <w:p w14:paraId="3308077C" w14:textId="77777777" w:rsidR="00F43C25" w:rsidRPr="005429CB" w:rsidRDefault="00F43C25" w:rsidP="00182B1D">
      <w:pPr>
        <w:pStyle w:val="ac"/>
        <w:numPr>
          <w:ilvl w:val="0"/>
          <w:numId w:val="19"/>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Volumul de energie electrică consumat la tarif majorat, în kWh;</w:t>
      </w:r>
    </w:p>
    <w:p w14:paraId="5613F5FD" w14:textId="38B68071" w:rsidR="00F43C25" w:rsidRPr="005429CB" w:rsidRDefault="00F43C25" w:rsidP="00182B1D">
      <w:pPr>
        <w:pStyle w:val="ac"/>
        <w:numPr>
          <w:ilvl w:val="0"/>
          <w:numId w:val="19"/>
        </w:numPr>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Tipul de tensiune.</w:t>
      </w:r>
    </w:p>
    <w:p w14:paraId="4C6A4DD6" w14:textId="705A984C" w:rsidR="0048423C" w:rsidRPr="005429CB" w:rsidRDefault="00024E3C" w:rsidP="007C3075">
      <w:pPr>
        <w:pStyle w:val="a7"/>
        <w:numPr>
          <w:ilvl w:val="0"/>
          <w:numId w:val="19"/>
        </w:numPr>
        <w:spacing w:before="120" w:after="120" w:line="276" w:lineRule="auto"/>
        <w:jc w:val="both"/>
        <w:rPr>
          <w:rFonts w:ascii="Times New Roman" w:hAnsi="Times New Roman" w:cs="Times New Roman"/>
          <w:lang w:val="ro-RO"/>
        </w:rPr>
      </w:pPr>
      <w:r w:rsidRPr="005429CB">
        <w:rPr>
          <w:rFonts w:ascii="Times New Roman" w:hAnsi="Times New Roman" w:cs="Times New Roman"/>
          <w:lang w:val="ro-RO"/>
        </w:rPr>
        <w:lastRenderedPageBreak/>
        <w:t xml:space="preserve">Valoarea ajutorului de </w:t>
      </w:r>
      <w:proofErr w:type="spellStart"/>
      <w:r w:rsidRPr="005429CB">
        <w:rPr>
          <w:rFonts w:ascii="Times New Roman" w:hAnsi="Times New Roman" w:cs="Times New Roman"/>
          <w:lang w:val="ro-RO"/>
        </w:rPr>
        <w:t>minimis</w:t>
      </w:r>
      <w:proofErr w:type="spellEnd"/>
      <w:r w:rsidRPr="005429CB">
        <w:rPr>
          <w:rFonts w:ascii="Times New Roman" w:hAnsi="Times New Roman" w:cs="Times New Roman"/>
          <w:lang w:val="ro-RO"/>
        </w:rPr>
        <w:t xml:space="preserve"> primit pe parcursul anului curent și a 2 ani calendaristici precedenți.</w:t>
      </w:r>
    </w:p>
    <w:p w14:paraId="56D0D1DC" w14:textId="77777777" w:rsidR="00F43C25" w:rsidRPr="005429CB" w:rsidRDefault="00F43C25" w:rsidP="00182B1D">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După completare, administratorul sau persoanele cu împuternicire de reprezentare selectează contul bancar pentru transferul compensațiilor.  După depunere, statutul cererii poate fi urmărit în modulul „Compensații”. </w:t>
      </w:r>
    </w:p>
    <w:p w14:paraId="240FD4CB" w14:textId="613FA9CA" w:rsidR="00F43C25" w:rsidRPr="005429CB" w:rsidRDefault="00F43C25" w:rsidP="00182B1D">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Compensațiile se vor calcula automatizat de sistemul informațional conform formulei în baza datelor prezentate de furnizorii de energie electrică și cele declarate de întreprinderi.</w:t>
      </w:r>
    </w:p>
    <w:p w14:paraId="5B80D37C" w14:textId="69BB6D0C" w:rsidR="00401912" w:rsidRPr="005429CB" w:rsidRDefault="00401912" w:rsidP="00AD6831">
      <w:pPr>
        <w:pStyle w:val="a7"/>
        <w:numPr>
          <w:ilvl w:val="0"/>
          <w:numId w:val="1"/>
        </w:numPr>
        <w:jc w:val="both"/>
        <w:rPr>
          <w:rFonts w:ascii="Times New Roman" w:hAnsi="Times New Roman" w:cs="Times New Roman"/>
          <w:lang w:val="ro-RO"/>
        </w:rPr>
      </w:pPr>
      <w:r w:rsidRPr="005429CB">
        <w:rPr>
          <w:rFonts w:ascii="Times New Roman" w:hAnsi="Times New Roman" w:cs="Times New Roman"/>
          <w:lang w:val="ro-RO"/>
        </w:rPr>
        <w:t xml:space="preserve">În cazul în care acordarea compensației ar conduce la depășirea pragurilor de </w:t>
      </w:r>
      <w:proofErr w:type="spellStart"/>
      <w:r w:rsidRPr="005429CB">
        <w:rPr>
          <w:rFonts w:ascii="Times New Roman" w:hAnsi="Times New Roman" w:cs="Times New Roman"/>
          <w:lang w:val="ro-RO"/>
        </w:rPr>
        <w:t>minimis</w:t>
      </w:r>
      <w:proofErr w:type="spellEnd"/>
      <w:r w:rsidRPr="005429CB">
        <w:rPr>
          <w:rFonts w:ascii="Times New Roman" w:hAnsi="Times New Roman" w:cs="Times New Roman"/>
          <w:lang w:val="ro-RO"/>
        </w:rPr>
        <w:t xml:space="preserve"> prevăzute la pct. 14, plata acest</w:t>
      </w:r>
      <w:r w:rsidR="00AD6831" w:rsidRPr="005429CB">
        <w:rPr>
          <w:rFonts w:ascii="Times New Roman" w:hAnsi="Times New Roman" w:cs="Times New Roman"/>
          <w:lang w:val="ro-RO"/>
        </w:rPr>
        <w:t xml:space="preserve">eia </w:t>
      </w:r>
      <w:r w:rsidRPr="005429CB">
        <w:rPr>
          <w:rFonts w:ascii="Times New Roman" w:hAnsi="Times New Roman" w:cs="Times New Roman"/>
          <w:lang w:val="ro-RO"/>
        </w:rPr>
        <w:t>va fi suspendată.</w:t>
      </w:r>
    </w:p>
    <w:p w14:paraId="0E632A7E" w14:textId="77777777" w:rsidR="00F43C25" w:rsidRPr="005429CB" w:rsidRDefault="00F43C25" w:rsidP="00182B1D">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Serviciul financiar-administrativ din cadrul Ministerului Dezvoltării Economice și Digitalizării, săptămânal, va extrage din sistem informația privind cererile acceptate spre compensare și valoare compensațiilor calculate conform Anexei nr. 3, în baza căreia va genera dispozițiile de plată prin intermediul Serviciului guvernamental de plăți electronice </w:t>
      </w:r>
      <w:proofErr w:type="spellStart"/>
      <w:r w:rsidRPr="005429CB">
        <w:rPr>
          <w:rFonts w:eastAsiaTheme="minorHAnsi"/>
          <w:kern w:val="2"/>
          <w:lang w:val="ro-RO"/>
          <w14:ligatures w14:val="standardContextual"/>
        </w:rPr>
        <w:t>MPay</w:t>
      </w:r>
      <w:proofErr w:type="spellEnd"/>
      <w:r w:rsidRPr="005429CB">
        <w:rPr>
          <w:rFonts w:eastAsiaTheme="minorHAnsi"/>
          <w:kern w:val="2"/>
          <w:lang w:val="ro-RO"/>
          <w14:ligatures w14:val="standardContextual"/>
        </w:rPr>
        <w:t xml:space="preserve"> și va efectua transferul compensației la contul beneficiarului, </w:t>
      </w:r>
    </w:p>
    <w:p w14:paraId="0F3BCA5B" w14:textId="736B9A61" w:rsidR="00F43C25" w:rsidRPr="005429CB" w:rsidRDefault="00F43C25" w:rsidP="00182B1D">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 xml:space="preserve">În cazul în care beneficiarul a primit factură de </w:t>
      </w:r>
      <w:proofErr w:type="spellStart"/>
      <w:r w:rsidRPr="005429CB">
        <w:rPr>
          <w:rFonts w:eastAsiaTheme="minorHAnsi"/>
          <w:kern w:val="2"/>
          <w:lang w:val="ro-RO"/>
          <w14:ligatures w14:val="standardContextual"/>
        </w:rPr>
        <w:t>recalcul</w:t>
      </w:r>
      <w:proofErr w:type="spellEnd"/>
      <w:r w:rsidRPr="005429CB">
        <w:rPr>
          <w:rFonts w:eastAsiaTheme="minorHAnsi"/>
          <w:kern w:val="2"/>
          <w:lang w:val="ro-RO"/>
          <w14:ligatures w14:val="standardContextual"/>
        </w:rPr>
        <w:t xml:space="preserve"> cu minus de la furnizorul de energie electrică pentru perioada compensată, acesta în termen de 15 zile va depune la Ministerul Dezvoltării Economice și Digitalizării (compensații@mded.gov.md) o cerere pentru recalcularea sumei compensației și va restitui diferența în bugetul de stat, utilizând codul IBAN furnizat de MDED.</w:t>
      </w:r>
    </w:p>
    <w:p w14:paraId="7DC290E7" w14:textId="77777777" w:rsidR="00F43C25" w:rsidRPr="005429CB" w:rsidRDefault="00F43C25" w:rsidP="004D46C0">
      <w:pPr>
        <w:pStyle w:val="ac"/>
        <w:spacing w:before="120" w:beforeAutospacing="0" w:after="120" w:afterAutospacing="0" w:line="276" w:lineRule="auto"/>
        <w:jc w:val="both"/>
        <w:rPr>
          <w:rFonts w:eastAsiaTheme="minorHAnsi"/>
          <w:kern w:val="2"/>
          <w:lang w:val="ro-RO"/>
          <w14:ligatures w14:val="standardContextual"/>
        </w:rPr>
      </w:pPr>
    </w:p>
    <w:p w14:paraId="5A14937A" w14:textId="6B12CE62" w:rsidR="00F43C25" w:rsidRPr="005429CB" w:rsidRDefault="00F43C25" w:rsidP="0000674F">
      <w:pPr>
        <w:pStyle w:val="ac"/>
        <w:numPr>
          <w:ilvl w:val="0"/>
          <w:numId w:val="5"/>
        </w:numPr>
        <w:shd w:val="clear" w:color="auto" w:fill="FFFFFF"/>
        <w:spacing w:before="120" w:beforeAutospacing="0" w:after="120" w:afterAutospacing="0" w:line="276" w:lineRule="auto"/>
        <w:jc w:val="center"/>
        <w:rPr>
          <w:rStyle w:val="ad"/>
          <w:rFonts w:eastAsiaTheme="majorEastAsia"/>
          <w:lang w:val="ro-RO"/>
        </w:rPr>
      </w:pPr>
      <w:r w:rsidRPr="005429CB">
        <w:rPr>
          <w:rStyle w:val="ad"/>
          <w:rFonts w:eastAsiaTheme="majorEastAsia"/>
          <w:lang w:val="ro-RO"/>
        </w:rPr>
        <w:t>EFECTE ŞI BENEFICII</w:t>
      </w:r>
    </w:p>
    <w:p w14:paraId="626A875C"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Reducerea impactului negativ al creșterii prețurilor la energie asupra întreprinderilor;</w:t>
      </w:r>
    </w:p>
    <w:p w14:paraId="2BD7BEAC" w14:textId="4CA9A2B0"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Menținerea competitivității sectoarelor afectate;</w:t>
      </w:r>
    </w:p>
    <w:p w14:paraId="0EBA95B1" w14:textId="489C4B99" w:rsidR="00F43C25" w:rsidRPr="005429CB" w:rsidRDefault="00F43C25" w:rsidP="0000674F">
      <w:pPr>
        <w:pStyle w:val="ac"/>
        <w:numPr>
          <w:ilvl w:val="0"/>
          <w:numId w:val="1"/>
        </w:numPr>
        <w:shd w:val="clear" w:color="auto" w:fill="FFFFFF"/>
        <w:spacing w:before="120" w:beforeAutospacing="0" w:after="120" w:afterAutospacing="0" w:line="276" w:lineRule="auto"/>
        <w:jc w:val="both"/>
        <w:rPr>
          <w:lang w:val="ro-RO"/>
        </w:rPr>
      </w:pPr>
      <w:r w:rsidRPr="005429CB">
        <w:rPr>
          <w:rFonts w:eastAsiaTheme="minorHAnsi"/>
          <w:kern w:val="2"/>
          <w:lang w:val="ro-RO"/>
          <w14:ligatures w14:val="standardContextual"/>
        </w:rPr>
        <w:t>Îmbunătățirea</w:t>
      </w:r>
      <w:r w:rsidRPr="005429CB">
        <w:rPr>
          <w:lang w:val="ro-RO"/>
        </w:rPr>
        <w:t xml:space="preserve"> sustenabilității economice a beneficiarilor</w:t>
      </w:r>
      <w:r w:rsidR="008C4410" w:rsidRPr="005429CB">
        <w:rPr>
          <w:lang w:val="ro-RO"/>
        </w:rPr>
        <w:t>;</w:t>
      </w:r>
    </w:p>
    <w:p w14:paraId="2F0CF963" w14:textId="22D30970" w:rsidR="008C4410" w:rsidRPr="005429CB" w:rsidRDefault="008C4410" w:rsidP="0000674F">
      <w:pPr>
        <w:pStyle w:val="ac"/>
        <w:numPr>
          <w:ilvl w:val="0"/>
          <w:numId w:val="1"/>
        </w:numPr>
        <w:shd w:val="clear" w:color="auto" w:fill="FFFFFF"/>
        <w:spacing w:before="120" w:beforeAutospacing="0" w:after="120" w:afterAutospacing="0" w:line="276" w:lineRule="auto"/>
        <w:jc w:val="both"/>
        <w:rPr>
          <w:lang w:val="ro-RO"/>
        </w:rPr>
      </w:pPr>
      <w:r w:rsidRPr="005429CB">
        <w:rPr>
          <w:rFonts w:eastAsia="Calibri"/>
          <w:lang w:val="ro-RO"/>
        </w:rPr>
        <w:t xml:space="preserve">Atenuarea spiralei inflaționiste și menținerea costurilor la produsele social importante.   </w:t>
      </w:r>
    </w:p>
    <w:p w14:paraId="6165EEDE" w14:textId="77777777" w:rsidR="0000674F" w:rsidRPr="005429CB" w:rsidRDefault="0000674F" w:rsidP="0000674F">
      <w:pPr>
        <w:pStyle w:val="ac"/>
        <w:shd w:val="clear" w:color="auto" w:fill="FFFFFF"/>
        <w:spacing w:before="120" w:beforeAutospacing="0" w:after="120" w:afterAutospacing="0" w:line="276" w:lineRule="auto"/>
        <w:ind w:left="720"/>
        <w:jc w:val="both"/>
        <w:rPr>
          <w:lang w:val="ro-RO"/>
        </w:rPr>
      </w:pPr>
    </w:p>
    <w:p w14:paraId="6F21346D" w14:textId="4CD8DE68" w:rsidR="0000674F" w:rsidRPr="005429CB" w:rsidRDefault="0000674F" w:rsidP="0000674F">
      <w:pPr>
        <w:pStyle w:val="ac"/>
        <w:numPr>
          <w:ilvl w:val="0"/>
          <w:numId w:val="5"/>
        </w:numPr>
        <w:shd w:val="clear" w:color="auto" w:fill="FFFFFF"/>
        <w:spacing w:before="120" w:beforeAutospacing="0" w:after="120" w:afterAutospacing="0" w:line="276" w:lineRule="auto"/>
        <w:jc w:val="center"/>
        <w:rPr>
          <w:rStyle w:val="ad"/>
          <w:b w:val="0"/>
          <w:color w:val="000000"/>
          <w:lang w:val="ro-RO"/>
        </w:rPr>
      </w:pPr>
      <w:r w:rsidRPr="005429CB">
        <w:rPr>
          <w:rStyle w:val="ad"/>
          <w:rFonts w:eastAsiaTheme="majorEastAsia"/>
          <w:bCs w:val="0"/>
          <w:lang w:val="ro-RO"/>
        </w:rPr>
        <w:t>MONITORIZARE</w:t>
      </w:r>
    </w:p>
    <w:p w14:paraId="36D91C84" w14:textId="4227BA89" w:rsidR="008C4410" w:rsidRPr="005429CB" w:rsidRDefault="008C4410" w:rsidP="008C4410">
      <w:pPr>
        <w:pStyle w:val="ac"/>
        <w:shd w:val="clear" w:color="auto" w:fill="FFFFFF"/>
        <w:spacing w:before="120" w:beforeAutospacing="0" w:after="120" w:afterAutospacing="0" w:line="276" w:lineRule="auto"/>
        <w:jc w:val="center"/>
        <w:rPr>
          <w:rStyle w:val="ad"/>
          <w:rFonts w:eastAsiaTheme="majorEastAsia"/>
          <w:bCs w:val="0"/>
          <w:lang w:val="ro-RO"/>
        </w:rPr>
      </w:pPr>
    </w:p>
    <w:p w14:paraId="092BF7A9" w14:textId="50A79E6B" w:rsidR="008C4410" w:rsidRPr="005429CB" w:rsidRDefault="008C4410" w:rsidP="008C4410">
      <w:pPr>
        <w:pStyle w:val="ac"/>
        <w:numPr>
          <w:ilvl w:val="0"/>
          <w:numId w:val="1"/>
        </w:numPr>
        <w:shd w:val="clear" w:color="auto" w:fill="FFFFFF"/>
        <w:spacing w:before="120" w:beforeAutospacing="0" w:after="120" w:afterAutospacing="0" w:line="276" w:lineRule="auto"/>
        <w:jc w:val="both"/>
        <w:rPr>
          <w:lang w:val="ro-RO"/>
        </w:rPr>
      </w:pPr>
      <w:r w:rsidRPr="005429CB">
        <w:rPr>
          <w:lang w:val="ro-RO"/>
        </w:rPr>
        <w:t>Furnizorul asigură organizarea și ținerea evidenței compensaților acordate timp de 10 ani care să conțină informații privind identificarea beneficiarului, valoarea compensației acordate, data acordării, precum și alte informații utile referitoare la acordarea unor astfel de compensații sau informații care ar demonstra respectarea condițiilor prevăzute în prezentul Program.</w:t>
      </w:r>
    </w:p>
    <w:p w14:paraId="618989D3"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Inspectoratul Control Financiar de Stat, Serviciul Fiscal de Stat și alte organe de control abilitate vor verifica corectitudinea beneficierii de compensație parțială a diferenței de preț la energia electrică.</w:t>
      </w:r>
    </w:p>
    <w:p w14:paraId="74794A00"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lastRenderedPageBreak/>
        <w:t>În caz de depistare a beneficierii nejustificate de compensație, întreprinderea beneficiară restituie, la cererea organului de control,  în bugetul de stat mijloacele financiare primite.</w:t>
      </w:r>
    </w:p>
    <w:p w14:paraId="6C18E6D8"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Informațiile furnizate de către Serviciul Fiscal de Stat, Ministerul Dezvoltării Economice și Digitalizării, furnizorii de energie electrică și alte autorități publice sau entități implicate în implementarea prezentului regulament se consideră corecte, complete și conforme cu realitatea. Aceste informații beneficiază de o prezumție de veridicitate și nu pot fi puse sub semnul îndoielii, decât în baza unor probe contrare prezentate de persoanele interesate.</w:t>
      </w:r>
    </w:p>
    <w:p w14:paraId="125CEE9F"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Fiecare instituție sau entitate implicată își asumă întreaga responsabilitate pentru corectitudinea, exactitatea și actualitatea informațiilor furnizate.</w:t>
      </w:r>
    </w:p>
    <w:p w14:paraId="123B10DF" w14:textId="77777777"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În situația în care se constată erori în informațiile furnizate, instituția emitentă are obligația de a corecta datele respective în termen de cel mult 10 zile lucrătoare.</w:t>
      </w:r>
    </w:p>
    <w:p w14:paraId="7F02FCF2" w14:textId="02AAD748" w:rsidR="00F43C25" w:rsidRPr="005429CB" w:rsidRDefault="00F43C25" w:rsidP="0000674F">
      <w:pPr>
        <w:pStyle w:val="ac"/>
        <w:numPr>
          <w:ilvl w:val="0"/>
          <w:numId w:val="1"/>
        </w:numPr>
        <w:shd w:val="clear" w:color="auto" w:fill="FFFFFF"/>
        <w:spacing w:before="120" w:beforeAutospacing="0" w:after="120" w:afterAutospacing="0" w:line="276" w:lineRule="auto"/>
        <w:jc w:val="both"/>
        <w:rPr>
          <w:rFonts w:eastAsiaTheme="minorHAnsi"/>
          <w:kern w:val="2"/>
          <w:lang w:val="ro-RO"/>
          <w14:ligatures w14:val="standardContextual"/>
        </w:rPr>
      </w:pPr>
      <w:r w:rsidRPr="005429CB">
        <w:rPr>
          <w:rFonts w:eastAsiaTheme="minorHAnsi"/>
          <w:kern w:val="2"/>
          <w:lang w:val="ro-RO"/>
          <w14:ligatures w14:val="standardContextual"/>
        </w:rPr>
        <w:t>Administratorul sau persoanele cu împuternicire de reprezentare poartă întreaga responsabilitate pentru corectitudinea, completitudinea și veridicitatea datelor introduse în cererea pentru acordarea compensației.</w:t>
      </w:r>
    </w:p>
    <w:p w14:paraId="30AECA20" w14:textId="606E2041" w:rsidR="00F43C25" w:rsidRPr="005429CB" w:rsidRDefault="00F43C25" w:rsidP="0000674F">
      <w:pPr>
        <w:pStyle w:val="ac"/>
        <w:numPr>
          <w:ilvl w:val="0"/>
          <w:numId w:val="1"/>
        </w:numPr>
        <w:shd w:val="clear" w:color="auto" w:fill="FFFFFF"/>
        <w:spacing w:before="120" w:beforeAutospacing="0" w:after="120" w:afterAutospacing="0" w:line="276" w:lineRule="auto"/>
        <w:jc w:val="both"/>
        <w:rPr>
          <w:color w:val="000000"/>
          <w:lang w:val="ro-RO"/>
        </w:rPr>
      </w:pPr>
      <w:r w:rsidRPr="005429CB">
        <w:rPr>
          <w:rFonts w:eastAsiaTheme="minorHAnsi"/>
          <w:kern w:val="2"/>
          <w:lang w:val="ro-RO"/>
          <w14:ligatures w14:val="standardContextual"/>
        </w:rPr>
        <w:t>Orice beneficiar care exercită drepturile la compensație în mod abuziv, introduce date false, incomplete</w:t>
      </w:r>
      <w:r w:rsidRPr="005429CB">
        <w:rPr>
          <w:color w:val="000000"/>
          <w:lang w:val="ro-RO"/>
        </w:rPr>
        <w:t xml:space="preserve"> sau incorecte în cererea de solicitare sau nu își îndeplinește obligațiile în legătură cu procesul de compensare cu bună-credință, răspunde potrivit legii pentru prejudiciile cauzate autorităților implicate, altor persoane sau bugetului de stat. Răspunderea beneficiarilor pentru faptele descrise nu exclude aplicarea altor sancțiuni prevăzute de legislația în vigoare, inclusiv răspunderea civilă, contravențională sau penală, după caz.</w:t>
      </w:r>
    </w:p>
    <w:p w14:paraId="7BD8592B" w14:textId="77777777" w:rsidR="0000674F" w:rsidRPr="005429CB" w:rsidRDefault="0000674F" w:rsidP="0000674F">
      <w:pPr>
        <w:pStyle w:val="ac"/>
        <w:shd w:val="clear" w:color="auto" w:fill="FFFFFF"/>
        <w:spacing w:before="120" w:beforeAutospacing="0" w:after="120" w:afterAutospacing="0" w:line="276" w:lineRule="auto"/>
        <w:ind w:left="720"/>
        <w:jc w:val="center"/>
        <w:rPr>
          <w:color w:val="000000"/>
          <w:lang w:val="ro-RO"/>
        </w:rPr>
      </w:pPr>
    </w:p>
    <w:p w14:paraId="66F6CD19" w14:textId="5FB5CF1F" w:rsidR="00682969" w:rsidRPr="005429CB" w:rsidRDefault="000D6276" w:rsidP="000D6276">
      <w:pPr>
        <w:pStyle w:val="ac"/>
        <w:numPr>
          <w:ilvl w:val="0"/>
          <w:numId w:val="5"/>
        </w:numPr>
        <w:shd w:val="clear" w:color="auto" w:fill="FFFFFF"/>
        <w:spacing w:before="120" w:beforeAutospacing="0" w:after="120" w:afterAutospacing="0" w:line="276" w:lineRule="auto"/>
        <w:jc w:val="center"/>
        <w:rPr>
          <w:rStyle w:val="ad"/>
          <w:b w:val="0"/>
          <w:bCs w:val="0"/>
          <w:lang w:val="ro-RO"/>
        </w:rPr>
      </w:pPr>
      <w:r w:rsidRPr="005429CB">
        <w:rPr>
          <w:rStyle w:val="ad"/>
          <w:rFonts w:eastAsiaTheme="majorEastAsia"/>
          <w:color w:val="333333"/>
          <w:shd w:val="clear" w:color="auto" w:fill="FFFFFF"/>
          <w:lang w:val="ro-RO"/>
        </w:rPr>
        <w:t>ALTE DISPOZIȚII</w:t>
      </w:r>
    </w:p>
    <w:p w14:paraId="68C0B382" w14:textId="6CB7E6DA" w:rsidR="000D6276" w:rsidRPr="005429CB" w:rsidRDefault="000D6276" w:rsidP="008F1AE2">
      <w:pPr>
        <w:pStyle w:val="ac"/>
        <w:numPr>
          <w:ilvl w:val="0"/>
          <w:numId w:val="1"/>
        </w:numPr>
        <w:shd w:val="clear" w:color="auto" w:fill="FFFFFF"/>
        <w:spacing w:before="120" w:after="120" w:line="276" w:lineRule="auto"/>
        <w:jc w:val="both"/>
        <w:rPr>
          <w:lang w:val="ro-RO"/>
        </w:rPr>
      </w:pPr>
      <w:r w:rsidRPr="005429CB">
        <w:rPr>
          <w:lang w:val="ro-RO"/>
        </w:rPr>
        <w:t xml:space="preserve">Pentru asigurarea transparenței </w:t>
      </w:r>
      <w:r w:rsidR="00F742CB" w:rsidRPr="005429CB">
        <w:rPr>
          <w:lang w:val="ro-RO"/>
        </w:rPr>
        <w:t>implementării Programului</w:t>
      </w:r>
      <w:r w:rsidRPr="005429CB">
        <w:rPr>
          <w:lang w:val="ro-RO"/>
        </w:rPr>
        <w:t xml:space="preserve">, furnizorul are obligația de a publica pe site-ul web oficial al Ministerului Dezvoltării Economice și Digitalizării (www.mded.gov.md) următoarele informații privind măsura de acordare </w:t>
      </w:r>
      <w:r w:rsidR="00F742CB" w:rsidRPr="005429CB">
        <w:rPr>
          <w:lang w:val="ro-RO"/>
        </w:rPr>
        <w:t>a compensației</w:t>
      </w:r>
      <w:r w:rsidRPr="005429CB">
        <w:rPr>
          <w:lang w:val="ro-RO"/>
        </w:rPr>
        <w:t>:</w:t>
      </w:r>
    </w:p>
    <w:p w14:paraId="43B36881" w14:textId="16C3F929" w:rsidR="000D6276" w:rsidRPr="005429CB" w:rsidRDefault="000D6276" w:rsidP="00F742CB">
      <w:pPr>
        <w:pStyle w:val="ac"/>
        <w:numPr>
          <w:ilvl w:val="0"/>
          <w:numId w:val="20"/>
        </w:numPr>
        <w:shd w:val="clear" w:color="auto" w:fill="FFFFFF"/>
        <w:spacing w:before="120" w:after="120" w:line="276" w:lineRule="auto"/>
        <w:jc w:val="both"/>
        <w:rPr>
          <w:lang w:val="ro-RO"/>
        </w:rPr>
      </w:pPr>
      <w:r w:rsidRPr="005429CB">
        <w:rPr>
          <w:lang w:val="ro-RO"/>
        </w:rPr>
        <w:t xml:space="preserve">textul </w:t>
      </w:r>
      <w:r w:rsidR="00F742CB" w:rsidRPr="005429CB">
        <w:rPr>
          <w:lang w:val="ro-RO"/>
        </w:rPr>
        <w:t>Programului</w:t>
      </w:r>
      <w:r w:rsidRPr="005429CB">
        <w:rPr>
          <w:lang w:val="ro-RO"/>
        </w:rPr>
        <w:t>;</w:t>
      </w:r>
    </w:p>
    <w:p w14:paraId="6FF80D12" w14:textId="773A61BF" w:rsidR="000D6276" w:rsidRPr="005429CB" w:rsidRDefault="00F742CB" w:rsidP="00F742CB">
      <w:pPr>
        <w:pStyle w:val="ac"/>
        <w:numPr>
          <w:ilvl w:val="0"/>
          <w:numId w:val="20"/>
        </w:numPr>
        <w:shd w:val="clear" w:color="auto" w:fill="FFFFFF"/>
        <w:spacing w:before="120" w:after="120" w:line="276" w:lineRule="auto"/>
        <w:jc w:val="both"/>
        <w:rPr>
          <w:lang w:val="ro-RO"/>
        </w:rPr>
      </w:pPr>
      <w:r w:rsidRPr="005429CB">
        <w:rPr>
          <w:lang w:val="ro-RO"/>
        </w:rPr>
        <w:t>Lista bonificărilor</w:t>
      </w:r>
      <w:r w:rsidR="000D6276" w:rsidRPr="005429CB">
        <w:rPr>
          <w:lang w:val="ro-RO"/>
        </w:rPr>
        <w:t>;</w:t>
      </w:r>
    </w:p>
    <w:p w14:paraId="4B181C22" w14:textId="5E9C1703" w:rsidR="000D6276" w:rsidRPr="005429CB" w:rsidRDefault="00F742CB" w:rsidP="00F742CB">
      <w:pPr>
        <w:pStyle w:val="ac"/>
        <w:numPr>
          <w:ilvl w:val="0"/>
          <w:numId w:val="20"/>
        </w:numPr>
        <w:shd w:val="clear" w:color="auto" w:fill="FFFFFF"/>
        <w:spacing w:before="120" w:after="120" w:line="276" w:lineRule="auto"/>
        <w:jc w:val="both"/>
        <w:rPr>
          <w:lang w:val="ro-RO"/>
        </w:rPr>
      </w:pPr>
      <w:r w:rsidRPr="005429CB">
        <w:rPr>
          <w:lang w:val="ro-RO"/>
        </w:rPr>
        <w:t xml:space="preserve">Valoarea compensației acordate. </w:t>
      </w:r>
    </w:p>
    <w:p w14:paraId="169FDC20" w14:textId="0DCC6662" w:rsidR="00AD6831" w:rsidRPr="005429CB" w:rsidRDefault="00AD6831" w:rsidP="00AD6831">
      <w:pPr>
        <w:pStyle w:val="ac"/>
        <w:shd w:val="clear" w:color="auto" w:fill="FFFFFF"/>
        <w:spacing w:before="120" w:after="120" w:line="276" w:lineRule="auto"/>
        <w:jc w:val="both"/>
        <w:rPr>
          <w:lang w:val="ro-RO"/>
        </w:rPr>
      </w:pPr>
    </w:p>
    <w:p w14:paraId="75807E43" w14:textId="5D78C72D" w:rsidR="00AD6831" w:rsidRPr="005429CB" w:rsidRDefault="00AD6831" w:rsidP="00AD6831">
      <w:pPr>
        <w:pStyle w:val="ac"/>
        <w:shd w:val="clear" w:color="auto" w:fill="FFFFFF"/>
        <w:spacing w:before="120" w:after="120" w:line="276" w:lineRule="auto"/>
        <w:jc w:val="both"/>
        <w:rPr>
          <w:lang w:val="ro-RO"/>
        </w:rPr>
      </w:pPr>
    </w:p>
    <w:p w14:paraId="7D7DE67B" w14:textId="335090E7" w:rsidR="00AD6831" w:rsidRPr="005429CB" w:rsidRDefault="00AD6831" w:rsidP="00AD6831">
      <w:pPr>
        <w:pStyle w:val="ac"/>
        <w:shd w:val="clear" w:color="auto" w:fill="FFFFFF"/>
        <w:spacing w:line="276" w:lineRule="auto"/>
        <w:jc w:val="both"/>
        <w:rPr>
          <w:lang w:val="ro-RO"/>
        </w:rPr>
      </w:pPr>
      <w:r w:rsidRPr="005429CB">
        <w:rPr>
          <w:lang w:val="ro-RO"/>
        </w:rPr>
        <w:br w:type="page"/>
      </w:r>
    </w:p>
    <w:p w14:paraId="6E2EC581" w14:textId="77777777" w:rsidR="00AD6831" w:rsidRPr="005429CB" w:rsidRDefault="00AD6831" w:rsidP="00AD6831">
      <w:pPr>
        <w:pStyle w:val="ac"/>
        <w:shd w:val="clear" w:color="auto" w:fill="FFFFFF"/>
        <w:spacing w:before="0" w:beforeAutospacing="0" w:after="0" w:afterAutospacing="0" w:line="276" w:lineRule="auto"/>
        <w:jc w:val="right"/>
        <w:rPr>
          <w:b/>
          <w:bCs/>
          <w:i/>
          <w:iCs/>
          <w:lang w:val="ro-RO"/>
        </w:rPr>
      </w:pPr>
      <w:r w:rsidRPr="005429CB">
        <w:rPr>
          <w:b/>
          <w:bCs/>
          <w:i/>
          <w:iCs/>
          <w:lang w:val="ro-RO"/>
        </w:rPr>
        <w:lastRenderedPageBreak/>
        <w:t xml:space="preserve">Anexa nr. 1 </w:t>
      </w:r>
    </w:p>
    <w:p w14:paraId="2F183436" w14:textId="6C1307D0" w:rsidR="00AE371D" w:rsidRPr="005429CB" w:rsidRDefault="00AD6831"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 xml:space="preserve">la </w:t>
      </w:r>
      <w:r w:rsidR="00AE371D" w:rsidRPr="005429CB">
        <w:rPr>
          <w:b/>
          <w:bCs/>
          <w:i/>
          <w:iCs/>
          <w:lang w:val="ro-RO"/>
        </w:rPr>
        <w:t xml:space="preserve">Programul de compensare a creșterii prețului </w:t>
      </w:r>
    </w:p>
    <w:p w14:paraId="1CC77865" w14:textId="4E97C379" w:rsidR="00AD6831" w:rsidRPr="005429CB" w:rsidRDefault="00AE371D"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la energia electrică pentru întreprinderile din Republica Moldova</w:t>
      </w:r>
    </w:p>
    <w:p w14:paraId="4C12D3F1" w14:textId="77777777" w:rsidR="00787F99" w:rsidRPr="005429CB" w:rsidRDefault="00787F99" w:rsidP="00AD6831">
      <w:pPr>
        <w:jc w:val="center"/>
        <w:rPr>
          <w:rFonts w:ascii="Times New Roman" w:hAnsi="Times New Roman" w:cs="Times New Roman"/>
          <w:b/>
          <w:bCs/>
          <w:color w:val="000000"/>
          <w:lang w:val="ro-RO"/>
        </w:rPr>
      </w:pPr>
    </w:p>
    <w:p w14:paraId="715789DC" w14:textId="4845A741" w:rsidR="00AD6831" w:rsidRPr="005429CB" w:rsidRDefault="00AD6831" w:rsidP="00AD6831">
      <w:pPr>
        <w:jc w:val="center"/>
        <w:rPr>
          <w:rFonts w:ascii="Times New Roman" w:hAnsi="Times New Roman" w:cs="Times New Roman"/>
          <w:b/>
          <w:bCs/>
          <w:color w:val="000000"/>
          <w:lang w:val="ro-RO"/>
        </w:rPr>
      </w:pPr>
      <w:r w:rsidRPr="005429CB">
        <w:rPr>
          <w:rFonts w:ascii="Times New Roman" w:hAnsi="Times New Roman" w:cs="Times New Roman"/>
          <w:b/>
          <w:bCs/>
          <w:color w:val="000000"/>
          <w:lang w:val="ro-RO"/>
        </w:rPr>
        <w:t xml:space="preserve">LISTA </w:t>
      </w:r>
    </w:p>
    <w:p w14:paraId="7B348D43" w14:textId="0F763C4D" w:rsidR="00AD6831" w:rsidRPr="005429CB" w:rsidRDefault="00AD6831" w:rsidP="00AD6831">
      <w:pPr>
        <w:pStyle w:val="ac"/>
        <w:shd w:val="clear" w:color="auto" w:fill="FFFFFF"/>
        <w:spacing w:before="0" w:beforeAutospacing="0" w:after="0" w:afterAutospacing="0" w:line="276" w:lineRule="auto"/>
        <w:jc w:val="center"/>
        <w:rPr>
          <w:b/>
          <w:bCs/>
          <w:color w:val="000000"/>
          <w:kern w:val="2"/>
          <w:lang w:val="ro-RO"/>
        </w:rPr>
      </w:pPr>
      <w:r w:rsidRPr="005429CB">
        <w:rPr>
          <w:b/>
          <w:bCs/>
          <w:color w:val="000000"/>
          <w:kern w:val="2"/>
          <w:lang w:val="ro-RO"/>
        </w:rPr>
        <w:t>sectoarelor de activitate pentru care se acordă</w:t>
      </w:r>
      <w:r w:rsidR="00787F99" w:rsidRPr="005429CB">
        <w:rPr>
          <w:b/>
          <w:bCs/>
          <w:color w:val="000000"/>
          <w:kern w:val="2"/>
          <w:lang w:val="ro-RO"/>
        </w:rPr>
        <w:t xml:space="preserve"> compensație</w:t>
      </w:r>
    </w:p>
    <w:p w14:paraId="45F40A33" w14:textId="3E381128" w:rsidR="00787F99" w:rsidRPr="005429CB" w:rsidRDefault="00787F99" w:rsidP="00AD6831">
      <w:pPr>
        <w:pStyle w:val="ac"/>
        <w:shd w:val="clear" w:color="auto" w:fill="FFFFFF"/>
        <w:spacing w:before="0" w:beforeAutospacing="0" w:after="0" w:afterAutospacing="0" w:line="276" w:lineRule="auto"/>
        <w:jc w:val="center"/>
        <w:rPr>
          <w:b/>
          <w:bCs/>
          <w:color w:val="000000"/>
          <w:kern w:val="2"/>
          <w:lang w:val="ro-RO"/>
        </w:rPr>
      </w:pPr>
    </w:p>
    <w:tbl>
      <w:tblPr>
        <w:tblStyle w:val="ae"/>
        <w:tblW w:w="0" w:type="auto"/>
        <w:tblLook w:val="04A0" w:firstRow="1" w:lastRow="0" w:firstColumn="1" w:lastColumn="0" w:noHBand="0" w:noVBand="1"/>
      </w:tblPr>
      <w:tblGrid>
        <w:gridCol w:w="1178"/>
        <w:gridCol w:w="3400"/>
        <w:gridCol w:w="5101"/>
      </w:tblGrid>
      <w:tr w:rsidR="00787F99" w:rsidRPr="005429CB" w14:paraId="4A633655" w14:textId="77777777" w:rsidTr="00787F99">
        <w:tc>
          <w:tcPr>
            <w:tcW w:w="1359" w:type="dxa"/>
          </w:tcPr>
          <w:p w14:paraId="1D7210BA" w14:textId="77777777" w:rsidR="00787F99" w:rsidRPr="005429CB" w:rsidRDefault="00787F99" w:rsidP="00AD6831">
            <w:pPr>
              <w:pStyle w:val="ac"/>
              <w:spacing w:before="0" w:beforeAutospacing="0" w:after="0" w:afterAutospacing="0" w:line="276" w:lineRule="auto"/>
              <w:jc w:val="center"/>
              <w:rPr>
                <w:lang w:val="ro-RO"/>
              </w:rPr>
            </w:pPr>
          </w:p>
        </w:tc>
        <w:tc>
          <w:tcPr>
            <w:tcW w:w="2180" w:type="dxa"/>
          </w:tcPr>
          <w:p w14:paraId="6DDE020C" w14:textId="470171A8" w:rsidR="00787F99" w:rsidRPr="005429CB" w:rsidRDefault="00787F99" w:rsidP="00AD6831">
            <w:pPr>
              <w:pStyle w:val="ac"/>
              <w:spacing w:before="0" w:beforeAutospacing="0" w:after="0" w:afterAutospacing="0" w:line="276" w:lineRule="auto"/>
              <w:jc w:val="center"/>
              <w:rPr>
                <w:lang w:val="ro-RO"/>
              </w:rPr>
            </w:pPr>
          </w:p>
        </w:tc>
        <w:tc>
          <w:tcPr>
            <w:tcW w:w="6140" w:type="dxa"/>
          </w:tcPr>
          <w:p w14:paraId="79018549" w14:textId="77777777" w:rsidR="00787F99" w:rsidRPr="005429CB" w:rsidRDefault="00787F99" w:rsidP="00AD6831">
            <w:pPr>
              <w:pStyle w:val="ac"/>
              <w:spacing w:before="0" w:beforeAutospacing="0" w:after="0" w:afterAutospacing="0" w:line="276" w:lineRule="auto"/>
              <w:jc w:val="center"/>
              <w:rPr>
                <w:lang w:val="ro-RO"/>
              </w:rPr>
            </w:pPr>
          </w:p>
        </w:tc>
      </w:tr>
      <w:tr w:rsidR="00787F99" w:rsidRPr="005429CB" w14:paraId="25E7D749" w14:textId="77777777" w:rsidTr="006142EA">
        <w:tc>
          <w:tcPr>
            <w:tcW w:w="1359" w:type="dxa"/>
            <w:vAlign w:val="center"/>
          </w:tcPr>
          <w:p w14:paraId="43E56A8E" w14:textId="3A8020E7" w:rsidR="00787F99" w:rsidRPr="005429CB" w:rsidRDefault="00787F99" w:rsidP="00787F99">
            <w:pPr>
              <w:pStyle w:val="ac"/>
              <w:spacing w:before="0" w:beforeAutospacing="0" w:after="0" w:afterAutospacing="0" w:line="276" w:lineRule="auto"/>
              <w:jc w:val="center"/>
              <w:rPr>
                <w:lang w:val="ro-RO"/>
              </w:rPr>
            </w:pPr>
            <w:r w:rsidRPr="005429CB">
              <w:rPr>
                <w:b/>
                <w:bCs/>
                <w:color w:val="000000"/>
                <w:lang w:val="ro-RO"/>
              </w:rPr>
              <w:t>Nr. d/o</w:t>
            </w:r>
          </w:p>
        </w:tc>
        <w:tc>
          <w:tcPr>
            <w:tcW w:w="2180" w:type="dxa"/>
            <w:vAlign w:val="center"/>
          </w:tcPr>
          <w:p w14:paraId="5B283B9C" w14:textId="607B01F4" w:rsidR="00787F99" w:rsidRPr="005429CB" w:rsidRDefault="00787F99" w:rsidP="00787F99">
            <w:pPr>
              <w:pStyle w:val="ac"/>
              <w:spacing w:before="0" w:beforeAutospacing="0" w:after="0" w:afterAutospacing="0" w:line="276" w:lineRule="auto"/>
              <w:jc w:val="center"/>
              <w:rPr>
                <w:lang w:val="ro-RO"/>
              </w:rPr>
            </w:pPr>
            <w:r w:rsidRPr="005429CB">
              <w:rPr>
                <w:b/>
                <w:bCs/>
                <w:color w:val="000000"/>
                <w:lang w:val="ro-RO"/>
              </w:rPr>
              <w:t>Secțiunea activității economice</w:t>
            </w:r>
          </w:p>
        </w:tc>
        <w:tc>
          <w:tcPr>
            <w:tcW w:w="6140" w:type="dxa"/>
            <w:vAlign w:val="center"/>
          </w:tcPr>
          <w:p w14:paraId="3183BC9E" w14:textId="6A06C4C8" w:rsidR="00787F99" w:rsidRPr="005429CB" w:rsidRDefault="00787F99" w:rsidP="00787F99">
            <w:pPr>
              <w:pStyle w:val="ac"/>
              <w:spacing w:before="0" w:beforeAutospacing="0" w:after="0" w:afterAutospacing="0" w:line="276" w:lineRule="auto"/>
              <w:jc w:val="center"/>
              <w:rPr>
                <w:lang w:val="ro-RO"/>
              </w:rPr>
            </w:pPr>
            <w:r w:rsidRPr="005429CB">
              <w:rPr>
                <w:b/>
                <w:bCs/>
                <w:color w:val="000000"/>
                <w:lang w:val="ro-RO"/>
              </w:rPr>
              <w:t>Clasa activităților economice eligibile</w:t>
            </w:r>
          </w:p>
        </w:tc>
      </w:tr>
      <w:tr w:rsidR="00787F99" w:rsidRPr="005429CB" w14:paraId="5A1BEEBD" w14:textId="77777777" w:rsidTr="00787F99">
        <w:tc>
          <w:tcPr>
            <w:tcW w:w="1359" w:type="dxa"/>
          </w:tcPr>
          <w:p w14:paraId="4D71EB42" w14:textId="20B81003" w:rsidR="00787F99" w:rsidRPr="005429CB" w:rsidRDefault="00787F99" w:rsidP="00787F99">
            <w:pPr>
              <w:pStyle w:val="ac"/>
              <w:spacing w:before="0" w:beforeAutospacing="0" w:after="0" w:afterAutospacing="0" w:line="276" w:lineRule="auto"/>
              <w:jc w:val="center"/>
              <w:rPr>
                <w:lang w:val="ro-RO"/>
              </w:rPr>
            </w:pPr>
            <w:r w:rsidRPr="005429CB">
              <w:rPr>
                <w:color w:val="000000"/>
                <w:lang w:val="ro-RO"/>
              </w:rPr>
              <w:t>1</w:t>
            </w:r>
          </w:p>
        </w:tc>
        <w:tc>
          <w:tcPr>
            <w:tcW w:w="2180" w:type="dxa"/>
          </w:tcPr>
          <w:p w14:paraId="4A3AD5D9" w14:textId="504B1762" w:rsidR="00787F99" w:rsidRPr="005429CB" w:rsidRDefault="00787F99" w:rsidP="00787F99">
            <w:pPr>
              <w:pStyle w:val="ac"/>
              <w:spacing w:before="0" w:beforeAutospacing="0" w:after="0" w:afterAutospacing="0" w:line="276" w:lineRule="auto"/>
              <w:jc w:val="center"/>
              <w:rPr>
                <w:lang w:val="ro-RO"/>
              </w:rPr>
            </w:pPr>
            <w:r w:rsidRPr="005429CB">
              <w:rPr>
                <w:color w:val="000000"/>
                <w:lang w:val="ro-RO"/>
              </w:rPr>
              <w:t>A.AGRICULTURĂ, SILVICULTURĂ ŞI PESCUIT</w:t>
            </w:r>
          </w:p>
        </w:tc>
        <w:tc>
          <w:tcPr>
            <w:tcW w:w="6140" w:type="dxa"/>
          </w:tcPr>
          <w:p w14:paraId="6BCCF1B3" w14:textId="77777777" w:rsidR="00787F99" w:rsidRPr="005429CB" w:rsidRDefault="00787F99" w:rsidP="00787F99">
            <w:pPr>
              <w:pStyle w:val="ac"/>
              <w:spacing w:before="0" w:beforeAutospacing="0" w:after="0" w:afterAutospacing="0"/>
              <w:ind w:left="86" w:right="28"/>
              <w:jc w:val="center"/>
              <w:rPr>
                <w:color w:val="000000"/>
                <w:lang w:val="ro-RO"/>
              </w:rPr>
            </w:pPr>
            <w:r w:rsidRPr="005429CB">
              <w:rPr>
                <w:color w:val="000000"/>
                <w:lang w:val="ro-RO"/>
              </w:rPr>
              <w:t>01.11 - 01.64,</w:t>
            </w:r>
          </w:p>
          <w:p w14:paraId="4E2AC6DD" w14:textId="30615DD5" w:rsidR="00787F99" w:rsidRPr="005429CB" w:rsidRDefault="00787F99" w:rsidP="00787F99">
            <w:pPr>
              <w:pStyle w:val="ac"/>
              <w:spacing w:before="0" w:beforeAutospacing="0" w:after="0" w:afterAutospacing="0" w:line="276" w:lineRule="auto"/>
              <w:jc w:val="center"/>
              <w:rPr>
                <w:lang w:val="ro-RO"/>
              </w:rPr>
            </w:pPr>
            <w:r w:rsidRPr="005429CB">
              <w:rPr>
                <w:color w:val="000000"/>
                <w:lang w:val="ro-RO"/>
              </w:rPr>
              <w:t>cu excepția 01.15</w:t>
            </w:r>
          </w:p>
        </w:tc>
      </w:tr>
      <w:tr w:rsidR="00787F99" w:rsidRPr="005429CB" w14:paraId="083E69DD" w14:textId="77777777" w:rsidTr="00787F99">
        <w:tc>
          <w:tcPr>
            <w:tcW w:w="1359" w:type="dxa"/>
          </w:tcPr>
          <w:p w14:paraId="299D0043" w14:textId="5D7004FF" w:rsidR="00787F99" w:rsidRPr="005429CB" w:rsidRDefault="00787F99" w:rsidP="00787F99">
            <w:pPr>
              <w:pStyle w:val="ac"/>
              <w:spacing w:before="0" w:beforeAutospacing="0" w:after="0" w:afterAutospacing="0" w:line="276" w:lineRule="auto"/>
              <w:jc w:val="center"/>
              <w:rPr>
                <w:color w:val="000000"/>
                <w:lang w:val="ro-RO"/>
              </w:rPr>
            </w:pPr>
            <w:r w:rsidRPr="005429CB">
              <w:rPr>
                <w:color w:val="000000"/>
                <w:lang w:val="ro-RO"/>
              </w:rPr>
              <w:t>2</w:t>
            </w:r>
          </w:p>
        </w:tc>
        <w:tc>
          <w:tcPr>
            <w:tcW w:w="2180" w:type="dxa"/>
          </w:tcPr>
          <w:p w14:paraId="071FD9FE" w14:textId="2D7C8FF1" w:rsidR="00787F99" w:rsidRPr="005429CB" w:rsidRDefault="00787F99" w:rsidP="00787F99">
            <w:pPr>
              <w:pStyle w:val="ac"/>
              <w:spacing w:before="0" w:beforeAutospacing="0" w:after="0" w:afterAutospacing="0" w:line="276" w:lineRule="auto"/>
              <w:jc w:val="center"/>
              <w:rPr>
                <w:color w:val="000000"/>
                <w:lang w:val="ro-RO"/>
              </w:rPr>
            </w:pPr>
            <w:r w:rsidRPr="005429CB">
              <w:rPr>
                <w:color w:val="000000"/>
                <w:lang w:val="ro-RO"/>
              </w:rPr>
              <w:t>C. INDUSTRIA PRELUCRĂTOARE</w:t>
            </w:r>
          </w:p>
        </w:tc>
        <w:tc>
          <w:tcPr>
            <w:tcW w:w="6140" w:type="dxa"/>
          </w:tcPr>
          <w:p w14:paraId="1EAADA35" w14:textId="0A83EE6A" w:rsidR="00787F99" w:rsidRPr="005429CB" w:rsidRDefault="00787F99" w:rsidP="00787F99">
            <w:pPr>
              <w:pStyle w:val="ac"/>
              <w:spacing w:before="0" w:beforeAutospacing="0" w:after="0" w:afterAutospacing="0"/>
              <w:ind w:left="86" w:right="28"/>
              <w:jc w:val="center"/>
              <w:rPr>
                <w:color w:val="000000"/>
                <w:lang w:val="ro-RO"/>
              </w:rPr>
            </w:pPr>
            <w:r w:rsidRPr="005429CB">
              <w:rPr>
                <w:color w:val="000000"/>
                <w:lang w:val="ro-RO"/>
              </w:rPr>
              <w:t>10.11 - 23.20,</w:t>
            </w:r>
          </w:p>
          <w:p w14:paraId="025E1102" w14:textId="77777777" w:rsidR="00787F99" w:rsidRPr="005429CB" w:rsidRDefault="00787F99" w:rsidP="00787F99">
            <w:pPr>
              <w:pStyle w:val="ac"/>
              <w:spacing w:before="0" w:beforeAutospacing="0" w:after="0" w:afterAutospacing="0"/>
              <w:ind w:left="86" w:right="28"/>
              <w:jc w:val="center"/>
              <w:rPr>
                <w:color w:val="000000"/>
                <w:lang w:val="ro-RO"/>
              </w:rPr>
            </w:pPr>
          </w:p>
          <w:p w14:paraId="1B81EBF0" w14:textId="10E05E07" w:rsidR="00787F99" w:rsidRPr="005429CB" w:rsidRDefault="00787F99" w:rsidP="00787F99">
            <w:pPr>
              <w:pStyle w:val="ac"/>
              <w:spacing w:before="0" w:beforeAutospacing="0" w:after="0" w:afterAutospacing="0"/>
              <w:ind w:left="86" w:right="28"/>
              <w:jc w:val="center"/>
              <w:rPr>
                <w:lang w:val="ro-RO"/>
              </w:rPr>
            </w:pPr>
            <w:r w:rsidRPr="005429CB">
              <w:rPr>
                <w:color w:val="000000"/>
                <w:lang w:val="ro-RO"/>
              </w:rPr>
              <w:t>cu excepția 10.41;</w:t>
            </w:r>
          </w:p>
          <w:p w14:paraId="62451101" w14:textId="77777777" w:rsidR="00787F99" w:rsidRPr="005429CB" w:rsidRDefault="00787F99" w:rsidP="00787F99">
            <w:pPr>
              <w:pStyle w:val="ac"/>
              <w:spacing w:before="0" w:beforeAutospacing="0" w:after="0" w:afterAutospacing="0"/>
              <w:ind w:left="86" w:right="28"/>
              <w:jc w:val="center"/>
              <w:rPr>
                <w:lang w:val="ro-RO"/>
              </w:rPr>
            </w:pPr>
            <w:r w:rsidRPr="005429CB">
              <w:rPr>
                <w:color w:val="000000"/>
                <w:lang w:val="ro-RO"/>
              </w:rPr>
              <w:t>10.42;</w:t>
            </w:r>
          </w:p>
          <w:p w14:paraId="0EAA43C2" w14:textId="77777777" w:rsidR="00787F99" w:rsidRPr="005429CB" w:rsidRDefault="00787F99" w:rsidP="00787F99">
            <w:pPr>
              <w:pStyle w:val="ac"/>
              <w:spacing w:before="0" w:beforeAutospacing="0" w:after="0" w:afterAutospacing="0"/>
              <w:ind w:left="86" w:right="28"/>
              <w:jc w:val="center"/>
              <w:rPr>
                <w:lang w:val="ro-RO"/>
              </w:rPr>
            </w:pPr>
            <w:r w:rsidRPr="005429CB">
              <w:rPr>
                <w:color w:val="000000"/>
                <w:lang w:val="ro-RO"/>
              </w:rPr>
              <w:t>11.01-12.00;</w:t>
            </w:r>
          </w:p>
          <w:p w14:paraId="34F62EA3" w14:textId="77777777" w:rsidR="00787F99" w:rsidRPr="005429CB" w:rsidRDefault="00787F99" w:rsidP="00787F99">
            <w:pPr>
              <w:pStyle w:val="ac"/>
              <w:spacing w:before="0" w:beforeAutospacing="0" w:after="0" w:afterAutospacing="0"/>
              <w:ind w:left="86" w:right="28"/>
              <w:jc w:val="center"/>
              <w:rPr>
                <w:lang w:val="ro-RO"/>
              </w:rPr>
            </w:pPr>
            <w:r w:rsidRPr="005429CB">
              <w:rPr>
                <w:color w:val="000000"/>
                <w:lang w:val="ro-RO"/>
              </w:rPr>
              <w:t>18.20-19.20;</w:t>
            </w:r>
          </w:p>
          <w:p w14:paraId="6BFA9BF8" w14:textId="6367EFCA" w:rsidR="00787F99" w:rsidRPr="005429CB" w:rsidRDefault="00787F99" w:rsidP="00787F99">
            <w:pPr>
              <w:pStyle w:val="ac"/>
              <w:spacing w:before="0" w:beforeAutospacing="0" w:after="0" w:afterAutospacing="0"/>
              <w:ind w:left="86" w:right="28"/>
              <w:jc w:val="center"/>
              <w:rPr>
                <w:color w:val="000000"/>
                <w:lang w:val="ro-RO"/>
              </w:rPr>
            </w:pPr>
            <w:r w:rsidRPr="005429CB">
              <w:rPr>
                <w:color w:val="000000"/>
                <w:lang w:val="ro-RO"/>
              </w:rPr>
              <w:t>20.30-20.59.</w:t>
            </w:r>
          </w:p>
        </w:tc>
      </w:tr>
    </w:tbl>
    <w:p w14:paraId="07F70214" w14:textId="3DB79E7C" w:rsidR="00787F99" w:rsidRPr="005429CB" w:rsidRDefault="00787F99" w:rsidP="00AD6831">
      <w:pPr>
        <w:pStyle w:val="ac"/>
        <w:shd w:val="clear" w:color="auto" w:fill="FFFFFF"/>
        <w:spacing w:before="0" w:beforeAutospacing="0" w:after="0" w:afterAutospacing="0" w:line="276" w:lineRule="auto"/>
        <w:jc w:val="center"/>
        <w:rPr>
          <w:lang w:val="ro-RO"/>
        </w:rPr>
      </w:pPr>
    </w:p>
    <w:p w14:paraId="4847C9CC" w14:textId="05156D48" w:rsidR="00787F99" w:rsidRPr="005429CB" w:rsidRDefault="00787F99" w:rsidP="00AD6831">
      <w:pPr>
        <w:pStyle w:val="ac"/>
        <w:shd w:val="clear" w:color="auto" w:fill="FFFFFF"/>
        <w:spacing w:before="0" w:beforeAutospacing="0" w:after="0" w:afterAutospacing="0" w:line="276" w:lineRule="auto"/>
        <w:jc w:val="center"/>
        <w:rPr>
          <w:lang w:val="ro-RO"/>
        </w:rPr>
      </w:pPr>
    </w:p>
    <w:p w14:paraId="220E124A" w14:textId="59F6B869" w:rsidR="00787F99" w:rsidRPr="005429CB" w:rsidRDefault="00787F99" w:rsidP="00AD6831">
      <w:pPr>
        <w:pStyle w:val="ac"/>
        <w:shd w:val="clear" w:color="auto" w:fill="FFFFFF"/>
        <w:spacing w:before="0" w:beforeAutospacing="0" w:after="0" w:afterAutospacing="0" w:line="276" w:lineRule="auto"/>
        <w:jc w:val="center"/>
        <w:rPr>
          <w:lang w:val="ro-RO"/>
        </w:rPr>
      </w:pPr>
      <w:r w:rsidRPr="005429CB">
        <w:rPr>
          <w:lang w:val="ro-RO"/>
        </w:rPr>
        <w:br w:type="page"/>
      </w:r>
    </w:p>
    <w:p w14:paraId="6F41918B" w14:textId="7AA7933F" w:rsidR="00787F99" w:rsidRPr="005429CB" w:rsidRDefault="00787F99"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lastRenderedPageBreak/>
        <w:t xml:space="preserve">Anexa nr. 2 </w:t>
      </w:r>
    </w:p>
    <w:p w14:paraId="20371168" w14:textId="311F9AF8" w:rsidR="00AE371D" w:rsidRPr="005429CB" w:rsidRDefault="00AE371D"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 xml:space="preserve">la Programul de compensare a creșterii prețului </w:t>
      </w:r>
    </w:p>
    <w:p w14:paraId="4C32E4A2" w14:textId="4D2703AB" w:rsidR="00787F99" w:rsidRPr="005429CB" w:rsidRDefault="00AE371D"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la energia electrică pentru întreprinderile din Republica Moldova</w:t>
      </w:r>
    </w:p>
    <w:p w14:paraId="6CC49634" w14:textId="77777777" w:rsidR="00AE371D" w:rsidRPr="005429CB" w:rsidRDefault="00AE371D" w:rsidP="00AE371D">
      <w:pPr>
        <w:pStyle w:val="ac"/>
        <w:shd w:val="clear" w:color="auto" w:fill="FFFFFF"/>
        <w:spacing w:before="0" w:beforeAutospacing="0" w:after="0" w:afterAutospacing="0" w:line="276" w:lineRule="auto"/>
        <w:jc w:val="right"/>
        <w:rPr>
          <w:b/>
          <w:bCs/>
          <w:i/>
          <w:iCs/>
          <w:lang w:val="ro-RO"/>
        </w:rPr>
      </w:pPr>
    </w:p>
    <w:p w14:paraId="54D32E98" w14:textId="77777777" w:rsidR="00787F99" w:rsidRPr="005429CB" w:rsidRDefault="00787F99" w:rsidP="00787F99">
      <w:pPr>
        <w:pStyle w:val="ac"/>
        <w:spacing w:before="0" w:beforeAutospacing="0" w:after="0" w:afterAutospacing="0" w:line="276" w:lineRule="auto"/>
        <w:ind w:left="502" w:right="26"/>
        <w:jc w:val="center"/>
        <w:textAlignment w:val="baseline"/>
        <w:rPr>
          <w:lang w:val="ro-RO"/>
        </w:rPr>
      </w:pPr>
    </w:p>
    <w:p w14:paraId="3E179A84" w14:textId="2CFF2FA2" w:rsidR="00787F99" w:rsidRPr="005429CB" w:rsidRDefault="00787F99" w:rsidP="00787F99">
      <w:pPr>
        <w:pStyle w:val="ac"/>
        <w:spacing w:before="0" w:beforeAutospacing="0" w:after="0" w:afterAutospacing="0" w:line="276" w:lineRule="auto"/>
        <w:ind w:left="502" w:right="26"/>
        <w:jc w:val="center"/>
        <w:textAlignment w:val="baseline"/>
        <w:rPr>
          <w:color w:val="000000"/>
          <w:lang w:val="ro-RO"/>
        </w:rPr>
      </w:pPr>
      <w:r w:rsidRPr="005429CB">
        <w:rPr>
          <w:lang w:val="ro-RO"/>
        </w:rPr>
        <w:t xml:space="preserve">Informația cu privire la codurile principale de activitate declarat în </w:t>
      </w:r>
      <w:r w:rsidRPr="005429CB">
        <w:rPr>
          <w:color w:val="000000"/>
          <w:lang w:val="ro-RO"/>
        </w:rPr>
        <w:t>Declarația privind reținerea impozitului pe venit, a primelor de asigurare obligatorie de asistență medicală și a contribuțiilor de asigurări sociale de stat obligatorii calculate (forma IPC21) pentru luna noiembrie 2024, prezentată de întreprinderi către Serviciului Fiscal de Stat până la data de 31 decembrie 2024</w:t>
      </w:r>
    </w:p>
    <w:p w14:paraId="2A8F7C7E" w14:textId="77777777" w:rsidR="00787F99" w:rsidRPr="005429CB" w:rsidRDefault="00787F99" w:rsidP="00787F99">
      <w:pPr>
        <w:jc w:val="center"/>
        <w:rPr>
          <w:rFonts w:ascii="Times New Roman" w:hAnsi="Times New Roman" w:cs="Times New Roman"/>
          <w:lang w:val="ro-RO"/>
        </w:rPr>
      </w:pPr>
      <w:r w:rsidRPr="005429CB">
        <w:rPr>
          <w:rFonts w:ascii="Times New Roman" w:hAnsi="Times New Roman" w:cs="Times New Roman"/>
          <w:lang w:val="ro-RO"/>
        </w:rPr>
        <w:t xml:space="preserve"> </w:t>
      </w:r>
    </w:p>
    <w:tbl>
      <w:tblPr>
        <w:tblStyle w:val="ae"/>
        <w:tblW w:w="9067" w:type="dxa"/>
        <w:tblLayout w:type="fixed"/>
        <w:tblLook w:val="04A0" w:firstRow="1" w:lastRow="0" w:firstColumn="1" w:lastColumn="0" w:noHBand="0" w:noVBand="1"/>
      </w:tblPr>
      <w:tblGrid>
        <w:gridCol w:w="704"/>
        <w:gridCol w:w="2410"/>
        <w:gridCol w:w="3685"/>
        <w:gridCol w:w="2268"/>
      </w:tblGrid>
      <w:tr w:rsidR="00787F99" w:rsidRPr="005429CB" w14:paraId="6E2EB69A" w14:textId="77777777" w:rsidTr="00275795">
        <w:tc>
          <w:tcPr>
            <w:tcW w:w="704" w:type="dxa"/>
          </w:tcPr>
          <w:p w14:paraId="5DA7B81A"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Nr ord</w:t>
            </w:r>
          </w:p>
        </w:tc>
        <w:tc>
          <w:tcPr>
            <w:tcW w:w="2410" w:type="dxa"/>
          </w:tcPr>
          <w:p w14:paraId="064E9E7B"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Codul fiscal al întreprinderii</w:t>
            </w:r>
          </w:p>
        </w:tc>
        <w:tc>
          <w:tcPr>
            <w:tcW w:w="3685" w:type="dxa"/>
          </w:tcPr>
          <w:p w14:paraId="112290C7" w14:textId="77777777" w:rsidR="00787F99" w:rsidRPr="005429CB" w:rsidRDefault="00787F99" w:rsidP="00275795">
            <w:pPr>
              <w:contextualSpacing/>
              <w:jc w:val="center"/>
              <w:rPr>
                <w:rFonts w:ascii="Times New Roman" w:eastAsia="Aptos" w:hAnsi="Times New Roman"/>
                <w:kern w:val="2"/>
                <w:sz w:val="24"/>
                <w:szCs w:val="24"/>
                <w:lang w:val="ro-RO"/>
                <w14:ligatures w14:val="standardContextual"/>
              </w:rPr>
            </w:pPr>
            <w:r w:rsidRPr="005429CB">
              <w:rPr>
                <w:rFonts w:ascii="Times New Roman" w:eastAsia="Aptos" w:hAnsi="Times New Roman"/>
                <w:kern w:val="2"/>
                <w:sz w:val="24"/>
                <w:szCs w:val="24"/>
                <w:lang w:val="ro-RO"/>
                <w14:ligatures w14:val="standardContextual"/>
              </w:rPr>
              <w:t>Denumirea întreprinderii</w:t>
            </w:r>
          </w:p>
          <w:p w14:paraId="7618EFB1" w14:textId="77777777" w:rsidR="00787F99" w:rsidRPr="005429CB" w:rsidRDefault="00787F99" w:rsidP="00275795">
            <w:pPr>
              <w:jc w:val="center"/>
              <w:rPr>
                <w:rFonts w:ascii="Times New Roman" w:hAnsi="Times New Roman"/>
                <w:sz w:val="24"/>
                <w:szCs w:val="24"/>
                <w:lang w:val="ro-RO"/>
              </w:rPr>
            </w:pPr>
          </w:p>
        </w:tc>
        <w:tc>
          <w:tcPr>
            <w:tcW w:w="2268" w:type="dxa"/>
          </w:tcPr>
          <w:p w14:paraId="35B04B7E" w14:textId="77777777" w:rsidR="00787F99" w:rsidRPr="005429CB" w:rsidRDefault="00787F99" w:rsidP="00275795">
            <w:pPr>
              <w:contextualSpacing/>
              <w:jc w:val="center"/>
              <w:rPr>
                <w:rFonts w:ascii="Times New Roman" w:eastAsia="Aptos" w:hAnsi="Times New Roman"/>
                <w:kern w:val="2"/>
                <w:sz w:val="24"/>
                <w:szCs w:val="24"/>
                <w:lang w:val="ro-RO"/>
                <w14:ligatures w14:val="standardContextual"/>
              </w:rPr>
            </w:pPr>
            <w:r w:rsidRPr="005429CB">
              <w:rPr>
                <w:rFonts w:ascii="Times New Roman" w:eastAsia="Aptos" w:hAnsi="Times New Roman"/>
                <w:kern w:val="2"/>
                <w:sz w:val="24"/>
                <w:szCs w:val="24"/>
                <w:lang w:val="ro-RO"/>
                <w14:ligatures w14:val="standardContextual"/>
              </w:rPr>
              <w:t>Codul principal de activitate declarat (CAEM)</w:t>
            </w:r>
          </w:p>
          <w:p w14:paraId="474CF3B8" w14:textId="77777777" w:rsidR="00787F99" w:rsidRPr="005429CB" w:rsidRDefault="00787F99" w:rsidP="00275795">
            <w:pPr>
              <w:jc w:val="center"/>
              <w:rPr>
                <w:rFonts w:ascii="Times New Roman" w:hAnsi="Times New Roman"/>
                <w:sz w:val="24"/>
                <w:szCs w:val="24"/>
                <w:lang w:val="ro-RO"/>
              </w:rPr>
            </w:pPr>
          </w:p>
        </w:tc>
      </w:tr>
      <w:tr w:rsidR="00787F99" w:rsidRPr="005429CB" w14:paraId="455F5392" w14:textId="77777777" w:rsidTr="00275795">
        <w:tc>
          <w:tcPr>
            <w:tcW w:w="704" w:type="dxa"/>
          </w:tcPr>
          <w:p w14:paraId="11202D35"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A</w:t>
            </w:r>
          </w:p>
        </w:tc>
        <w:tc>
          <w:tcPr>
            <w:tcW w:w="2410" w:type="dxa"/>
          </w:tcPr>
          <w:p w14:paraId="1A72F617"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1</w:t>
            </w:r>
          </w:p>
        </w:tc>
        <w:tc>
          <w:tcPr>
            <w:tcW w:w="3685" w:type="dxa"/>
          </w:tcPr>
          <w:p w14:paraId="47578DCC"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2</w:t>
            </w:r>
          </w:p>
        </w:tc>
        <w:tc>
          <w:tcPr>
            <w:tcW w:w="2268" w:type="dxa"/>
          </w:tcPr>
          <w:p w14:paraId="04E7A2DB" w14:textId="77777777" w:rsidR="00787F99" w:rsidRPr="005429CB" w:rsidRDefault="00787F99" w:rsidP="00275795">
            <w:pPr>
              <w:jc w:val="center"/>
              <w:rPr>
                <w:rFonts w:ascii="Times New Roman" w:hAnsi="Times New Roman"/>
                <w:sz w:val="24"/>
                <w:szCs w:val="24"/>
                <w:lang w:val="ro-RO"/>
              </w:rPr>
            </w:pPr>
            <w:r w:rsidRPr="005429CB">
              <w:rPr>
                <w:rFonts w:ascii="Times New Roman" w:hAnsi="Times New Roman"/>
                <w:sz w:val="24"/>
                <w:szCs w:val="24"/>
                <w:lang w:val="ro-RO"/>
              </w:rPr>
              <w:t>3</w:t>
            </w:r>
          </w:p>
        </w:tc>
      </w:tr>
      <w:tr w:rsidR="00787F99" w:rsidRPr="005429CB" w14:paraId="3C718FCD" w14:textId="77777777" w:rsidTr="00275795">
        <w:tc>
          <w:tcPr>
            <w:tcW w:w="704" w:type="dxa"/>
          </w:tcPr>
          <w:p w14:paraId="7515E1BA" w14:textId="77777777" w:rsidR="00787F99" w:rsidRPr="005429CB" w:rsidRDefault="00787F99" w:rsidP="00275795">
            <w:pPr>
              <w:jc w:val="center"/>
              <w:rPr>
                <w:rFonts w:ascii="Times New Roman" w:hAnsi="Times New Roman"/>
                <w:sz w:val="24"/>
                <w:szCs w:val="24"/>
              </w:rPr>
            </w:pPr>
            <w:r w:rsidRPr="005429CB">
              <w:rPr>
                <w:rFonts w:ascii="Times New Roman" w:hAnsi="Times New Roman"/>
                <w:sz w:val="24"/>
                <w:szCs w:val="24"/>
              </w:rPr>
              <w:t>1</w:t>
            </w:r>
          </w:p>
        </w:tc>
        <w:tc>
          <w:tcPr>
            <w:tcW w:w="2410" w:type="dxa"/>
          </w:tcPr>
          <w:p w14:paraId="638186AB" w14:textId="77777777" w:rsidR="00787F99" w:rsidRPr="005429CB" w:rsidRDefault="00787F99" w:rsidP="00275795">
            <w:pPr>
              <w:jc w:val="center"/>
              <w:rPr>
                <w:rFonts w:ascii="Times New Roman" w:hAnsi="Times New Roman"/>
                <w:sz w:val="24"/>
                <w:szCs w:val="24"/>
              </w:rPr>
            </w:pPr>
          </w:p>
        </w:tc>
        <w:tc>
          <w:tcPr>
            <w:tcW w:w="3685" w:type="dxa"/>
          </w:tcPr>
          <w:p w14:paraId="7B182FC0" w14:textId="77777777" w:rsidR="00787F99" w:rsidRPr="005429CB" w:rsidRDefault="00787F99" w:rsidP="00275795">
            <w:pPr>
              <w:jc w:val="center"/>
              <w:rPr>
                <w:rFonts w:ascii="Times New Roman" w:hAnsi="Times New Roman"/>
                <w:sz w:val="24"/>
                <w:szCs w:val="24"/>
              </w:rPr>
            </w:pPr>
          </w:p>
        </w:tc>
        <w:tc>
          <w:tcPr>
            <w:tcW w:w="2268" w:type="dxa"/>
          </w:tcPr>
          <w:p w14:paraId="69ECCC96" w14:textId="77777777" w:rsidR="00787F99" w:rsidRPr="005429CB" w:rsidRDefault="00787F99" w:rsidP="00275795">
            <w:pPr>
              <w:jc w:val="center"/>
              <w:rPr>
                <w:rFonts w:ascii="Times New Roman" w:hAnsi="Times New Roman"/>
                <w:sz w:val="24"/>
                <w:szCs w:val="24"/>
              </w:rPr>
            </w:pPr>
          </w:p>
        </w:tc>
      </w:tr>
      <w:tr w:rsidR="00787F99" w:rsidRPr="005429CB" w14:paraId="45B46E2A" w14:textId="77777777" w:rsidTr="00275795">
        <w:tc>
          <w:tcPr>
            <w:tcW w:w="704" w:type="dxa"/>
          </w:tcPr>
          <w:p w14:paraId="6BA6883B" w14:textId="77777777" w:rsidR="00787F99" w:rsidRPr="005429CB" w:rsidRDefault="00787F99" w:rsidP="00275795">
            <w:pPr>
              <w:jc w:val="center"/>
              <w:rPr>
                <w:rFonts w:ascii="Times New Roman" w:hAnsi="Times New Roman"/>
                <w:sz w:val="24"/>
                <w:szCs w:val="24"/>
              </w:rPr>
            </w:pPr>
            <w:r w:rsidRPr="005429CB">
              <w:rPr>
                <w:rFonts w:ascii="Times New Roman" w:hAnsi="Times New Roman"/>
                <w:sz w:val="24"/>
                <w:szCs w:val="24"/>
              </w:rPr>
              <w:t>2</w:t>
            </w:r>
          </w:p>
        </w:tc>
        <w:tc>
          <w:tcPr>
            <w:tcW w:w="2410" w:type="dxa"/>
          </w:tcPr>
          <w:p w14:paraId="6EC53AB0" w14:textId="77777777" w:rsidR="00787F99" w:rsidRPr="005429CB" w:rsidRDefault="00787F99" w:rsidP="00275795">
            <w:pPr>
              <w:jc w:val="center"/>
              <w:rPr>
                <w:rFonts w:ascii="Times New Roman" w:hAnsi="Times New Roman"/>
                <w:sz w:val="24"/>
                <w:szCs w:val="24"/>
              </w:rPr>
            </w:pPr>
          </w:p>
        </w:tc>
        <w:tc>
          <w:tcPr>
            <w:tcW w:w="3685" w:type="dxa"/>
          </w:tcPr>
          <w:p w14:paraId="1F696A80" w14:textId="77777777" w:rsidR="00787F99" w:rsidRPr="005429CB" w:rsidRDefault="00787F99" w:rsidP="00275795">
            <w:pPr>
              <w:jc w:val="center"/>
              <w:rPr>
                <w:rFonts w:ascii="Times New Roman" w:hAnsi="Times New Roman"/>
                <w:sz w:val="24"/>
                <w:szCs w:val="24"/>
              </w:rPr>
            </w:pPr>
          </w:p>
        </w:tc>
        <w:tc>
          <w:tcPr>
            <w:tcW w:w="2268" w:type="dxa"/>
          </w:tcPr>
          <w:p w14:paraId="2A276E05" w14:textId="77777777" w:rsidR="00787F99" w:rsidRPr="005429CB" w:rsidRDefault="00787F99" w:rsidP="00275795">
            <w:pPr>
              <w:jc w:val="center"/>
              <w:rPr>
                <w:rFonts w:ascii="Times New Roman" w:hAnsi="Times New Roman"/>
                <w:sz w:val="24"/>
                <w:szCs w:val="24"/>
              </w:rPr>
            </w:pPr>
          </w:p>
        </w:tc>
      </w:tr>
      <w:tr w:rsidR="00787F99" w:rsidRPr="005429CB" w14:paraId="60A5805B" w14:textId="77777777" w:rsidTr="00275795">
        <w:tc>
          <w:tcPr>
            <w:tcW w:w="704" w:type="dxa"/>
          </w:tcPr>
          <w:p w14:paraId="35F30B83" w14:textId="77777777" w:rsidR="00787F99" w:rsidRPr="005429CB" w:rsidRDefault="00787F99" w:rsidP="00275795">
            <w:pPr>
              <w:jc w:val="center"/>
              <w:rPr>
                <w:rFonts w:ascii="Times New Roman" w:hAnsi="Times New Roman"/>
                <w:sz w:val="24"/>
                <w:szCs w:val="24"/>
              </w:rPr>
            </w:pPr>
            <w:r w:rsidRPr="005429CB">
              <w:rPr>
                <w:rFonts w:ascii="Times New Roman" w:hAnsi="Times New Roman"/>
                <w:sz w:val="24"/>
                <w:szCs w:val="24"/>
              </w:rPr>
              <w:t>3</w:t>
            </w:r>
          </w:p>
        </w:tc>
        <w:tc>
          <w:tcPr>
            <w:tcW w:w="2410" w:type="dxa"/>
          </w:tcPr>
          <w:p w14:paraId="480D7AA7" w14:textId="77777777" w:rsidR="00787F99" w:rsidRPr="005429CB" w:rsidRDefault="00787F99" w:rsidP="00275795">
            <w:pPr>
              <w:jc w:val="center"/>
              <w:rPr>
                <w:rFonts w:ascii="Times New Roman" w:hAnsi="Times New Roman"/>
                <w:sz w:val="24"/>
                <w:szCs w:val="24"/>
              </w:rPr>
            </w:pPr>
          </w:p>
        </w:tc>
        <w:tc>
          <w:tcPr>
            <w:tcW w:w="3685" w:type="dxa"/>
          </w:tcPr>
          <w:p w14:paraId="48273F3F" w14:textId="77777777" w:rsidR="00787F99" w:rsidRPr="005429CB" w:rsidRDefault="00787F99" w:rsidP="00275795">
            <w:pPr>
              <w:jc w:val="center"/>
              <w:rPr>
                <w:rFonts w:ascii="Times New Roman" w:hAnsi="Times New Roman"/>
                <w:sz w:val="24"/>
                <w:szCs w:val="24"/>
              </w:rPr>
            </w:pPr>
          </w:p>
        </w:tc>
        <w:tc>
          <w:tcPr>
            <w:tcW w:w="2268" w:type="dxa"/>
          </w:tcPr>
          <w:p w14:paraId="24B220EA" w14:textId="77777777" w:rsidR="00787F99" w:rsidRPr="005429CB" w:rsidRDefault="00787F99" w:rsidP="00275795">
            <w:pPr>
              <w:jc w:val="center"/>
              <w:rPr>
                <w:rFonts w:ascii="Times New Roman" w:hAnsi="Times New Roman"/>
                <w:sz w:val="24"/>
                <w:szCs w:val="24"/>
              </w:rPr>
            </w:pPr>
          </w:p>
        </w:tc>
      </w:tr>
      <w:tr w:rsidR="00787F99" w:rsidRPr="005429CB" w14:paraId="492644FF" w14:textId="77777777" w:rsidTr="00275795">
        <w:tc>
          <w:tcPr>
            <w:tcW w:w="704" w:type="dxa"/>
          </w:tcPr>
          <w:p w14:paraId="483A0A9C" w14:textId="77777777" w:rsidR="00787F99" w:rsidRPr="005429CB" w:rsidRDefault="00787F99" w:rsidP="00275795">
            <w:pPr>
              <w:jc w:val="center"/>
              <w:rPr>
                <w:rFonts w:ascii="Times New Roman" w:hAnsi="Times New Roman"/>
                <w:sz w:val="24"/>
                <w:szCs w:val="24"/>
              </w:rPr>
            </w:pPr>
            <w:r w:rsidRPr="005429CB">
              <w:rPr>
                <w:rFonts w:ascii="Times New Roman" w:hAnsi="Times New Roman"/>
                <w:sz w:val="24"/>
                <w:szCs w:val="24"/>
              </w:rPr>
              <w:t>4</w:t>
            </w:r>
          </w:p>
        </w:tc>
        <w:tc>
          <w:tcPr>
            <w:tcW w:w="2410" w:type="dxa"/>
          </w:tcPr>
          <w:p w14:paraId="75B5DD8F" w14:textId="77777777" w:rsidR="00787F99" w:rsidRPr="005429CB" w:rsidRDefault="00787F99" w:rsidP="00275795">
            <w:pPr>
              <w:jc w:val="center"/>
              <w:rPr>
                <w:rFonts w:ascii="Times New Roman" w:hAnsi="Times New Roman"/>
                <w:sz w:val="24"/>
                <w:szCs w:val="24"/>
              </w:rPr>
            </w:pPr>
          </w:p>
        </w:tc>
        <w:tc>
          <w:tcPr>
            <w:tcW w:w="3685" w:type="dxa"/>
          </w:tcPr>
          <w:p w14:paraId="5D019D73" w14:textId="77777777" w:rsidR="00787F99" w:rsidRPr="005429CB" w:rsidRDefault="00787F99" w:rsidP="00275795">
            <w:pPr>
              <w:jc w:val="center"/>
              <w:rPr>
                <w:rFonts w:ascii="Times New Roman" w:hAnsi="Times New Roman"/>
                <w:sz w:val="24"/>
                <w:szCs w:val="24"/>
              </w:rPr>
            </w:pPr>
          </w:p>
        </w:tc>
        <w:tc>
          <w:tcPr>
            <w:tcW w:w="2268" w:type="dxa"/>
          </w:tcPr>
          <w:p w14:paraId="22023133" w14:textId="77777777" w:rsidR="00787F99" w:rsidRPr="005429CB" w:rsidRDefault="00787F99" w:rsidP="00275795">
            <w:pPr>
              <w:jc w:val="center"/>
              <w:rPr>
                <w:rFonts w:ascii="Times New Roman" w:hAnsi="Times New Roman"/>
                <w:sz w:val="24"/>
                <w:szCs w:val="24"/>
              </w:rPr>
            </w:pPr>
          </w:p>
        </w:tc>
      </w:tr>
      <w:tr w:rsidR="00787F99" w:rsidRPr="005429CB" w14:paraId="431B6BDA" w14:textId="77777777" w:rsidTr="00275795">
        <w:tc>
          <w:tcPr>
            <w:tcW w:w="704" w:type="dxa"/>
          </w:tcPr>
          <w:p w14:paraId="5C31D1D0" w14:textId="77777777" w:rsidR="00787F99" w:rsidRPr="005429CB" w:rsidRDefault="00787F99" w:rsidP="00275795">
            <w:pPr>
              <w:jc w:val="center"/>
              <w:rPr>
                <w:rFonts w:ascii="Times New Roman" w:hAnsi="Times New Roman"/>
                <w:sz w:val="24"/>
                <w:szCs w:val="24"/>
              </w:rPr>
            </w:pPr>
            <w:r w:rsidRPr="005429CB">
              <w:rPr>
                <w:rFonts w:ascii="Times New Roman" w:hAnsi="Times New Roman"/>
                <w:sz w:val="24"/>
                <w:szCs w:val="24"/>
              </w:rPr>
              <w:t>5</w:t>
            </w:r>
          </w:p>
        </w:tc>
        <w:tc>
          <w:tcPr>
            <w:tcW w:w="2410" w:type="dxa"/>
          </w:tcPr>
          <w:p w14:paraId="7E4AF6F8" w14:textId="77777777" w:rsidR="00787F99" w:rsidRPr="005429CB" w:rsidRDefault="00787F99" w:rsidP="00275795">
            <w:pPr>
              <w:jc w:val="center"/>
              <w:rPr>
                <w:rFonts w:ascii="Times New Roman" w:hAnsi="Times New Roman"/>
                <w:sz w:val="24"/>
                <w:szCs w:val="24"/>
              </w:rPr>
            </w:pPr>
          </w:p>
        </w:tc>
        <w:tc>
          <w:tcPr>
            <w:tcW w:w="3685" w:type="dxa"/>
          </w:tcPr>
          <w:p w14:paraId="1CF18334" w14:textId="77777777" w:rsidR="00787F99" w:rsidRPr="005429CB" w:rsidRDefault="00787F99" w:rsidP="00275795">
            <w:pPr>
              <w:jc w:val="center"/>
              <w:rPr>
                <w:rFonts w:ascii="Times New Roman" w:hAnsi="Times New Roman"/>
                <w:sz w:val="24"/>
                <w:szCs w:val="24"/>
              </w:rPr>
            </w:pPr>
          </w:p>
        </w:tc>
        <w:tc>
          <w:tcPr>
            <w:tcW w:w="2268" w:type="dxa"/>
          </w:tcPr>
          <w:p w14:paraId="78432626" w14:textId="77777777" w:rsidR="00787F99" w:rsidRPr="005429CB" w:rsidRDefault="00787F99" w:rsidP="00275795">
            <w:pPr>
              <w:jc w:val="center"/>
              <w:rPr>
                <w:rFonts w:ascii="Times New Roman" w:hAnsi="Times New Roman"/>
                <w:sz w:val="24"/>
                <w:szCs w:val="24"/>
              </w:rPr>
            </w:pPr>
          </w:p>
        </w:tc>
      </w:tr>
    </w:tbl>
    <w:p w14:paraId="690D6C2F" w14:textId="44AF67C4" w:rsidR="00787F99" w:rsidRPr="005429CB" w:rsidRDefault="00787F99" w:rsidP="00AD6831">
      <w:pPr>
        <w:pStyle w:val="ac"/>
        <w:shd w:val="clear" w:color="auto" w:fill="FFFFFF"/>
        <w:spacing w:before="0" w:beforeAutospacing="0" w:after="0" w:afterAutospacing="0" w:line="276" w:lineRule="auto"/>
        <w:jc w:val="center"/>
        <w:rPr>
          <w:lang w:val="ro-RO"/>
        </w:rPr>
      </w:pPr>
    </w:p>
    <w:p w14:paraId="182CAF49" w14:textId="7E74841B" w:rsidR="00787F99" w:rsidRPr="005429CB" w:rsidRDefault="00787F99" w:rsidP="00AD6831">
      <w:pPr>
        <w:pStyle w:val="ac"/>
        <w:shd w:val="clear" w:color="auto" w:fill="FFFFFF"/>
        <w:spacing w:before="0" w:beforeAutospacing="0" w:after="0" w:afterAutospacing="0" w:line="276" w:lineRule="auto"/>
        <w:jc w:val="center"/>
        <w:rPr>
          <w:lang w:val="ro-RO"/>
        </w:rPr>
      </w:pPr>
      <w:r w:rsidRPr="005429CB">
        <w:rPr>
          <w:lang w:val="ro-RO"/>
        </w:rPr>
        <w:br w:type="page"/>
      </w:r>
    </w:p>
    <w:p w14:paraId="05383E07" w14:textId="77777777" w:rsidR="00787F99" w:rsidRPr="005429CB" w:rsidRDefault="00787F99" w:rsidP="00787F99">
      <w:pPr>
        <w:pStyle w:val="ac"/>
        <w:shd w:val="clear" w:color="auto" w:fill="FFFFFF"/>
        <w:spacing w:before="0" w:beforeAutospacing="0" w:after="0" w:afterAutospacing="0" w:line="276" w:lineRule="auto"/>
        <w:jc w:val="right"/>
        <w:rPr>
          <w:b/>
          <w:bCs/>
          <w:i/>
          <w:iCs/>
          <w:lang w:val="ro-RO"/>
        </w:rPr>
        <w:sectPr w:rsidR="00787F99" w:rsidRPr="005429CB">
          <w:pgSz w:w="12240" w:h="15840"/>
          <w:pgMar w:top="1134" w:right="850" w:bottom="1134" w:left="1701" w:header="708" w:footer="708" w:gutter="0"/>
          <w:cols w:space="708"/>
          <w:docGrid w:linePitch="360"/>
        </w:sectPr>
      </w:pPr>
    </w:p>
    <w:p w14:paraId="537BD647" w14:textId="2318B082" w:rsidR="00787F99" w:rsidRPr="005429CB" w:rsidRDefault="00787F99" w:rsidP="00787F99">
      <w:pPr>
        <w:pStyle w:val="ac"/>
        <w:shd w:val="clear" w:color="auto" w:fill="FFFFFF"/>
        <w:spacing w:before="0" w:beforeAutospacing="0" w:after="0" w:afterAutospacing="0" w:line="276" w:lineRule="auto"/>
        <w:jc w:val="right"/>
        <w:rPr>
          <w:b/>
          <w:bCs/>
          <w:i/>
          <w:iCs/>
          <w:lang w:val="ro-RO"/>
        </w:rPr>
      </w:pPr>
      <w:r w:rsidRPr="005429CB">
        <w:rPr>
          <w:b/>
          <w:bCs/>
          <w:i/>
          <w:iCs/>
          <w:lang w:val="ro-RO"/>
        </w:rPr>
        <w:lastRenderedPageBreak/>
        <w:t xml:space="preserve">Anexa nr. 3 </w:t>
      </w:r>
    </w:p>
    <w:p w14:paraId="2210C375" w14:textId="2488DEDB" w:rsidR="00AE371D" w:rsidRPr="005429CB" w:rsidRDefault="00AE371D"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 xml:space="preserve">la Programul de compensare a creșterii prețului </w:t>
      </w:r>
    </w:p>
    <w:p w14:paraId="782732BF" w14:textId="77777777" w:rsidR="00AE371D" w:rsidRPr="005429CB" w:rsidRDefault="00AE371D" w:rsidP="00AE371D">
      <w:pPr>
        <w:pStyle w:val="ac"/>
        <w:shd w:val="clear" w:color="auto" w:fill="FFFFFF"/>
        <w:spacing w:before="0" w:beforeAutospacing="0" w:after="0" w:afterAutospacing="0" w:line="276" w:lineRule="auto"/>
        <w:jc w:val="right"/>
        <w:rPr>
          <w:b/>
          <w:bCs/>
          <w:i/>
          <w:iCs/>
          <w:lang w:val="ro-RO"/>
        </w:rPr>
      </w:pPr>
      <w:r w:rsidRPr="005429CB">
        <w:rPr>
          <w:b/>
          <w:bCs/>
          <w:i/>
          <w:iCs/>
          <w:lang w:val="ro-RO"/>
        </w:rPr>
        <w:t>la energia electrică pentru întreprinderile din Republica Moldova</w:t>
      </w:r>
    </w:p>
    <w:p w14:paraId="29ACFEA1" w14:textId="77777777" w:rsidR="00787F99" w:rsidRPr="005429CB" w:rsidRDefault="00787F99" w:rsidP="00787F99">
      <w:pPr>
        <w:jc w:val="center"/>
        <w:rPr>
          <w:rFonts w:ascii="Times New Roman" w:hAnsi="Times New Roman" w:cs="Times New Roman"/>
          <w:lang w:val="ro-RO"/>
        </w:rPr>
      </w:pPr>
    </w:p>
    <w:p w14:paraId="66654F0A" w14:textId="77777777" w:rsidR="00787F99" w:rsidRPr="005429CB" w:rsidRDefault="00787F99" w:rsidP="00787F99">
      <w:pPr>
        <w:jc w:val="center"/>
        <w:rPr>
          <w:rFonts w:ascii="Times New Roman" w:hAnsi="Times New Roman" w:cs="Times New Roman"/>
          <w:lang w:val="ro-RO"/>
        </w:rPr>
      </w:pPr>
    </w:p>
    <w:p w14:paraId="3657625E" w14:textId="77777777" w:rsidR="00787F99" w:rsidRPr="005429CB" w:rsidRDefault="00787F99" w:rsidP="00787F99">
      <w:pPr>
        <w:jc w:val="center"/>
        <w:rPr>
          <w:rFonts w:ascii="Times New Roman" w:hAnsi="Times New Roman" w:cs="Times New Roman"/>
          <w:lang w:val="ro-RO"/>
        </w:rPr>
      </w:pPr>
    </w:p>
    <w:p w14:paraId="670C7B2A" w14:textId="579626B2" w:rsidR="00787F99" w:rsidRPr="005429CB" w:rsidRDefault="00787F99" w:rsidP="00787F99">
      <w:pPr>
        <w:jc w:val="center"/>
        <w:rPr>
          <w:rFonts w:ascii="Times New Roman" w:hAnsi="Times New Roman" w:cs="Times New Roman"/>
          <w:lang w:val="ro-RO"/>
        </w:rPr>
      </w:pPr>
      <w:r w:rsidRPr="005429CB">
        <w:rPr>
          <w:rFonts w:ascii="Times New Roman" w:hAnsi="Times New Roman" w:cs="Times New Roman"/>
          <w:lang w:val="ro-RO"/>
        </w:rPr>
        <w:t xml:space="preserve">Informația cu privire la facturile eliberate și consumul de energie electrică consumat în kWh aferent beneficiarilor eligibili spre compensare parțială a diferenței de preț pentru consumul energie electrice procurate de la furnizorii de energie electrică la prețuri reglementate </w:t>
      </w:r>
    </w:p>
    <w:tbl>
      <w:tblPr>
        <w:tblStyle w:val="ae"/>
        <w:tblW w:w="14186" w:type="dxa"/>
        <w:tblInd w:w="-856" w:type="dxa"/>
        <w:tblLayout w:type="fixed"/>
        <w:tblLook w:val="04A0" w:firstRow="1" w:lastRow="0" w:firstColumn="1" w:lastColumn="0" w:noHBand="0" w:noVBand="1"/>
      </w:tblPr>
      <w:tblGrid>
        <w:gridCol w:w="526"/>
        <w:gridCol w:w="1459"/>
        <w:gridCol w:w="1276"/>
        <w:gridCol w:w="2126"/>
        <w:gridCol w:w="1423"/>
        <w:gridCol w:w="1564"/>
        <w:gridCol w:w="1418"/>
        <w:gridCol w:w="1984"/>
        <w:gridCol w:w="2410"/>
      </w:tblGrid>
      <w:tr w:rsidR="00787F99" w:rsidRPr="005429CB" w14:paraId="66EF99F9" w14:textId="77777777" w:rsidTr="00787F99">
        <w:trPr>
          <w:trHeight w:val="300"/>
        </w:trPr>
        <w:tc>
          <w:tcPr>
            <w:tcW w:w="526" w:type="dxa"/>
            <w:vAlign w:val="center"/>
          </w:tcPr>
          <w:p w14:paraId="64DDD6F1"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Nr ord</w:t>
            </w:r>
          </w:p>
        </w:tc>
        <w:tc>
          <w:tcPr>
            <w:tcW w:w="1459" w:type="dxa"/>
            <w:vAlign w:val="center"/>
          </w:tcPr>
          <w:p w14:paraId="2D8BCFD7"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Codul fiscal al întreprinderii</w:t>
            </w:r>
          </w:p>
        </w:tc>
        <w:tc>
          <w:tcPr>
            <w:tcW w:w="1276" w:type="dxa"/>
            <w:vAlign w:val="center"/>
          </w:tcPr>
          <w:p w14:paraId="67B14159"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Denumirea întreprinderii</w:t>
            </w:r>
          </w:p>
          <w:p w14:paraId="1624CFCC" w14:textId="77777777" w:rsidR="00787F99" w:rsidRPr="005429CB" w:rsidRDefault="00787F99" w:rsidP="00275795">
            <w:pPr>
              <w:jc w:val="center"/>
              <w:rPr>
                <w:rFonts w:ascii="Times New Roman" w:hAnsi="Times New Roman"/>
                <w:lang w:val="ro-RO"/>
              </w:rPr>
            </w:pPr>
          </w:p>
        </w:tc>
        <w:tc>
          <w:tcPr>
            <w:tcW w:w="2126" w:type="dxa"/>
            <w:vAlign w:val="center"/>
          </w:tcPr>
          <w:p w14:paraId="1D447E22"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Furnizorul de energie electrică</w:t>
            </w:r>
          </w:p>
          <w:p w14:paraId="67A79A98" w14:textId="77777777" w:rsidR="00787F99" w:rsidRPr="005429CB" w:rsidRDefault="00787F99" w:rsidP="00275795">
            <w:pPr>
              <w:jc w:val="center"/>
              <w:rPr>
                <w:rFonts w:ascii="Times New Roman" w:hAnsi="Times New Roman"/>
                <w:lang w:val="ro-RO"/>
              </w:rPr>
            </w:pPr>
          </w:p>
        </w:tc>
        <w:tc>
          <w:tcPr>
            <w:tcW w:w="1423" w:type="dxa"/>
            <w:vAlign w:val="center"/>
          </w:tcPr>
          <w:p w14:paraId="23E2948F"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Seria și numărul facturii</w:t>
            </w:r>
          </w:p>
          <w:p w14:paraId="4669F589" w14:textId="77777777" w:rsidR="00787F99" w:rsidRPr="005429CB" w:rsidRDefault="00787F99" w:rsidP="00275795">
            <w:pPr>
              <w:jc w:val="center"/>
              <w:rPr>
                <w:rFonts w:ascii="Times New Roman" w:hAnsi="Times New Roman"/>
                <w:lang w:val="ro-RO"/>
              </w:rPr>
            </w:pPr>
          </w:p>
        </w:tc>
        <w:tc>
          <w:tcPr>
            <w:tcW w:w="1564" w:type="dxa"/>
            <w:vAlign w:val="center"/>
          </w:tcPr>
          <w:p w14:paraId="69FD5C76" w14:textId="77777777" w:rsidR="00787F99" w:rsidRPr="005429CB" w:rsidRDefault="00787F99" w:rsidP="00275795">
            <w:pPr>
              <w:jc w:val="center"/>
              <w:rPr>
                <w:rFonts w:ascii="Times New Roman" w:hAnsi="Times New Roman"/>
                <w:lang w:val="ro-RO"/>
              </w:rPr>
            </w:pPr>
            <w:r w:rsidRPr="005429CB">
              <w:rPr>
                <w:rFonts w:ascii="Times New Roman" w:eastAsia="Aptos" w:hAnsi="Times New Roman"/>
                <w:kern w:val="2"/>
                <w:lang w:val="ro-RO"/>
                <w14:ligatures w14:val="standardContextual"/>
              </w:rPr>
              <w:t xml:space="preserve">Client ID (NLC, contract nr.) </w:t>
            </w:r>
          </w:p>
        </w:tc>
        <w:tc>
          <w:tcPr>
            <w:tcW w:w="1418" w:type="dxa"/>
            <w:vAlign w:val="center"/>
          </w:tcPr>
          <w:p w14:paraId="37D116F3" w14:textId="77777777" w:rsidR="00787F99" w:rsidRPr="005429CB" w:rsidRDefault="00787F99" w:rsidP="00275795">
            <w:pPr>
              <w:jc w:val="center"/>
              <w:rPr>
                <w:rFonts w:ascii="Times New Roman" w:hAnsi="Times New Roman"/>
                <w:lang w:val="ro-RO"/>
              </w:rPr>
            </w:pPr>
          </w:p>
          <w:p w14:paraId="6B6A3A52"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Data eliberării facturii</w:t>
            </w:r>
          </w:p>
          <w:p w14:paraId="654C5805" w14:textId="77777777" w:rsidR="00787F99" w:rsidRPr="005429CB" w:rsidRDefault="00787F99" w:rsidP="00275795">
            <w:pPr>
              <w:jc w:val="center"/>
              <w:rPr>
                <w:rFonts w:ascii="Times New Roman" w:hAnsi="Times New Roman"/>
                <w:lang w:val="ro-RO"/>
              </w:rPr>
            </w:pPr>
          </w:p>
          <w:p w14:paraId="3CD997F3" w14:textId="77777777" w:rsidR="00787F99" w:rsidRPr="005429CB" w:rsidRDefault="00787F99" w:rsidP="00275795">
            <w:pPr>
              <w:jc w:val="center"/>
              <w:rPr>
                <w:rFonts w:ascii="Times New Roman" w:hAnsi="Times New Roman"/>
                <w:lang w:val="ro-RO"/>
              </w:rPr>
            </w:pPr>
          </w:p>
          <w:p w14:paraId="02A720D8" w14:textId="77777777" w:rsidR="00787F99" w:rsidRPr="005429CB" w:rsidRDefault="00787F99" w:rsidP="00275795">
            <w:pPr>
              <w:jc w:val="center"/>
              <w:rPr>
                <w:rFonts w:ascii="Times New Roman" w:hAnsi="Times New Roman"/>
                <w:lang w:val="ro-RO"/>
              </w:rPr>
            </w:pPr>
          </w:p>
        </w:tc>
        <w:tc>
          <w:tcPr>
            <w:tcW w:w="1984" w:type="dxa"/>
            <w:vAlign w:val="center"/>
          </w:tcPr>
          <w:p w14:paraId="60A3B098"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Volumul de energie electrică consumat la tarif majorat, în kWh</w:t>
            </w:r>
          </w:p>
        </w:tc>
        <w:tc>
          <w:tcPr>
            <w:tcW w:w="2410" w:type="dxa"/>
            <w:vAlign w:val="center"/>
          </w:tcPr>
          <w:p w14:paraId="02BAA4EC" w14:textId="77777777" w:rsidR="00787F99" w:rsidRPr="005429CB" w:rsidRDefault="00787F99" w:rsidP="00275795">
            <w:pPr>
              <w:contextualSpacing/>
              <w:jc w:val="center"/>
              <w:rPr>
                <w:rFonts w:ascii="Times New Roman" w:eastAsia="Aptos" w:hAnsi="Times New Roman"/>
                <w:kern w:val="2"/>
                <w:lang w:val="ro-RO"/>
                <w14:ligatures w14:val="standardContextual"/>
              </w:rPr>
            </w:pPr>
            <w:r w:rsidRPr="005429CB">
              <w:rPr>
                <w:rFonts w:ascii="Times New Roman" w:eastAsia="Aptos" w:hAnsi="Times New Roman"/>
                <w:kern w:val="2"/>
                <w:lang w:val="ro-RO"/>
                <w14:ligatures w14:val="standardContextual"/>
              </w:rPr>
              <w:t>Tip tensiune</w:t>
            </w:r>
          </w:p>
          <w:p w14:paraId="4D5592DA" w14:textId="77777777" w:rsidR="00787F99" w:rsidRPr="005429CB" w:rsidRDefault="00787F99" w:rsidP="00275795">
            <w:pPr>
              <w:jc w:val="center"/>
              <w:rPr>
                <w:rFonts w:ascii="Times New Roman" w:hAnsi="Times New Roman"/>
                <w:lang w:val="ro-RO"/>
              </w:rPr>
            </w:pPr>
          </w:p>
        </w:tc>
      </w:tr>
      <w:tr w:rsidR="00787F99" w:rsidRPr="005429CB" w14:paraId="31E17960" w14:textId="77777777" w:rsidTr="00787F99">
        <w:trPr>
          <w:trHeight w:val="300"/>
        </w:trPr>
        <w:tc>
          <w:tcPr>
            <w:tcW w:w="526" w:type="dxa"/>
          </w:tcPr>
          <w:p w14:paraId="10F2E211"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A</w:t>
            </w:r>
          </w:p>
        </w:tc>
        <w:tc>
          <w:tcPr>
            <w:tcW w:w="1459" w:type="dxa"/>
          </w:tcPr>
          <w:p w14:paraId="50D75C46"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1</w:t>
            </w:r>
          </w:p>
        </w:tc>
        <w:tc>
          <w:tcPr>
            <w:tcW w:w="1276" w:type="dxa"/>
          </w:tcPr>
          <w:p w14:paraId="70FBC8D0"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2</w:t>
            </w:r>
          </w:p>
        </w:tc>
        <w:tc>
          <w:tcPr>
            <w:tcW w:w="2126" w:type="dxa"/>
          </w:tcPr>
          <w:p w14:paraId="0653B62C"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3</w:t>
            </w:r>
          </w:p>
        </w:tc>
        <w:tc>
          <w:tcPr>
            <w:tcW w:w="1423" w:type="dxa"/>
          </w:tcPr>
          <w:p w14:paraId="54806AF5"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4</w:t>
            </w:r>
          </w:p>
        </w:tc>
        <w:tc>
          <w:tcPr>
            <w:tcW w:w="1564" w:type="dxa"/>
          </w:tcPr>
          <w:p w14:paraId="5D9422F3"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5</w:t>
            </w:r>
          </w:p>
        </w:tc>
        <w:tc>
          <w:tcPr>
            <w:tcW w:w="1418" w:type="dxa"/>
          </w:tcPr>
          <w:p w14:paraId="170DBE57"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6</w:t>
            </w:r>
          </w:p>
        </w:tc>
        <w:tc>
          <w:tcPr>
            <w:tcW w:w="1984" w:type="dxa"/>
          </w:tcPr>
          <w:p w14:paraId="054BBEF7"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7</w:t>
            </w:r>
          </w:p>
        </w:tc>
        <w:tc>
          <w:tcPr>
            <w:tcW w:w="2410" w:type="dxa"/>
          </w:tcPr>
          <w:p w14:paraId="45E9B56A"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8</w:t>
            </w:r>
          </w:p>
        </w:tc>
      </w:tr>
      <w:tr w:rsidR="00787F99" w:rsidRPr="005429CB" w14:paraId="4A51C204" w14:textId="77777777" w:rsidTr="00787F99">
        <w:trPr>
          <w:trHeight w:val="300"/>
        </w:trPr>
        <w:tc>
          <w:tcPr>
            <w:tcW w:w="526" w:type="dxa"/>
          </w:tcPr>
          <w:p w14:paraId="31FA37DC"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1</w:t>
            </w:r>
          </w:p>
        </w:tc>
        <w:tc>
          <w:tcPr>
            <w:tcW w:w="1459" w:type="dxa"/>
          </w:tcPr>
          <w:p w14:paraId="673DC08C" w14:textId="77777777" w:rsidR="00787F99" w:rsidRPr="005429CB" w:rsidRDefault="00787F99" w:rsidP="00275795">
            <w:pPr>
              <w:jc w:val="center"/>
              <w:rPr>
                <w:rFonts w:ascii="Times New Roman" w:hAnsi="Times New Roman"/>
                <w:lang w:val="ro-RO"/>
              </w:rPr>
            </w:pPr>
          </w:p>
        </w:tc>
        <w:tc>
          <w:tcPr>
            <w:tcW w:w="1276" w:type="dxa"/>
          </w:tcPr>
          <w:p w14:paraId="47109B97" w14:textId="77777777" w:rsidR="00787F99" w:rsidRPr="005429CB" w:rsidRDefault="00787F99" w:rsidP="00275795">
            <w:pPr>
              <w:jc w:val="center"/>
              <w:rPr>
                <w:rFonts w:ascii="Times New Roman" w:hAnsi="Times New Roman"/>
                <w:lang w:val="ro-RO"/>
              </w:rPr>
            </w:pPr>
          </w:p>
        </w:tc>
        <w:tc>
          <w:tcPr>
            <w:tcW w:w="2126" w:type="dxa"/>
          </w:tcPr>
          <w:p w14:paraId="632DDCCD" w14:textId="77777777" w:rsidR="00787F99" w:rsidRPr="005429CB" w:rsidRDefault="00787F99" w:rsidP="00275795">
            <w:pPr>
              <w:jc w:val="center"/>
              <w:rPr>
                <w:rFonts w:ascii="Times New Roman" w:hAnsi="Times New Roman"/>
                <w:lang w:val="ro-RO"/>
              </w:rPr>
            </w:pPr>
          </w:p>
        </w:tc>
        <w:tc>
          <w:tcPr>
            <w:tcW w:w="1423" w:type="dxa"/>
          </w:tcPr>
          <w:p w14:paraId="717C825B" w14:textId="77777777" w:rsidR="00787F99" w:rsidRPr="005429CB" w:rsidRDefault="00787F99" w:rsidP="00275795">
            <w:pPr>
              <w:jc w:val="center"/>
              <w:rPr>
                <w:rFonts w:ascii="Times New Roman" w:hAnsi="Times New Roman"/>
                <w:lang w:val="ro-RO"/>
              </w:rPr>
            </w:pPr>
          </w:p>
        </w:tc>
        <w:tc>
          <w:tcPr>
            <w:tcW w:w="1564" w:type="dxa"/>
          </w:tcPr>
          <w:p w14:paraId="50A1CDC0" w14:textId="77777777" w:rsidR="00787F99" w:rsidRPr="005429CB" w:rsidRDefault="00787F99" w:rsidP="00275795">
            <w:pPr>
              <w:jc w:val="center"/>
              <w:rPr>
                <w:rFonts w:ascii="Times New Roman" w:hAnsi="Times New Roman"/>
                <w:lang w:val="ro-RO"/>
              </w:rPr>
            </w:pPr>
          </w:p>
        </w:tc>
        <w:tc>
          <w:tcPr>
            <w:tcW w:w="1418" w:type="dxa"/>
          </w:tcPr>
          <w:p w14:paraId="6A5F1FC8" w14:textId="77777777" w:rsidR="00787F99" w:rsidRPr="005429CB" w:rsidRDefault="00787F99" w:rsidP="00275795">
            <w:pPr>
              <w:jc w:val="center"/>
              <w:rPr>
                <w:rFonts w:ascii="Times New Roman" w:hAnsi="Times New Roman"/>
                <w:lang w:val="ro-RO"/>
              </w:rPr>
            </w:pPr>
          </w:p>
        </w:tc>
        <w:tc>
          <w:tcPr>
            <w:tcW w:w="1984" w:type="dxa"/>
          </w:tcPr>
          <w:p w14:paraId="5E531E1C" w14:textId="77777777" w:rsidR="00787F99" w:rsidRPr="005429CB" w:rsidRDefault="00787F99" w:rsidP="00275795">
            <w:pPr>
              <w:jc w:val="center"/>
              <w:rPr>
                <w:rFonts w:ascii="Times New Roman" w:hAnsi="Times New Roman"/>
                <w:lang w:val="ro-RO"/>
              </w:rPr>
            </w:pPr>
          </w:p>
        </w:tc>
        <w:tc>
          <w:tcPr>
            <w:tcW w:w="2410" w:type="dxa"/>
          </w:tcPr>
          <w:p w14:paraId="35B70BF0" w14:textId="77777777" w:rsidR="00787F99" w:rsidRPr="005429CB" w:rsidRDefault="00787F99" w:rsidP="00275795">
            <w:pPr>
              <w:jc w:val="center"/>
              <w:rPr>
                <w:rFonts w:ascii="Times New Roman" w:hAnsi="Times New Roman"/>
                <w:lang w:val="ro-RO"/>
              </w:rPr>
            </w:pPr>
          </w:p>
        </w:tc>
      </w:tr>
      <w:tr w:rsidR="00787F99" w:rsidRPr="005429CB" w14:paraId="634E3E8F" w14:textId="77777777" w:rsidTr="00787F99">
        <w:trPr>
          <w:trHeight w:val="300"/>
        </w:trPr>
        <w:tc>
          <w:tcPr>
            <w:tcW w:w="526" w:type="dxa"/>
          </w:tcPr>
          <w:p w14:paraId="3D8CE666"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2</w:t>
            </w:r>
          </w:p>
        </w:tc>
        <w:tc>
          <w:tcPr>
            <w:tcW w:w="1459" w:type="dxa"/>
          </w:tcPr>
          <w:p w14:paraId="616FB3D0" w14:textId="77777777" w:rsidR="00787F99" w:rsidRPr="005429CB" w:rsidRDefault="00787F99" w:rsidP="00275795">
            <w:pPr>
              <w:jc w:val="center"/>
              <w:rPr>
                <w:rFonts w:ascii="Times New Roman" w:hAnsi="Times New Roman"/>
                <w:lang w:val="ro-RO"/>
              </w:rPr>
            </w:pPr>
          </w:p>
        </w:tc>
        <w:tc>
          <w:tcPr>
            <w:tcW w:w="1276" w:type="dxa"/>
          </w:tcPr>
          <w:p w14:paraId="15522DD3" w14:textId="77777777" w:rsidR="00787F99" w:rsidRPr="005429CB" w:rsidRDefault="00787F99" w:rsidP="00275795">
            <w:pPr>
              <w:jc w:val="center"/>
              <w:rPr>
                <w:rFonts w:ascii="Times New Roman" w:hAnsi="Times New Roman"/>
                <w:lang w:val="ro-RO"/>
              </w:rPr>
            </w:pPr>
          </w:p>
        </w:tc>
        <w:tc>
          <w:tcPr>
            <w:tcW w:w="2126" w:type="dxa"/>
          </w:tcPr>
          <w:p w14:paraId="0CB4A36A" w14:textId="77777777" w:rsidR="00787F99" w:rsidRPr="005429CB" w:rsidRDefault="00787F99" w:rsidP="00275795">
            <w:pPr>
              <w:jc w:val="center"/>
              <w:rPr>
                <w:rFonts w:ascii="Times New Roman" w:hAnsi="Times New Roman"/>
                <w:lang w:val="ro-RO"/>
              </w:rPr>
            </w:pPr>
          </w:p>
        </w:tc>
        <w:tc>
          <w:tcPr>
            <w:tcW w:w="1423" w:type="dxa"/>
          </w:tcPr>
          <w:p w14:paraId="08EDCFFC" w14:textId="77777777" w:rsidR="00787F99" w:rsidRPr="005429CB" w:rsidRDefault="00787F99" w:rsidP="00275795">
            <w:pPr>
              <w:jc w:val="center"/>
              <w:rPr>
                <w:rFonts w:ascii="Times New Roman" w:hAnsi="Times New Roman"/>
                <w:lang w:val="ro-RO"/>
              </w:rPr>
            </w:pPr>
          </w:p>
        </w:tc>
        <w:tc>
          <w:tcPr>
            <w:tcW w:w="1564" w:type="dxa"/>
          </w:tcPr>
          <w:p w14:paraId="2650AC0C" w14:textId="77777777" w:rsidR="00787F99" w:rsidRPr="005429CB" w:rsidRDefault="00787F99" w:rsidP="00275795">
            <w:pPr>
              <w:jc w:val="center"/>
              <w:rPr>
                <w:rFonts w:ascii="Times New Roman" w:hAnsi="Times New Roman"/>
                <w:lang w:val="ro-RO"/>
              </w:rPr>
            </w:pPr>
          </w:p>
        </w:tc>
        <w:tc>
          <w:tcPr>
            <w:tcW w:w="1418" w:type="dxa"/>
          </w:tcPr>
          <w:p w14:paraId="7FE5165B" w14:textId="77777777" w:rsidR="00787F99" w:rsidRPr="005429CB" w:rsidRDefault="00787F99" w:rsidP="00275795">
            <w:pPr>
              <w:jc w:val="center"/>
              <w:rPr>
                <w:rFonts w:ascii="Times New Roman" w:hAnsi="Times New Roman"/>
                <w:lang w:val="ro-RO"/>
              </w:rPr>
            </w:pPr>
          </w:p>
        </w:tc>
        <w:tc>
          <w:tcPr>
            <w:tcW w:w="1984" w:type="dxa"/>
          </w:tcPr>
          <w:p w14:paraId="1297A4A3" w14:textId="77777777" w:rsidR="00787F99" w:rsidRPr="005429CB" w:rsidRDefault="00787F99" w:rsidP="00275795">
            <w:pPr>
              <w:jc w:val="center"/>
              <w:rPr>
                <w:rFonts w:ascii="Times New Roman" w:hAnsi="Times New Roman"/>
                <w:lang w:val="ro-RO"/>
              </w:rPr>
            </w:pPr>
          </w:p>
        </w:tc>
        <w:tc>
          <w:tcPr>
            <w:tcW w:w="2410" w:type="dxa"/>
          </w:tcPr>
          <w:p w14:paraId="5E93B331" w14:textId="77777777" w:rsidR="00787F99" w:rsidRPr="005429CB" w:rsidRDefault="00787F99" w:rsidP="00275795">
            <w:pPr>
              <w:jc w:val="center"/>
              <w:rPr>
                <w:rFonts w:ascii="Times New Roman" w:hAnsi="Times New Roman"/>
                <w:lang w:val="ro-RO"/>
              </w:rPr>
            </w:pPr>
          </w:p>
        </w:tc>
      </w:tr>
      <w:tr w:rsidR="00787F99" w:rsidRPr="005429CB" w14:paraId="545580F5" w14:textId="77777777" w:rsidTr="00787F99">
        <w:trPr>
          <w:trHeight w:val="300"/>
        </w:trPr>
        <w:tc>
          <w:tcPr>
            <w:tcW w:w="526" w:type="dxa"/>
          </w:tcPr>
          <w:p w14:paraId="4BC2D308"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3</w:t>
            </w:r>
          </w:p>
        </w:tc>
        <w:tc>
          <w:tcPr>
            <w:tcW w:w="1459" w:type="dxa"/>
          </w:tcPr>
          <w:p w14:paraId="0C26C701" w14:textId="77777777" w:rsidR="00787F99" w:rsidRPr="005429CB" w:rsidRDefault="00787F99" w:rsidP="00275795">
            <w:pPr>
              <w:jc w:val="center"/>
              <w:rPr>
                <w:rFonts w:ascii="Times New Roman" w:hAnsi="Times New Roman"/>
                <w:lang w:val="ro-RO"/>
              </w:rPr>
            </w:pPr>
          </w:p>
        </w:tc>
        <w:tc>
          <w:tcPr>
            <w:tcW w:w="1276" w:type="dxa"/>
          </w:tcPr>
          <w:p w14:paraId="46AD36D2" w14:textId="77777777" w:rsidR="00787F99" w:rsidRPr="005429CB" w:rsidRDefault="00787F99" w:rsidP="00275795">
            <w:pPr>
              <w:jc w:val="center"/>
              <w:rPr>
                <w:rFonts w:ascii="Times New Roman" w:hAnsi="Times New Roman"/>
                <w:lang w:val="ro-RO"/>
              </w:rPr>
            </w:pPr>
          </w:p>
        </w:tc>
        <w:tc>
          <w:tcPr>
            <w:tcW w:w="2126" w:type="dxa"/>
          </w:tcPr>
          <w:p w14:paraId="7E1CFEBC" w14:textId="77777777" w:rsidR="00787F99" w:rsidRPr="005429CB" w:rsidRDefault="00787F99" w:rsidP="00275795">
            <w:pPr>
              <w:jc w:val="center"/>
              <w:rPr>
                <w:rFonts w:ascii="Times New Roman" w:hAnsi="Times New Roman"/>
                <w:lang w:val="ro-RO"/>
              </w:rPr>
            </w:pPr>
          </w:p>
        </w:tc>
        <w:tc>
          <w:tcPr>
            <w:tcW w:w="1423" w:type="dxa"/>
          </w:tcPr>
          <w:p w14:paraId="39657A71" w14:textId="77777777" w:rsidR="00787F99" w:rsidRPr="005429CB" w:rsidRDefault="00787F99" w:rsidP="00275795">
            <w:pPr>
              <w:jc w:val="center"/>
              <w:rPr>
                <w:rFonts w:ascii="Times New Roman" w:hAnsi="Times New Roman"/>
                <w:lang w:val="ro-RO"/>
              </w:rPr>
            </w:pPr>
          </w:p>
        </w:tc>
        <w:tc>
          <w:tcPr>
            <w:tcW w:w="1564" w:type="dxa"/>
          </w:tcPr>
          <w:p w14:paraId="05171C8B" w14:textId="77777777" w:rsidR="00787F99" w:rsidRPr="005429CB" w:rsidRDefault="00787F99" w:rsidP="00275795">
            <w:pPr>
              <w:jc w:val="center"/>
              <w:rPr>
                <w:rFonts w:ascii="Times New Roman" w:hAnsi="Times New Roman"/>
                <w:lang w:val="ro-RO"/>
              </w:rPr>
            </w:pPr>
          </w:p>
        </w:tc>
        <w:tc>
          <w:tcPr>
            <w:tcW w:w="1418" w:type="dxa"/>
          </w:tcPr>
          <w:p w14:paraId="62AEABA7" w14:textId="77777777" w:rsidR="00787F99" w:rsidRPr="005429CB" w:rsidRDefault="00787F99" w:rsidP="00275795">
            <w:pPr>
              <w:jc w:val="center"/>
              <w:rPr>
                <w:rFonts w:ascii="Times New Roman" w:hAnsi="Times New Roman"/>
                <w:lang w:val="ro-RO"/>
              </w:rPr>
            </w:pPr>
          </w:p>
        </w:tc>
        <w:tc>
          <w:tcPr>
            <w:tcW w:w="1984" w:type="dxa"/>
          </w:tcPr>
          <w:p w14:paraId="61FC177B" w14:textId="77777777" w:rsidR="00787F99" w:rsidRPr="005429CB" w:rsidRDefault="00787F99" w:rsidP="00275795">
            <w:pPr>
              <w:jc w:val="center"/>
              <w:rPr>
                <w:rFonts w:ascii="Times New Roman" w:hAnsi="Times New Roman"/>
                <w:lang w:val="ro-RO"/>
              </w:rPr>
            </w:pPr>
          </w:p>
        </w:tc>
        <w:tc>
          <w:tcPr>
            <w:tcW w:w="2410" w:type="dxa"/>
          </w:tcPr>
          <w:p w14:paraId="1F1DC684" w14:textId="77777777" w:rsidR="00787F99" w:rsidRPr="005429CB" w:rsidRDefault="00787F99" w:rsidP="00275795">
            <w:pPr>
              <w:jc w:val="center"/>
              <w:rPr>
                <w:rFonts w:ascii="Times New Roman" w:hAnsi="Times New Roman"/>
                <w:lang w:val="ro-RO"/>
              </w:rPr>
            </w:pPr>
          </w:p>
        </w:tc>
      </w:tr>
      <w:tr w:rsidR="00787F99" w:rsidRPr="005429CB" w14:paraId="2219CBCF" w14:textId="77777777" w:rsidTr="00787F99">
        <w:trPr>
          <w:trHeight w:val="300"/>
        </w:trPr>
        <w:tc>
          <w:tcPr>
            <w:tcW w:w="526" w:type="dxa"/>
          </w:tcPr>
          <w:p w14:paraId="6F410A06" w14:textId="77777777" w:rsidR="00787F99" w:rsidRPr="005429CB" w:rsidRDefault="00787F99" w:rsidP="00275795">
            <w:pPr>
              <w:jc w:val="center"/>
              <w:rPr>
                <w:rFonts w:ascii="Times New Roman" w:hAnsi="Times New Roman"/>
                <w:lang w:val="ro-RO"/>
              </w:rPr>
            </w:pPr>
            <w:r w:rsidRPr="005429CB">
              <w:rPr>
                <w:rFonts w:ascii="Times New Roman" w:hAnsi="Times New Roman"/>
                <w:lang w:val="ro-RO"/>
              </w:rPr>
              <w:t>4</w:t>
            </w:r>
          </w:p>
        </w:tc>
        <w:tc>
          <w:tcPr>
            <w:tcW w:w="1459" w:type="dxa"/>
          </w:tcPr>
          <w:p w14:paraId="2D2A6BE9" w14:textId="77777777" w:rsidR="00787F99" w:rsidRPr="005429CB" w:rsidRDefault="00787F99" w:rsidP="00275795">
            <w:pPr>
              <w:jc w:val="center"/>
              <w:rPr>
                <w:rFonts w:ascii="Times New Roman" w:hAnsi="Times New Roman"/>
                <w:lang w:val="ro-RO"/>
              </w:rPr>
            </w:pPr>
          </w:p>
        </w:tc>
        <w:tc>
          <w:tcPr>
            <w:tcW w:w="1276" w:type="dxa"/>
          </w:tcPr>
          <w:p w14:paraId="4F7A9A7E" w14:textId="77777777" w:rsidR="00787F99" w:rsidRPr="005429CB" w:rsidRDefault="00787F99" w:rsidP="00275795">
            <w:pPr>
              <w:jc w:val="center"/>
              <w:rPr>
                <w:rFonts w:ascii="Times New Roman" w:hAnsi="Times New Roman"/>
                <w:lang w:val="ro-RO"/>
              </w:rPr>
            </w:pPr>
          </w:p>
        </w:tc>
        <w:tc>
          <w:tcPr>
            <w:tcW w:w="2126" w:type="dxa"/>
          </w:tcPr>
          <w:p w14:paraId="2D85AD3D" w14:textId="77777777" w:rsidR="00787F99" w:rsidRPr="005429CB" w:rsidRDefault="00787F99" w:rsidP="00275795">
            <w:pPr>
              <w:jc w:val="center"/>
              <w:rPr>
                <w:rFonts w:ascii="Times New Roman" w:hAnsi="Times New Roman"/>
                <w:lang w:val="ro-RO"/>
              </w:rPr>
            </w:pPr>
          </w:p>
        </w:tc>
        <w:tc>
          <w:tcPr>
            <w:tcW w:w="1423" w:type="dxa"/>
          </w:tcPr>
          <w:p w14:paraId="7C53D25A" w14:textId="77777777" w:rsidR="00787F99" w:rsidRPr="005429CB" w:rsidRDefault="00787F99" w:rsidP="00275795">
            <w:pPr>
              <w:jc w:val="center"/>
              <w:rPr>
                <w:rFonts w:ascii="Times New Roman" w:hAnsi="Times New Roman"/>
                <w:lang w:val="ro-RO"/>
              </w:rPr>
            </w:pPr>
          </w:p>
        </w:tc>
        <w:tc>
          <w:tcPr>
            <w:tcW w:w="1564" w:type="dxa"/>
          </w:tcPr>
          <w:p w14:paraId="36B9B4B1" w14:textId="77777777" w:rsidR="00787F99" w:rsidRPr="005429CB" w:rsidRDefault="00787F99" w:rsidP="00275795">
            <w:pPr>
              <w:jc w:val="center"/>
              <w:rPr>
                <w:rFonts w:ascii="Times New Roman" w:hAnsi="Times New Roman"/>
                <w:lang w:val="ro-RO"/>
              </w:rPr>
            </w:pPr>
          </w:p>
        </w:tc>
        <w:tc>
          <w:tcPr>
            <w:tcW w:w="1418" w:type="dxa"/>
          </w:tcPr>
          <w:p w14:paraId="0D55B6A8" w14:textId="77777777" w:rsidR="00787F99" w:rsidRPr="005429CB" w:rsidRDefault="00787F99" w:rsidP="00275795">
            <w:pPr>
              <w:jc w:val="center"/>
              <w:rPr>
                <w:rFonts w:ascii="Times New Roman" w:hAnsi="Times New Roman"/>
                <w:lang w:val="ro-RO"/>
              </w:rPr>
            </w:pPr>
          </w:p>
        </w:tc>
        <w:tc>
          <w:tcPr>
            <w:tcW w:w="1984" w:type="dxa"/>
          </w:tcPr>
          <w:p w14:paraId="2C4D0208" w14:textId="77777777" w:rsidR="00787F99" w:rsidRPr="005429CB" w:rsidRDefault="00787F99" w:rsidP="00275795">
            <w:pPr>
              <w:jc w:val="center"/>
              <w:rPr>
                <w:rFonts w:ascii="Times New Roman" w:hAnsi="Times New Roman"/>
                <w:lang w:val="ro-RO"/>
              </w:rPr>
            </w:pPr>
          </w:p>
        </w:tc>
        <w:tc>
          <w:tcPr>
            <w:tcW w:w="2410" w:type="dxa"/>
          </w:tcPr>
          <w:p w14:paraId="2153ACD3" w14:textId="77777777" w:rsidR="00787F99" w:rsidRPr="005429CB" w:rsidRDefault="00787F99" w:rsidP="00275795">
            <w:pPr>
              <w:jc w:val="center"/>
              <w:rPr>
                <w:rFonts w:ascii="Times New Roman" w:hAnsi="Times New Roman"/>
                <w:lang w:val="ro-RO"/>
              </w:rPr>
            </w:pPr>
          </w:p>
        </w:tc>
      </w:tr>
      <w:tr w:rsidR="00787F99" w:rsidRPr="00787F99" w14:paraId="76700D54" w14:textId="77777777" w:rsidTr="00787F99">
        <w:trPr>
          <w:trHeight w:val="300"/>
        </w:trPr>
        <w:tc>
          <w:tcPr>
            <w:tcW w:w="526" w:type="dxa"/>
          </w:tcPr>
          <w:p w14:paraId="52AC7DAB" w14:textId="77777777" w:rsidR="00787F99" w:rsidRPr="00787F99" w:rsidRDefault="00787F99" w:rsidP="00275795">
            <w:pPr>
              <w:jc w:val="center"/>
              <w:rPr>
                <w:rFonts w:ascii="Times New Roman" w:hAnsi="Times New Roman"/>
                <w:lang w:val="ro-RO"/>
              </w:rPr>
            </w:pPr>
            <w:r w:rsidRPr="005429CB">
              <w:rPr>
                <w:rFonts w:ascii="Times New Roman" w:hAnsi="Times New Roman"/>
                <w:lang w:val="ro-RO"/>
              </w:rPr>
              <w:t>5</w:t>
            </w:r>
          </w:p>
        </w:tc>
        <w:tc>
          <w:tcPr>
            <w:tcW w:w="1459" w:type="dxa"/>
          </w:tcPr>
          <w:p w14:paraId="3E5DEF2D" w14:textId="77777777" w:rsidR="00787F99" w:rsidRPr="00787F99" w:rsidRDefault="00787F99" w:rsidP="00275795">
            <w:pPr>
              <w:jc w:val="center"/>
              <w:rPr>
                <w:rFonts w:ascii="Times New Roman" w:hAnsi="Times New Roman"/>
                <w:lang w:val="ro-RO"/>
              </w:rPr>
            </w:pPr>
          </w:p>
        </w:tc>
        <w:tc>
          <w:tcPr>
            <w:tcW w:w="1276" w:type="dxa"/>
          </w:tcPr>
          <w:p w14:paraId="34AD53F6" w14:textId="77777777" w:rsidR="00787F99" w:rsidRPr="00787F99" w:rsidRDefault="00787F99" w:rsidP="00275795">
            <w:pPr>
              <w:jc w:val="center"/>
              <w:rPr>
                <w:rFonts w:ascii="Times New Roman" w:hAnsi="Times New Roman"/>
                <w:lang w:val="ro-RO"/>
              </w:rPr>
            </w:pPr>
          </w:p>
        </w:tc>
        <w:tc>
          <w:tcPr>
            <w:tcW w:w="2126" w:type="dxa"/>
          </w:tcPr>
          <w:p w14:paraId="787ACA32" w14:textId="77777777" w:rsidR="00787F99" w:rsidRPr="00787F99" w:rsidRDefault="00787F99" w:rsidP="00275795">
            <w:pPr>
              <w:jc w:val="center"/>
              <w:rPr>
                <w:rFonts w:ascii="Times New Roman" w:hAnsi="Times New Roman"/>
                <w:lang w:val="ro-RO"/>
              </w:rPr>
            </w:pPr>
          </w:p>
        </w:tc>
        <w:tc>
          <w:tcPr>
            <w:tcW w:w="1423" w:type="dxa"/>
          </w:tcPr>
          <w:p w14:paraId="19ABEB75" w14:textId="77777777" w:rsidR="00787F99" w:rsidRPr="00787F99" w:rsidRDefault="00787F99" w:rsidP="00275795">
            <w:pPr>
              <w:jc w:val="center"/>
              <w:rPr>
                <w:rFonts w:ascii="Times New Roman" w:hAnsi="Times New Roman"/>
                <w:lang w:val="ro-RO"/>
              </w:rPr>
            </w:pPr>
          </w:p>
        </w:tc>
        <w:tc>
          <w:tcPr>
            <w:tcW w:w="1564" w:type="dxa"/>
          </w:tcPr>
          <w:p w14:paraId="7374B4C1" w14:textId="77777777" w:rsidR="00787F99" w:rsidRPr="00787F99" w:rsidRDefault="00787F99" w:rsidP="00275795">
            <w:pPr>
              <w:jc w:val="center"/>
              <w:rPr>
                <w:rFonts w:ascii="Times New Roman" w:hAnsi="Times New Roman"/>
                <w:lang w:val="ro-RO"/>
              </w:rPr>
            </w:pPr>
          </w:p>
        </w:tc>
        <w:tc>
          <w:tcPr>
            <w:tcW w:w="1418" w:type="dxa"/>
          </w:tcPr>
          <w:p w14:paraId="5F47345E" w14:textId="77777777" w:rsidR="00787F99" w:rsidRPr="00787F99" w:rsidRDefault="00787F99" w:rsidP="00275795">
            <w:pPr>
              <w:jc w:val="center"/>
              <w:rPr>
                <w:rFonts w:ascii="Times New Roman" w:hAnsi="Times New Roman"/>
                <w:lang w:val="ro-RO"/>
              </w:rPr>
            </w:pPr>
          </w:p>
        </w:tc>
        <w:tc>
          <w:tcPr>
            <w:tcW w:w="1984" w:type="dxa"/>
          </w:tcPr>
          <w:p w14:paraId="49B0D57C" w14:textId="77777777" w:rsidR="00787F99" w:rsidRPr="00787F99" w:rsidRDefault="00787F99" w:rsidP="00275795">
            <w:pPr>
              <w:jc w:val="center"/>
              <w:rPr>
                <w:rFonts w:ascii="Times New Roman" w:hAnsi="Times New Roman"/>
                <w:lang w:val="ro-RO"/>
              </w:rPr>
            </w:pPr>
          </w:p>
        </w:tc>
        <w:tc>
          <w:tcPr>
            <w:tcW w:w="2410" w:type="dxa"/>
          </w:tcPr>
          <w:p w14:paraId="1FFADFFF" w14:textId="77777777" w:rsidR="00787F99" w:rsidRPr="00787F99" w:rsidRDefault="00787F99" w:rsidP="00275795">
            <w:pPr>
              <w:jc w:val="center"/>
              <w:rPr>
                <w:rFonts w:ascii="Times New Roman" w:hAnsi="Times New Roman"/>
                <w:lang w:val="ro-RO"/>
              </w:rPr>
            </w:pPr>
          </w:p>
        </w:tc>
      </w:tr>
    </w:tbl>
    <w:p w14:paraId="56FD063B" w14:textId="77777777" w:rsidR="00787F99" w:rsidRPr="00AD6831" w:rsidRDefault="00787F99" w:rsidP="00AD6831">
      <w:pPr>
        <w:pStyle w:val="ac"/>
        <w:shd w:val="clear" w:color="auto" w:fill="FFFFFF"/>
        <w:spacing w:before="0" w:beforeAutospacing="0" w:after="0" w:afterAutospacing="0" w:line="276" w:lineRule="auto"/>
        <w:jc w:val="center"/>
        <w:rPr>
          <w:lang w:val="ro-RO"/>
        </w:rPr>
      </w:pPr>
    </w:p>
    <w:sectPr w:rsidR="00787F99" w:rsidRPr="00AD6831" w:rsidSect="00787F99">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18A8"/>
    <w:multiLevelType w:val="multilevel"/>
    <w:tmpl w:val="51382B80"/>
    <w:lvl w:ilvl="0">
      <w:start w:val="1"/>
      <w:numFmt w:val="decimal"/>
      <w:lvlText w:val="37.%1."/>
      <w:lvlJc w:val="left"/>
      <w:pPr>
        <w:ind w:left="108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108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905" w:hanging="144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963" w:hanging="1800"/>
      </w:pPr>
      <w:rPr>
        <w:rFonts w:hint="default"/>
      </w:rPr>
    </w:lvl>
    <w:lvl w:ilvl="8">
      <w:start w:val="1"/>
      <w:numFmt w:val="decimal"/>
      <w:isLgl/>
      <w:lvlText w:val="%1.%2.%3.%4.%5.%6.%7.%8.%9."/>
      <w:lvlJc w:val="left"/>
      <w:pPr>
        <w:ind w:left="5312" w:hanging="1800"/>
      </w:pPr>
      <w:rPr>
        <w:rFonts w:hint="default"/>
      </w:rPr>
    </w:lvl>
  </w:abstractNum>
  <w:abstractNum w:abstractNumId="1" w15:restartNumberingAfterBreak="0">
    <w:nsid w:val="170671ED"/>
    <w:multiLevelType w:val="hybridMultilevel"/>
    <w:tmpl w:val="E16EEE76"/>
    <w:lvl w:ilvl="0" w:tplc="F72ACA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F33485"/>
    <w:multiLevelType w:val="multilevel"/>
    <w:tmpl w:val="D2EAD362"/>
    <w:lvl w:ilvl="0">
      <w:start w:val="1"/>
      <w:numFmt w:val="decimal"/>
      <w:lvlText w:val="7.%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1C35E4F"/>
    <w:multiLevelType w:val="multilevel"/>
    <w:tmpl w:val="6BCC0DD2"/>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263CEC"/>
    <w:multiLevelType w:val="hybridMultilevel"/>
    <w:tmpl w:val="D550E478"/>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F7978"/>
    <w:multiLevelType w:val="multilevel"/>
    <w:tmpl w:val="0388B3BE"/>
    <w:lvl w:ilvl="0">
      <w:start w:val="1"/>
      <w:numFmt w:val="decimal"/>
      <w:lvlText w:val="5.4.%1."/>
      <w:lvlJc w:val="left"/>
      <w:pPr>
        <w:ind w:left="108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108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905" w:hanging="144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963" w:hanging="1800"/>
      </w:pPr>
      <w:rPr>
        <w:rFonts w:hint="default"/>
      </w:rPr>
    </w:lvl>
    <w:lvl w:ilvl="8">
      <w:start w:val="1"/>
      <w:numFmt w:val="decimal"/>
      <w:isLgl/>
      <w:lvlText w:val="%1.%2.%3.%4.%5.%6.%7.%8.%9."/>
      <w:lvlJc w:val="left"/>
      <w:pPr>
        <w:ind w:left="5312" w:hanging="1800"/>
      </w:pPr>
      <w:rPr>
        <w:rFonts w:hint="default"/>
      </w:rPr>
    </w:lvl>
  </w:abstractNum>
  <w:abstractNum w:abstractNumId="6" w15:restartNumberingAfterBreak="0">
    <w:nsid w:val="24643A73"/>
    <w:multiLevelType w:val="hybridMultilevel"/>
    <w:tmpl w:val="5ECC16DE"/>
    <w:lvl w:ilvl="0" w:tplc="C1846076">
      <w:start w:val="1"/>
      <w:numFmt w:val="decimal"/>
      <w:lvlText w:val="3.3.%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0A6C8C"/>
    <w:multiLevelType w:val="hybridMultilevel"/>
    <w:tmpl w:val="AEAA4B3E"/>
    <w:lvl w:ilvl="0" w:tplc="17F42A2E">
      <w:start w:val="1"/>
      <w:numFmt w:val="decimal"/>
      <w:lvlText w:val="4.1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963799"/>
    <w:multiLevelType w:val="multilevel"/>
    <w:tmpl w:val="4F5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C133A"/>
    <w:multiLevelType w:val="hybridMultilevel"/>
    <w:tmpl w:val="F91A0868"/>
    <w:lvl w:ilvl="0" w:tplc="948E9C52">
      <w:start w:val="1"/>
      <w:numFmt w:val="decimal"/>
      <w:lvlText w:val="4.%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F5971"/>
    <w:multiLevelType w:val="hybridMultilevel"/>
    <w:tmpl w:val="5B4AB432"/>
    <w:lvl w:ilvl="0" w:tplc="948E9C52">
      <w:start w:val="1"/>
      <w:numFmt w:val="decimal"/>
      <w:lvlText w:val="4.%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0C3365"/>
    <w:multiLevelType w:val="multilevel"/>
    <w:tmpl w:val="DB4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B11A8"/>
    <w:multiLevelType w:val="multilevel"/>
    <w:tmpl w:val="6EECB3A8"/>
    <w:lvl w:ilvl="0">
      <w:start w:val="1"/>
      <w:numFmt w:val="decimal"/>
      <w:lvlText w:val="18.%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B007F08"/>
    <w:multiLevelType w:val="hybridMultilevel"/>
    <w:tmpl w:val="4FD2A2BE"/>
    <w:lvl w:ilvl="0" w:tplc="1396D5D8">
      <w:start w:val="1"/>
      <w:numFmt w:val="decimal"/>
      <w:lvlText w:val="7.3.%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E7729D"/>
    <w:multiLevelType w:val="multilevel"/>
    <w:tmpl w:val="211CA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27401"/>
    <w:multiLevelType w:val="multilevel"/>
    <w:tmpl w:val="147AE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345D36"/>
    <w:multiLevelType w:val="multilevel"/>
    <w:tmpl w:val="BA026ED6"/>
    <w:lvl w:ilvl="0">
      <w:start w:val="1"/>
      <w:numFmt w:val="decimal"/>
      <w:lvlText w:val="5.%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68CB00D5"/>
    <w:multiLevelType w:val="multilevel"/>
    <w:tmpl w:val="8782EED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7211390E"/>
    <w:multiLevelType w:val="multilevel"/>
    <w:tmpl w:val="32A09DA0"/>
    <w:lvl w:ilvl="0">
      <w:start w:val="1"/>
      <w:numFmt w:val="decimal"/>
      <w:lvlText w:val="19.%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7963282F"/>
    <w:multiLevelType w:val="hybridMultilevel"/>
    <w:tmpl w:val="84120958"/>
    <w:lvl w:ilvl="0" w:tplc="6136AD1A">
      <w:start w:val="1"/>
      <w:numFmt w:val="decimal"/>
      <w:lvlText w:val="3.%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DE9178C"/>
    <w:multiLevelType w:val="hybridMultilevel"/>
    <w:tmpl w:val="C9FC5E80"/>
    <w:lvl w:ilvl="0" w:tplc="5B5A1CAE">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1"/>
  </w:num>
  <w:num w:numId="4">
    <w:abstractNumId w:val="2"/>
  </w:num>
  <w:num w:numId="5">
    <w:abstractNumId w:val="20"/>
  </w:num>
  <w:num w:numId="6">
    <w:abstractNumId w:val="9"/>
  </w:num>
  <w:num w:numId="7">
    <w:abstractNumId w:val="6"/>
  </w:num>
  <w:num w:numId="8">
    <w:abstractNumId w:val="13"/>
  </w:num>
  <w:num w:numId="9">
    <w:abstractNumId w:val="8"/>
  </w:num>
  <w:num w:numId="10">
    <w:abstractNumId w:val="14"/>
  </w:num>
  <w:num w:numId="11">
    <w:abstractNumId w:val="12"/>
  </w:num>
  <w:num w:numId="12">
    <w:abstractNumId w:val="11"/>
  </w:num>
  <w:num w:numId="13">
    <w:abstractNumId w:val="4"/>
  </w:num>
  <w:num w:numId="14">
    <w:abstractNumId w:val="3"/>
  </w:num>
  <w:num w:numId="15">
    <w:abstractNumId w:val="16"/>
  </w:num>
  <w:num w:numId="16">
    <w:abstractNumId w:val="5"/>
  </w:num>
  <w:num w:numId="17">
    <w:abstractNumId w:val="7"/>
  </w:num>
  <w:num w:numId="18">
    <w:abstractNumId w:val="10"/>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22"/>
    <w:rsid w:val="0000674F"/>
    <w:rsid w:val="00024E3C"/>
    <w:rsid w:val="000565C0"/>
    <w:rsid w:val="000648DF"/>
    <w:rsid w:val="000D6276"/>
    <w:rsid w:val="00182B1D"/>
    <w:rsid w:val="001F63BB"/>
    <w:rsid w:val="00232786"/>
    <w:rsid w:val="00234FC9"/>
    <w:rsid w:val="00237926"/>
    <w:rsid w:val="00296B99"/>
    <w:rsid w:val="002C1D00"/>
    <w:rsid w:val="002C69F3"/>
    <w:rsid w:val="003963C7"/>
    <w:rsid w:val="00401912"/>
    <w:rsid w:val="0040349A"/>
    <w:rsid w:val="00417F0C"/>
    <w:rsid w:val="0048423C"/>
    <w:rsid w:val="004D46C0"/>
    <w:rsid w:val="005429CB"/>
    <w:rsid w:val="00572461"/>
    <w:rsid w:val="00574A42"/>
    <w:rsid w:val="005A67F5"/>
    <w:rsid w:val="006557C6"/>
    <w:rsid w:val="0066741F"/>
    <w:rsid w:val="00681BC7"/>
    <w:rsid w:val="00682969"/>
    <w:rsid w:val="00716CDF"/>
    <w:rsid w:val="007425ED"/>
    <w:rsid w:val="00787F99"/>
    <w:rsid w:val="007D5422"/>
    <w:rsid w:val="007F151A"/>
    <w:rsid w:val="008038B5"/>
    <w:rsid w:val="008C4410"/>
    <w:rsid w:val="008D6264"/>
    <w:rsid w:val="00975604"/>
    <w:rsid w:val="009D772A"/>
    <w:rsid w:val="00AC72CC"/>
    <w:rsid w:val="00AD6831"/>
    <w:rsid w:val="00AD79FD"/>
    <w:rsid w:val="00AE371D"/>
    <w:rsid w:val="00D15CC8"/>
    <w:rsid w:val="00D7661E"/>
    <w:rsid w:val="00D773DD"/>
    <w:rsid w:val="00DE594C"/>
    <w:rsid w:val="00EA5420"/>
    <w:rsid w:val="00F1566A"/>
    <w:rsid w:val="00F26F08"/>
    <w:rsid w:val="00F43C25"/>
    <w:rsid w:val="00F7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DD23"/>
  <w15:chartTrackingRefBased/>
  <w15:docId w15:val="{55F296E3-AC4D-4B36-B346-0016601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54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54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54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54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54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54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54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42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542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542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542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542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54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5422"/>
    <w:rPr>
      <w:rFonts w:eastAsiaTheme="majorEastAsia" w:cstheme="majorBidi"/>
      <w:color w:val="595959" w:themeColor="text1" w:themeTint="A6"/>
    </w:rPr>
  </w:style>
  <w:style w:type="character" w:customStyle="1" w:styleId="80">
    <w:name w:val="Заголовок 8 Знак"/>
    <w:basedOn w:val="a0"/>
    <w:link w:val="8"/>
    <w:uiPriority w:val="9"/>
    <w:semiHidden/>
    <w:rsid w:val="007D54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5422"/>
    <w:rPr>
      <w:rFonts w:eastAsiaTheme="majorEastAsia" w:cstheme="majorBidi"/>
      <w:color w:val="272727" w:themeColor="text1" w:themeTint="D8"/>
    </w:rPr>
  </w:style>
  <w:style w:type="paragraph" w:styleId="a3">
    <w:name w:val="Title"/>
    <w:basedOn w:val="a"/>
    <w:next w:val="a"/>
    <w:link w:val="a4"/>
    <w:uiPriority w:val="10"/>
    <w:qFormat/>
    <w:rsid w:val="007D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5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4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54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5422"/>
    <w:pPr>
      <w:spacing w:before="160"/>
      <w:jc w:val="center"/>
    </w:pPr>
    <w:rPr>
      <w:i/>
      <w:iCs/>
      <w:color w:val="404040" w:themeColor="text1" w:themeTint="BF"/>
    </w:rPr>
  </w:style>
  <w:style w:type="character" w:customStyle="1" w:styleId="22">
    <w:name w:val="Цитата 2 Знак"/>
    <w:basedOn w:val="a0"/>
    <w:link w:val="21"/>
    <w:uiPriority w:val="29"/>
    <w:rsid w:val="007D5422"/>
    <w:rPr>
      <w:i/>
      <w:iCs/>
      <w:color w:val="404040" w:themeColor="text1" w:themeTint="BF"/>
    </w:rPr>
  </w:style>
  <w:style w:type="paragraph" w:styleId="a7">
    <w:name w:val="List Paragraph"/>
    <w:basedOn w:val="a"/>
    <w:uiPriority w:val="34"/>
    <w:qFormat/>
    <w:rsid w:val="007D5422"/>
    <w:pPr>
      <w:ind w:left="720"/>
      <w:contextualSpacing/>
    </w:pPr>
  </w:style>
  <w:style w:type="character" w:styleId="a8">
    <w:name w:val="Intense Emphasis"/>
    <w:basedOn w:val="a0"/>
    <w:uiPriority w:val="21"/>
    <w:qFormat/>
    <w:rsid w:val="007D5422"/>
    <w:rPr>
      <w:i/>
      <w:iCs/>
      <w:color w:val="0F4761" w:themeColor="accent1" w:themeShade="BF"/>
    </w:rPr>
  </w:style>
  <w:style w:type="paragraph" w:styleId="a9">
    <w:name w:val="Intense Quote"/>
    <w:basedOn w:val="a"/>
    <w:next w:val="a"/>
    <w:link w:val="aa"/>
    <w:uiPriority w:val="30"/>
    <w:qFormat/>
    <w:rsid w:val="007D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D5422"/>
    <w:rPr>
      <w:i/>
      <w:iCs/>
      <w:color w:val="0F4761" w:themeColor="accent1" w:themeShade="BF"/>
    </w:rPr>
  </w:style>
  <w:style w:type="character" w:styleId="ab">
    <w:name w:val="Intense Reference"/>
    <w:basedOn w:val="a0"/>
    <w:uiPriority w:val="32"/>
    <w:qFormat/>
    <w:rsid w:val="007D5422"/>
    <w:rPr>
      <w:b/>
      <w:bCs/>
      <w:smallCaps/>
      <w:color w:val="0F4761" w:themeColor="accent1" w:themeShade="BF"/>
      <w:spacing w:val="5"/>
    </w:rPr>
  </w:style>
  <w:style w:type="paragraph" w:styleId="ac">
    <w:name w:val="Normal (Web)"/>
    <w:basedOn w:val="a"/>
    <w:uiPriority w:val="99"/>
    <w:unhideWhenUsed/>
    <w:rsid w:val="007D54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EA5420"/>
    <w:rPr>
      <w:b/>
      <w:bCs/>
    </w:rPr>
  </w:style>
  <w:style w:type="table" w:styleId="ae">
    <w:name w:val="Table Grid"/>
    <w:basedOn w:val="a1"/>
    <w:uiPriority w:val="39"/>
    <w:rsid w:val="00F26F08"/>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F26F08"/>
    <w:rPr>
      <w:rFonts w:ascii="Times New Roman" w:eastAsia="Times New Roman" w:hAnsi="Times New Roman" w:cs="Times New Roman"/>
      <w:i/>
      <w:iCs/>
    </w:rPr>
  </w:style>
  <w:style w:type="character" w:customStyle="1" w:styleId="af">
    <w:name w:val="Основной текст Знак"/>
    <w:basedOn w:val="a0"/>
    <w:link w:val="af0"/>
    <w:rsid w:val="00F26F08"/>
    <w:rPr>
      <w:rFonts w:ascii="Times New Roman" w:eastAsia="Times New Roman" w:hAnsi="Times New Roman" w:cs="Times New Roman"/>
      <w:sz w:val="28"/>
      <w:szCs w:val="28"/>
    </w:rPr>
  </w:style>
  <w:style w:type="paragraph" w:customStyle="1" w:styleId="Bodytext20">
    <w:name w:val="Body text (2)"/>
    <w:basedOn w:val="a"/>
    <w:link w:val="Bodytext2"/>
    <w:rsid w:val="00F26F08"/>
    <w:pPr>
      <w:widowControl w:val="0"/>
      <w:spacing w:after="0" w:line="240" w:lineRule="auto"/>
      <w:jc w:val="right"/>
    </w:pPr>
    <w:rPr>
      <w:rFonts w:ascii="Times New Roman" w:eastAsia="Times New Roman" w:hAnsi="Times New Roman" w:cs="Times New Roman"/>
      <w:i/>
      <w:iCs/>
    </w:rPr>
  </w:style>
  <w:style w:type="paragraph" w:styleId="af0">
    <w:name w:val="Body Text"/>
    <w:basedOn w:val="a"/>
    <w:link w:val="af"/>
    <w:qFormat/>
    <w:rsid w:val="00F26F08"/>
    <w:pPr>
      <w:widowControl w:val="0"/>
      <w:spacing w:after="300" w:line="240" w:lineRule="auto"/>
    </w:pPr>
    <w:rPr>
      <w:rFonts w:ascii="Times New Roman" w:eastAsia="Times New Roman" w:hAnsi="Times New Roman" w:cs="Times New Roman"/>
      <w:sz w:val="28"/>
      <w:szCs w:val="28"/>
    </w:rPr>
  </w:style>
  <w:style w:type="character" w:customStyle="1" w:styleId="11">
    <w:name w:val="Основной текст Знак1"/>
    <w:basedOn w:val="a0"/>
    <w:uiPriority w:val="99"/>
    <w:semiHidden/>
    <w:rsid w:val="00F26F08"/>
  </w:style>
  <w:style w:type="table" w:customStyle="1" w:styleId="TableGrid1">
    <w:name w:val="Table Grid1"/>
    <w:basedOn w:val="a1"/>
    <w:next w:val="ae"/>
    <w:uiPriority w:val="39"/>
    <w:rsid w:val="00AD6831"/>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963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963C7"/>
    <w:rPr>
      <w:rFonts w:ascii="Segoe UI" w:hAnsi="Segoe UI" w:cs="Segoe UI"/>
      <w:sz w:val="18"/>
      <w:szCs w:val="18"/>
    </w:rPr>
  </w:style>
  <w:style w:type="character" w:styleId="af3">
    <w:name w:val="annotation reference"/>
    <w:basedOn w:val="a0"/>
    <w:uiPriority w:val="99"/>
    <w:semiHidden/>
    <w:unhideWhenUsed/>
    <w:rsid w:val="003963C7"/>
    <w:rPr>
      <w:sz w:val="16"/>
      <w:szCs w:val="16"/>
    </w:rPr>
  </w:style>
  <w:style w:type="paragraph" w:styleId="af4">
    <w:name w:val="annotation text"/>
    <w:basedOn w:val="a"/>
    <w:link w:val="af5"/>
    <w:uiPriority w:val="99"/>
    <w:semiHidden/>
    <w:unhideWhenUsed/>
    <w:rsid w:val="003963C7"/>
    <w:pPr>
      <w:spacing w:line="240" w:lineRule="auto"/>
    </w:pPr>
    <w:rPr>
      <w:sz w:val="20"/>
      <w:szCs w:val="20"/>
    </w:rPr>
  </w:style>
  <w:style w:type="character" w:customStyle="1" w:styleId="af5">
    <w:name w:val="Текст примечания Знак"/>
    <w:basedOn w:val="a0"/>
    <w:link w:val="af4"/>
    <w:uiPriority w:val="99"/>
    <w:semiHidden/>
    <w:rsid w:val="003963C7"/>
    <w:rPr>
      <w:sz w:val="20"/>
      <w:szCs w:val="20"/>
    </w:rPr>
  </w:style>
  <w:style w:type="paragraph" w:styleId="af6">
    <w:name w:val="annotation subject"/>
    <w:basedOn w:val="af4"/>
    <w:next w:val="af4"/>
    <w:link w:val="af7"/>
    <w:uiPriority w:val="99"/>
    <w:semiHidden/>
    <w:unhideWhenUsed/>
    <w:rsid w:val="003963C7"/>
    <w:rPr>
      <w:b/>
      <w:bCs/>
    </w:rPr>
  </w:style>
  <w:style w:type="character" w:customStyle="1" w:styleId="af7">
    <w:name w:val="Тема примечания Знак"/>
    <w:basedOn w:val="af5"/>
    <w:link w:val="af6"/>
    <w:uiPriority w:val="99"/>
    <w:semiHidden/>
    <w:rsid w:val="003963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022">
      <w:bodyDiv w:val="1"/>
      <w:marLeft w:val="0"/>
      <w:marRight w:val="0"/>
      <w:marTop w:val="0"/>
      <w:marBottom w:val="0"/>
      <w:divBdr>
        <w:top w:val="none" w:sz="0" w:space="0" w:color="auto"/>
        <w:left w:val="none" w:sz="0" w:space="0" w:color="auto"/>
        <w:bottom w:val="none" w:sz="0" w:space="0" w:color="auto"/>
        <w:right w:val="none" w:sz="0" w:space="0" w:color="auto"/>
      </w:divBdr>
    </w:div>
    <w:div w:id="719861547">
      <w:bodyDiv w:val="1"/>
      <w:marLeft w:val="0"/>
      <w:marRight w:val="0"/>
      <w:marTop w:val="0"/>
      <w:marBottom w:val="0"/>
      <w:divBdr>
        <w:top w:val="none" w:sz="0" w:space="0" w:color="auto"/>
        <w:left w:val="none" w:sz="0" w:space="0" w:color="auto"/>
        <w:bottom w:val="none" w:sz="0" w:space="0" w:color="auto"/>
        <w:right w:val="none" w:sz="0" w:space="0" w:color="auto"/>
      </w:divBdr>
    </w:div>
    <w:div w:id="762989164">
      <w:bodyDiv w:val="1"/>
      <w:marLeft w:val="0"/>
      <w:marRight w:val="0"/>
      <w:marTop w:val="0"/>
      <w:marBottom w:val="0"/>
      <w:divBdr>
        <w:top w:val="none" w:sz="0" w:space="0" w:color="auto"/>
        <w:left w:val="none" w:sz="0" w:space="0" w:color="auto"/>
        <w:bottom w:val="none" w:sz="0" w:space="0" w:color="auto"/>
        <w:right w:val="none" w:sz="0" w:space="0" w:color="auto"/>
      </w:divBdr>
    </w:div>
    <w:div w:id="841043770">
      <w:bodyDiv w:val="1"/>
      <w:marLeft w:val="0"/>
      <w:marRight w:val="0"/>
      <w:marTop w:val="0"/>
      <w:marBottom w:val="0"/>
      <w:divBdr>
        <w:top w:val="none" w:sz="0" w:space="0" w:color="auto"/>
        <w:left w:val="none" w:sz="0" w:space="0" w:color="auto"/>
        <w:bottom w:val="none" w:sz="0" w:space="0" w:color="auto"/>
        <w:right w:val="none" w:sz="0" w:space="0" w:color="auto"/>
      </w:divBdr>
    </w:div>
    <w:div w:id="913928004">
      <w:bodyDiv w:val="1"/>
      <w:marLeft w:val="0"/>
      <w:marRight w:val="0"/>
      <w:marTop w:val="0"/>
      <w:marBottom w:val="0"/>
      <w:divBdr>
        <w:top w:val="none" w:sz="0" w:space="0" w:color="auto"/>
        <w:left w:val="none" w:sz="0" w:space="0" w:color="auto"/>
        <w:bottom w:val="none" w:sz="0" w:space="0" w:color="auto"/>
        <w:right w:val="none" w:sz="0" w:space="0" w:color="auto"/>
      </w:divBdr>
    </w:div>
    <w:div w:id="1033922698">
      <w:bodyDiv w:val="1"/>
      <w:marLeft w:val="0"/>
      <w:marRight w:val="0"/>
      <w:marTop w:val="0"/>
      <w:marBottom w:val="0"/>
      <w:divBdr>
        <w:top w:val="none" w:sz="0" w:space="0" w:color="auto"/>
        <w:left w:val="none" w:sz="0" w:space="0" w:color="auto"/>
        <w:bottom w:val="none" w:sz="0" w:space="0" w:color="auto"/>
        <w:right w:val="none" w:sz="0" w:space="0" w:color="auto"/>
      </w:divBdr>
    </w:div>
    <w:div w:id="1046291675">
      <w:bodyDiv w:val="1"/>
      <w:marLeft w:val="0"/>
      <w:marRight w:val="0"/>
      <w:marTop w:val="0"/>
      <w:marBottom w:val="0"/>
      <w:divBdr>
        <w:top w:val="none" w:sz="0" w:space="0" w:color="auto"/>
        <w:left w:val="none" w:sz="0" w:space="0" w:color="auto"/>
        <w:bottom w:val="none" w:sz="0" w:space="0" w:color="auto"/>
        <w:right w:val="none" w:sz="0" w:space="0" w:color="auto"/>
      </w:divBdr>
    </w:div>
    <w:div w:id="20321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2910</Words>
  <Characters>16587</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Ion Raulet</cp:lastModifiedBy>
  <cp:revision>4</cp:revision>
  <dcterms:created xsi:type="dcterms:W3CDTF">2025-02-05T11:39:00Z</dcterms:created>
  <dcterms:modified xsi:type="dcterms:W3CDTF">2025-02-05T13:49:00Z</dcterms:modified>
</cp:coreProperties>
</file>