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AF4" w:rsidRDefault="00906AF4" w:rsidP="00906AF4">
      <w:pPr>
        <w:spacing w:after="0" w:line="240" w:lineRule="auto"/>
        <w:jc w:val="center"/>
        <w:rPr>
          <w:rFonts w:ascii="Times New Roman" w:eastAsia="Calibri" w:hAnsi="Times New Roman" w:cs="Times New Roman"/>
          <w:b/>
          <w:sz w:val="24"/>
          <w:szCs w:val="24"/>
          <w:lang w:val="ro-RO"/>
        </w:rPr>
      </w:pPr>
    </w:p>
    <w:p w:rsidR="007F1269" w:rsidRDefault="007F1269" w:rsidP="007221D8">
      <w:pPr>
        <w:spacing w:after="0" w:line="276" w:lineRule="auto"/>
        <w:jc w:val="center"/>
        <w:rPr>
          <w:rFonts w:ascii="Times New Roman" w:eastAsia="Calibri" w:hAnsi="Times New Roman" w:cs="Times New Roman"/>
          <w:b/>
          <w:sz w:val="24"/>
          <w:szCs w:val="24"/>
          <w:lang w:val="ro-RO"/>
        </w:rPr>
      </w:pPr>
      <w:r w:rsidRPr="007221D8">
        <w:rPr>
          <w:rFonts w:ascii="Times New Roman" w:eastAsia="Calibri" w:hAnsi="Times New Roman" w:cs="Times New Roman"/>
          <w:b/>
          <w:sz w:val="24"/>
          <w:szCs w:val="24"/>
          <w:lang w:val="ro-RO"/>
        </w:rPr>
        <w:t xml:space="preserve">SINTEZA </w:t>
      </w:r>
    </w:p>
    <w:p w:rsidR="002B49DE" w:rsidRDefault="00906AF4" w:rsidP="007221D8">
      <w:pPr>
        <w:spacing w:after="0" w:line="276" w:lineRule="auto"/>
        <w:jc w:val="center"/>
        <w:rPr>
          <w:rFonts w:ascii="Times New Roman" w:eastAsia="Calibri" w:hAnsi="Times New Roman" w:cs="Times New Roman"/>
          <w:b/>
          <w:bCs/>
          <w:sz w:val="24"/>
          <w:szCs w:val="24"/>
          <w:lang w:val="ro-MD"/>
        </w:rPr>
      </w:pPr>
      <w:r w:rsidRPr="007221D8">
        <w:rPr>
          <w:rFonts w:ascii="Times New Roman" w:eastAsia="Calibri" w:hAnsi="Times New Roman" w:cs="Times New Roman"/>
          <w:b/>
          <w:sz w:val="24"/>
          <w:szCs w:val="24"/>
          <w:lang w:val="ro-RO"/>
        </w:rPr>
        <w:t xml:space="preserve">la </w:t>
      </w:r>
      <w:r w:rsidR="007221D8" w:rsidRPr="007221D8">
        <w:rPr>
          <w:rFonts w:ascii="Times New Roman" w:eastAsia="Calibri" w:hAnsi="Times New Roman" w:cs="Times New Roman"/>
          <w:b/>
          <w:sz w:val="24"/>
          <w:szCs w:val="24"/>
          <w:lang w:val="ro-RO"/>
        </w:rPr>
        <w:t xml:space="preserve">proiectul hotărîrii de Guvern </w:t>
      </w:r>
      <w:r w:rsidR="002B75E2">
        <w:rPr>
          <w:rFonts w:ascii="Times New Roman" w:eastAsia="Calibri" w:hAnsi="Times New Roman" w:cs="Times New Roman"/>
          <w:b/>
          <w:sz w:val="24"/>
          <w:szCs w:val="24"/>
          <w:lang w:val="ro-RO"/>
        </w:rPr>
        <w:t xml:space="preserve">cu privire </w:t>
      </w:r>
      <w:r w:rsidR="008F3753" w:rsidRPr="008F3753">
        <w:rPr>
          <w:rFonts w:ascii="Times New Roman" w:eastAsia="Calibri" w:hAnsi="Times New Roman" w:cs="Times New Roman"/>
          <w:b/>
          <w:bCs/>
          <w:sz w:val="24"/>
          <w:szCs w:val="24"/>
          <w:lang w:val="ro-MD"/>
        </w:rPr>
        <w:t xml:space="preserve">la modificarea unor hotărâri ale Guvernului în domeniul metrologiei </w:t>
      </w:r>
    </w:p>
    <w:p w:rsidR="008F3753" w:rsidRDefault="00BB34DE" w:rsidP="007221D8">
      <w:pPr>
        <w:spacing w:after="0" w:line="276" w:lineRule="auto"/>
        <w:jc w:val="center"/>
        <w:rPr>
          <w:rFonts w:ascii="Times New Roman" w:eastAsia="Calibri" w:hAnsi="Times New Roman" w:cs="Times New Roman"/>
          <w:b/>
          <w:bCs/>
          <w:sz w:val="24"/>
          <w:szCs w:val="24"/>
          <w:lang w:val="ro-MD"/>
        </w:rPr>
      </w:pPr>
      <w:r>
        <w:rPr>
          <w:rFonts w:ascii="Times New Roman" w:eastAsia="Calibri" w:hAnsi="Times New Roman" w:cs="Times New Roman"/>
          <w:b/>
          <w:bCs/>
          <w:sz w:val="24"/>
          <w:szCs w:val="24"/>
          <w:lang w:val="ro-MD"/>
        </w:rPr>
        <w:t xml:space="preserve">(număr unic </w:t>
      </w:r>
      <w:r w:rsidRPr="00BB34DE">
        <w:rPr>
          <w:rFonts w:ascii="Times New Roman" w:eastAsia="Calibri" w:hAnsi="Times New Roman" w:cs="Times New Roman"/>
          <w:b/>
          <w:bCs/>
          <w:sz w:val="24"/>
          <w:szCs w:val="24"/>
          <w:lang w:val="ro-RO"/>
        </w:rPr>
        <w:t>811/MDED/2024</w:t>
      </w:r>
      <w:r w:rsidR="002B49DE">
        <w:rPr>
          <w:rFonts w:ascii="Times New Roman" w:eastAsia="Calibri" w:hAnsi="Times New Roman" w:cs="Times New Roman"/>
          <w:b/>
          <w:bCs/>
          <w:sz w:val="24"/>
          <w:szCs w:val="24"/>
          <w:lang w:val="ro-RO"/>
        </w:rPr>
        <w:t>)</w:t>
      </w:r>
    </w:p>
    <w:p w:rsidR="007F1269" w:rsidRPr="007221D8" w:rsidRDefault="007F1269" w:rsidP="007221D8">
      <w:pPr>
        <w:spacing w:after="0" w:line="276" w:lineRule="auto"/>
        <w:jc w:val="center"/>
        <w:rPr>
          <w:rFonts w:ascii="Times New Roman" w:eastAsia="Calibri" w:hAnsi="Times New Roman" w:cs="Times New Roman"/>
          <w:b/>
          <w:sz w:val="24"/>
          <w:szCs w:val="24"/>
          <w:lang w:val="ro-RO"/>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94"/>
        <w:gridCol w:w="709"/>
        <w:gridCol w:w="6095"/>
        <w:gridCol w:w="5954"/>
      </w:tblGrid>
      <w:tr w:rsidR="007F1269" w:rsidRPr="002F6325" w:rsidTr="000762F6">
        <w:trPr>
          <w:trHeight w:val="602"/>
          <w:tblHeader/>
        </w:trPr>
        <w:tc>
          <w:tcPr>
            <w:tcW w:w="2694" w:type="dxa"/>
            <w:shd w:val="clear" w:color="auto" w:fill="auto"/>
          </w:tcPr>
          <w:p w:rsidR="007F1269" w:rsidRPr="00801355" w:rsidRDefault="007F1269" w:rsidP="00D759AE">
            <w:pPr>
              <w:spacing w:after="0" w:line="240" w:lineRule="auto"/>
              <w:ind w:right="-108" w:firstLine="34"/>
              <w:jc w:val="center"/>
              <w:rPr>
                <w:rFonts w:ascii="Times New Roman" w:eastAsia="Calibri" w:hAnsi="Times New Roman" w:cs="Times New Roman"/>
                <w:b/>
                <w:sz w:val="24"/>
                <w:szCs w:val="24"/>
                <w:lang w:val="ro-RO"/>
              </w:rPr>
            </w:pPr>
            <w:r w:rsidRPr="00801355">
              <w:rPr>
                <w:rFonts w:ascii="Times New Roman" w:eastAsia="Calibri" w:hAnsi="Times New Roman" w:cs="Times New Roman"/>
                <w:b/>
                <w:bCs/>
                <w:sz w:val="24"/>
                <w:szCs w:val="24"/>
                <w:lang w:val="ro-RO"/>
              </w:rPr>
              <w:t>Participantul la avizare,</w:t>
            </w:r>
            <w:r w:rsidRPr="00801355">
              <w:rPr>
                <w:rFonts w:ascii="Times New Roman" w:eastAsia="Calibri" w:hAnsi="Times New Roman" w:cs="Times New Roman"/>
                <w:b/>
                <w:bCs/>
                <w:sz w:val="24"/>
                <w:szCs w:val="24"/>
                <w:lang w:val="ro-RO"/>
              </w:rPr>
              <w:br/>
              <w:t>consultare publică, expertizare</w:t>
            </w:r>
          </w:p>
        </w:tc>
        <w:tc>
          <w:tcPr>
            <w:tcW w:w="709" w:type="dxa"/>
          </w:tcPr>
          <w:p w:rsidR="007F1269" w:rsidRPr="00801355" w:rsidRDefault="00BB34DE" w:rsidP="00895164">
            <w:pPr>
              <w:spacing w:after="0" w:line="240" w:lineRule="auto"/>
              <w:jc w:val="center"/>
              <w:rPr>
                <w:rFonts w:ascii="Times New Roman" w:eastAsia="Calibri" w:hAnsi="Times New Roman" w:cs="Times New Roman"/>
                <w:b/>
                <w:sz w:val="24"/>
                <w:szCs w:val="24"/>
                <w:lang w:val="ro-RO"/>
              </w:rPr>
            </w:pPr>
            <w:r w:rsidRPr="00801355">
              <w:rPr>
                <w:rFonts w:ascii="Times New Roman" w:eastAsia="Calibri" w:hAnsi="Times New Roman" w:cs="Times New Roman"/>
                <w:b/>
                <w:sz w:val="24"/>
                <w:szCs w:val="24"/>
                <w:lang w:val="ro-RO"/>
              </w:rPr>
              <w:t>Nr. crt.</w:t>
            </w:r>
          </w:p>
        </w:tc>
        <w:tc>
          <w:tcPr>
            <w:tcW w:w="6095" w:type="dxa"/>
            <w:shd w:val="clear" w:color="auto" w:fill="auto"/>
          </w:tcPr>
          <w:p w:rsidR="007F1269" w:rsidRPr="00801355" w:rsidRDefault="00801355" w:rsidP="00895164">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bCs/>
                <w:sz w:val="24"/>
                <w:szCs w:val="24"/>
                <w:lang w:val="ro-RO"/>
              </w:rPr>
              <w:t>Conţinutul obiecț</w:t>
            </w:r>
            <w:r w:rsidR="00BB34DE" w:rsidRPr="00801355">
              <w:rPr>
                <w:rFonts w:ascii="Times New Roman" w:eastAsia="Calibri" w:hAnsi="Times New Roman" w:cs="Times New Roman"/>
                <w:b/>
                <w:bCs/>
                <w:sz w:val="24"/>
                <w:szCs w:val="24"/>
                <w:lang w:val="ro-RO"/>
              </w:rPr>
              <w:t>iei, propunerii,</w:t>
            </w:r>
            <w:r w:rsidR="00BB34DE" w:rsidRPr="00801355">
              <w:rPr>
                <w:rFonts w:ascii="Times New Roman" w:eastAsia="Calibri" w:hAnsi="Times New Roman" w:cs="Times New Roman"/>
                <w:b/>
                <w:bCs/>
                <w:sz w:val="24"/>
                <w:szCs w:val="24"/>
                <w:lang w:val="ro-RO"/>
              </w:rPr>
              <w:br/>
              <w:t>recomandării, concluziei</w:t>
            </w:r>
          </w:p>
        </w:tc>
        <w:tc>
          <w:tcPr>
            <w:tcW w:w="5954" w:type="dxa"/>
            <w:shd w:val="clear" w:color="auto" w:fill="auto"/>
          </w:tcPr>
          <w:p w:rsidR="007F1269" w:rsidRPr="00801355" w:rsidRDefault="007F1269" w:rsidP="00C30EDB">
            <w:pPr>
              <w:spacing w:after="0" w:line="240" w:lineRule="auto"/>
              <w:jc w:val="center"/>
              <w:rPr>
                <w:rFonts w:ascii="Times New Roman" w:eastAsia="Calibri" w:hAnsi="Times New Roman" w:cs="Times New Roman"/>
                <w:b/>
                <w:sz w:val="24"/>
                <w:szCs w:val="24"/>
                <w:lang w:val="ro-RO"/>
              </w:rPr>
            </w:pPr>
            <w:r w:rsidRPr="00801355">
              <w:rPr>
                <w:rFonts w:ascii="Times New Roman" w:eastAsia="Calibri" w:hAnsi="Times New Roman" w:cs="Times New Roman"/>
                <w:b/>
                <w:sz w:val="24"/>
                <w:szCs w:val="24"/>
                <w:lang w:val="ro-RO"/>
              </w:rPr>
              <w:t>Argumentarea autorului proiectului</w:t>
            </w:r>
          </w:p>
        </w:tc>
      </w:tr>
      <w:tr w:rsidR="00BB34DE" w:rsidRPr="002F6325" w:rsidTr="00EF004F">
        <w:tc>
          <w:tcPr>
            <w:tcW w:w="15452" w:type="dxa"/>
            <w:gridSpan w:val="4"/>
            <w:shd w:val="clear" w:color="auto" w:fill="auto"/>
          </w:tcPr>
          <w:p w:rsidR="00BB34DE" w:rsidRPr="00BB34DE" w:rsidRDefault="00BB34DE" w:rsidP="006F3E3A">
            <w:pPr>
              <w:spacing w:after="0" w:line="240" w:lineRule="auto"/>
              <w:ind w:right="63"/>
              <w:jc w:val="center"/>
              <w:rPr>
                <w:rFonts w:ascii="Times New Roman" w:eastAsia="Calibri" w:hAnsi="Times New Roman" w:cs="Times New Roman"/>
                <w:b/>
                <w:sz w:val="24"/>
                <w:szCs w:val="24"/>
                <w:lang w:val="ro-RO"/>
              </w:rPr>
            </w:pPr>
            <w:r w:rsidRPr="00BB34DE">
              <w:rPr>
                <w:rFonts w:ascii="Times New Roman" w:eastAsia="Calibri" w:hAnsi="Times New Roman" w:cs="Times New Roman"/>
                <w:b/>
                <w:sz w:val="24"/>
                <w:szCs w:val="24"/>
                <w:lang w:val="ro-RO"/>
              </w:rPr>
              <w:t>Avizare și consultare publică</w:t>
            </w:r>
          </w:p>
        </w:tc>
      </w:tr>
      <w:tr w:rsidR="007F1269" w:rsidRPr="002F6325" w:rsidTr="000762F6">
        <w:tc>
          <w:tcPr>
            <w:tcW w:w="2694" w:type="dxa"/>
            <w:shd w:val="clear" w:color="auto" w:fill="auto"/>
          </w:tcPr>
          <w:p w:rsidR="007F1269" w:rsidRDefault="00BB34DE" w:rsidP="006F3E3A">
            <w:pPr>
              <w:spacing w:after="0" w:line="240" w:lineRule="auto"/>
              <w:ind w:firstLine="34"/>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Cancelaria de Stat</w:t>
            </w:r>
          </w:p>
          <w:p w:rsidR="007F1269" w:rsidRDefault="00BB34DE" w:rsidP="006F3E3A">
            <w:pPr>
              <w:spacing w:after="0" w:line="240" w:lineRule="auto"/>
              <w:ind w:firstLine="34"/>
              <w:jc w:val="center"/>
              <w:rPr>
                <w:rFonts w:ascii="Times New Roman" w:eastAsia="Times New Roman" w:hAnsi="Times New Roman" w:cs="Times New Roman"/>
                <w:sz w:val="24"/>
                <w:szCs w:val="24"/>
                <w:lang w:val="ro-RO" w:eastAsia="ru-RU"/>
              </w:rPr>
            </w:pPr>
            <w:r w:rsidRPr="00BB34DE">
              <w:rPr>
                <w:rFonts w:ascii="Times New Roman" w:eastAsia="Times New Roman" w:hAnsi="Times New Roman" w:cs="Times New Roman"/>
                <w:sz w:val="24"/>
                <w:szCs w:val="24"/>
                <w:lang w:eastAsia="ru-RU"/>
              </w:rPr>
              <w:t xml:space="preserve">14-93-11184 </w:t>
            </w:r>
            <w:r w:rsidR="007F1269">
              <w:rPr>
                <w:rFonts w:ascii="Times New Roman" w:eastAsia="Times New Roman" w:hAnsi="Times New Roman" w:cs="Times New Roman"/>
                <w:sz w:val="24"/>
                <w:szCs w:val="24"/>
                <w:lang w:val="ro-RO" w:eastAsia="ru-RU"/>
              </w:rPr>
              <w:t xml:space="preserve">din </w:t>
            </w:r>
            <w:r>
              <w:rPr>
                <w:rFonts w:ascii="Times New Roman" w:eastAsia="Times New Roman" w:hAnsi="Times New Roman" w:cs="Times New Roman"/>
                <w:sz w:val="24"/>
                <w:szCs w:val="24"/>
                <w:lang w:val="ro-RO" w:eastAsia="ru-RU"/>
              </w:rPr>
              <w:t>07</w:t>
            </w:r>
            <w:r w:rsidR="007F1269">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10</w:t>
            </w:r>
            <w:r w:rsidR="007F1269">
              <w:rPr>
                <w:rFonts w:ascii="Times New Roman" w:eastAsia="Times New Roman" w:hAnsi="Times New Roman" w:cs="Times New Roman"/>
                <w:sz w:val="24"/>
                <w:szCs w:val="24"/>
                <w:lang w:val="ro-RO" w:eastAsia="ru-RU"/>
              </w:rPr>
              <w:t>.202</w:t>
            </w:r>
            <w:r>
              <w:rPr>
                <w:rFonts w:ascii="Times New Roman" w:eastAsia="Times New Roman" w:hAnsi="Times New Roman" w:cs="Times New Roman"/>
                <w:sz w:val="24"/>
                <w:szCs w:val="24"/>
                <w:lang w:val="ro-RO" w:eastAsia="ru-RU"/>
              </w:rPr>
              <w:t>4</w:t>
            </w:r>
          </w:p>
          <w:p w:rsidR="007F1269" w:rsidRDefault="007F1269" w:rsidP="006F3E3A">
            <w:pPr>
              <w:spacing w:after="0" w:line="240" w:lineRule="auto"/>
              <w:ind w:firstLine="34"/>
              <w:jc w:val="center"/>
              <w:rPr>
                <w:rFonts w:ascii="Times New Roman" w:eastAsia="Times New Roman" w:hAnsi="Times New Roman" w:cs="Times New Roman"/>
                <w:sz w:val="24"/>
                <w:szCs w:val="24"/>
                <w:lang w:val="ro-RO" w:eastAsia="ru-RU"/>
              </w:rPr>
            </w:pPr>
          </w:p>
          <w:p w:rsidR="007F1269" w:rsidRDefault="007F1269" w:rsidP="006F3E3A">
            <w:pPr>
              <w:spacing w:after="0" w:line="240" w:lineRule="auto"/>
              <w:ind w:firstLine="34"/>
              <w:jc w:val="center"/>
              <w:rPr>
                <w:rFonts w:ascii="Times New Roman" w:eastAsia="Times New Roman" w:hAnsi="Times New Roman" w:cs="Times New Roman"/>
                <w:sz w:val="24"/>
                <w:szCs w:val="24"/>
                <w:lang w:val="ro-RO" w:eastAsia="ru-RU"/>
              </w:rPr>
            </w:pPr>
          </w:p>
        </w:tc>
        <w:tc>
          <w:tcPr>
            <w:tcW w:w="709" w:type="dxa"/>
          </w:tcPr>
          <w:p w:rsidR="007F1269" w:rsidRPr="00025BD4" w:rsidRDefault="00BB34DE" w:rsidP="00BB34DE">
            <w:pPr>
              <w:tabs>
                <w:tab w:val="left" w:pos="993"/>
              </w:tabs>
              <w:spacing w:after="0" w:line="240" w:lineRule="auto"/>
              <w:ind w:right="47"/>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w:t>
            </w:r>
          </w:p>
        </w:tc>
        <w:tc>
          <w:tcPr>
            <w:tcW w:w="6095" w:type="dxa"/>
            <w:shd w:val="clear" w:color="auto" w:fill="auto"/>
          </w:tcPr>
          <w:p w:rsidR="007F1269" w:rsidRPr="00BB34DE" w:rsidRDefault="00BB34DE" w:rsidP="00B81EC6">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BB34DE">
              <w:rPr>
                <w:rFonts w:ascii="Times New Roman" w:eastAsia="Times New Roman" w:hAnsi="Times New Roman" w:cs="Times New Roman"/>
                <w:sz w:val="24"/>
                <w:szCs w:val="24"/>
                <w:lang w:val="ro-RO" w:eastAsia="ru-RU"/>
              </w:rPr>
              <w:t>Urmare a examinării proiectului de hotărâre cu privire la modificarea unor hotărâri ale Guvernului în domeniul metrologiei (număr unic 811/MDED/2024), autor – Ministerul Dezvoltării Economice și Digitalizării, comunicăm despre lipsa de propuneri și obiecții.</w:t>
            </w:r>
          </w:p>
        </w:tc>
        <w:tc>
          <w:tcPr>
            <w:tcW w:w="5954" w:type="dxa"/>
            <w:shd w:val="clear" w:color="auto" w:fill="auto"/>
          </w:tcPr>
          <w:p w:rsidR="007F1269" w:rsidRPr="00470F31" w:rsidRDefault="00A3174B" w:rsidP="002B49DE">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 luat</w:t>
            </w:r>
            <w:r w:rsidR="002B49DE">
              <w:rPr>
                <w:rFonts w:ascii="Times New Roman" w:eastAsia="Calibri" w:hAnsi="Times New Roman" w:cs="Times New Roman"/>
                <w:sz w:val="24"/>
                <w:szCs w:val="24"/>
                <w:lang w:val="ro-RO"/>
              </w:rPr>
              <w:t xml:space="preserve"> act</w:t>
            </w:r>
          </w:p>
        </w:tc>
      </w:tr>
      <w:tr w:rsidR="007F1269" w:rsidRPr="002F6325" w:rsidTr="000762F6">
        <w:tc>
          <w:tcPr>
            <w:tcW w:w="2694" w:type="dxa"/>
            <w:shd w:val="clear" w:color="auto" w:fill="auto"/>
          </w:tcPr>
          <w:p w:rsidR="007F1269" w:rsidRPr="00F358B4" w:rsidRDefault="002B49DE" w:rsidP="00F358B4">
            <w:pPr>
              <w:spacing w:after="0" w:line="240" w:lineRule="auto"/>
              <w:ind w:firstLine="34"/>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Ministerul Afacerilor Interne</w:t>
            </w:r>
          </w:p>
          <w:p w:rsidR="007F1269" w:rsidRPr="00F358B4" w:rsidRDefault="007F1269" w:rsidP="00F358B4">
            <w:pPr>
              <w:spacing w:after="0" w:line="240" w:lineRule="auto"/>
              <w:ind w:firstLine="34"/>
              <w:jc w:val="center"/>
              <w:rPr>
                <w:rFonts w:ascii="Times New Roman" w:eastAsia="Times New Roman" w:hAnsi="Times New Roman" w:cs="Times New Roman"/>
                <w:sz w:val="24"/>
                <w:szCs w:val="24"/>
                <w:lang w:val="ro-RO" w:eastAsia="ru-RU"/>
              </w:rPr>
            </w:pPr>
            <w:r w:rsidRPr="00F358B4">
              <w:rPr>
                <w:rFonts w:ascii="Times New Roman" w:eastAsia="Times New Roman" w:hAnsi="Times New Roman" w:cs="Times New Roman"/>
                <w:sz w:val="24"/>
                <w:szCs w:val="24"/>
                <w:lang w:val="ro-RO" w:eastAsia="ru-RU"/>
              </w:rPr>
              <w:t xml:space="preserve">nr. </w:t>
            </w:r>
            <w:r w:rsidR="002B49DE">
              <w:rPr>
                <w:rFonts w:ascii="Times New Roman" w:eastAsia="Times New Roman" w:hAnsi="Times New Roman" w:cs="Times New Roman"/>
                <w:sz w:val="24"/>
                <w:szCs w:val="24"/>
                <w:lang w:eastAsia="ru-RU"/>
              </w:rPr>
              <w:t>41/3828</w:t>
            </w:r>
          </w:p>
          <w:p w:rsidR="007F1269" w:rsidRPr="00F358B4" w:rsidRDefault="007F1269" w:rsidP="00F358B4">
            <w:pPr>
              <w:spacing w:after="0" w:line="240" w:lineRule="auto"/>
              <w:ind w:firstLine="34"/>
              <w:jc w:val="center"/>
              <w:rPr>
                <w:rFonts w:ascii="Times New Roman" w:eastAsia="Times New Roman" w:hAnsi="Times New Roman" w:cs="Times New Roman"/>
                <w:sz w:val="24"/>
                <w:szCs w:val="24"/>
                <w:lang w:val="ro-RO" w:eastAsia="ru-RU"/>
              </w:rPr>
            </w:pPr>
            <w:r w:rsidRPr="00F358B4">
              <w:rPr>
                <w:rFonts w:ascii="Times New Roman" w:eastAsia="Times New Roman" w:hAnsi="Times New Roman" w:cs="Times New Roman"/>
                <w:sz w:val="24"/>
                <w:szCs w:val="24"/>
                <w:lang w:val="ro-RO" w:eastAsia="ru-RU"/>
              </w:rPr>
              <w:t>din 2</w:t>
            </w:r>
            <w:r w:rsidR="002B49DE">
              <w:rPr>
                <w:rFonts w:ascii="Times New Roman" w:eastAsia="Times New Roman" w:hAnsi="Times New Roman" w:cs="Times New Roman"/>
                <w:sz w:val="24"/>
                <w:szCs w:val="24"/>
                <w:lang w:val="ro-RO" w:eastAsia="ru-RU"/>
              </w:rPr>
              <w:t>6</w:t>
            </w:r>
            <w:r w:rsidRPr="00F358B4">
              <w:rPr>
                <w:rFonts w:ascii="Times New Roman" w:eastAsia="Times New Roman" w:hAnsi="Times New Roman" w:cs="Times New Roman"/>
                <w:sz w:val="24"/>
                <w:szCs w:val="24"/>
                <w:lang w:val="ro-RO" w:eastAsia="ru-RU"/>
              </w:rPr>
              <w:t>.</w:t>
            </w:r>
            <w:r w:rsidR="002B49DE">
              <w:rPr>
                <w:rFonts w:ascii="Times New Roman" w:eastAsia="Times New Roman" w:hAnsi="Times New Roman" w:cs="Times New Roman"/>
                <w:sz w:val="24"/>
                <w:szCs w:val="24"/>
                <w:lang w:val="ro-RO" w:eastAsia="ru-RU"/>
              </w:rPr>
              <w:t>09</w:t>
            </w:r>
            <w:r w:rsidRPr="00F358B4">
              <w:rPr>
                <w:rFonts w:ascii="Times New Roman" w:eastAsia="Times New Roman" w:hAnsi="Times New Roman" w:cs="Times New Roman"/>
                <w:sz w:val="24"/>
                <w:szCs w:val="24"/>
                <w:lang w:val="ro-RO" w:eastAsia="ru-RU"/>
              </w:rPr>
              <w:t>.202</w:t>
            </w:r>
            <w:r w:rsidR="002B49DE">
              <w:rPr>
                <w:rFonts w:ascii="Times New Roman" w:eastAsia="Times New Roman" w:hAnsi="Times New Roman" w:cs="Times New Roman"/>
                <w:sz w:val="24"/>
                <w:szCs w:val="24"/>
                <w:lang w:val="ro-RO" w:eastAsia="ru-RU"/>
              </w:rPr>
              <w:t>4</w:t>
            </w:r>
          </w:p>
          <w:p w:rsidR="007F1269" w:rsidRDefault="007F1269" w:rsidP="002B49DE">
            <w:pPr>
              <w:spacing w:after="0" w:line="240" w:lineRule="auto"/>
              <w:ind w:firstLine="34"/>
              <w:jc w:val="center"/>
              <w:rPr>
                <w:rFonts w:ascii="Times New Roman" w:eastAsia="Times New Roman" w:hAnsi="Times New Roman" w:cs="Times New Roman"/>
                <w:sz w:val="24"/>
                <w:szCs w:val="24"/>
                <w:lang w:val="ro-RO" w:eastAsia="ru-RU"/>
              </w:rPr>
            </w:pPr>
          </w:p>
        </w:tc>
        <w:tc>
          <w:tcPr>
            <w:tcW w:w="709" w:type="dxa"/>
          </w:tcPr>
          <w:p w:rsidR="007F1269" w:rsidRPr="00F358B4" w:rsidRDefault="002B49DE" w:rsidP="002B49DE">
            <w:pPr>
              <w:tabs>
                <w:tab w:val="left" w:pos="993"/>
              </w:tabs>
              <w:spacing w:after="0" w:line="240" w:lineRule="auto"/>
              <w:ind w:right="47"/>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2</w:t>
            </w:r>
          </w:p>
        </w:tc>
        <w:tc>
          <w:tcPr>
            <w:tcW w:w="6095" w:type="dxa"/>
            <w:shd w:val="clear" w:color="auto" w:fill="auto"/>
          </w:tcPr>
          <w:p w:rsidR="007F1269" w:rsidRPr="00025BD4" w:rsidRDefault="002B49DE" w:rsidP="00B81EC6">
            <w:pPr>
              <w:tabs>
                <w:tab w:val="left" w:pos="993"/>
              </w:tabs>
              <w:spacing w:after="0" w:line="240" w:lineRule="auto"/>
              <w:ind w:right="4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Ministerul Afacerilor Interne a examinat proiectul de hotărâre cu privire la modificarea unor hotărâri ale Guvernului în domeniul metrologiei (număr unic 811/MDED/2024) și reieșind din domeniul de competență, comunică lipsa de obiecții și propuneri.</w:t>
            </w:r>
          </w:p>
        </w:tc>
        <w:tc>
          <w:tcPr>
            <w:tcW w:w="5954" w:type="dxa"/>
            <w:shd w:val="clear" w:color="auto" w:fill="auto"/>
          </w:tcPr>
          <w:p w:rsidR="007F1269" w:rsidRDefault="00A3174B" w:rsidP="002B49DE">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 luat act</w:t>
            </w:r>
          </w:p>
        </w:tc>
      </w:tr>
      <w:tr w:rsidR="007F1269" w:rsidRPr="002F6325" w:rsidTr="000762F6">
        <w:tc>
          <w:tcPr>
            <w:tcW w:w="2694" w:type="dxa"/>
            <w:shd w:val="clear" w:color="auto" w:fill="auto"/>
          </w:tcPr>
          <w:p w:rsidR="007F1269" w:rsidRDefault="007F1269" w:rsidP="006F3E3A">
            <w:pPr>
              <w:spacing w:after="0" w:line="240" w:lineRule="auto"/>
              <w:ind w:firstLine="34"/>
              <w:jc w:val="center"/>
              <w:rPr>
                <w:rFonts w:ascii="Times New Roman" w:eastAsia="Calibri" w:hAnsi="Times New Roman" w:cs="Times New Roman"/>
                <w:sz w:val="24"/>
                <w:szCs w:val="24"/>
                <w:lang w:val="ro-RO"/>
              </w:rPr>
            </w:pPr>
            <w:r w:rsidRPr="00B17DD0">
              <w:rPr>
                <w:rFonts w:ascii="Times New Roman" w:eastAsia="Calibri" w:hAnsi="Times New Roman" w:cs="Times New Roman"/>
                <w:sz w:val="24"/>
                <w:szCs w:val="24"/>
                <w:lang w:val="ro-RO"/>
              </w:rPr>
              <w:t>Ministerul</w:t>
            </w:r>
            <w:r>
              <w:rPr>
                <w:rFonts w:ascii="Times New Roman" w:eastAsia="Calibri" w:hAnsi="Times New Roman" w:cs="Times New Roman"/>
                <w:sz w:val="24"/>
                <w:szCs w:val="24"/>
                <w:lang w:val="ro-RO"/>
              </w:rPr>
              <w:t xml:space="preserve"> Infrastructurii și Dezvoltării Regionale</w:t>
            </w:r>
          </w:p>
          <w:p w:rsidR="007F1269" w:rsidRDefault="007F1269" w:rsidP="006F3E3A">
            <w:pPr>
              <w:spacing w:after="0" w:line="240" w:lineRule="auto"/>
              <w:ind w:firstLine="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o-RO" w:eastAsia="ru-RU"/>
              </w:rPr>
              <w:t>n</w:t>
            </w:r>
            <w:r w:rsidRPr="00B17DD0">
              <w:rPr>
                <w:rFonts w:ascii="Times New Roman" w:eastAsia="Times New Roman" w:hAnsi="Times New Roman" w:cs="Times New Roman"/>
                <w:sz w:val="24"/>
                <w:szCs w:val="24"/>
                <w:lang w:val="ro-RO" w:eastAsia="ru-RU"/>
              </w:rPr>
              <w:t>r.</w:t>
            </w:r>
            <w:r>
              <w:rPr>
                <w:rFonts w:ascii="Times New Roman" w:eastAsia="Times New Roman" w:hAnsi="Times New Roman" w:cs="Times New Roman"/>
                <w:sz w:val="24"/>
                <w:szCs w:val="24"/>
                <w:lang w:val="ro-RO" w:eastAsia="ru-RU"/>
              </w:rPr>
              <w:t xml:space="preserve"> </w:t>
            </w:r>
            <w:r w:rsidRPr="00066561">
              <w:rPr>
                <w:rFonts w:ascii="Times New Roman" w:eastAsia="Times New Roman" w:hAnsi="Times New Roman" w:cs="Times New Roman"/>
                <w:sz w:val="24"/>
                <w:szCs w:val="24"/>
                <w:lang w:eastAsia="ru-RU"/>
              </w:rPr>
              <w:t>21-</w:t>
            </w:r>
            <w:r w:rsidR="002B49DE">
              <w:rPr>
                <w:rFonts w:ascii="Times New Roman" w:eastAsia="Times New Roman" w:hAnsi="Times New Roman" w:cs="Times New Roman"/>
                <w:sz w:val="24"/>
                <w:szCs w:val="24"/>
                <w:lang w:eastAsia="ru-RU"/>
              </w:rPr>
              <w:t>5001</w:t>
            </w:r>
            <w:r>
              <w:rPr>
                <w:rFonts w:ascii="Times New Roman" w:eastAsia="Times New Roman" w:hAnsi="Times New Roman" w:cs="Times New Roman"/>
                <w:sz w:val="24"/>
                <w:szCs w:val="24"/>
                <w:lang w:val="ro-RO" w:eastAsia="ru-RU"/>
              </w:rPr>
              <w:t xml:space="preserve">                   din </w:t>
            </w:r>
            <w:r w:rsidR="002B49DE">
              <w:rPr>
                <w:rFonts w:ascii="Times New Roman" w:eastAsia="Times New Roman" w:hAnsi="Times New Roman" w:cs="Times New Roman"/>
                <w:sz w:val="24"/>
                <w:szCs w:val="24"/>
                <w:lang w:val="ro-RO" w:eastAsia="ru-RU"/>
              </w:rPr>
              <w:t>24</w:t>
            </w:r>
            <w:r w:rsidRPr="00066561">
              <w:rPr>
                <w:rFonts w:ascii="Times New Roman" w:eastAsia="Times New Roman" w:hAnsi="Times New Roman" w:cs="Times New Roman"/>
                <w:sz w:val="24"/>
                <w:szCs w:val="24"/>
                <w:lang w:eastAsia="ru-RU"/>
              </w:rPr>
              <w:t>.0</w:t>
            </w:r>
            <w:r w:rsidR="002B49DE">
              <w:rPr>
                <w:rFonts w:ascii="Times New Roman" w:eastAsia="Times New Roman" w:hAnsi="Times New Roman" w:cs="Times New Roman"/>
                <w:sz w:val="24"/>
                <w:szCs w:val="24"/>
                <w:lang w:eastAsia="ru-RU"/>
              </w:rPr>
              <w:t>9</w:t>
            </w:r>
            <w:r w:rsidRPr="00066561">
              <w:rPr>
                <w:rFonts w:ascii="Times New Roman" w:eastAsia="Times New Roman" w:hAnsi="Times New Roman" w:cs="Times New Roman"/>
                <w:sz w:val="24"/>
                <w:szCs w:val="24"/>
                <w:lang w:eastAsia="ru-RU"/>
              </w:rPr>
              <w:t>.202</w:t>
            </w:r>
            <w:r w:rsidR="002B49DE">
              <w:rPr>
                <w:rFonts w:ascii="Times New Roman" w:eastAsia="Times New Roman" w:hAnsi="Times New Roman" w:cs="Times New Roman"/>
                <w:sz w:val="24"/>
                <w:szCs w:val="24"/>
                <w:lang w:eastAsia="ru-RU"/>
              </w:rPr>
              <w:t>4</w:t>
            </w:r>
          </w:p>
          <w:p w:rsidR="007F1269" w:rsidRPr="00B17DD0" w:rsidRDefault="007F1269" w:rsidP="006F3E3A">
            <w:pPr>
              <w:spacing w:after="0" w:line="240" w:lineRule="auto"/>
              <w:ind w:firstLine="34"/>
              <w:jc w:val="center"/>
              <w:rPr>
                <w:rFonts w:ascii="Times New Roman" w:eastAsia="Calibri" w:hAnsi="Times New Roman" w:cs="Times New Roman"/>
                <w:sz w:val="24"/>
                <w:szCs w:val="24"/>
                <w:lang w:val="ro-RO"/>
              </w:rPr>
            </w:pPr>
          </w:p>
        </w:tc>
        <w:tc>
          <w:tcPr>
            <w:tcW w:w="709" w:type="dxa"/>
          </w:tcPr>
          <w:p w:rsidR="007F1269" w:rsidRPr="00066561" w:rsidRDefault="002B49DE" w:rsidP="002B49DE">
            <w:pPr>
              <w:tabs>
                <w:tab w:val="left" w:pos="993"/>
              </w:tabs>
              <w:spacing w:after="0" w:line="240" w:lineRule="auto"/>
              <w:ind w:right="176"/>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w:t>
            </w:r>
          </w:p>
        </w:tc>
        <w:tc>
          <w:tcPr>
            <w:tcW w:w="6095" w:type="dxa"/>
            <w:shd w:val="clear" w:color="auto" w:fill="auto"/>
          </w:tcPr>
          <w:p w:rsidR="007F1269" w:rsidRPr="002B49DE" w:rsidRDefault="002B49DE" w:rsidP="00B81EC6">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2B49DE">
              <w:rPr>
                <w:rFonts w:ascii="Times New Roman" w:eastAsia="Times New Roman" w:hAnsi="Times New Roman" w:cs="Times New Roman"/>
                <w:sz w:val="24"/>
                <w:szCs w:val="24"/>
                <w:lang w:val="ro-RO" w:eastAsia="ru-RU"/>
              </w:rPr>
              <w:t>Urmare examinării proiectului hotărârii de Guvern cu privire la modificarea unor hotărâri ale Guvernului în domeniul metrologiei (număr unic 811/MDED/2024), în limita competențelor funcționale, comunicăm lipsă de obiecții și propuneri.</w:t>
            </w:r>
          </w:p>
        </w:tc>
        <w:tc>
          <w:tcPr>
            <w:tcW w:w="5954" w:type="dxa"/>
            <w:shd w:val="clear" w:color="auto" w:fill="auto"/>
          </w:tcPr>
          <w:p w:rsidR="007F1269" w:rsidRDefault="00A3174B" w:rsidP="006F3E3A">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 luat act</w:t>
            </w:r>
            <w:r w:rsidR="007F1269">
              <w:rPr>
                <w:rFonts w:ascii="Times New Roman" w:eastAsia="Calibri" w:hAnsi="Times New Roman" w:cs="Times New Roman"/>
                <w:sz w:val="24"/>
                <w:szCs w:val="24"/>
                <w:lang w:val="ro-RO"/>
              </w:rPr>
              <w:t xml:space="preserve"> </w:t>
            </w:r>
          </w:p>
          <w:p w:rsidR="007F1269" w:rsidRDefault="007F1269" w:rsidP="006F3E3A">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p>
          <w:p w:rsidR="007F1269" w:rsidRDefault="007F1269" w:rsidP="006F3E3A">
            <w:pPr>
              <w:spacing w:after="0" w:line="240" w:lineRule="auto"/>
              <w:ind w:right="63"/>
              <w:jc w:val="center"/>
              <w:rPr>
                <w:rFonts w:ascii="Times New Roman" w:eastAsia="Calibri" w:hAnsi="Times New Roman" w:cs="Times New Roman"/>
                <w:sz w:val="24"/>
                <w:szCs w:val="24"/>
                <w:lang w:val="ro-RO"/>
              </w:rPr>
            </w:pPr>
          </w:p>
          <w:p w:rsidR="007F1269" w:rsidRDefault="007F1269" w:rsidP="006F3E3A">
            <w:pPr>
              <w:spacing w:after="0" w:line="240" w:lineRule="auto"/>
              <w:ind w:right="63"/>
              <w:jc w:val="center"/>
              <w:rPr>
                <w:rFonts w:ascii="Times New Roman" w:eastAsia="Calibri" w:hAnsi="Times New Roman" w:cs="Times New Roman"/>
                <w:sz w:val="24"/>
                <w:szCs w:val="24"/>
                <w:lang w:val="ro-RO"/>
              </w:rPr>
            </w:pPr>
          </w:p>
          <w:p w:rsidR="007F1269" w:rsidRDefault="007F1269" w:rsidP="006F3E3A">
            <w:pPr>
              <w:spacing w:after="0" w:line="240" w:lineRule="auto"/>
              <w:ind w:right="63"/>
              <w:jc w:val="center"/>
              <w:rPr>
                <w:rFonts w:ascii="Times New Roman" w:eastAsia="Calibri" w:hAnsi="Times New Roman" w:cs="Times New Roman"/>
                <w:sz w:val="24"/>
                <w:szCs w:val="24"/>
                <w:lang w:val="ro-RO"/>
              </w:rPr>
            </w:pPr>
          </w:p>
          <w:p w:rsidR="007F1269" w:rsidRPr="00034924" w:rsidRDefault="007F1269" w:rsidP="006F3E3A">
            <w:pPr>
              <w:spacing w:after="0" w:line="240" w:lineRule="auto"/>
              <w:ind w:right="63"/>
              <w:jc w:val="center"/>
              <w:rPr>
                <w:rFonts w:ascii="Times New Roman" w:eastAsia="Calibri" w:hAnsi="Times New Roman" w:cs="Times New Roman"/>
                <w:sz w:val="24"/>
                <w:szCs w:val="24"/>
                <w:lang w:val="ro-RO"/>
              </w:rPr>
            </w:pPr>
          </w:p>
        </w:tc>
      </w:tr>
      <w:tr w:rsidR="007F1269" w:rsidRPr="002F6325" w:rsidTr="000762F6">
        <w:tc>
          <w:tcPr>
            <w:tcW w:w="2694" w:type="dxa"/>
            <w:shd w:val="clear" w:color="auto" w:fill="auto"/>
          </w:tcPr>
          <w:p w:rsidR="007F1269" w:rsidRPr="00F358B4" w:rsidRDefault="002B49DE" w:rsidP="00F358B4">
            <w:pPr>
              <w:spacing w:after="0" w:line="240" w:lineRule="auto"/>
              <w:ind w:firstLine="34"/>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Sănătății</w:t>
            </w:r>
          </w:p>
          <w:p w:rsidR="007F1269" w:rsidRPr="00B17DD0" w:rsidRDefault="007F1269" w:rsidP="002B49DE">
            <w:pPr>
              <w:spacing w:after="0" w:line="240" w:lineRule="auto"/>
              <w:ind w:firstLine="34"/>
              <w:jc w:val="center"/>
              <w:rPr>
                <w:rFonts w:ascii="Times New Roman" w:eastAsia="Calibri" w:hAnsi="Times New Roman" w:cs="Times New Roman"/>
                <w:sz w:val="24"/>
                <w:szCs w:val="24"/>
                <w:lang w:val="ro-RO"/>
              </w:rPr>
            </w:pPr>
            <w:r w:rsidRPr="00F358B4">
              <w:rPr>
                <w:rFonts w:ascii="Times New Roman" w:eastAsia="Calibri" w:hAnsi="Times New Roman" w:cs="Times New Roman"/>
                <w:sz w:val="24"/>
                <w:szCs w:val="24"/>
                <w:lang w:val="ro-RO"/>
              </w:rPr>
              <w:t>nr.</w:t>
            </w:r>
            <w:r w:rsidR="002B49DE" w:rsidRPr="002B49DE">
              <w:t xml:space="preserve"> </w:t>
            </w:r>
            <w:r w:rsidR="002B49DE" w:rsidRPr="002B49DE">
              <w:rPr>
                <w:rFonts w:ascii="Times New Roman" w:eastAsia="Calibri" w:hAnsi="Times New Roman" w:cs="Times New Roman"/>
                <w:sz w:val="24"/>
                <w:szCs w:val="24"/>
              </w:rPr>
              <w:t>09/3795</w:t>
            </w:r>
            <w:r w:rsidRPr="00F358B4">
              <w:rPr>
                <w:rFonts w:ascii="Times New Roman" w:eastAsia="Calibri" w:hAnsi="Times New Roman" w:cs="Times New Roman"/>
                <w:sz w:val="24"/>
                <w:szCs w:val="24"/>
                <w:lang w:val="ro-RO"/>
              </w:rPr>
              <w:t xml:space="preserve">                   din </w:t>
            </w:r>
            <w:r w:rsidR="002B49DE">
              <w:rPr>
                <w:rFonts w:ascii="Times New Roman" w:eastAsia="Calibri" w:hAnsi="Times New Roman" w:cs="Times New Roman"/>
                <w:sz w:val="24"/>
                <w:szCs w:val="24"/>
                <w:lang w:val="ro-RO"/>
              </w:rPr>
              <w:t xml:space="preserve"> 07.</w:t>
            </w:r>
            <w:r w:rsidRPr="00F358B4">
              <w:rPr>
                <w:rFonts w:ascii="Times New Roman" w:eastAsia="Calibri" w:hAnsi="Times New Roman" w:cs="Times New Roman"/>
                <w:sz w:val="24"/>
                <w:szCs w:val="24"/>
              </w:rPr>
              <w:t>1</w:t>
            </w:r>
            <w:r w:rsidR="002B49DE">
              <w:rPr>
                <w:rFonts w:ascii="Times New Roman" w:eastAsia="Calibri" w:hAnsi="Times New Roman" w:cs="Times New Roman"/>
                <w:sz w:val="24"/>
                <w:szCs w:val="24"/>
              </w:rPr>
              <w:t>0</w:t>
            </w:r>
            <w:r w:rsidRPr="00F358B4">
              <w:rPr>
                <w:rFonts w:ascii="Times New Roman" w:eastAsia="Calibri" w:hAnsi="Times New Roman" w:cs="Times New Roman"/>
                <w:sz w:val="24"/>
                <w:szCs w:val="24"/>
              </w:rPr>
              <w:t>.202</w:t>
            </w:r>
            <w:r w:rsidR="002B49DE">
              <w:rPr>
                <w:rFonts w:ascii="Times New Roman" w:eastAsia="Calibri" w:hAnsi="Times New Roman" w:cs="Times New Roman"/>
                <w:sz w:val="24"/>
                <w:szCs w:val="24"/>
              </w:rPr>
              <w:t>4</w:t>
            </w:r>
          </w:p>
        </w:tc>
        <w:tc>
          <w:tcPr>
            <w:tcW w:w="709" w:type="dxa"/>
          </w:tcPr>
          <w:p w:rsidR="007F1269" w:rsidRPr="00F358B4" w:rsidRDefault="002B49DE" w:rsidP="002B49DE">
            <w:pPr>
              <w:tabs>
                <w:tab w:val="left" w:pos="993"/>
              </w:tabs>
              <w:spacing w:after="0" w:line="240" w:lineRule="auto"/>
              <w:ind w:right="176"/>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4</w:t>
            </w:r>
          </w:p>
        </w:tc>
        <w:tc>
          <w:tcPr>
            <w:tcW w:w="6095" w:type="dxa"/>
            <w:shd w:val="clear" w:color="auto" w:fill="auto"/>
          </w:tcPr>
          <w:p w:rsidR="002B49DE" w:rsidRPr="002B49DE" w:rsidRDefault="002B49DE" w:rsidP="00B81EC6">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2B49DE">
              <w:rPr>
                <w:rFonts w:ascii="Times New Roman" w:eastAsia="Times New Roman" w:hAnsi="Times New Roman" w:cs="Times New Roman"/>
                <w:sz w:val="24"/>
                <w:szCs w:val="24"/>
                <w:lang w:val="ro-RO" w:eastAsia="ru-RU"/>
              </w:rPr>
              <w:t xml:space="preserve">Ministerul Sănătății, a examinat proiectul de hotărâre cu privire la modificarea unor hotărâri ale Guvernului în domeniul metrologiei (număr unic 811/MDED/2024), autor – Ministerul Dezvoltării Economice și Digitalizării, și conform competențelor funcționale, comunică lipsa de </w:t>
            </w:r>
          </w:p>
          <w:p w:rsidR="007F1269" w:rsidRPr="00F358B4" w:rsidRDefault="002B49DE" w:rsidP="00B81EC6">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2B49DE">
              <w:rPr>
                <w:rFonts w:ascii="Times New Roman" w:eastAsia="Times New Roman" w:hAnsi="Times New Roman" w:cs="Times New Roman"/>
                <w:sz w:val="24"/>
                <w:szCs w:val="24"/>
                <w:lang w:val="ro-RO" w:eastAsia="ru-RU"/>
              </w:rPr>
              <w:t>obiecții și propuneri.</w:t>
            </w:r>
          </w:p>
        </w:tc>
        <w:tc>
          <w:tcPr>
            <w:tcW w:w="5954" w:type="dxa"/>
            <w:shd w:val="clear" w:color="auto" w:fill="auto"/>
          </w:tcPr>
          <w:p w:rsidR="007F1269" w:rsidRDefault="00A3174B" w:rsidP="006F3E3A">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 luat act</w:t>
            </w:r>
          </w:p>
        </w:tc>
      </w:tr>
      <w:tr w:rsidR="007F1269" w:rsidRPr="002F6325" w:rsidTr="000762F6">
        <w:tc>
          <w:tcPr>
            <w:tcW w:w="2694" w:type="dxa"/>
            <w:shd w:val="clear" w:color="auto" w:fill="auto"/>
          </w:tcPr>
          <w:p w:rsidR="007F1269" w:rsidRDefault="002B49DE" w:rsidP="006F3E3A">
            <w:pPr>
              <w:spacing w:after="0" w:line="240" w:lineRule="auto"/>
              <w:ind w:firstLine="34"/>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Mediului</w:t>
            </w:r>
          </w:p>
          <w:p w:rsidR="007F1269" w:rsidRPr="00B17DD0" w:rsidRDefault="007F1269" w:rsidP="002B49DE">
            <w:pPr>
              <w:spacing w:after="0" w:line="240" w:lineRule="auto"/>
              <w:ind w:firstLine="34"/>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w:t>
            </w:r>
            <w:r w:rsidR="007B2C8D">
              <w:rPr>
                <w:rFonts w:ascii="Times New Roman" w:eastAsia="Calibri" w:hAnsi="Times New Roman" w:cs="Times New Roman"/>
                <w:sz w:val="24"/>
                <w:szCs w:val="24"/>
                <w:lang w:val="ro-RO"/>
              </w:rPr>
              <w:t>r</w:t>
            </w:r>
            <w:r w:rsidR="002B49DE" w:rsidRPr="002B49DE">
              <w:rPr>
                <w:rFonts w:ascii="Times New Roman" w:eastAsia="Calibri" w:hAnsi="Times New Roman" w:cs="Times New Roman"/>
                <w:sz w:val="24"/>
                <w:szCs w:val="24"/>
              </w:rPr>
              <w:t>.13-05/2800</w:t>
            </w:r>
            <w:r>
              <w:rPr>
                <w:rFonts w:ascii="Times New Roman" w:eastAsia="Calibri" w:hAnsi="Times New Roman" w:cs="Times New Roman"/>
                <w:sz w:val="24"/>
                <w:szCs w:val="24"/>
                <w:lang w:val="ro-RO"/>
              </w:rPr>
              <w:t xml:space="preserve">                          </w:t>
            </w:r>
            <w:r w:rsidRPr="00895164">
              <w:rPr>
                <w:rFonts w:ascii="Times New Roman" w:eastAsia="Calibri" w:hAnsi="Times New Roman" w:cs="Times New Roman"/>
                <w:sz w:val="24"/>
                <w:szCs w:val="24"/>
                <w:lang w:val="ro-RO"/>
              </w:rPr>
              <w:t xml:space="preserve">din </w:t>
            </w:r>
            <w:r>
              <w:rPr>
                <w:rFonts w:ascii="Times New Roman" w:eastAsia="Calibri" w:hAnsi="Times New Roman" w:cs="Times New Roman"/>
                <w:sz w:val="24"/>
                <w:szCs w:val="24"/>
                <w:lang w:val="ro-RO"/>
              </w:rPr>
              <w:t>0</w:t>
            </w:r>
            <w:r w:rsidR="002B49DE">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w:t>
            </w:r>
            <w:r w:rsidR="002B49DE">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w:t>
            </w:r>
            <w:r w:rsidRPr="00066561">
              <w:rPr>
                <w:rFonts w:ascii="Times New Roman" w:eastAsia="Calibri" w:hAnsi="Times New Roman" w:cs="Times New Roman"/>
                <w:sz w:val="24"/>
                <w:szCs w:val="24"/>
                <w:lang w:val="ro-RO"/>
              </w:rPr>
              <w:t xml:space="preserve"> 202</w:t>
            </w:r>
            <w:r w:rsidR="002B49DE">
              <w:rPr>
                <w:rFonts w:ascii="Times New Roman" w:eastAsia="Calibri" w:hAnsi="Times New Roman" w:cs="Times New Roman"/>
                <w:sz w:val="24"/>
                <w:szCs w:val="24"/>
                <w:lang w:val="ro-RO"/>
              </w:rPr>
              <w:t>4</w:t>
            </w:r>
          </w:p>
        </w:tc>
        <w:tc>
          <w:tcPr>
            <w:tcW w:w="709" w:type="dxa"/>
          </w:tcPr>
          <w:p w:rsidR="007F1269" w:rsidRPr="00066561" w:rsidRDefault="002B49DE" w:rsidP="002B49DE">
            <w:pPr>
              <w:tabs>
                <w:tab w:val="left" w:pos="993"/>
              </w:tabs>
              <w:spacing w:after="0" w:line="240" w:lineRule="auto"/>
              <w:ind w:right="176"/>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w:t>
            </w:r>
          </w:p>
        </w:tc>
        <w:tc>
          <w:tcPr>
            <w:tcW w:w="6095" w:type="dxa"/>
            <w:shd w:val="clear" w:color="auto" w:fill="auto"/>
          </w:tcPr>
          <w:p w:rsidR="007F1269" w:rsidRPr="00066561" w:rsidRDefault="002B49DE" w:rsidP="00B81EC6">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2B49DE">
              <w:rPr>
                <w:rFonts w:ascii="Times New Roman" w:eastAsia="Times New Roman" w:hAnsi="Times New Roman" w:cs="Times New Roman"/>
                <w:sz w:val="24"/>
                <w:szCs w:val="24"/>
                <w:lang w:val="ro-RO" w:eastAsia="ru-RU"/>
              </w:rPr>
              <w:t xml:space="preserve">În contextul examinării proiectului de hotărâre a Guvernului cu privire la modificarea unor hotărâri ale Guvernului în domeniul metrologiei (număr unic 811/MDED/2024), Vă comunicăm lipsa propunerilor și obiecțiilor. </w:t>
            </w:r>
          </w:p>
        </w:tc>
        <w:tc>
          <w:tcPr>
            <w:tcW w:w="5954" w:type="dxa"/>
            <w:shd w:val="clear" w:color="auto" w:fill="auto"/>
          </w:tcPr>
          <w:p w:rsidR="007F1269" w:rsidRDefault="00A3174B" w:rsidP="006F3E3A">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 luat act </w:t>
            </w:r>
          </w:p>
          <w:p w:rsidR="007F1269" w:rsidRDefault="007F1269" w:rsidP="006F3E3A">
            <w:pPr>
              <w:spacing w:after="0" w:line="240" w:lineRule="auto"/>
              <w:ind w:right="63"/>
              <w:jc w:val="center"/>
              <w:rPr>
                <w:rFonts w:ascii="Times New Roman" w:eastAsia="Calibri" w:hAnsi="Times New Roman" w:cs="Times New Roman"/>
                <w:sz w:val="24"/>
                <w:szCs w:val="24"/>
                <w:lang w:val="ro-RO"/>
              </w:rPr>
            </w:pPr>
          </w:p>
          <w:p w:rsidR="007F1269" w:rsidRPr="00034924" w:rsidRDefault="007F1269" w:rsidP="006F3E3A">
            <w:pPr>
              <w:spacing w:after="0" w:line="240" w:lineRule="auto"/>
              <w:ind w:right="63"/>
              <w:jc w:val="center"/>
              <w:rPr>
                <w:rFonts w:ascii="Times New Roman" w:eastAsia="Calibri" w:hAnsi="Times New Roman" w:cs="Times New Roman"/>
                <w:sz w:val="24"/>
                <w:szCs w:val="24"/>
                <w:lang w:val="ro-RO"/>
              </w:rPr>
            </w:pPr>
          </w:p>
        </w:tc>
      </w:tr>
      <w:tr w:rsidR="007B2C8D" w:rsidRPr="002F6325" w:rsidTr="007B2C8D">
        <w:trPr>
          <w:trHeight w:val="2085"/>
        </w:trPr>
        <w:tc>
          <w:tcPr>
            <w:tcW w:w="2694" w:type="dxa"/>
            <w:vMerge w:val="restart"/>
            <w:shd w:val="clear" w:color="auto" w:fill="auto"/>
          </w:tcPr>
          <w:p w:rsidR="007B2C8D" w:rsidRPr="0051721B" w:rsidRDefault="007B2C8D" w:rsidP="0051721B">
            <w:pPr>
              <w:spacing w:after="0" w:line="240" w:lineRule="auto"/>
              <w:ind w:firstLine="34"/>
              <w:jc w:val="center"/>
              <w:rPr>
                <w:rFonts w:ascii="Times New Roman" w:eastAsia="Calibri" w:hAnsi="Times New Roman" w:cs="Times New Roman"/>
                <w:sz w:val="24"/>
                <w:szCs w:val="24"/>
                <w:lang w:val="ro-RO"/>
              </w:rPr>
            </w:pPr>
            <w:r w:rsidRPr="0051721B">
              <w:rPr>
                <w:rFonts w:ascii="Times New Roman" w:eastAsia="Calibri" w:hAnsi="Times New Roman" w:cs="Times New Roman"/>
                <w:sz w:val="24"/>
                <w:szCs w:val="24"/>
                <w:lang w:val="ro-RO"/>
              </w:rPr>
              <w:lastRenderedPageBreak/>
              <w:t xml:space="preserve">Ministerul </w:t>
            </w:r>
            <w:r>
              <w:rPr>
                <w:rFonts w:ascii="Times New Roman" w:eastAsia="Calibri" w:hAnsi="Times New Roman" w:cs="Times New Roman"/>
                <w:sz w:val="24"/>
                <w:szCs w:val="24"/>
                <w:lang w:val="ro-RO"/>
              </w:rPr>
              <w:t>Energiei</w:t>
            </w:r>
          </w:p>
          <w:p w:rsidR="007B2C8D" w:rsidRDefault="007B2C8D" w:rsidP="00742C97">
            <w:pPr>
              <w:spacing w:after="0" w:line="240" w:lineRule="auto"/>
              <w:ind w:firstLine="34"/>
              <w:jc w:val="center"/>
              <w:rPr>
                <w:rFonts w:ascii="Times New Roman" w:eastAsia="Calibri" w:hAnsi="Times New Roman" w:cs="Times New Roman"/>
                <w:sz w:val="24"/>
                <w:szCs w:val="24"/>
                <w:lang w:val="ro-RO"/>
              </w:rPr>
            </w:pPr>
            <w:r w:rsidRPr="0051721B">
              <w:rPr>
                <w:rFonts w:ascii="Times New Roman" w:eastAsia="Calibri" w:hAnsi="Times New Roman" w:cs="Times New Roman"/>
                <w:sz w:val="24"/>
                <w:szCs w:val="24"/>
                <w:lang w:val="ro-RO"/>
              </w:rPr>
              <w:t>nr.</w:t>
            </w:r>
            <w:r w:rsidRPr="0051721B">
              <w:rPr>
                <w:rFonts w:ascii="Times New Roman" w:eastAsia="Calibri" w:hAnsi="Times New Roman" w:cs="Times New Roman"/>
                <w:sz w:val="24"/>
                <w:szCs w:val="24"/>
              </w:rPr>
              <w:t xml:space="preserve"> </w:t>
            </w:r>
            <w:r w:rsidRPr="002B49DE">
              <w:rPr>
                <w:rFonts w:ascii="Times New Roman" w:eastAsia="Calibri" w:hAnsi="Times New Roman" w:cs="Times New Roman"/>
                <w:sz w:val="24"/>
                <w:szCs w:val="24"/>
              </w:rPr>
              <w:t xml:space="preserve">05-2541 </w:t>
            </w:r>
            <w:r w:rsidRPr="0051721B">
              <w:rPr>
                <w:rFonts w:ascii="Times New Roman" w:eastAsia="Calibri" w:hAnsi="Times New Roman" w:cs="Times New Roman"/>
                <w:sz w:val="24"/>
                <w:szCs w:val="24"/>
                <w:lang w:val="ro-RO"/>
              </w:rPr>
              <w:t xml:space="preserve">                          din </w:t>
            </w:r>
            <w:r>
              <w:rPr>
                <w:rFonts w:ascii="Times New Roman" w:eastAsia="Calibri" w:hAnsi="Times New Roman" w:cs="Times New Roman"/>
                <w:sz w:val="24"/>
                <w:szCs w:val="24"/>
                <w:lang w:val="ro-RO"/>
              </w:rPr>
              <w:t>01</w:t>
            </w:r>
            <w:r>
              <w:rPr>
                <w:rFonts w:ascii="Times New Roman" w:eastAsia="Calibri" w:hAnsi="Times New Roman" w:cs="Times New Roman"/>
                <w:sz w:val="24"/>
                <w:szCs w:val="24"/>
              </w:rPr>
              <w:t>.10.</w:t>
            </w:r>
            <w:r w:rsidRPr="0051721B">
              <w:rPr>
                <w:rFonts w:ascii="Times New Roman" w:eastAsia="Calibri" w:hAnsi="Times New Roman" w:cs="Times New Roman"/>
                <w:sz w:val="24"/>
                <w:szCs w:val="24"/>
              </w:rPr>
              <w:t>202</w:t>
            </w:r>
            <w:r>
              <w:rPr>
                <w:rFonts w:ascii="Times New Roman" w:eastAsia="Calibri" w:hAnsi="Times New Roman" w:cs="Times New Roman"/>
                <w:sz w:val="24"/>
                <w:szCs w:val="24"/>
              </w:rPr>
              <w:t>4</w:t>
            </w:r>
          </w:p>
          <w:p w:rsidR="007B2C8D" w:rsidRDefault="007B2C8D" w:rsidP="0051721B">
            <w:pPr>
              <w:spacing w:after="0" w:line="240" w:lineRule="auto"/>
              <w:ind w:firstLine="34"/>
              <w:jc w:val="center"/>
              <w:rPr>
                <w:rFonts w:ascii="Times New Roman" w:eastAsia="Calibri" w:hAnsi="Times New Roman" w:cs="Times New Roman"/>
                <w:sz w:val="24"/>
                <w:szCs w:val="24"/>
                <w:lang w:val="ro-RO"/>
              </w:rPr>
            </w:pPr>
          </w:p>
        </w:tc>
        <w:tc>
          <w:tcPr>
            <w:tcW w:w="709" w:type="dxa"/>
            <w:vMerge w:val="restart"/>
          </w:tcPr>
          <w:p w:rsidR="007B2C8D" w:rsidRPr="0051721B" w:rsidRDefault="007B2C8D"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w:t>
            </w:r>
          </w:p>
        </w:tc>
        <w:tc>
          <w:tcPr>
            <w:tcW w:w="6095" w:type="dxa"/>
            <w:shd w:val="clear" w:color="auto" w:fill="auto"/>
          </w:tcPr>
          <w:p w:rsidR="007B2C8D" w:rsidRDefault="007B2C8D" w:rsidP="00B81EC6">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6151C">
              <w:rPr>
                <w:rFonts w:ascii="Times New Roman" w:eastAsia="Times New Roman" w:hAnsi="Times New Roman" w:cs="Times New Roman"/>
                <w:sz w:val="24"/>
                <w:szCs w:val="24"/>
                <w:lang w:val="ro-RO" w:eastAsia="ru-RU"/>
              </w:rPr>
              <w:t xml:space="preserve">În rezultatul examinării demersului nr. 18-69-10394 din 17 septembrie 2024 al Cancelariei de Stat, privind avizarea proiectul de hotărâre cu privire la modificarea unor hotărâri ale Guvernului în domeniul metrologiei (număr unic 811/MDED/2024), autor – Ministerul Dezvoltării Economice și Digitalizării, în limita competențelor funcționale, comunicăm lipsă de obiecții. </w:t>
            </w:r>
          </w:p>
          <w:p w:rsidR="007B2C8D" w:rsidRPr="0086151C" w:rsidRDefault="007B2C8D" w:rsidP="00B81EC6">
            <w:pPr>
              <w:tabs>
                <w:tab w:val="left" w:pos="993"/>
              </w:tabs>
              <w:spacing w:after="0" w:line="240" w:lineRule="auto"/>
              <w:ind w:right="47"/>
              <w:jc w:val="both"/>
              <w:rPr>
                <w:rFonts w:ascii="Times New Roman" w:eastAsia="Times New Roman" w:hAnsi="Times New Roman" w:cs="Times New Roman"/>
                <w:sz w:val="24"/>
                <w:szCs w:val="24"/>
                <w:lang w:val="ro-RO" w:eastAsia="ru-RU"/>
              </w:rPr>
            </w:pPr>
          </w:p>
        </w:tc>
        <w:tc>
          <w:tcPr>
            <w:tcW w:w="5954" w:type="dxa"/>
            <w:shd w:val="clear" w:color="auto" w:fill="auto"/>
          </w:tcPr>
          <w:p w:rsidR="007B2C8D" w:rsidRDefault="007B2C8D" w:rsidP="00913D36">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s-a luat act </w:t>
            </w:r>
          </w:p>
          <w:p w:rsidR="007B2C8D" w:rsidRDefault="007B2C8D" w:rsidP="00913D36">
            <w:pPr>
              <w:spacing w:after="0" w:line="240" w:lineRule="auto"/>
              <w:ind w:right="63"/>
              <w:jc w:val="center"/>
              <w:rPr>
                <w:rFonts w:ascii="Times New Roman" w:eastAsia="Calibri" w:hAnsi="Times New Roman" w:cs="Times New Roman"/>
                <w:sz w:val="24"/>
                <w:szCs w:val="24"/>
                <w:lang w:val="ro-RO"/>
              </w:rPr>
            </w:pPr>
          </w:p>
          <w:p w:rsidR="007B2C8D" w:rsidRDefault="007B2C8D" w:rsidP="00913D36">
            <w:pPr>
              <w:spacing w:after="0" w:line="240" w:lineRule="auto"/>
              <w:ind w:right="63"/>
              <w:jc w:val="center"/>
              <w:rPr>
                <w:rFonts w:ascii="Times New Roman" w:eastAsia="Calibri" w:hAnsi="Times New Roman" w:cs="Times New Roman"/>
                <w:sz w:val="24"/>
                <w:szCs w:val="24"/>
                <w:lang w:val="ro-RO"/>
              </w:rPr>
            </w:pPr>
          </w:p>
          <w:p w:rsidR="007B2C8D" w:rsidRDefault="007B2C8D" w:rsidP="00913D36">
            <w:pPr>
              <w:spacing w:after="0" w:line="240" w:lineRule="auto"/>
              <w:ind w:right="63"/>
              <w:jc w:val="center"/>
              <w:rPr>
                <w:rFonts w:ascii="Times New Roman" w:eastAsia="Calibri" w:hAnsi="Times New Roman" w:cs="Times New Roman"/>
                <w:sz w:val="24"/>
                <w:szCs w:val="24"/>
                <w:lang w:val="ro-RO"/>
              </w:rPr>
            </w:pPr>
          </w:p>
          <w:p w:rsidR="007B2C8D" w:rsidRDefault="007B2C8D" w:rsidP="00913D36">
            <w:pPr>
              <w:spacing w:after="0" w:line="240" w:lineRule="auto"/>
              <w:ind w:right="63"/>
              <w:jc w:val="center"/>
              <w:rPr>
                <w:rFonts w:ascii="Times New Roman" w:eastAsia="Calibri" w:hAnsi="Times New Roman" w:cs="Times New Roman"/>
                <w:sz w:val="24"/>
                <w:szCs w:val="24"/>
                <w:lang w:val="ro-RO"/>
              </w:rPr>
            </w:pPr>
          </w:p>
          <w:p w:rsidR="007B2C8D" w:rsidRDefault="007B2C8D" w:rsidP="00913D36">
            <w:pPr>
              <w:spacing w:after="0" w:line="240" w:lineRule="auto"/>
              <w:ind w:right="63"/>
              <w:jc w:val="center"/>
              <w:rPr>
                <w:rFonts w:ascii="Times New Roman" w:eastAsia="Calibri" w:hAnsi="Times New Roman" w:cs="Times New Roman"/>
                <w:sz w:val="24"/>
                <w:szCs w:val="24"/>
                <w:lang w:val="ro-RO"/>
              </w:rPr>
            </w:pPr>
          </w:p>
          <w:p w:rsidR="007B2C8D" w:rsidRDefault="007B2C8D" w:rsidP="00913D36">
            <w:pPr>
              <w:spacing w:after="0" w:line="240" w:lineRule="auto"/>
              <w:ind w:right="63"/>
              <w:jc w:val="center"/>
              <w:rPr>
                <w:rFonts w:ascii="Times New Roman" w:eastAsia="Calibri" w:hAnsi="Times New Roman" w:cs="Times New Roman"/>
                <w:sz w:val="24"/>
                <w:szCs w:val="24"/>
                <w:lang w:val="ro-RO"/>
              </w:rPr>
            </w:pPr>
          </w:p>
          <w:p w:rsidR="007B2C8D" w:rsidRPr="00851B8B" w:rsidRDefault="007B2C8D" w:rsidP="00801355">
            <w:pPr>
              <w:spacing w:after="0" w:line="240" w:lineRule="auto"/>
              <w:ind w:right="63"/>
              <w:jc w:val="both"/>
              <w:rPr>
                <w:rFonts w:ascii="Times New Roman" w:eastAsia="Calibri" w:hAnsi="Times New Roman" w:cs="Times New Roman"/>
                <w:sz w:val="24"/>
                <w:szCs w:val="24"/>
                <w:lang w:val="ro-RO"/>
              </w:rPr>
            </w:pPr>
          </w:p>
        </w:tc>
      </w:tr>
      <w:tr w:rsidR="007B2C8D" w:rsidRPr="002F6325" w:rsidTr="007B2C8D">
        <w:trPr>
          <w:trHeight w:val="2132"/>
        </w:trPr>
        <w:tc>
          <w:tcPr>
            <w:tcW w:w="2694" w:type="dxa"/>
            <w:vMerge/>
            <w:shd w:val="clear" w:color="auto" w:fill="auto"/>
          </w:tcPr>
          <w:p w:rsidR="007B2C8D" w:rsidRPr="0051721B" w:rsidRDefault="007B2C8D" w:rsidP="0051721B">
            <w:pPr>
              <w:spacing w:after="0" w:line="240" w:lineRule="auto"/>
              <w:ind w:firstLine="34"/>
              <w:jc w:val="center"/>
              <w:rPr>
                <w:rFonts w:ascii="Times New Roman" w:eastAsia="Calibri" w:hAnsi="Times New Roman" w:cs="Times New Roman"/>
                <w:sz w:val="24"/>
                <w:szCs w:val="24"/>
                <w:lang w:val="ro-RO"/>
              </w:rPr>
            </w:pPr>
          </w:p>
        </w:tc>
        <w:tc>
          <w:tcPr>
            <w:tcW w:w="709" w:type="dxa"/>
            <w:vMerge/>
          </w:tcPr>
          <w:p w:rsidR="007B2C8D" w:rsidRDefault="007B2C8D"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tc>
        <w:tc>
          <w:tcPr>
            <w:tcW w:w="6095" w:type="dxa"/>
            <w:shd w:val="clear" w:color="auto" w:fill="auto"/>
          </w:tcPr>
          <w:p w:rsidR="007B2C8D" w:rsidRDefault="007B2C8D" w:rsidP="007B2C8D">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6151C">
              <w:rPr>
                <w:rFonts w:ascii="Times New Roman" w:eastAsia="Times New Roman" w:hAnsi="Times New Roman" w:cs="Times New Roman"/>
                <w:sz w:val="24"/>
                <w:szCs w:val="24"/>
                <w:lang w:val="ro-RO" w:eastAsia="ru-RU"/>
              </w:rPr>
              <w:t>Totodată, se propune completarea proiectului Hotărârii Guvernului propus spre avizare, la modificările ce se operează în unele hotărâri ale Guvernului în domeniul metrologiei cu Hotărârea Guvernului nr. 1042/2016 cu privire la aprobarea Listei oficiale a mijloacelor de măsurare și a măsurărilor supuse controlului metrologic legal, pentru modificarea tabelului categoriile și sortimentele mijloacelor de măsurare supuse controlului metrologic legal. Astfel, poziția 4 „Mărimi El</w:t>
            </w:r>
            <w:r>
              <w:rPr>
                <w:rFonts w:ascii="Times New Roman" w:eastAsia="Times New Roman" w:hAnsi="Times New Roman" w:cs="Times New Roman"/>
                <w:sz w:val="24"/>
                <w:szCs w:val="24"/>
                <w:lang w:val="ro-RO" w:eastAsia="ru-RU"/>
              </w:rPr>
              <w:t>ectromagnetice” din tabelul sus-</w:t>
            </w:r>
            <w:r w:rsidRPr="0086151C">
              <w:rPr>
                <w:rFonts w:ascii="Times New Roman" w:eastAsia="Times New Roman" w:hAnsi="Times New Roman" w:cs="Times New Roman"/>
                <w:sz w:val="24"/>
                <w:szCs w:val="24"/>
                <w:lang w:val="ro-RO" w:eastAsia="ru-RU"/>
              </w:rPr>
              <w:t xml:space="preserve">menționat se va completa cu poziții suplimentare de detaliere, care se vor referi la contoare electronice/statice de energie electrică activă și reactivă cu intervalul maxim admis între două verificări metrologice succesive de 180 luni. </w:t>
            </w:r>
          </w:p>
          <w:p w:rsidR="007B2C8D" w:rsidRDefault="007B2C8D" w:rsidP="007B2C8D">
            <w:pPr>
              <w:tabs>
                <w:tab w:val="left" w:pos="993"/>
              </w:tabs>
              <w:spacing w:after="0" w:line="240" w:lineRule="auto"/>
              <w:ind w:right="4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Pr="0086151C">
              <w:rPr>
                <w:rFonts w:ascii="Times New Roman" w:eastAsia="Times New Roman" w:hAnsi="Times New Roman" w:cs="Times New Roman"/>
                <w:sz w:val="24"/>
                <w:szCs w:val="24"/>
                <w:lang w:val="ro-RO" w:eastAsia="ru-RU"/>
              </w:rPr>
              <w:t xml:space="preserve">Necesitatea acestei intervenții rezidă din faptul că, contoarele de energie electrică sunt inevitabile pentru măsurarea consumului de energie, având un rol crucial în facturarea corectă și în gestionarea eficientă a resurselor energetice. În prezent, există două tipuri principale de contoare utilizate pentru măsurarea consumului de energiei electrică: contoare electronice/statice (digitale) și contoarele tradiționale mecanice (analogice). Deși ambele tipuri îndeplinesc aceeași funcție de bază, diferențele tehnologice dintre ele au un impact semnificativ cu referire la frecvența și </w:t>
            </w:r>
            <w:r w:rsidRPr="0086151C">
              <w:rPr>
                <w:rFonts w:ascii="Times New Roman" w:eastAsia="Times New Roman" w:hAnsi="Times New Roman" w:cs="Times New Roman"/>
                <w:sz w:val="24"/>
                <w:szCs w:val="24"/>
                <w:lang w:val="ro-RO" w:eastAsia="ru-RU"/>
              </w:rPr>
              <w:lastRenderedPageBreak/>
              <w:t xml:space="preserve">modului în care aceste sunt supuse controlului metrologic legal. </w:t>
            </w:r>
          </w:p>
          <w:p w:rsidR="007B2C8D" w:rsidRDefault="007B2C8D" w:rsidP="007B2C8D">
            <w:pPr>
              <w:tabs>
                <w:tab w:val="left" w:pos="993"/>
              </w:tabs>
              <w:spacing w:after="0" w:line="240" w:lineRule="auto"/>
              <w:ind w:right="4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Pr="0086151C">
              <w:rPr>
                <w:rFonts w:ascii="Times New Roman" w:eastAsia="Times New Roman" w:hAnsi="Times New Roman" w:cs="Times New Roman"/>
                <w:sz w:val="24"/>
                <w:szCs w:val="24"/>
                <w:lang w:val="ro-RO" w:eastAsia="ru-RU"/>
              </w:rPr>
              <w:t>Prin urmare, contoarele digitale utilizează tehnologii avansate bazate pe componente electronice pentru a măsura consumul de energie electrică, ceea ce oferă stabilitate și precizie ridicată a măsurătorilor pe termen lung. Dat fiind faptul că aceste contoare nu au părți mobile care se pot uza în timp le conferă o durabilitate mai înaltă față de contoarele</w:t>
            </w:r>
            <w:r>
              <w:rPr>
                <w:rFonts w:ascii="Times New Roman" w:eastAsia="Times New Roman" w:hAnsi="Times New Roman" w:cs="Times New Roman"/>
                <w:sz w:val="24"/>
                <w:szCs w:val="24"/>
                <w:lang w:val="ro-RO" w:eastAsia="ru-RU"/>
              </w:rPr>
              <w:t xml:space="preserve"> </w:t>
            </w:r>
            <w:r w:rsidRPr="0086151C">
              <w:rPr>
                <w:rFonts w:ascii="Times New Roman" w:eastAsia="Times New Roman" w:hAnsi="Times New Roman" w:cs="Times New Roman"/>
                <w:sz w:val="24"/>
                <w:szCs w:val="24"/>
                <w:lang w:val="ro-RO" w:eastAsia="ru-RU"/>
              </w:rPr>
              <w:t xml:space="preserve">analogice, minimizând astfel riscul erorilor de măsurare. Ca urmare se menține un nivel constant de precizie, reducând astfel necesitatea verificărilor frecvente. </w:t>
            </w:r>
          </w:p>
          <w:p w:rsidR="007B2C8D" w:rsidRDefault="007B2C8D" w:rsidP="007B2C8D">
            <w:pPr>
              <w:tabs>
                <w:tab w:val="left" w:pos="993"/>
              </w:tabs>
              <w:spacing w:after="0" w:line="240" w:lineRule="auto"/>
              <w:ind w:right="4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Pr="0086151C">
              <w:rPr>
                <w:rFonts w:ascii="Times New Roman" w:eastAsia="Times New Roman" w:hAnsi="Times New Roman" w:cs="Times New Roman"/>
                <w:sz w:val="24"/>
                <w:szCs w:val="24"/>
                <w:lang w:val="ro-RO" w:eastAsia="ru-RU"/>
              </w:rPr>
              <w:t xml:space="preserve">Reglementările actuale incluse în Tabelul categoriilor și sortimentelor mijloacelor de măsurare supuse controlului metrologic legal la Lista oficială a mijloacelor de măsurare și a măsurărilor supuse controlului metrologic legal, aprobat prin Hotărârea Guvernului nr. 1042/2016 prevăd intervalul maxim admis între două verificări metrologice succesive de 48 de luni pentru contoare de energie electrică activă/reactivă trifazate și respectiv 96 de luni pentru contoare de energie electrică activă/reactivă monofazate, fără a face diferență între tehnologia de funcționare a acestora. </w:t>
            </w:r>
          </w:p>
          <w:p w:rsidR="007B2C8D" w:rsidRDefault="007B2C8D" w:rsidP="007B2C8D">
            <w:pPr>
              <w:tabs>
                <w:tab w:val="left" w:pos="993"/>
              </w:tabs>
              <w:spacing w:after="0" w:line="240" w:lineRule="auto"/>
              <w:ind w:right="4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Pr="0086151C">
              <w:rPr>
                <w:rFonts w:ascii="Times New Roman" w:eastAsia="Times New Roman" w:hAnsi="Times New Roman" w:cs="Times New Roman"/>
                <w:sz w:val="24"/>
                <w:szCs w:val="24"/>
                <w:lang w:val="ro-RO" w:eastAsia="ru-RU"/>
              </w:rPr>
              <w:t xml:space="preserve">Considerând avantajele tehnice menționate, precum și costul contoarelor digitale, care este unul mai mare față de contoare analogice, necesitatea efectuării verificărilor metrologice pentru contoarele digitale, similar celor analogice, dezavantajează consumătorii care au ales un echipament de măsurare digital. </w:t>
            </w:r>
          </w:p>
          <w:p w:rsidR="007B2C8D" w:rsidRPr="0086151C" w:rsidRDefault="007B2C8D" w:rsidP="007B2C8D">
            <w:pPr>
              <w:tabs>
                <w:tab w:val="left" w:pos="993"/>
              </w:tabs>
              <w:spacing w:after="0" w:line="240" w:lineRule="auto"/>
              <w:ind w:right="4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Pr="0086151C">
              <w:rPr>
                <w:rFonts w:ascii="Times New Roman" w:eastAsia="Times New Roman" w:hAnsi="Times New Roman" w:cs="Times New Roman"/>
                <w:sz w:val="24"/>
                <w:szCs w:val="24"/>
                <w:lang w:val="ro-RO" w:eastAsia="ru-RU"/>
              </w:rPr>
              <w:t xml:space="preserve">Subsecvent, atragem atenția că în România, în conformitate cu Ordinul Biroului Român de Metrologie Legală nr. 77/2022 pentru aprobarea listei oficiale a mijloacelor de măsurare supuse controlului metrologic legal (se anexează), periodicitatea verificărilor pentru contoare de </w:t>
            </w:r>
            <w:r w:rsidRPr="0086151C">
              <w:rPr>
                <w:rFonts w:ascii="Times New Roman" w:eastAsia="Times New Roman" w:hAnsi="Times New Roman" w:cs="Times New Roman"/>
                <w:sz w:val="24"/>
                <w:szCs w:val="24"/>
                <w:lang w:val="ro-RO" w:eastAsia="ru-RU"/>
              </w:rPr>
              <w:lastRenderedPageBreak/>
              <w:t>energie electrică activă este egală cu 15 ani. În Republica Cehă, în conformitate cu Decretul Ministerului Industriei și Comerțului nr. 345/2002 de stabilire a mijloacelor de măsurare supuse verificării obligatorii și a mijloacelor de măsurare supuse omologării (se anexează), pentru contoare statice/digitale de curent alternativ monofazate perioada de valabilitate a verificării este de 12 ani</w:t>
            </w:r>
            <w:r>
              <w:rPr>
                <w:rFonts w:ascii="Times New Roman" w:eastAsia="Times New Roman" w:hAnsi="Times New Roman" w:cs="Times New Roman"/>
                <w:sz w:val="24"/>
                <w:szCs w:val="24"/>
                <w:lang w:val="ro-RO" w:eastAsia="ru-RU"/>
              </w:rPr>
              <w:t>.</w:t>
            </w:r>
          </w:p>
        </w:tc>
        <w:tc>
          <w:tcPr>
            <w:tcW w:w="5954" w:type="dxa"/>
            <w:shd w:val="clear" w:color="auto" w:fill="auto"/>
          </w:tcPr>
          <w:p w:rsidR="007B2C8D" w:rsidRDefault="007B2C8D" w:rsidP="007B2C8D">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se acceptă parțial</w:t>
            </w:r>
          </w:p>
          <w:p w:rsidR="007B2C8D" w:rsidRDefault="007B2C8D" w:rsidP="007B2C8D">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Hotărârea Guvernului nr. 1042/2016 </w:t>
            </w:r>
            <w:r w:rsidRPr="00801355">
              <w:rPr>
                <w:rFonts w:ascii="Times New Roman" w:eastAsia="Calibri" w:hAnsi="Times New Roman" w:cs="Times New Roman"/>
                <w:sz w:val="24"/>
                <w:szCs w:val="24"/>
                <w:lang w:val="ro-RO"/>
              </w:rPr>
              <w:t>cu privire la aprobarea Listei oficiale a mijloacelor de măsurare și a măsurărilor supuse controlului metrologic legal</w:t>
            </w:r>
            <w:r>
              <w:rPr>
                <w:rFonts w:ascii="Times New Roman" w:eastAsia="Calibri" w:hAnsi="Times New Roman" w:cs="Times New Roman"/>
                <w:sz w:val="24"/>
                <w:szCs w:val="24"/>
                <w:lang w:val="ro-RO"/>
              </w:rPr>
              <w:t xml:space="preserve"> implementează prevederile Legii metrologie nr.19/2016. Hotărârea  enunțată nu ține de legislația de armonizare a UE și nu transpune un act al Uniunii. </w:t>
            </w:r>
          </w:p>
          <w:p w:rsidR="007B2C8D" w:rsidRDefault="007B2C8D" w:rsidP="007B2C8D">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Menționăm, că Autoritatea centrală de Metrologie (MDED) periodic ajustează </w:t>
            </w:r>
            <w:r w:rsidRPr="00801355">
              <w:rPr>
                <w:rFonts w:ascii="Times New Roman" w:eastAsia="Calibri" w:hAnsi="Times New Roman" w:cs="Times New Roman"/>
                <w:sz w:val="24"/>
                <w:szCs w:val="24"/>
                <w:lang w:val="ro-RO"/>
              </w:rPr>
              <w:t>Lista oficială a mijloacelor de măsurare şi a măsurărilor supuse controlului metrologic legal</w:t>
            </w:r>
            <w:r>
              <w:rPr>
                <w:rFonts w:ascii="Times New Roman" w:eastAsia="Calibri" w:hAnsi="Times New Roman" w:cs="Times New Roman"/>
                <w:sz w:val="24"/>
                <w:szCs w:val="24"/>
                <w:lang w:val="ro-RO"/>
              </w:rPr>
              <w:t xml:space="preserve"> la cele mai bune practici europene și internaționale. Astfel, propunerile expuse vor fi luate în considerare în procesul de modificare a </w:t>
            </w:r>
            <w:r w:rsidRPr="00A83589">
              <w:rPr>
                <w:rFonts w:ascii="Times New Roman" w:eastAsia="Calibri" w:hAnsi="Times New Roman" w:cs="Times New Roman"/>
                <w:sz w:val="24"/>
                <w:szCs w:val="24"/>
                <w:lang w:val="ro-RO"/>
              </w:rPr>
              <w:t>Hotărârea Guvernului nr. 1042/2016</w:t>
            </w:r>
            <w:r>
              <w:rPr>
                <w:rFonts w:ascii="Times New Roman" w:eastAsia="Calibri" w:hAnsi="Times New Roman" w:cs="Times New Roman"/>
                <w:sz w:val="24"/>
                <w:szCs w:val="24"/>
                <w:lang w:val="ro-RO"/>
              </w:rPr>
              <w:t>.</w:t>
            </w:r>
          </w:p>
        </w:tc>
      </w:tr>
      <w:tr w:rsidR="00C67A8E" w:rsidRPr="002F6325" w:rsidTr="00D54E4F">
        <w:trPr>
          <w:trHeight w:val="2132"/>
        </w:trPr>
        <w:tc>
          <w:tcPr>
            <w:tcW w:w="2694" w:type="dxa"/>
            <w:vMerge w:val="restart"/>
            <w:shd w:val="clear" w:color="auto" w:fill="auto"/>
          </w:tcPr>
          <w:p w:rsidR="00C67A8E" w:rsidRDefault="00C67A8E" w:rsidP="007B2C8D">
            <w:pPr>
              <w:spacing w:after="0" w:line="240" w:lineRule="auto"/>
              <w:ind w:firstLine="34"/>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Ministerul Agriculturii și Industriei Alimentare</w:t>
            </w:r>
          </w:p>
          <w:p w:rsidR="00C67A8E" w:rsidRDefault="00C67A8E" w:rsidP="007B2C8D">
            <w:pPr>
              <w:spacing w:after="0" w:line="240" w:lineRule="auto"/>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nr. </w:t>
            </w:r>
            <w:r w:rsidRPr="0086151C">
              <w:rPr>
                <w:rFonts w:ascii="Times New Roman" w:eastAsia="Calibri" w:hAnsi="Times New Roman" w:cs="Times New Roman"/>
                <w:sz w:val="24"/>
                <w:szCs w:val="24"/>
              </w:rPr>
              <w:t>2024PHG-3277</w:t>
            </w: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Default="00C67A8E" w:rsidP="007B2C8D">
            <w:pPr>
              <w:spacing w:after="0" w:line="240" w:lineRule="auto"/>
              <w:ind w:firstLine="34"/>
              <w:jc w:val="center"/>
              <w:rPr>
                <w:rFonts w:ascii="Times New Roman" w:eastAsia="Calibri" w:hAnsi="Times New Roman" w:cs="Times New Roman"/>
                <w:sz w:val="24"/>
                <w:szCs w:val="24"/>
              </w:rPr>
            </w:pPr>
          </w:p>
          <w:p w:rsidR="00C67A8E" w:rsidRPr="0051721B" w:rsidRDefault="00C67A8E" w:rsidP="007B2C8D">
            <w:pPr>
              <w:spacing w:after="0" w:line="240" w:lineRule="auto"/>
              <w:ind w:firstLine="34"/>
              <w:jc w:val="center"/>
              <w:rPr>
                <w:rFonts w:ascii="Times New Roman" w:eastAsia="Calibri" w:hAnsi="Times New Roman" w:cs="Times New Roman"/>
                <w:sz w:val="24"/>
                <w:szCs w:val="24"/>
                <w:lang w:val="ro-RO"/>
              </w:rPr>
            </w:pPr>
          </w:p>
        </w:tc>
        <w:tc>
          <w:tcPr>
            <w:tcW w:w="709" w:type="dxa"/>
            <w:vMerge w:val="restart"/>
          </w:tcPr>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7</w:t>
            </w: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tc>
        <w:tc>
          <w:tcPr>
            <w:tcW w:w="6095" w:type="dxa"/>
            <w:shd w:val="clear" w:color="auto" w:fill="auto"/>
          </w:tcPr>
          <w:p w:rsidR="00C67A8E" w:rsidRPr="0086151C" w:rsidRDefault="00C67A8E" w:rsidP="007B2C8D">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86151C">
              <w:rPr>
                <w:rFonts w:ascii="Times New Roman" w:eastAsia="Times New Roman" w:hAnsi="Times New Roman" w:cs="Times New Roman"/>
                <w:sz w:val="24"/>
                <w:szCs w:val="24"/>
                <w:lang w:val="ro-RO" w:eastAsia="ru-RU"/>
              </w:rPr>
              <w:lastRenderedPageBreak/>
              <w:t>În contextul examinării proiectului hotărîrii cu privire la modificarea unor hotărîri ale Guvernului în domeniul metrologiei (număr unic 811/MDED/2024), Vă comunicăm următoarele.</w:t>
            </w:r>
          </w:p>
          <w:p w:rsidR="00C67A8E" w:rsidRPr="0086151C" w:rsidRDefault="00C67A8E" w:rsidP="007B2C8D">
            <w:pPr>
              <w:tabs>
                <w:tab w:val="left" w:pos="993"/>
              </w:tabs>
              <w:spacing w:after="0" w:line="240" w:lineRule="auto"/>
              <w:ind w:right="33"/>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 Obiecț</w:t>
            </w:r>
            <w:r w:rsidRPr="0086151C">
              <w:rPr>
                <w:rFonts w:ascii="Times New Roman" w:eastAsia="Times New Roman" w:hAnsi="Times New Roman" w:cs="Times New Roman"/>
                <w:sz w:val="24"/>
                <w:szCs w:val="24"/>
                <w:lang w:val="ro-RO" w:eastAsia="ru-RU"/>
              </w:rPr>
              <w:t xml:space="preserve">ii argumentate şi explicite pe marginea cărora trebuie să se ajungă la un acord: </w:t>
            </w:r>
          </w:p>
          <w:p w:rsidR="00C67A8E" w:rsidRPr="0086151C" w:rsidRDefault="00C67A8E" w:rsidP="007B2C8D">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86151C">
              <w:rPr>
                <w:rFonts w:ascii="Times New Roman" w:eastAsia="Times New Roman" w:hAnsi="Times New Roman" w:cs="Times New Roman"/>
                <w:sz w:val="24"/>
                <w:szCs w:val="24"/>
                <w:lang w:val="ro-RO" w:eastAsia="ru-RU"/>
              </w:rPr>
              <w:t xml:space="preserve">La pct. 1: </w:t>
            </w:r>
          </w:p>
          <w:p w:rsidR="00C67A8E" w:rsidRPr="0086151C" w:rsidRDefault="00C67A8E" w:rsidP="007B2C8D">
            <w:pPr>
              <w:tabs>
                <w:tab w:val="left" w:pos="993"/>
              </w:tabs>
              <w:spacing w:after="0" w:line="240" w:lineRule="auto"/>
              <w:ind w:right="33"/>
              <w:jc w:val="both"/>
              <w:rPr>
                <w:rFonts w:ascii="Times New Roman" w:eastAsia="Times New Roman" w:hAnsi="Times New Roman" w:cs="Times New Roman"/>
                <w:sz w:val="24"/>
                <w:szCs w:val="24"/>
                <w:lang w:val="ro-RO" w:eastAsia="ru-RU"/>
              </w:rPr>
            </w:pPr>
            <w:proofErr w:type="spellStart"/>
            <w:r w:rsidRPr="0086151C">
              <w:rPr>
                <w:rFonts w:ascii="Times New Roman" w:eastAsia="Times New Roman" w:hAnsi="Times New Roman" w:cs="Times New Roman"/>
                <w:sz w:val="24"/>
                <w:szCs w:val="24"/>
                <w:lang w:val="ro-RO" w:eastAsia="ru-RU"/>
              </w:rPr>
              <w:t>Subpct</w:t>
            </w:r>
            <w:proofErr w:type="spellEnd"/>
            <w:r w:rsidRPr="0086151C">
              <w:rPr>
                <w:rFonts w:ascii="Times New Roman" w:eastAsia="Times New Roman" w:hAnsi="Times New Roman" w:cs="Times New Roman"/>
                <w:sz w:val="24"/>
                <w:szCs w:val="24"/>
                <w:lang w:val="ro-RO" w:eastAsia="ru-RU"/>
              </w:rPr>
              <w:t xml:space="preserve">. 1.2.1: </w:t>
            </w:r>
          </w:p>
          <w:p w:rsidR="00C67A8E" w:rsidRDefault="00C67A8E" w:rsidP="00C0540B">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86151C">
              <w:rPr>
                <w:rFonts w:ascii="Times New Roman" w:eastAsia="Times New Roman" w:hAnsi="Times New Roman" w:cs="Times New Roman"/>
                <w:sz w:val="24"/>
                <w:szCs w:val="24"/>
                <w:lang w:val="ro-RO" w:eastAsia="ru-RU"/>
              </w:rPr>
              <w:t xml:space="preserve">noțiunile „punere la dispoziție pe piață” și „introducere pe piață”, atragem atenția autorului proiectului, că puterea juridică ale actele normative se întinde doar pe teritoriul țării ale cărei autorităților le-a emis. Altfel spus, apreciem că nu poate o hotărîre de Guvern al Republicii Moldova să considere un act ca fiind „de punere la dispoziție pe piață”, atunci cînd acesta s-a </w:t>
            </w:r>
            <w:proofErr w:type="spellStart"/>
            <w:r w:rsidRPr="0086151C">
              <w:rPr>
                <w:rFonts w:ascii="Times New Roman" w:eastAsia="Times New Roman" w:hAnsi="Times New Roman" w:cs="Times New Roman"/>
                <w:sz w:val="24"/>
                <w:szCs w:val="24"/>
                <w:lang w:val="ro-RO" w:eastAsia="ru-RU"/>
              </w:rPr>
              <w:t>săvîrșit</w:t>
            </w:r>
            <w:proofErr w:type="spellEnd"/>
            <w:r w:rsidRPr="0086151C">
              <w:rPr>
                <w:rFonts w:ascii="Times New Roman" w:eastAsia="Times New Roman" w:hAnsi="Times New Roman" w:cs="Times New Roman"/>
                <w:sz w:val="24"/>
                <w:szCs w:val="24"/>
                <w:lang w:val="ro-RO" w:eastAsia="ru-RU"/>
              </w:rPr>
              <w:t xml:space="preserve"> pe teritoriul unui stat membru al Uniunii Europene, adică în afara teritoriului Republicii Moldova. </w:t>
            </w:r>
          </w:p>
        </w:tc>
        <w:tc>
          <w:tcPr>
            <w:tcW w:w="5954" w:type="dxa"/>
            <w:shd w:val="clear" w:color="auto" w:fill="auto"/>
          </w:tcPr>
          <w:p w:rsidR="00D54E4F" w:rsidRDefault="00D54E4F" w:rsidP="00D54E4F">
            <w:pPr>
              <w:spacing w:after="0" w:line="240" w:lineRule="auto"/>
              <w:ind w:right="63"/>
              <w:jc w:val="center"/>
              <w:rPr>
                <w:rFonts w:ascii="Times New Roman" w:eastAsia="Calibri" w:hAnsi="Times New Roman" w:cs="Times New Roman"/>
                <w:sz w:val="24"/>
                <w:szCs w:val="24"/>
                <w:lang w:val="ro-RO"/>
              </w:rPr>
            </w:pPr>
            <w:r w:rsidRPr="00A83589">
              <w:rPr>
                <w:rFonts w:ascii="Times New Roman" w:eastAsia="Calibri" w:hAnsi="Times New Roman" w:cs="Times New Roman"/>
                <w:sz w:val="24"/>
                <w:szCs w:val="24"/>
                <w:lang w:val="ro-RO"/>
              </w:rPr>
              <w:t>se acceptă</w:t>
            </w:r>
          </w:p>
          <w:p w:rsidR="00C67A8E" w:rsidRDefault="00C67A8E" w:rsidP="00D54E4F">
            <w:pPr>
              <w:spacing w:after="0" w:line="240" w:lineRule="auto"/>
              <w:ind w:right="63"/>
              <w:jc w:val="center"/>
              <w:rPr>
                <w:rFonts w:ascii="Times New Roman" w:eastAsia="Calibri" w:hAnsi="Times New Roman" w:cs="Times New Roman"/>
                <w:sz w:val="24"/>
                <w:szCs w:val="24"/>
                <w:lang w:val="ro-RO"/>
              </w:rPr>
            </w:pPr>
          </w:p>
          <w:p w:rsidR="00C67A8E" w:rsidRDefault="00C67A8E" w:rsidP="00D54E4F">
            <w:pPr>
              <w:spacing w:after="0" w:line="240" w:lineRule="auto"/>
              <w:ind w:right="63"/>
              <w:jc w:val="center"/>
              <w:rPr>
                <w:rFonts w:ascii="Times New Roman" w:eastAsia="Calibri" w:hAnsi="Times New Roman" w:cs="Times New Roman"/>
                <w:sz w:val="24"/>
                <w:szCs w:val="24"/>
                <w:lang w:val="ro-RO"/>
              </w:rPr>
            </w:pPr>
          </w:p>
          <w:p w:rsidR="00C67A8E" w:rsidRDefault="00C67A8E" w:rsidP="00D54E4F">
            <w:pPr>
              <w:spacing w:after="0" w:line="240" w:lineRule="auto"/>
              <w:ind w:right="63"/>
              <w:jc w:val="center"/>
              <w:rPr>
                <w:rFonts w:ascii="Times New Roman" w:eastAsia="Calibri" w:hAnsi="Times New Roman" w:cs="Times New Roman"/>
                <w:sz w:val="24"/>
                <w:szCs w:val="24"/>
                <w:lang w:val="ro-RO"/>
              </w:rPr>
            </w:pPr>
          </w:p>
          <w:p w:rsidR="00C67A8E" w:rsidRDefault="00C67A8E" w:rsidP="00D54E4F">
            <w:pPr>
              <w:spacing w:after="0" w:line="240" w:lineRule="auto"/>
              <w:ind w:right="63"/>
              <w:jc w:val="center"/>
              <w:rPr>
                <w:rFonts w:ascii="Times New Roman" w:eastAsia="Calibri" w:hAnsi="Times New Roman" w:cs="Times New Roman"/>
                <w:sz w:val="24"/>
                <w:szCs w:val="24"/>
                <w:lang w:val="ro-RO"/>
              </w:rPr>
            </w:pPr>
          </w:p>
          <w:p w:rsidR="00C67A8E" w:rsidRDefault="00C67A8E" w:rsidP="00D54E4F">
            <w:pPr>
              <w:spacing w:after="0" w:line="240" w:lineRule="auto"/>
              <w:ind w:right="63"/>
              <w:jc w:val="center"/>
              <w:rPr>
                <w:rFonts w:ascii="Times New Roman" w:eastAsia="Calibri" w:hAnsi="Times New Roman" w:cs="Times New Roman"/>
                <w:sz w:val="24"/>
                <w:szCs w:val="24"/>
                <w:lang w:val="ro-RO"/>
              </w:rPr>
            </w:pPr>
          </w:p>
          <w:p w:rsidR="00C67A8E" w:rsidRDefault="00C67A8E" w:rsidP="00D54E4F">
            <w:pPr>
              <w:spacing w:after="0" w:line="240" w:lineRule="auto"/>
              <w:ind w:right="63"/>
              <w:jc w:val="center"/>
              <w:rPr>
                <w:rFonts w:ascii="Times New Roman" w:eastAsia="Calibri" w:hAnsi="Times New Roman" w:cs="Times New Roman"/>
                <w:sz w:val="24"/>
                <w:szCs w:val="24"/>
                <w:lang w:val="ro-RO"/>
              </w:rPr>
            </w:pPr>
          </w:p>
          <w:p w:rsidR="00C67A8E" w:rsidRDefault="00C67A8E" w:rsidP="00D54E4F">
            <w:pPr>
              <w:spacing w:after="0" w:line="240" w:lineRule="auto"/>
              <w:ind w:right="63"/>
              <w:jc w:val="center"/>
              <w:rPr>
                <w:rFonts w:ascii="Times New Roman" w:eastAsia="Calibri" w:hAnsi="Times New Roman" w:cs="Times New Roman"/>
                <w:sz w:val="24"/>
                <w:szCs w:val="24"/>
                <w:lang w:val="ro-RO"/>
              </w:rPr>
            </w:pPr>
          </w:p>
          <w:p w:rsidR="00C67A8E" w:rsidRDefault="00C67A8E" w:rsidP="00D54E4F">
            <w:pPr>
              <w:spacing w:after="0" w:line="240" w:lineRule="auto"/>
              <w:ind w:right="63"/>
              <w:jc w:val="center"/>
              <w:rPr>
                <w:rFonts w:ascii="Times New Roman" w:eastAsia="Calibri" w:hAnsi="Times New Roman" w:cs="Times New Roman"/>
                <w:sz w:val="24"/>
                <w:szCs w:val="24"/>
                <w:lang w:val="ro-RO"/>
              </w:rPr>
            </w:pPr>
          </w:p>
          <w:p w:rsidR="00C67A8E" w:rsidRDefault="00C67A8E" w:rsidP="00D54E4F">
            <w:pPr>
              <w:spacing w:after="0" w:line="240" w:lineRule="auto"/>
              <w:ind w:right="63"/>
              <w:jc w:val="center"/>
              <w:rPr>
                <w:rFonts w:ascii="Times New Roman" w:eastAsia="Calibri" w:hAnsi="Times New Roman" w:cs="Times New Roman"/>
                <w:sz w:val="24"/>
                <w:szCs w:val="24"/>
                <w:lang w:val="ro-RO"/>
              </w:rPr>
            </w:pPr>
          </w:p>
        </w:tc>
      </w:tr>
      <w:tr w:rsidR="00C67A8E" w:rsidRPr="002F6325" w:rsidTr="007B2C8D">
        <w:trPr>
          <w:trHeight w:val="2132"/>
        </w:trPr>
        <w:tc>
          <w:tcPr>
            <w:tcW w:w="2694" w:type="dxa"/>
            <w:vMerge/>
            <w:shd w:val="clear" w:color="auto" w:fill="auto"/>
          </w:tcPr>
          <w:p w:rsidR="00C67A8E" w:rsidRDefault="00C67A8E" w:rsidP="007B2C8D">
            <w:pPr>
              <w:spacing w:after="0" w:line="240" w:lineRule="auto"/>
              <w:ind w:firstLine="34"/>
              <w:jc w:val="center"/>
              <w:rPr>
                <w:rFonts w:ascii="Times New Roman" w:eastAsia="Calibri" w:hAnsi="Times New Roman" w:cs="Times New Roman"/>
                <w:sz w:val="24"/>
                <w:szCs w:val="24"/>
                <w:lang w:val="ro-RO"/>
              </w:rPr>
            </w:pPr>
          </w:p>
        </w:tc>
        <w:tc>
          <w:tcPr>
            <w:tcW w:w="709" w:type="dxa"/>
            <w:vMerge/>
          </w:tcPr>
          <w:p w:rsidR="00C67A8E"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tc>
        <w:tc>
          <w:tcPr>
            <w:tcW w:w="6095" w:type="dxa"/>
            <w:shd w:val="clear" w:color="auto" w:fill="auto"/>
          </w:tcPr>
          <w:p w:rsidR="00C67A8E" w:rsidRPr="0086151C" w:rsidRDefault="00C67A8E" w:rsidP="007B2C8D">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C0540B">
              <w:rPr>
                <w:rFonts w:ascii="Times New Roman" w:eastAsia="Times New Roman" w:hAnsi="Times New Roman" w:cs="Times New Roman"/>
                <w:sz w:val="24"/>
                <w:szCs w:val="24"/>
                <w:lang w:val="ro-RO" w:eastAsia="ru-RU"/>
              </w:rPr>
              <w:t xml:space="preserve">Subpunct. 1.2.18 și 1.2.23 observăm că în modul în care este formulat, prin actul național (Hotărîrea Guvernului) se recunoaște autoritatea deciziei Comisiei Europene asupra măsurilor naționale adoptate în legătură cu neconformitatea aparatelor de cîntărit. Or, considerăm că </w:t>
            </w:r>
            <w:proofErr w:type="spellStart"/>
            <w:r w:rsidRPr="00C0540B">
              <w:rPr>
                <w:rFonts w:ascii="Times New Roman" w:eastAsia="Times New Roman" w:hAnsi="Times New Roman" w:cs="Times New Roman"/>
                <w:sz w:val="24"/>
                <w:szCs w:val="24"/>
                <w:lang w:val="ro-RO" w:eastAsia="ru-RU"/>
              </w:rPr>
              <w:t>atîta</w:t>
            </w:r>
            <w:proofErr w:type="spellEnd"/>
            <w:r w:rsidRPr="00C0540B">
              <w:rPr>
                <w:rFonts w:ascii="Times New Roman" w:eastAsia="Times New Roman" w:hAnsi="Times New Roman" w:cs="Times New Roman"/>
                <w:sz w:val="24"/>
                <w:szCs w:val="24"/>
                <w:lang w:val="ro-RO" w:eastAsia="ru-RU"/>
              </w:rPr>
              <w:t xml:space="preserve"> timp cît Republica Moldova nu este parte a Uniunii Europene, reglementarea acestor aspecte sunt premature. Obiecție valabilă și pentru pct. 1.2.38.</w:t>
            </w:r>
          </w:p>
        </w:tc>
        <w:tc>
          <w:tcPr>
            <w:tcW w:w="5954" w:type="dxa"/>
            <w:shd w:val="clear" w:color="auto" w:fill="auto"/>
          </w:tcPr>
          <w:p w:rsidR="00C67A8E" w:rsidRDefault="00C67A8E" w:rsidP="00C0540B">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 se acceptă</w:t>
            </w:r>
          </w:p>
          <w:p w:rsidR="00C67A8E" w:rsidRDefault="00C67A8E" w:rsidP="00C0540B">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subpunctul 1.2.18</w:t>
            </w:r>
          </w:p>
          <w:p w:rsidR="00C67A8E" w:rsidRDefault="00C67A8E" w:rsidP="00C0540B">
            <w:pPr>
              <w:spacing w:after="12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modificarea operată la pct. 25</w:t>
            </w:r>
            <w:r w:rsidRPr="00A83589">
              <w:rPr>
                <w:rFonts w:ascii="Times New Roman" w:eastAsia="Calibri" w:hAnsi="Times New Roman" w:cs="Times New Roman"/>
                <w:sz w:val="24"/>
                <w:szCs w:val="24"/>
                <w:vertAlign w:val="superscript"/>
                <w:lang w:val="ro-RO"/>
              </w:rPr>
              <w:t>2</w:t>
            </w:r>
            <w:r>
              <w:rPr>
                <w:rFonts w:ascii="Times New Roman" w:eastAsia="Calibri" w:hAnsi="Times New Roman" w:cs="Times New Roman"/>
                <w:sz w:val="24"/>
                <w:szCs w:val="24"/>
                <w:lang w:val="ro-RO"/>
              </w:rPr>
              <w:t xml:space="preserve"> din Hotărârea Guvernului nr.267/2014 vine să completeze norma deja stabilită și aprobată prin Hotărârea Guvernului nr. 386/2023. </w:t>
            </w:r>
          </w:p>
          <w:p w:rsidR="00C67A8E" w:rsidRDefault="00C67A8E" w:rsidP="00C0540B">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subpunctul 1.2.23</w:t>
            </w:r>
          </w:p>
          <w:p w:rsidR="00C67A8E" w:rsidRDefault="00C67A8E" w:rsidP="00C0540B">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modificarea operată la pct. 27</w:t>
            </w:r>
            <w:r w:rsidRPr="004C32CF">
              <w:rPr>
                <w:rFonts w:ascii="Times New Roman" w:eastAsia="Calibri" w:hAnsi="Times New Roman" w:cs="Times New Roman"/>
                <w:sz w:val="24"/>
                <w:szCs w:val="24"/>
                <w:vertAlign w:val="superscript"/>
                <w:lang w:val="ro-RO"/>
              </w:rPr>
              <w:t>2</w:t>
            </w:r>
            <w:r>
              <w:rPr>
                <w:rFonts w:ascii="Times New Roman" w:eastAsia="Calibri" w:hAnsi="Times New Roman" w:cs="Times New Roman"/>
                <w:sz w:val="24"/>
                <w:szCs w:val="24"/>
                <w:lang w:val="ro-RO"/>
              </w:rPr>
              <w:t xml:space="preserve"> din Hotărârea Guvernului nr.267/2014 concretizează măsurile de cooperare a autorităților naționale cu Comisia Europeană în cazul când a fost aplicată o măsură națională pentru aparatele care intră pe piața Republicii Moldova și care prezintă un risc. Măsura respectivă se atribuie Procedurii de Salvgardare, care nu se limitează la teritoriul național. Legalitatea Procedurii de Salvgardare este stabilită prin Legea nr. 162/2023 privind supravegherea pieței și conformitatea produselor.</w:t>
            </w:r>
          </w:p>
        </w:tc>
      </w:tr>
      <w:tr w:rsidR="00C67A8E" w:rsidRPr="004D12F7" w:rsidTr="000762F6">
        <w:trPr>
          <w:trHeight w:val="1963"/>
        </w:trPr>
        <w:tc>
          <w:tcPr>
            <w:tcW w:w="2694" w:type="dxa"/>
            <w:vMerge/>
            <w:shd w:val="clear" w:color="auto" w:fill="auto"/>
          </w:tcPr>
          <w:p w:rsidR="00C67A8E" w:rsidRPr="00B17DD0" w:rsidRDefault="00C67A8E" w:rsidP="006F3E3A">
            <w:pPr>
              <w:spacing w:after="0" w:line="240" w:lineRule="auto"/>
              <w:ind w:firstLine="34"/>
              <w:jc w:val="center"/>
              <w:rPr>
                <w:rFonts w:ascii="Times New Roman" w:eastAsia="Calibri" w:hAnsi="Times New Roman" w:cs="Times New Roman"/>
                <w:sz w:val="24"/>
                <w:szCs w:val="24"/>
                <w:lang w:val="ro-RO"/>
              </w:rPr>
            </w:pPr>
          </w:p>
        </w:tc>
        <w:tc>
          <w:tcPr>
            <w:tcW w:w="709" w:type="dxa"/>
            <w:vMerge/>
          </w:tcPr>
          <w:p w:rsidR="00C67A8E" w:rsidRPr="0065059F"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tc>
        <w:tc>
          <w:tcPr>
            <w:tcW w:w="6095" w:type="dxa"/>
            <w:shd w:val="clear" w:color="auto" w:fill="auto"/>
          </w:tcPr>
          <w:p w:rsidR="00C67A8E" w:rsidRPr="00A75A82" w:rsidRDefault="00C67A8E" w:rsidP="00C0540B">
            <w:pPr>
              <w:tabs>
                <w:tab w:val="left" w:pos="993"/>
              </w:tabs>
              <w:spacing w:after="0" w:line="240" w:lineRule="auto"/>
              <w:ind w:right="33"/>
              <w:jc w:val="both"/>
              <w:rPr>
                <w:rFonts w:ascii="Times New Roman" w:eastAsia="Times New Roman" w:hAnsi="Times New Roman" w:cs="Times New Roman"/>
                <w:sz w:val="24"/>
                <w:szCs w:val="24"/>
                <w:lang w:val="ro-RO" w:eastAsia="ru-RU"/>
              </w:rPr>
            </w:pPr>
            <w:proofErr w:type="spellStart"/>
            <w:r w:rsidRPr="00A75A82">
              <w:rPr>
                <w:rFonts w:ascii="Times New Roman" w:eastAsia="Times New Roman" w:hAnsi="Times New Roman" w:cs="Times New Roman"/>
                <w:sz w:val="24"/>
                <w:szCs w:val="24"/>
                <w:lang w:val="ro-RO" w:eastAsia="ru-RU"/>
              </w:rPr>
              <w:t>Subpct</w:t>
            </w:r>
            <w:proofErr w:type="spellEnd"/>
            <w:r w:rsidRPr="00A75A82">
              <w:rPr>
                <w:rFonts w:ascii="Times New Roman" w:eastAsia="Times New Roman" w:hAnsi="Times New Roman" w:cs="Times New Roman"/>
                <w:sz w:val="24"/>
                <w:szCs w:val="24"/>
                <w:lang w:val="ro-RO" w:eastAsia="ru-RU"/>
              </w:rPr>
              <w:t xml:space="preserve">. 1.2.40 pin coroborare cu </w:t>
            </w:r>
            <w:proofErr w:type="spellStart"/>
            <w:r w:rsidRPr="00A75A82">
              <w:rPr>
                <w:rFonts w:ascii="Times New Roman" w:eastAsia="Times New Roman" w:hAnsi="Times New Roman" w:cs="Times New Roman"/>
                <w:sz w:val="24"/>
                <w:szCs w:val="24"/>
                <w:lang w:val="ro-RO" w:eastAsia="ru-RU"/>
              </w:rPr>
              <w:t>subpuctul</w:t>
            </w:r>
            <w:proofErr w:type="spellEnd"/>
            <w:r w:rsidRPr="00A75A82">
              <w:rPr>
                <w:rFonts w:ascii="Times New Roman" w:eastAsia="Times New Roman" w:hAnsi="Times New Roman" w:cs="Times New Roman"/>
                <w:sz w:val="24"/>
                <w:szCs w:val="24"/>
                <w:lang w:val="ro-RO" w:eastAsia="ru-RU"/>
              </w:rPr>
              <w:t xml:space="preserve"> 1.2.36, avînd în vedere că prin modificările propuse Ministerul Dezvoltării Economice și Digitalizării, adoptă decizia de acordare a recunoașterii în vederea notificării, acesta nu poate retrage „notificarea”, întrucît în esență decizia este de recunoaștere, dar nu de notificare, care reprezintă o acțiuni de comunicare către Comisia Europeană. Deci, Ministerul Dezvoltării Economice și Digitalizării ar urma să retragă recunoașterea, pe care s-o notifice Comisei Europene. </w:t>
            </w:r>
          </w:p>
          <w:p w:rsidR="00C67A8E" w:rsidRPr="0086151C" w:rsidRDefault="00C67A8E" w:rsidP="00B81EC6">
            <w:pPr>
              <w:tabs>
                <w:tab w:val="left" w:pos="993"/>
              </w:tabs>
              <w:spacing w:before="120" w:after="0" w:line="240" w:lineRule="auto"/>
              <w:ind w:right="33"/>
              <w:jc w:val="both"/>
              <w:rPr>
                <w:rFonts w:ascii="Times New Roman" w:eastAsia="Times New Roman" w:hAnsi="Times New Roman" w:cs="Times New Roman"/>
                <w:sz w:val="24"/>
                <w:szCs w:val="24"/>
                <w:lang w:val="ro-RO" w:eastAsia="ru-RU"/>
              </w:rPr>
            </w:pPr>
          </w:p>
        </w:tc>
        <w:tc>
          <w:tcPr>
            <w:tcW w:w="5954" w:type="dxa"/>
            <w:shd w:val="clear" w:color="auto" w:fill="auto"/>
          </w:tcPr>
          <w:p w:rsidR="00C67A8E" w:rsidRDefault="00C67A8E" w:rsidP="00A75A82">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 se acceptă</w:t>
            </w:r>
          </w:p>
          <w:p w:rsidR="00C67A8E" w:rsidRPr="00500CAE" w:rsidRDefault="00C67A8E" w:rsidP="00A75A82">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w:t>
            </w:r>
            <w:r w:rsidRPr="00500CAE">
              <w:rPr>
                <w:rFonts w:ascii="Times New Roman" w:eastAsia="Calibri" w:hAnsi="Times New Roman" w:cs="Times New Roman"/>
                <w:sz w:val="24"/>
                <w:szCs w:val="24"/>
                <w:lang w:val="ro-RO"/>
              </w:rPr>
              <w:t>otificarea este actul prin care autoritatea de notificare</w:t>
            </w:r>
            <w:r>
              <w:rPr>
                <w:rFonts w:ascii="Times New Roman" w:eastAsia="Calibri" w:hAnsi="Times New Roman" w:cs="Times New Roman"/>
                <w:sz w:val="24"/>
                <w:szCs w:val="24"/>
                <w:lang w:val="ro-RO"/>
              </w:rPr>
              <w:t xml:space="preserve"> (MDED) </w:t>
            </w:r>
            <w:r w:rsidRPr="00500CAE">
              <w:rPr>
                <w:rFonts w:ascii="Times New Roman" w:eastAsia="Calibri" w:hAnsi="Times New Roman" w:cs="Times New Roman"/>
                <w:sz w:val="24"/>
                <w:szCs w:val="24"/>
                <w:lang w:val="ro-RO"/>
              </w:rPr>
              <w:t xml:space="preserve"> informează Comisia și celelalte state membre că un organism de evaluare a conformității a fost </w:t>
            </w:r>
            <w:r>
              <w:rPr>
                <w:rFonts w:ascii="Times New Roman" w:eastAsia="Calibri" w:hAnsi="Times New Roman" w:cs="Times New Roman"/>
                <w:sz w:val="24"/>
                <w:szCs w:val="24"/>
                <w:lang w:val="ro-RO"/>
              </w:rPr>
              <w:t xml:space="preserve">recunoscut/ </w:t>
            </w:r>
            <w:r w:rsidRPr="00500CAE">
              <w:rPr>
                <w:rFonts w:ascii="Times New Roman" w:eastAsia="Calibri" w:hAnsi="Times New Roman" w:cs="Times New Roman"/>
                <w:sz w:val="24"/>
                <w:szCs w:val="24"/>
                <w:lang w:val="ro-RO"/>
              </w:rPr>
              <w:t xml:space="preserve">desemnat </w:t>
            </w:r>
            <w:r>
              <w:rPr>
                <w:rFonts w:ascii="Times New Roman" w:eastAsia="Calibri" w:hAnsi="Times New Roman" w:cs="Times New Roman"/>
                <w:sz w:val="24"/>
                <w:szCs w:val="24"/>
                <w:lang w:val="ro-RO"/>
              </w:rPr>
              <w:t xml:space="preserve">la nivel național </w:t>
            </w:r>
            <w:r w:rsidRPr="00500CAE">
              <w:rPr>
                <w:rFonts w:ascii="Times New Roman" w:eastAsia="Calibri" w:hAnsi="Times New Roman" w:cs="Times New Roman"/>
                <w:sz w:val="24"/>
                <w:szCs w:val="24"/>
                <w:lang w:val="ro-RO"/>
              </w:rPr>
              <w:t>pentru realizarea evaluării conformității în temeiul unui act legislativ de armonizare al Uniunii și că organismul în cauză îndeplinește cerințele referitoare la organismele notificate stabilite în respectivul act legisla</w:t>
            </w:r>
            <w:r>
              <w:rPr>
                <w:rFonts w:ascii="Times New Roman" w:eastAsia="Calibri" w:hAnsi="Times New Roman" w:cs="Times New Roman"/>
                <w:sz w:val="24"/>
                <w:szCs w:val="24"/>
                <w:lang w:val="ro-RO"/>
              </w:rPr>
              <w:t>tiv de armonizare al Uniunii. Prin notificare s</w:t>
            </w:r>
            <w:r w:rsidRPr="00500CAE">
              <w:rPr>
                <w:rFonts w:ascii="Times New Roman" w:eastAsia="Calibri" w:hAnsi="Times New Roman" w:cs="Times New Roman"/>
                <w:sz w:val="24"/>
                <w:szCs w:val="24"/>
                <w:lang w:val="ro-RO"/>
              </w:rPr>
              <w:t>tatele își asumă responsabilitatea finală față de state</w:t>
            </w:r>
            <w:r>
              <w:rPr>
                <w:rFonts w:ascii="Times New Roman" w:eastAsia="Calibri" w:hAnsi="Times New Roman" w:cs="Times New Roman"/>
                <w:sz w:val="24"/>
                <w:szCs w:val="24"/>
                <w:lang w:val="ro-RO"/>
              </w:rPr>
              <w:t>le</w:t>
            </w:r>
            <w:r w:rsidRPr="00500CAE">
              <w:rPr>
                <w:rFonts w:ascii="Times New Roman" w:eastAsia="Calibri" w:hAnsi="Times New Roman" w:cs="Times New Roman"/>
                <w:sz w:val="24"/>
                <w:szCs w:val="24"/>
                <w:lang w:val="ro-RO"/>
              </w:rPr>
              <w:t xml:space="preserve"> membre și față de instituțiile Uniunii Europene pentru competențele organismelor </w:t>
            </w:r>
            <w:r>
              <w:rPr>
                <w:rFonts w:ascii="Times New Roman" w:eastAsia="Calibri" w:hAnsi="Times New Roman" w:cs="Times New Roman"/>
                <w:sz w:val="24"/>
                <w:szCs w:val="24"/>
                <w:lang w:val="ro-RO"/>
              </w:rPr>
              <w:t xml:space="preserve">naționale notificate. </w:t>
            </w:r>
          </w:p>
          <w:p w:rsidR="00C67A8E" w:rsidRDefault="00C67A8E" w:rsidP="00A75A82">
            <w:pPr>
              <w:spacing w:after="0" w:line="240" w:lineRule="auto"/>
              <w:ind w:right="63"/>
              <w:jc w:val="both"/>
              <w:rPr>
                <w:rFonts w:ascii="Times New Roman" w:eastAsia="Calibri" w:hAnsi="Times New Roman" w:cs="Times New Roman"/>
                <w:sz w:val="24"/>
                <w:szCs w:val="24"/>
                <w:lang w:val="ro-RO"/>
              </w:rPr>
            </w:pPr>
            <w:r w:rsidRPr="000762F6">
              <w:rPr>
                <w:rFonts w:ascii="Times New Roman" w:eastAsia="Calibri" w:hAnsi="Times New Roman" w:cs="Times New Roman"/>
                <w:sz w:val="24"/>
                <w:szCs w:val="24"/>
                <w:lang w:val="ro-RO"/>
              </w:rPr>
              <w:t>Este esențial să se asigure că organismele notificate rămân competente în timp și că acest lucru poate fi prezentat în mod transparent tuturor statelor membre și Comisiei. Legislația de la nivelul UE prevede în mod clar că autoritățile naționale competente</w:t>
            </w:r>
            <w:r>
              <w:rPr>
                <w:rFonts w:ascii="Times New Roman" w:eastAsia="Calibri" w:hAnsi="Times New Roman" w:cs="Times New Roman"/>
                <w:sz w:val="24"/>
                <w:szCs w:val="24"/>
                <w:lang w:val="ro-RO"/>
              </w:rPr>
              <w:t xml:space="preserve"> (MDED)</w:t>
            </w:r>
            <w:r w:rsidRPr="000762F6">
              <w:rPr>
                <w:rFonts w:ascii="Times New Roman" w:eastAsia="Calibri" w:hAnsi="Times New Roman" w:cs="Times New Roman"/>
                <w:sz w:val="24"/>
                <w:szCs w:val="24"/>
                <w:lang w:val="ro-RO"/>
              </w:rPr>
              <w:t xml:space="preserve"> trebuie să monitorizeze și să evalueze periodic competența organ</w:t>
            </w:r>
            <w:r>
              <w:rPr>
                <w:rFonts w:ascii="Times New Roman" w:eastAsia="Calibri" w:hAnsi="Times New Roman" w:cs="Times New Roman"/>
                <w:sz w:val="24"/>
                <w:szCs w:val="24"/>
                <w:lang w:val="ro-RO"/>
              </w:rPr>
              <w:t xml:space="preserve">ismelor pe care le-au notificat. </w:t>
            </w:r>
          </w:p>
          <w:p w:rsidR="00C67A8E" w:rsidRDefault="00C67A8E" w:rsidP="00C0540B">
            <w:pPr>
              <w:spacing w:before="120" w:after="120" w:line="240" w:lineRule="auto"/>
              <w:ind w:right="63"/>
              <w:jc w:val="both"/>
              <w:rPr>
                <w:rFonts w:ascii="Times New Roman" w:eastAsia="Calibri" w:hAnsi="Times New Roman" w:cs="Times New Roman"/>
                <w:sz w:val="24"/>
                <w:szCs w:val="24"/>
                <w:lang w:val="ro-RO"/>
              </w:rPr>
            </w:pPr>
            <w:r w:rsidRPr="000762F6">
              <w:rPr>
                <w:rFonts w:ascii="Times New Roman" w:hAnsi="Times New Roman" w:cs="Times New Roman"/>
                <w:sz w:val="24"/>
                <w:szCs w:val="24"/>
                <w:lang w:val="ro-RO"/>
              </w:rPr>
              <w:t xml:space="preserve">Se recurge la retragerea notificării atunci când organismul notificat nu mai îndeplinește cerințele sau obligațiile care îi revin. Acest lucru poate fi realizat la inițiativa statului notificator, dacă acesta a primit dovezi cu privire la </w:t>
            </w:r>
            <w:r w:rsidRPr="000762F6">
              <w:rPr>
                <w:rFonts w:ascii="Times New Roman" w:hAnsi="Times New Roman" w:cs="Times New Roman"/>
                <w:sz w:val="24"/>
                <w:szCs w:val="24"/>
                <w:lang w:val="ro-RO"/>
              </w:rPr>
              <w:lastRenderedPageBreak/>
              <w:t>incapacitatea organismului notificat de a îndeplini cerințele care i se aplică în timpul supravegherii periodice (realizate de către organismul de acreditare) sau dacă a primit reclamații cu privire la competența sau comportamentul organismului notificat. De asemenea, anularea poate decurge dintr-o măsură a Comisiei, atunci când aceasta exprimă îndoieli cu privire la faptul că un organism notificat îndeplinește sau continuă să îndeplinească cerințele impuse pentru notificarea sa. În astfel de cazuri, Comisia informează statul notificator și îl invită să ia măsurile</w:t>
            </w:r>
            <w:r>
              <w:rPr>
                <w:rFonts w:ascii="Times New Roman" w:hAnsi="Times New Roman" w:cs="Times New Roman"/>
                <w:sz w:val="24"/>
                <w:szCs w:val="24"/>
                <w:lang w:val="ro-RO"/>
              </w:rPr>
              <w:t xml:space="preserve"> </w:t>
            </w:r>
            <w:r w:rsidRPr="000762F6">
              <w:rPr>
                <w:rFonts w:ascii="Times New Roman" w:hAnsi="Times New Roman" w:cs="Times New Roman"/>
                <w:sz w:val="24"/>
                <w:szCs w:val="24"/>
                <w:lang w:val="ro-RO"/>
              </w:rPr>
              <w:t xml:space="preserve"> corective care se impun</w:t>
            </w:r>
            <w:r>
              <w:rPr>
                <w:rFonts w:ascii="Times New Roman" w:hAnsi="Times New Roman" w:cs="Times New Roman"/>
                <w:sz w:val="24"/>
                <w:szCs w:val="24"/>
                <w:lang w:val="ro-RO"/>
              </w:rPr>
              <w:t xml:space="preserve">, </w:t>
            </w:r>
            <w:r w:rsidRPr="000762F6">
              <w:rPr>
                <w:rFonts w:ascii="Times New Roman" w:hAnsi="Times New Roman" w:cs="Times New Roman"/>
                <w:sz w:val="24"/>
                <w:szCs w:val="24"/>
                <w:lang w:val="ro-RO"/>
              </w:rPr>
              <w:t xml:space="preserve">inclusiv </w:t>
            </w:r>
            <w:r>
              <w:rPr>
                <w:rFonts w:ascii="Times New Roman" w:hAnsi="Times New Roman" w:cs="Times New Roman"/>
                <w:sz w:val="24"/>
                <w:szCs w:val="24"/>
                <w:lang w:val="ro-RO"/>
              </w:rPr>
              <w:t>retragerea notificării. Măsurile corective care se impun</w:t>
            </w:r>
            <w:r w:rsidRPr="000762F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sunt măsuri care se iau la nivel național și care sunt stabilite în Legea nr.235/2011 privind activitățile de acreditare și de evaluare a conformității. </w:t>
            </w:r>
          </w:p>
        </w:tc>
      </w:tr>
      <w:tr w:rsidR="00C67A8E" w:rsidRPr="004D12F7" w:rsidTr="000762F6">
        <w:trPr>
          <w:trHeight w:val="1963"/>
        </w:trPr>
        <w:tc>
          <w:tcPr>
            <w:tcW w:w="2694" w:type="dxa"/>
            <w:vMerge/>
            <w:shd w:val="clear" w:color="auto" w:fill="auto"/>
          </w:tcPr>
          <w:p w:rsidR="00C67A8E" w:rsidRPr="00B17DD0" w:rsidRDefault="00C67A8E" w:rsidP="006F3E3A">
            <w:pPr>
              <w:spacing w:after="0" w:line="240" w:lineRule="auto"/>
              <w:ind w:firstLine="34"/>
              <w:jc w:val="center"/>
              <w:rPr>
                <w:rFonts w:ascii="Times New Roman" w:eastAsia="Calibri" w:hAnsi="Times New Roman" w:cs="Times New Roman"/>
                <w:sz w:val="24"/>
                <w:szCs w:val="24"/>
                <w:lang w:val="ro-RO"/>
              </w:rPr>
            </w:pPr>
          </w:p>
        </w:tc>
        <w:tc>
          <w:tcPr>
            <w:tcW w:w="709" w:type="dxa"/>
            <w:vMerge/>
          </w:tcPr>
          <w:p w:rsidR="00C67A8E" w:rsidRPr="0065059F" w:rsidRDefault="00C67A8E"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p>
        </w:tc>
        <w:tc>
          <w:tcPr>
            <w:tcW w:w="6095" w:type="dxa"/>
            <w:shd w:val="clear" w:color="auto" w:fill="auto"/>
          </w:tcPr>
          <w:p w:rsidR="00C67A8E" w:rsidRPr="00A75A82" w:rsidRDefault="00C67A8E" w:rsidP="00A75A82">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A75A82">
              <w:rPr>
                <w:rFonts w:ascii="Times New Roman" w:eastAsia="Times New Roman" w:hAnsi="Times New Roman" w:cs="Times New Roman"/>
                <w:sz w:val="24"/>
                <w:szCs w:val="24"/>
                <w:lang w:val="ro-RO" w:eastAsia="ru-RU"/>
              </w:rPr>
              <w:t xml:space="preserve">La pct. 3, ce ține de modificarea Hotărârii Guvernului nr. 907/2014 pentru aprobarea Regulamentului general de metrologie legală referitor la preambalarea, în funcție de masă sau volum, a anumitor preambalate (Monitorul Oficial al Republicii Moldova, 2014, nr.333-338, art.975), cu modificările ulterioare: </w:t>
            </w:r>
          </w:p>
          <w:p w:rsidR="00C67A8E" w:rsidRPr="00A75A82" w:rsidRDefault="00C67A8E" w:rsidP="00A75A82">
            <w:pPr>
              <w:tabs>
                <w:tab w:val="left" w:pos="993"/>
              </w:tabs>
              <w:spacing w:before="120" w:after="0" w:line="240" w:lineRule="auto"/>
              <w:ind w:right="33"/>
              <w:jc w:val="both"/>
              <w:rPr>
                <w:rFonts w:ascii="Times New Roman" w:eastAsia="Times New Roman" w:hAnsi="Times New Roman" w:cs="Times New Roman"/>
                <w:sz w:val="24"/>
                <w:szCs w:val="24"/>
                <w:lang w:val="ro-RO" w:eastAsia="ru-RU"/>
              </w:rPr>
            </w:pPr>
            <w:r w:rsidRPr="00A75A82">
              <w:rPr>
                <w:rFonts w:ascii="Times New Roman" w:eastAsia="Times New Roman" w:hAnsi="Times New Roman" w:cs="Times New Roman"/>
                <w:sz w:val="24"/>
                <w:szCs w:val="24"/>
                <w:lang w:val="ro-RO" w:eastAsia="ru-RU"/>
              </w:rPr>
              <w:t xml:space="preserve">La </w:t>
            </w:r>
            <w:proofErr w:type="spellStart"/>
            <w:r w:rsidRPr="00A75A82">
              <w:rPr>
                <w:rFonts w:ascii="Times New Roman" w:eastAsia="Times New Roman" w:hAnsi="Times New Roman" w:cs="Times New Roman"/>
                <w:sz w:val="24"/>
                <w:szCs w:val="24"/>
                <w:lang w:val="ro-RO" w:eastAsia="ru-RU"/>
              </w:rPr>
              <w:t>sbp</w:t>
            </w:r>
            <w:proofErr w:type="spellEnd"/>
            <w:r w:rsidRPr="00A75A82">
              <w:rPr>
                <w:rFonts w:ascii="Times New Roman" w:eastAsia="Times New Roman" w:hAnsi="Times New Roman" w:cs="Times New Roman"/>
                <w:sz w:val="24"/>
                <w:szCs w:val="24"/>
                <w:lang w:val="ro-RO" w:eastAsia="ru-RU"/>
              </w:rPr>
              <w:t xml:space="preserve">. 3.3., considerăm superfluu completarea anexei nr. 4 cu prevederi aferente „vinului </w:t>
            </w:r>
            <w:proofErr w:type="spellStart"/>
            <w:r w:rsidRPr="00A75A82">
              <w:rPr>
                <w:rFonts w:ascii="Times New Roman" w:eastAsia="Times New Roman" w:hAnsi="Times New Roman" w:cs="Times New Roman"/>
                <w:sz w:val="24"/>
                <w:szCs w:val="24"/>
                <w:lang w:val="ro-RO" w:eastAsia="ru-RU"/>
              </w:rPr>
              <w:t>jaune</w:t>
            </w:r>
            <w:proofErr w:type="spellEnd"/>
            <w:r w:rsidRPr="00A75A82">
              <w:rPr>
                <w:rFonts w:ascii="Times New Roman" w:eastAsia="Times New Roman" w:hAnsi="Times New Roman" w:cs="Times New Roman"/>
                <w:sz w:val="24"/>
                <w:szCs w:val="24"/>
                <w:lang w:val="ro-RO" w:eastAsia="ru-RU"/>
              </w:rPr>
              <w:t xml:space="preserve">”, cât și de completare a termenului „vin” cu cuvântul „liniștit”. </w:t>
            </w:r>
          </w:p>
          <w:p w:rsidR="00C67A8E" w:rsidRPr="00A75A82" w:rsidRDefault="00C67A8E" w:rsidP="00A75A82">
            <w:pPr>
              <w:tabs>
                <w:tab w:val="left" w:pos="993"/>
              </w:tabs>
              <w:spacing w:before="120" w:after="0" w:line="240" w:lineRule="auto"/>
              <w:ind w:right="33"/>
              <w:jc w:val="both"/>
              <w:rPr>
                <w:rFonts w:ascii="Times New Roman" w:eastAsia="Times New Roman" w:hAnsi="Times New Roman" w:cs="Times New Roman"/>
                <w:sz w:val="24"/>
                <w:szCs w:val="24"/>
                <w:lang w:val="ro-RO" w:eastAsia="ru-RU"/>
              </w:rPr>
            </w:pPr>
            <w:r w:rsidRPr="00A75A82">
              <w:rPr>
                <w:rFonts w:ascii="Times New Roman" w:eastAsia="Times New Roman" w:hAnsi="Times New Roman" w:cs="Times New Roman"/>
                <w:sz w:val="24"/>
                <w:szCs w:val="24"/>
                <w:lang w:val="ro-RO" w:eastAsia="ru-RU"/>
              </w:rPr>
              <w:t xml:space="preserve">Observăm că, în Directiva 2007/45/CE a Parlamentului European și a Consiliului din 5 septembrie 2007 de stabilire a normelor privind cantitățile nominale ale produselor preambalate, de abrogare a Directivelor 75/106/CEE și 80/232/CEE ale Consiliului, și de modificare a Directivei 76/211/CEE a Consiliului, prevederile pct. 2, care sunt prezentate în proiectul respectiv, fac trimitere la definițiile </w:t>
            </w:r>
            <w:r w:rsidRPr="00A75A82">
              <w:rPr>
                <w:rFonts w:ascii="Times New Roman" w:eastAsia="Times New Roman" w:hAnsi="Times New Roman" w:cs="Times New Roman"/>
                <w:sz w:val="24"/>
                <w:szCs w:val="24"/>
                <w:lang w:val="ro-RO" w:eastAsia="ru-RU"/>
              </w:rPr>
              <w:lastRenderedPageBreak/>
              <w:t xml:space="preserve">specificate în art. 1 alin. (2) din Regulamentul (CE) nr. 1493/1999 al Consiliului din 17 mai 1999 privind organizarea comună a pieței vitivinicole, care nu mai este în vigoare. </w:t>
            </w:r>
          </w:p>
          <w:p w:rsidR="00C67A8E" w:rsidRPr="00A75A82" w:rsidRDefault="00C67A8E" w:rsidP="00A75A82">
            <w:pPr>
              <w:tabs>
                <w:tab w:val="left" w:pos="993"/>
              </w:tabs>
              <w:spacing w:before="120" w:after="0" w:line="240" w:lineRule="auto"/>
              <w:ind w:right="33"/>
              <w:jc w:val="both"/>
              <w:rPr>
                <w:rFonts w:ascii="Times New Roman" w:eastAsia="Times New Roman" w:hAnsi="Times New Roman" w:cs="Times New Roman"/>
                <w:sz w:val="24"/>
                <w:szCs w:val="24"/>
                <w:lang w:val="ro-RO" w:eastAsia="ru-RU"/>
              </w:rPr>
            </w:pPr>
            <w:r w:rsidRPr="00A75A82">
              <w:rPr>
                <w:rFonts w:ascii="Times New Roman" w:eastAsia="Times New Roman" w:hAnsi="Times New Roman" w:cs="Times New Roman"/>
                <w:sz w:val="24"/>
                <w:szCs w:val="24"/>
                <w:lang w:val="ro-RO" w:eastAsia="ru-RU"/>
              </w:rPr>
              <w:t xml:space="preserve">De menționat că, categoriile de produse viticole sunt descrise în anexa nr. 4 a Regulamentului privind organizarea pieței vitivinicole, aprobat prin Hotărârea Guvernului nr. 356/2015, mai mult, acestea transpun întocmai categoriile prevăzute de Regulamentul (UE) nr. 1308/2013 al Parlamentului European și al Consiliului din 17 decembrie 2013 de instituire a unei organizări comune a piețelor produselor agricole și de abrogare a Regulamentelor (CEE) nr. 922/72, (CEE) nr. 234/79, (CE) nr. 1037/2001 și (CE) nr. 1234/2007 ale Consiliului, (CELEX: 32013R1308), publicat în Jurnalul Oficial al Uniunii Europene L 347 din 20 decembrie 2013, așa cum a fost modificat ultima oară prin Regulamentul (UE) 2021/2117 al Parlamentului European și al Consiliului din 2 decembrie 2021. Suplimentar, pentru a defini corect produsele specificate în pct. 2 la anexa respectivă, recomandăm să se facă trimitere la actele naționale ce reglementează aceste produse (HG nr. 356/2015, </w:t>
            </w:r>
            <w:r>
              <w:rPr>
                <w:rFonts w:ascii="Times New Roman" w:eastAsia="Times New Roman" w:hAnsi="Times New Roman" w:cs="Times New Roman"/>
                <w:sz w:val="24"/>
                <w:szCs w:val="24"/>
                <w:lang w:val="ro-RO" w:eastAsia="ru-RU"/>
              </w:rPr>
              <w:t xml:space="preserve">                   </w:t>
            </w:r>
            <w:r w:rsidRPr="00A75A82">
              <w:rPr>
                <w:rFonts w:ascii="Times New Roman" w:eastAsia="Times New Roman" w:hAnsi="Times New Roman" w:cs="Times New Roman"/>
                <w:sz w:val="24"/>
                <w:szCs w:val="24"/>
                <w:lang w:val="ro-RO" w:eastAsia="ru-RU"/>
              </w:rPr>
              <w:t>HG nr. 741/2017).</w:t>
            </w:r>
          </w:p>
        </w:tc>
        <w:tc>
          <w:tcPr>
            <w:tcW w:w="5954" w:type="dxa"/>
            <w:shd w:val="clear" w:color="auto" w:fill="auto"/>
          </w:tcPr>
          <w:p w:rsidR="00C67A8E" w:rsidRDefault="00C67A8E" w:rsidP="00A75A82">
            <w:pPr>
              <w:spacing w:after="0" w:line="240" w:lineRule="auto"/>
              <w:ind w:right="63"/>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se acceptă parțial</w:t>
            </w:r>
          </w:p>
          <w:p w:rsidR="00C67A8E" w:rsidRDefault="00C67A8E" w:rsidP="00A75A82">
            <w:pPr>
              <w:spacing w:after="0" w:line="240" w:lineRule="auto"/>
              <w:ind w:right="6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modificarea propusă va fi operată numai după adoptarea de către Parlamentul European și Consiliu a modificărilor la </w:t>
            </w:r>
            <w:r w:rsidRPr="0048012D">
              <w:rPr>
                <w:rFonts w:ascii="Times New Roman" w:hAnsi="Times New Roman" w:cs="Times New Roman"/>
                <w:sz w:val="24"/>
                <w:szCs w:val="24"/>
                <w:lang w:val="ro-RO"/>
              </w:rPr>
              <w:t>Directiva 2007/45/CE</w:t>
            </w:r>
            <w:r>
              <w:rPr>
                <w:rFonts w:ascii="Times New Roman" w:hAnsi="Times New Roman" w:cs="Times New Roman"/>
                <w:sz w:val="24"/>
                <w:szCs w:val="24"/>
                <w:lang w:val="ro-RO"/>
              </w:rPr>
              <w:t>.</w:t>
            </w:r>
          </w:p>
          <w:p w:rsidR="00C67A8E" w:rsidRDefault="00C67A8E" w:rsidP="00A75A82">
            <w:pPr>
              <w:spacing w:after="0" w:line="240" w:lineRule="auto"/>
              <w:ind w:right="63"/>
              <w:jc w:val="both"/>
              <w:rPr>
                <w:rFonts w:ascii="Times New Roman" w:hAnsi="Times New Roman" w:cs="Times New Roman"/>
                <w:sz w:val="24"/>
                <w:szCs w:val="24"/>
                <w:lang w:val="ro-RO"/>
              </w:rPr>
            </w:pPr>
            <w:r>
              <w:rPr>
                <w:rFonts w:ascii="Times New Roman" w:hAnsi="Times New Roman" w:cs="Times New Roman"/>
                <w:sz w:val="24"/>
                <w:szCs w:val="24"/>
                <w:lang w:val="ro-RO"/>
              </w:rPr>
              <w:t>Alăturat, anexa VII partea II pct. (2) din Regulamentul (UE) nr. 1308/2013 stabilește:</w:t>
            </w:r>
          </w:p>
          <w:p w:rsidR="00C67A8E" w:rsidRDefault="00C67A8E" w:rsidP="00A75A82">
            <w:pPr>
              <w:spacing w:after="0" w:line="240" w:lineRule="auto"/>
              <w:ind w:right="63"/>
              <w:jc w:val="both"/>
              <w:rPr>
                <w:rFonts w:ascii="Times New Roman" w:hAnsi="Times New Roman" w:cs="Times New Roman"/>
                <w:sz w:val="24"/>
                <w:szCs w:val="24"/>
              </w:rPr>
            </w:pPr>
            <w:r>
              <w:rPr>
                <w:rFonts w:ascii="Times New Roman" w:hAnsi="Times New Roman" w:cs="Times New Roman"/>
                <w:sz w:val="24"/>
                <w:szCs w:val="24"/>
                <w:lang w:val="ro-RO"/>
              </w:rPr>
              <w:t>„</w:t>
            </w:r>
            <w:r w:rsidRPr="00BF1B3B">
              <w:rPr>
                <w:rFonts w:ascii="Times New Roman" w:hAnsi="Times New Roman" w:cs="Times New Roman"/>
                <w:sz w:val="24"/>
                <w:szCs w:val="24"/>
              </w:rPr>
              <w:t xml:space="preserve">(2) New </w:t>
            </w:r>
            <w:r w:rsidRPr="00A02429">
              <w:rPr>
                <w:rFonts w:ascii="Times New Roman" w:hAnsi="Times New Roman" w:cs="Times New Roman"/>
                <w:b/>
                <w:sz w:val="24"/>
                <w:szCs w:val="24"/>
              </w:rPr>
              <w:t>wine still</w:t>
            </w:r>
            <w:r w:rsidRPr="00BF1B3B">
              <w:rPr>
                <w:rFonts w:ascii="Times New Roman" w:hAnsi="Times New Roman" w:cs="Times New Roman"/>
                <w:sz w:val="24"/>
                <w:szCs w:val="24"/>
              </w:rPr>
              <w:t xml:space="preserve"> in fermentation "New wine still in fermentation" means the product in which the alcoholic fermentation is not yet complete and which is not yet separated from its lees.</w:t>
            </w:r>
            <w:r>
              <w:rPr>
                <w:rFonts w:ascii="Times New Roman" w:hAnsi="Times New Roman" w:cs="Times New Roman"/>
                <w:sz w:val="24"/>
                <w:szCs w:val="24"/>
              </w:rPr>
              <w:t>”</w:t>
            </w:r>
          </w:p>
          <w:p w:rsidR="00C67A8E" w:rsidRPr="00A75A82" w:rsidRDefault="00C67A8E" w:rsidP="00A75A82">
            <w:pPr>
              <w:spacing w:after="0" w:line="240" w:lineRule="auto"/>
              <w:ind w:right="63"/>
              <w:jc w:val="center"/>
              <w:rPr>
                <w:rFonts w:ascii="Times New Roman" w:eastAsia="Calibri" w:hAnsi="Times New Roman" w:cs="Times New Roman"/>
                <w:sz w:val="24"/>
                <w:szCs w:val="24"/>
              </w:rPr>
            </w:pPr>
          </w:p>
        </w:tc>
      </w:tr>
      <w:tr w:rsidR="007F1269" w:rsidRPr="0051721B" w:rsidTr="000762F6">
        <w:trPr>
          <w:trHeight w:val="1702"/>
        </w:trPr>
        <w:tc>
          <w:tcPr>
            <w:tcW w:w="2694" w:type="dxa"/>
            <w:shd w:val="clear" w:color="auto" w:fill="auto"/>
          </w:tcPr>
          <w:p w:rsidR="007F1269" w:rsidRDefault="0086151C" w:rsidP="0051721B">
            <w:pPr>
              <w:spacing w:after="0" w:line="240" w:lineRule="auto"/>
              <w:ind w:firstLine="34"/>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Asociația Patronală Profesională în Domeniul Metrologiei și Calității Produselor</w:t>
            </w:r>
          </w:p>
          <w:p w:rsidR="00742C97" w:rsidRDefault="00742C97" w:rsidP="0051721B">
            <w:pPr>
              <w:spacing w:after="0" w:line="240" w:lineRule="auto"/>
              <w:ind w:firstLine="34"/>
              <w:jc w:val="center"/>
              <w:rPr>
                <w:rFonts w:ascii="Times New Roman" w:eastAsia="Calibri" w:hAnsi="Times New Roman" w:cs="Times New Roman"/>
                <w:sz w:val="24"/>
                <w:szCs w:val="24"/>
                <w:lang w:val="ro-RO"/>
              </w:rPr>
            </w:pPr>
            <w:proofErr w:type="spellStart"/>
            <w:proofErr w:type="gramStart"/>
            <w:r w:rsidRPr="00742C97">
              <w:rPr>
                <w:rFonts w:ascii="Times New Roman" w:eastAsia="Calibri" w:hAnsi="Times New Roman" w:cs="Times New Roman"/>
                <w:sz w:val="24"/>
                <w:szCs w:val="24"/>
              </w:rPr>
              <w:t>nr</w:t>
            </w:r>
            <w:proofErr w:type="spellEnd"/>
            <w:proofErr w:type="gramEnd"/>
            <w:r w:rsidRPr="00742C97">
              <w:rPr>
                <w:rFonts w:ascii="Times New Roman" w:eastAsia="Calibri" w:hAnsi="Times New Roman" w:cs="Times New Roman"/>
                <w:sz w:val="24"/>
                <w:szCs w:val="24"/>
              </w:rPr>
              <w:t>. 04/24 din 24.09.2024</w:t>
            </w:r>
          </w:p>
        </w:tc>
        <w:tc>
          <w:tcPr>
            <w:tcW w:w="709" w:type="dxa"/>
          </w:tcPr>
          <w:p w:rsidR="007F1269" w:rsidRPr="0051721B" w:rsidRDefault="0086151C" w:rsidP="0086151C">
            <w:pPr>
              <w:tabs>
                <w:tab w:val="left" w:pos="993"/>
              </w:tabs>
              <w:spacing w:after="0" w:line="240" w:lineRule="auto"/>
              <w:ind w:right="176"/>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8</w:t>
            </w:r>
          </w:p>
        </w:tc>
        <w:tc>
          <w:tcPr>
            <w:tcW w:w="6095" w:type="dxa"/>
            <w:shd w:val="clear" w:color="auto" w:fill="auto"/>
          </w:tcPr>
          <w:p w:rsidR="00D40F77" w:rsidRDefault="0086151C" w:rsidP="00B81EC6">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D40F77">
              <w:rPr>
                <w:rFonts w:ascii="Times New Roman" w:eastAsia="Times New Roman" w:hAnsi="Times New Roman" w:cs="Times New Roman"/>
                <w:sz w:val="24"/>
                <w:szCs w:val="24"/>
                <w:lang w:val="ro-RO" w:eastAsia="ru-RU"/>
              </w:rPr>
              <w:t>Prin prezenta, în contextul materialelor prezentate spre examinare în data de 19.09.2024 cu referire la proiectul hotărârii de Guvern cu privire la modificarea unor hotărâri ale Guvernului în domeniul metrologiei și anume:</w:t>
            </w:r>
          </w:p>
          <w:p w:rsidR="00D40F77" w:rsidRDefault="0086151C" w:rsidP="00B81EC6">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D40F77">
              <w:rPr>
                <w:rFonts w:ascii="Times New Roman" w:eastAsia="Times New Roman" w:hAnsi="Times New Roman" w:cs="Times New Roman"/>
                <w:sz w:val="24"/>
                <w:szCs w:val="24"/>
                <w:lang w:val="ro-RO" w:eastAsia="ru-RU"/>
              </w:rPr>
              <w:t xml:space="preserve"> - Hotărârea Guvernului nr.267/2014 pentru aprobarea Reglementării tehnice privind aparatele de cântărit neautomate (Monitorul Oficial al Republicii Moldova, 2014, nr.92-98, art.296) cu modificările ulterioare; - Hotărârea Guvernului nr.881/2014 cu privire la aprobarea Regulamentului general de metrologie legală de stabilire a cerinţelor privind sticlele utilizate ca recipiente de măsură </w:t>
            </w:r>
            <w:r w:rsidRPr="00D40F77">
              <w:rPr>
                <w:rFonts w:ascii="Times New Roman" w:eastAsia="Times New Roman" w:hAnsi="Times New Roman" w:cs="Times New Roman"/>
                <w:sz w:val="24"/>
                <w:szCs w:val="24"/>
                <w:lang w:val="ro-RO" w:eastAsia="ru-RU"/>
              </w:rPr>
              <w:lastRenderedPageBreak/>
              <w:t xml:space="preserve">(Monitorul Oficial al Republicii Moldova, 2014, nr.325-332, art. 949), cu modificările ulterioare; </w:t>
            </w:r>
          </w:p>
          <w:p w:rsidR="00D40F77" w:rsidRDefault="0086151C" w:rsidP="00B81EC6">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D40F77">
              <w:rPr>
                <w:rFonts w:ascii="Times New Roman" w:eastAsia="Times New Roman" w:hAnsi="Times New Roman" w:cs="Times New Roman"/>
                <w:sz w:val="24"/>
                <w:szCs w:val="24"/>
                <w:lang w:val="ro-RO" w:eastAsia="ru-RU"/>
              </w:rPr>
              <w:t>- Hotărârea Guvernului nr.907/2014 pentru aprobarea Regulamentului general de metrologie legală referitor la preambalarea, în funcţie de masă sau volum, a anumitor preambalate (Monitorul Oficial al Republicii Moldova, 2014, nr.333-338, art.975), cu modificările ulterioare;</w:t>
            </w:r>
          </w:p>
          <w:p w:rsidR="00D40F77" w:rsidRDefault="0086151C" w:rsidP="00B81EC6">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D40F77">
              <w:rPr>
                <w:rFonts w:ascii="Times New Roman" w:eastAsia="Times New Roman" w:hAnsi="Times New Roman" w:cs="Times New Roman"/>
                <w:sz w:val="24"/>
                <w:szCs w:val="24"/>
                <w:lang w:val="ro-RO" w:eastAsia="ru-RU"/>
              </w:rPr>
              <w:t xml:space="preserve"> - Hotărârea Guvernului nr.909/2014 cu privire la aprobarea unităților de măsură legale (Monitorul Oficial al Republicii Moldova, 2014, nr.333-338, art.977), cu modificările ulterioare; </w:t>
            </w:r>
          </w:p>
          <w:p w:rsidR="00D40F77" w:rsidRDefault="0086151C" w:rsidP="00B81EC6">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D40F77">
              <w:rPr>
                <w:rFonts w:ascii="Times New Roman" w:eastAsia="Times New Roman" w:hAnsi="Times New Roman" w:cs="Times New Roman"/>
                <w:sz w:val="24"/>
                <w:szCs w:val="24"/>
                <w:lang w:val="ro-RO" w:eastAsia="ru-RU"/>
              </w:rPr>
              <w:t xml:space="preserve">- Hotărârea Guvernului nr.408/2015 pentru aprobarea Reglementării tehnice privind punerea la dispoziţie pe piaţă a mijloacelor de măsurare (Monitorul Oficial al Republicii Moldova, 2015, nr.177-184, art.471) cu modificările ulterioare. </w:t>
            </w:r>
          </w:p>
          <w:p w:rsidR="00D40F77" w:rsidRDefault="0086151C" w:rsidP="00B81EC6">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D40F77">
              <w:rPr>
                <w:rFonts w:ascii="Times New Roman" w:eastAsia="Times New Roman" w:hAnsi="Times New Roman" w:cs="Times New Roman"/>
                <w:sz w:val="24"/>
                <w:szCs w:val="24"/>
                <w:lang w:val="ro-RO" w:eastAsia="ru-RU"/>
              </w:rPr>
              <w:t>Asociația Patronală Profesională în Domeniul Metrologiei și Calității Produselor comunică despre lipsa de propuneri și obiecții la materialele prezentate și își exprimă acordul de aprobare a modificărilor a actelor normative menționate mai sus ținînd cont despre necesarul de ajustare a normelor privind: - introducerea și punerea la dispoziție pe piață, punerea în funcțiune a aparatelor de cântărit cu funcționarea neautomată și mijloacelor de măsurare; - cerințele privind sticlele utilizate ca recipiente de măsură, preambalarea, în funcţie de masă sau volum, a anumitor preambalate, aprobarea unităților de măsură legale, acoperite de Reglementările tehnice prenotate, la actele juridice ale U</w:t>
            </w:r>
            <w:r w:rsidR="00D40F77">
              <w:rPr>
                <w:rFonts w:ascii="Times New Roman" w:eastAsia="Times New Roman" w:hAnsi="Times New Roman" w:cs="Times New Roman"/>
                <w:sz w:val="24"/>
                <w:szCs w:val="24"/>
                <w:lang w:val="ro-RO" w:eastAsia="ru-RU"/>
              </w:rPr>
              <w:t xml:space="preserve">niunii Europene pertinente. </w:t>
            </w:r>
          </w:p>
          <w:p w:rsidR="007F1269" w:rsidRPr="00D40F77" w:rsidRDefault="00D40F77" w:rsidP="00B81EC6">
            <w:pPr>
              <w:tabs>
                <w:tab w:val="left" w:pos="993"/>
              </w:tabs>
              <w:spacing w:after="0" w:line="240" w:lineRule="auto"/>
              <w:ind w:right="33"/>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Ace</w:t>
            </w:r>
            <w:r w:rsidR="0086151C" w:rsidRPr="00D40F77">
              <w:rPr>
                <w:rFonts w:ascii="Times New Roman" w:eastAsia="Times New Roman" w:hAnsi="Times New Roman" w:cs="Times New Roman"/>
                <w:sz w:val="24"/>
                <w:szCs w:val="24"/>
                <w:lang w:val="ro-RO" w:eastAsia="ru-RU"/>
              </w:rPr>
              <w:t xml:space="preserve">ste modificări reprezintă un pas esențial pentru asigurarea unei dezvoltări economice durabile, facilitând totodată accesul companiilor Republicii Moldova pe piața europeană </w:t>
            </w:r>
            <w:r w:rsidR="0086151C" w:rsidRPr="00D40F77">
              <w:rPr>
                <w:rFonts w:ascii="Times New Roman" w:eastAsia="Times New Roman" w:hAnsi="Times New Roman" w:cs="Times New Roman"/>
                <w:sz w:val="24"/>
                <w:szCs w:val="24"/>
                <w:lang w:val="ro-RO" w:eastAsia="ru-RU"/>
              </w:rPr>
              <w:lastRenderedPageBreak/>
              <w:t>și contribuind la creșterea competitivității a</w:t>
            </w:r>
            <w:r>
              <w:rPr>
                <w:rFonts w:ascii="Times New Roman" w:eastAsia="Times New Roman" w:hAnsi="Times New Roman" w:cs="Times New Roman"/>
                <w:sz w:val="24"/>
                <w:szCs w:val="24"/>
                <w:lang w:val="ro-RO" w:eastAsia="ru-RU"/>
              </w:rPr>
              <w:t>cestora prin înlăturarea bariere</w:t>
            </w:r>
            <w:r w:rsidR="0086151C" w:rsidRPr="00D40F77">
              <w:rPr>
                <w:rFonts w:ascii="Times New Roman" w:eastAsia="Times New Roman" w:hAnsi="Times New Roman" w:cs="Times New Roman"/>
                <w:sz w:val="24"/>
                <w:szCs w:val="24"/>
                <w:lang w:val="ro-RO" w:eastAsia="ru-RU"/>
              </w:rPr>
              <w:t>lor în calea comerțului. În speranța unei colaborări eficiente pe viitor, Vă mulțumim anticipat.</w:t>
            </w:r>
          </w:p>
        </w:tc>
        <w:tc>
          <w:tcPr>
            <w:tcW w:w="5954" w:type="dxa"/>
            <w:shd w:val="clear" w:color="auto" w:fill="auto"/>
          </w:tcPr>
          <w:p w:rsidR="007F1269" w:rsidRPr="00801355" w:rsidRDefault="00A3174B" w:rsidP="00A3174B">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s-a</w:t>
            </w:r>
            <w:r w:rsidR="00801355" w:rsidRPr="0080135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luat</w:t>
            </w:r>
            <w:r w:rsidR="00801355" w:rsidRPr="00801355">
              <w:rPr>
                <w:rFonts w:ascii="Times New Roman" w:eastAsia="Calibri" w:hAnsi="Times New Roman" w:cs="Times New Roman"/>
                <w:sz w:val="24"/>
                <w:szCs w:val="24"/>
                <w:lang w:val="ro-RO"/>
              </w:rPr>
              <w:t xml:space="preserve"> act</w:t>
            </w:r>
          </w:p>
        </w:tc>
      </w:tr>
      <w:tr w:rsidR="00ED30FA" w:rsidRPr="0070070E" w:rsidTr="00B81EC6">
        <w:trPr>
          <w:trHeight w:val="290"/>
        </w:trPr>
        <w:tc>
          <w:tcPr>
            <w:tcW w:w="2694" w:type="dxa"/>
            <w:vMerge w:val="restart"/>
            <w:shd w:val="clear" w:color="auto" w:fill="auto"/>
          </w:tcPr>
          <w:p w:rsidR="00ED30FA" w:rsidRDefault="00ED30FA" w:rsidP="00742C97">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Grupul de lucru al Comisiei de Stat pentru reglementarea activității de întreprinzător</w:t>
            </w:r>
          </w:p>
          <w:p w:rsidR="00ED30FA" w:rsidRDefault="00ED30FA" w:rsidP="00742C97">
            <w:pPr>
              <w:spacing w:after="0" w:line="240" w:lineRule="auto"/>
              <w:ind w:firstLine="34"/>
              <w:jc w:val="center"/>
              <w:rPr>
                <w:rFonts w:ascii="Times New Roman" w:eastAsia="Times New Roman" w:hAnsi="Times New Roman" w:cs="Times New Roman"/>
                <w:sz w:val="24"/>
                <w:szCs w:val="24"/>
                <w:lang w:val="ro-RO" w:eastAsia="ru-RU"/>
              </w:rPr>
            </w:pPr>
            <w:proofErr w:type="spellStart"/>
            <w:proofErr w:type="gramStart"/>
            <w:r>
              <w:rPr>
                <w:rFonts w:ascii="Times New Roman" w:eastAsia="Times New Roman" w:hAnsi="Times New Roman" w:cs="Times New Roman"/>
                <w:sz w:val="24"/>
                <w:szCs w:val="24"/>
                <w:lang w:eastAsia="ru-RU"/>
              </w:rPr>
              <w:t>n</w:t>
            </w:r>
            <w:r w:rsidRPr="00A3174B">
              <w:rPr>
                <w:rFonts w:ascii="Times New Roman" w:eastAsia="Times New Roman" w:hAnsi="Times New Roman" w:cs="Times New Roman"/>
                <w:sz w:val="24"/>
                <w:szCs w:val="24"/>
                <w:lang w:eastAsia="ru-RU"/>
              </w:rPr>
              <w:t>r</w:t>
            </w:r>
            <w:proofErr w:type="spellEnd"/>
            <w:proofErr w:type="gramEnd"/>
            <w:r w:rsidRPr="00A3174B">
              <w:rPr>
                <w:rFonts w:ascii="Times New Roman" w:eastAsia="Times New Roman" w:hAnsi="Times New Roman" w:cs="Times New Roman"/>
                <w:sz w:val="24"/>
                <w:szCs w:val="24"/>
                <w:lang w:eastAsia="ru-RU"/>
              </w:rPr>
              <w:t>. 38-78-11473</w:t>
            </w:r>
            <w:r>
              <w:rPr>
                <w:rFonts w:ascii="Times New Roman" w:eastAsia="Times New Roman" w:hAnsi="Times New Roman" w:cs="Times New Roman"/>
                <w:sz w:val="24"/>
                <w:szCs w:val="24"/>
                <w:lang w:eastAsia="ru-RU"/>
              </w:rPr>
              <w:t xml:space="preserve"> din 15.10.2024</w:t>
            </w:r>
          </w:p>
        </w:tc>
        <w:tc>
          <w:tcPr>
            <w:tcW w:w="709" w:type="dxa"/>
            <w:vMerge w:val="restart"/>
          </w:tcPr>
          <w:p w:rsidR="00ED30FA" w:rsidRPr="00205429" w:rsidRDefault="00ED30FA" w:rsidP="004C0E57">
            <w:pPr>
              <w:tabs>
                <w:tab w:val="left" w:pos="993"/>
              </w:tabs>
              <w:spacing w:after="0" w:line="240" w:lineRule="auto"/>
              <w:ind w:right="47"/>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9</w:t>
            </w:r>
          </w:p>
        </w:tc>
        <w:tc>
          <w:tcPr>
            <w:tcW w:w="6095" w:type="dxa"/>
            <w:shd w:val="clear" w:color="auto" w:fill="auto"/>
          </w:tcPr>
          <w:p w:rsidR="00ED30FA" w:rsidRPr="00A3174B" w:rsidRDefault="00ED30FA" w:rsidP="00ED30FA">
            <w:pPr>
              <w:tabs>
                <w:tab w:val="left" w:pos="993"/>
              </w:tabs>
              <w:spacing w:after="120" w:line="240" w:lineRule="auto"/>
              <w:ind w:right="33"/>
              <w:jc w:val="both"/>
              <w:rPr>
                <w:rFonts w:ascii="Times New Roman" w:eastAsia="Times New Roman" w:hAnsi="Times New Roman" w:cs="Times New Roman"/>
                <w:sz w:val="24"/>
                <w:szCs w:val="24"/>
                <w:lang w:val="ro-RO" w:eastAsia="ru-RU"/>
              </w:rPr>
            </w:pPr>
            <w:r w:rsidRPr="00A3174B">
              <w:rPr>
                <w:rFonts w:ascii="Times New Roman" w:eastAsia="Times New Roman" w:hAnsi="Times New Roman" w:cs="Times New Roman"/>
                <w:sz w:val="24"/>
                <w:szCs w:val="24"/>
                <w:lang w:val="ro-RO" w:eastAsia="ru-RU"/>
              </w:rPr>
              <w:t xml:space="preserve">La modificările propuse pentru Hotărârea Guvernului nr.267/2014, în hotărâre la pct.3/2, pentru ca termenul de „organism notificat” să poată fi utilizat în mod valid, acesta trebuie să fie cel puțin echivalat cu termenul „organism recunoscut”, corespunzător la </w:t>
            </w:r>
            <w:proofErr w:type="spellStart"/>
            <w:r w:rsidRPr="00A3174B">
              <w:rPr>
                <w:rFonts w:ascii="Times New Roman" w:eastAsia="Times New Roman" w:hAnsi="Times New Roman" w:cs="Times New Roman"/>
                <w:sz w:val="24"/>
                <w:szCs w:val="24"/>
                <w:lang w:val="ro-RO" w:eastAsia="ru-RU"/>
              </w:rPr>
              <w:t>subpct</w:t>
            </w:r>
            <w:proofErr w:type="spellEnd"/>
            <w:r w:rsidRPr="00A3174B">
              <w:rPr>
                <w:rFonts w:ascii="Times New Roman" w:eastAsia="Times New Roman" w:hAnsi="Times New Roman" w:cs="Times New Roman"/>
                <w:sz w:val="24"/>
                <w:szCs w:val="24"/>
                <w:lang w:val="ro-RO" w:eastAsia="ru-RU"/>
              </w:rPr>
              <w:t>. 5) primul enunț, după cuvintele „cerințele cu privire la organismele de evaluare a conformității notificate se aplică şi organismelor de evaluare a conformității recunoscute” se va completa cu textul „care au regim juridic similar, conform pre</w:t>
            </w:r>
            <w:r>
              <w:rPr>
                <w:rFonts w:ascii="Times New Roman" w:eastAsia="Times New Roman" w:hAnsi="Times New Roman" w:cs="Times New Roman"/>
                <w:sz w:val="24"/>
                <w:szCs w:val="24"/>
                <w:lang w:val="ro-RO" w:eastAsia="ru-RU"/>
              </w:rPr>
              <w:t>vederilor Legii nr.235/2011”.</w:t>
            </w:r>
          </w:p>
        </w:tc>
        <w:tc>
          <w:tcPr>
            <w:tcW w:w="5954" w:type="dxa"/>
            <w:shd w:val="clear" w:color="auto" w:fill="auto"/>
          </w:tcPr>
          <w:p w:rsidR="00ED30FA" w:rsidRDefault="00ED30FA" w:rsidP="006F3E3A">
            <w:pPr>
              <w:spacing w:after="0" w:line="240" w:lineRule="auto"/>
              <w:ind w:right="63"/>
              <w:jc w:val="center"/>
              <w:rPr>
                <w:rFonts w:ascii="Times New Roman" w:eastAsia="Calibri" w:hAnsi="Times New Roman" w:cs="Times New Roman"/>
                <w:sz w:val="24"/>
                <w:szCs w:val="24"/>
                <w:lang w:val="ro-RO"/>
              </w:rPr>
            </w:pPr>
            <w:r w:rsidRPr="00A3174B">
              <w:rPr>
                <w:rFonts w:ascii="Times New Roman" w:eastAsia="Calibri" w:hAnsi="Times New Roman" w:cs="Times New Roman"/>
                <w:sz w:val="24"/>
                <w:szCs w:val="24"/>
                <w:lang w:val="ro-RO"/>
              </w:rPr>
              <w:t>se acceptă</w:t>
            </w:r>
          </w:p>
          <w:p w:rsidR="00ED30FA" w:rsidRDefault="00ED30FA" w:rsidP="006F3E3A">
            <w:pPr>
              <w:spacing w:after="0" w:line="240" w:lineRule="auto"/>
              <w:ind w:right="63"/>
              <w:jc w:val="center"/>
              <w:rPr>
                <w:rFonts w:ascii="Times New Roman" w:eastAsia="Calibri" w:hAnsi="Times New Roman" w:cs="Times New Roman"/>
                <w:sz w:val="24"/>
                <w:szCs w:val="24"/>
                <w:lang w:val="ro-RO"/>
              </w:rPr>
            </w:pPr>
          </w:p>
          <w:p w:rsidR="00ED30FA" w:rsidRDefault="00ED30FA" w:rsidP="006F3E3A">
            <w:pPr>
              <w:spacing w:after="0" w:line="240" w:lineRule="auto"/>
              <w:ind w:right="63"/>
              <w:jc w:val="center"/>
              <w:rPr>
                <w:rFonts w:ascii="Times New Roman" w:eastAsia="Calibri" w:hAnsi="Times New Roman" w:cs="Times New Roman"/>
                <w:sz w:val="24"/>
                <w:szCs w:val="24"/>
                <w:lang w:val="ro-RO"/>
              </w:rPr>
            </w:pPr>
          </w:p>
          <w:p w:rsidR="00ED30FA" w:rsidRDefault="00ED30FA" w:rsidP="006F3E3A">
            <w:pPr>
              <w:spacing w:after="0" w:line="240" w:lineRule="auto"/>
              <w:ind w:right="63"/>
              <w:jc w:val="center"/>
              <w:rPr>
                <w:rFonts w:ascii="Times New Roman" w:eastAsia="Calibri" w:hAnsi="Times New Roman" w:cs="Times New Roman"/>
                <w:sz w:val="24"/>
                <w:szCs w:val="24"/>
                <w:lang w:val="ro-RO"/>
              </w:rPr>
            </w:pPr>
          </w:p>
          <w:p w:rsidR="00ED30FA" w:rsidRDefault="00ED30FA" w:rsidP="006F3E3A">
            <w:pPr>
              <w:spacing w:after="0" w:line="240" w:lineRule="auto"/>
              <w:ind w:right="63"/>
              <w:jc w:val="center"/>
              <w:rPr>
                <w:rFonts w:ascii="Times New Roman" w:eastAsia="Calibri" w:hAnsi="Times New Roman" w:cs="Times New Roman"/>
                <w:sz w:val="24"/>
                <w:szCs w:val="24"/>
                <w:lang w:val="ro-RO"/>
              </w:rPr>
            </w:pPr>
          </w:p>
          <w:p w:rsidR="00ED30FA" w:rsidRDefault="00ED30FA" w:rsidP="006F3E3A">
            <w:pPr>
              <w:spacing w:after="0" w:line="240" w:lineRule="auto"/>
              <w:ind w:right="63"/>
              <w:jc w:val="center"/>
              <w:rPr>
                <w:rFonts w:ascii="Times New Roman" w:eastAsia="Calibri" w:hAnsi="Times New Roman" w:cs="Times New Roman"/>
                <w:sz w:val="24"/>
                <w:szCs w:val="24"/>
                <w:lang w:val="ro-RO"/>
              </w:rPr>
            </w:pPr>
          </w:p>
          <w:p w:rsidR="00ED30FA" w:rsidRDefault="00ED30FA" w:rsidP="006F3E3A">
            <w:pPr>
              <w:spacing w:after="0" w:line="240" w:lineRule="auto"/>
              <w:ind w:right="63"/>
              <w:jc w:val="center"/>
              <w:rPr>
                <w:rFonts w:ascii="Times New Roman" w:eastAsia="Calibri" w:hAnsi="Times New Roman" w:cs="Times New Roman"/>
                <w:sz w:val="24"/>
                <w:szCs w:val="24"/>
                <w:lang w:val="ro-RO"/>
              </w:rPr>
            </w:pPr>
          </w:p>
          <w:p w:rsidR="00ED30FA" w:rsidRDefault="00ED30FA" w:rsidP="006F3E3A">
            <w:pPr>
              <w:spacing w:after="0" w:line="240" w:lineRule="auto"/>
              <w:ind w:right="63"/>
              <w:jc w:val="center"/>
              <w:rPr>
                <w:rFonts w:ascii="Times New Roman" w:eastAsia="Calibri" w:hAnsi="Times New Roman" w:cs="Times New Roman"/>
                <w:sz w:val="24"/>
                <w:szCs w:val="24"/>
                <w:lang w:val="ro-RO"/>
              </w:rPr>
            </w:pPr>
          </w:p>
          <w:p w:rsidR="00ED30FA" w:rsidRDefault="00ED30FA" w:rsidP="006F3E3A">
            <w:pPr>
              <w:spacing w:after="0" w:line="240" w:lineRule="auto"/>
              <w:ind w:right="63"/>
              <w:jc w:val="center"/>
              <w:rPr>
                <w:rFonts w:ascii="Times New Roman" w:eastAsia="Calibri" w:hAnsi="Times New Roman" w:cs="Times New Roman"/>
                <w:sz w:val="24"/>
                <w:szCs w:val="24"/>
                <w:lang w:val="ro-RO"/>
              </w:rPr>
            </w:pPr>
          </w:p>
          <w:p w:rsidR="00ED30FA" w:rsidRPr="00A3174B" w:rsidRDefault="00ED30FA" w:rsidP="006F3E3A">
            <w:pPr>
              <w:spacing w:after="0" w:line="240" w:lineRule="auto"/>
              <w:ind w:right="63"/>
              <w:jc w:val="center"/>
              <w:rPr>
                <w:rFonts w:ascii="Times New Roman" w:eastAsia="Calibri" w:hAnsi="Times New Roman" w:cs="Times New Roman"/>
                <w:sz w:val="24"/>
                <w:szCs w:val="24"/>
                <w:lang w:val="ro-RO"/>
              </w:rPr>
            </w:pPr>
          </w:p>
        </w:tc>
      </w:tr>
      <w:tr w:rsidR="00ED30FA" w:rsidRPr="0070070E" w:rsidTr="00B81EC6">
        <w:trPr>
          <w:trHeight w:val="290"/>
        </w:trPr>
        <w:tc>
          <w:tcPr>
            <w:tcW w:w="2694" w:type="dxa"/>
            <w:vMerge/>
            <w:shd w:val="clear" w:color="auto" w:fill="auto"/>
          </w:tcPr>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tc>
        <w:tc>
          <w:tcPr>
            <w:tcW w:w="709" w:type="dxa"/>
            <w:vMerge/>
          </w:tcPr>
          <w:p w:rsidR="00ED30FA" w:rsidRDefault="00ED30FA"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p>
        </w:tc>
        <w:tc>
          <w:tcPr>
            <w:tcW w:w="6095" w:type="dxa"/>
            <w:shd w:val="clear" w:color="auto" w:fill="auto"/>
          </w:tcPr>
          <w:p w:rsidR="00ED30FA" w:rsidRDefault="00ED30FA" w:rsidP="00A75A82">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A3174B">
              <w:rPr>
                <w:rFonts w:ascii="Times New Roman" w:eastAsia="Times New Roman" w:hAnsi="Times New Roman" w:cs="Times New Roman"/>
                <w:sz w:val="24"/>
                <w:szCs w:val="24"/>
                <w:lang w:val="ro-RO" w:eastAsia="ru-RU"/>
              </w:rPr>
              <w:t xml:space="preserve">La modificările propuse pentru HG nr.267/2014 (pct.8/11 și 8/12) și la Hotărârea nr.408/2015 (pct.38 ș.a.), în raport cu obligațiile producătorilor atenționăm că nu este rațional de a obliga ca aceștia să opereze în toate cazurile cu limba română, în privința instrucțiunilor și informațiilor ce însoțesc produsul dar și în privința datelor de contact. Luând în calcul că producătorii de pe teritoriul Moldovei vor produce nu doar pentru piața națională dar și produse destinate altor state. Anume în cazul producătorilor este recomandabil de utilizat limbajul prevăzut de Regulamentul UE – „într-o limbă ușor de înțeles pentru consumator, alți utilizatori finali și autoritățile de supraveghere a pieței”. Deja în cazul reprezentanților, importatorilor și distribuitorilor, evident că instrucțiunile și datele de contact necesită să fie obligatoriu în limba română, în toate situațiile. </w:t>
            </w:r>
          </w:p>
          <w:p w:rsidR="00ED30FA" w:rsidRPr="00A3174B" w:rsidRDefault="00ED30FA" w:rsidP="00A75A82">
            <w:pPr>
              <w:tabs>
                <w:tab w:val="left" w:pos="993"/>
              </w:tabs>
              <w:spacing w:after="0" w:line="240" w:lineRule="auto"/>
              <w:ind w:right="33"/>
              <w:jc w:val="both"/>
              <w:rPr>
                <w:rFonts w:ascii="Times New Roman" w:eastAsia="Times New Roman" w:hAnsi="Times New Roman" w:cs="Times New Roman"/>
                <w:sz w:val="24"/>
                <w:szCs w:val="24"/>
                <w:lang w:val="ro-RO" w:eastAsia="ru-RU"/>
              </w:rPr>
            </w:pPr>
            <w:r w:rsidRPr="00A3174B">
              <w:rPr>
                <w:rFonts w:ascii="Times New Roman" w:eastAsia="Times New Roman" w:hAnsi="Times New Roman" w:cs="Times New Roman"/>
                <w:sz w:val="24"/>
                <w:szCs w:val="24"/>
                <w:lang w:val="ro-RO" w:eastAsia="ru-RU"/>
              </w:rPr>
              <w:lastRenderedPageBreak/>
              <w:t>La pct.25/3 din modificări la HG nr.267/2014, se propune în ultima frază ca MDED să retragă o măsură corectivă în situația în care această măsură (aplicată de ISSPNPC anterior) se consideră de Comisia UE drept una nejustificată. Atenționăm că nu este propriu pentru funcțiile unui minister să gestioneze cu „măsurile corective”, aceasta este funcția autorității de supraveghere a pieței sau instanței de judecată, în cazul dat ministerului i se atribuie funcții improprii, mult peste cele acordate de cadrul legislativ. Cu atât mai mult că Directiva la art.38 alin.(2) nu indică o autoritate concretă, dar prevede doar „statul membru”. În același timp nu este clar cum în practică va fi „retrasă” o măsură, prin ce act și conform cărei proceduri. Astfel, enunțul necesită a fi reformulat, și de specificat că măsura se retrage fie de ISSPNPC sau de instanța de judecată (în dependență dacă măsura a fost sau nu contestată de agentul economic în instanță).</w:t>
            </w:r>
          </w:p>
        </w:tc>
        <w:tc>
          <w:tcPr>
            <w:tcW w:w="5954" w:type="dxa"/>
            <w:shd w:val="clear" w:color="auto" w:fill="auto"/>
          </w:tcPr>
          <w:p w:rsidR="00ED30FA" w:rsidRDefault="00ED30FA" w:rsidP="00A75A82">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nu se acceptă</w:t>
            </w:r>
          </w:p>
          <w:p w:rsidR="00ED30FA" w:rsidRDefault="00ED30FA" w:rsidP="00A75A82">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Hotărârile de Guvern menționate transpun legislația UE de armonizare și stabilesc c</w:t>
            </w:r>
            <w:r w:rsidRPr="000850F9">
              <w:rPr>
                <w:rFonts w:ascii="Times New Roman" w:eastAsia="Calibri" w:hAnsi="Times New Roman" w:cs="Times New Roman"/>
                <w:sz w:val="24"/>
                <w:szCs w:val="24"/>
                <w:lang w:val="ro-RO"/>
              </w:rPr>
              <w:t xml:space="preserve">erinţele referitoare la </w:t>
            </w:r>
            <w:r>
              <w:rPr>
                <w:rFonts w:ascii="Times New Roman" w:eastAsia="Calibri" w:hAnsi="Times New Roman" w:cs="Times New Roman"/>
                <w:sz w:val="24"/>
                <w:szCs w:val="24"/>
                <w:lang w:val="ro-RO"/>
              </w:rPr>
              <w:t>produse</w:t>
            </w:r>
            <w:r w:rsidRPr="000850F9">
              <w:rPr>
                <w:rFonts w:ascii="Times New Roman" w:eastAsia="Calibri" w:hAnsi="Times New Roman" w:cs="Times New Roman"/>
                <w:sz w:val="24"/>
                <w:szCs w:val="24"/>
                <w:lang w:val="ro-RO"/>
              </w:rPr>
              <w:t>, precum şi co</w:t>
            </w:r>
            <w:r>
              <w:rPr>
                <w:rFonts w:ascii="Times New Roman" w:eastAsia="Calibri" w:hAnsi="Times New Roman" w:cs="Times New Roman"/>
                <w:sz w:val="24"/>
                <w:szCs w:val="24"/>
                <w:lang w:val="ro-RO"/>
              </w:rPr>
              <w:t xml:space="preserve">ndiţiile de introducere pe piaţa Republicii Moldova </w:t>
            </w:r>
            <w:r w:rsidRPr="000850F9">
              <w:rPr>
                <w:rFonts w:ascii="Times New Roman" w:eastAsia="Calibri" w:hAnsi="Times New Roman" w:cs="Times New Roman"/>
                <w:sz w:val="24"/>
                <w:szCs w:val="24"/>
                <w:lang w:val="ro-RO"/>
              </w:rPr>
              <w:t xml:space="preserve"> şi punere</w:t>
            </w:r>
            <w:r>
              <w:rPr>
                <w:rFonts w:ascii="Times New Roman" w:eastAsia="Calibri" w:hAnsi="Times New Roman" w:cs="Times New Roman"/>
                <w:sz w:val="24"/>
                <w:szCs w:val="24"/>
                <w:lang w:val="ro-RO"/>
              </w:rPr>
              <w:t>a în funcț</w:t>
            </w:r>
            <w:r w:rsidRPr="000850F9">
              <w:rPr>
                <w:rFonts w:ascii="Times New Roman" w:eastAsia="Calibri" w:hAnsi="Times New Roman" w:cs="Times New Roman"/>
                <w:sz w:val="24"/>
                <w:szCs w:val="24"/>
                <w:lang w:val="ro-RO"/>
              </w:rPr>
              <w:t xml:space="preserve">iune </w:t>
            </w:r>
            <w:r>
              <w:rPr>
                <w:rFonts w:ascii="Times New Roman" w:eastAsia="Calibri" w:hAnsi="Times New Roman" w:cs="Times New Roman"/>
                <w:sz w:val="24"/>
                <w:szCs w:val="24"/>
                <w:lang w:val="ro-RO"/>
              </w:rPr>
              <w:t>pe teritoriul național.</w:t>
            </w:r>
          </w:p>
          <w:p w:rsidR="00ED30FA" w:rsidRDefault="00ED30FA" w:rsidP="00A75A82">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 menționat, directivele europene, care fac obiectul transpunerii, stabilesc „d</w:t>
            </w:r>
            <w:r w:rsidRPr="00A3174B">
              <w:rPr>
                <w:rFonts w:ascii="Times New Roman" w:eastAsia="Calibri" w:hAnsi="Times New Roman" w:cs="Times New Roman"/>
                <w:sz w:val="24"/>
                <w:szCs w:val="24"/>
                <w:lang w:val="ro-RO"/>
              </w:rPr>
              <w:t>atele de contact sunt comunicate într-o limbă ușor de înțeles pentru utilizatorii finali</w:t>
            </w:r>
            <w:r>
              <w:rPr>
                <w:rFonts w:ascii="Times New Roman" w:eastAsia="Calibri" w:hAnsi="Times New Roman" w:cs="Times New Roman"/>
                <w:sz w:val="24"/>
                <w:szCs w:val="24"/>
                <w:lang w:val="ro-RO"/>
              </w:rPr>
              <w:t xml:space="preserve">, </w:t>
            </w:r>
            <w:r w:rsidRPr="000850F9">
              <w:rPr>
                <w:rFonts w:ascii="Times New Roman" w:eastAsia="Calibri" w:hAnsi="Times New Roman" w:cs="Times New Roman"/>
                <w:sz w:val="24"/>
                <w:szCs w:val="24"/>
                <w:lang w:val="ro-RO"/>
              </w:rPr>
              <w:t>după cum stabilește statul membru în cauză</w:t>
            </w:r>
            <w:r>
              <w:rPr>
                <w:rFonts w:ascii="Times New Roman" w:eastAsia="Calibri" w:hAnsi="Times New Roman" w:cs="Times New Roman"/>
                <w:sz w:val="24"/>
                <w:szCs w:val="24"/>
                <w:lang w:val="ro-RO"/>
              </w:rPr>
              <w:t>.”</w:t>
            </w:r>
          </w:p>
          <w:p w:rsidR="00ED30FA" w:rsidRDefault="00ED30FA" w:rsidP="00A75A82">
            <w:pPr>
              <w:pStyle w:val="NormalWeb"/>
              <w:jc w:val="both"/>
              <w:rPr>
                <w:rFonts w:eastAsia="Calibri"/>
                <w:lang w:val="ro-RO"/>
              </w:rPr>
            </w:pPr>
            <w:r w:rsidRPr="00117512">
              <w:rPr>
                <w:rFonts w:eastAsia="Calibri"/>
                <w:lang w:val="ro-RO"/>
              </w:rPr>
              <w:t>Astfel, pentru executarea pct. 33 din Legea nr.105/2003 privind protecția consumat</w:t>
            </w:r>
            <w:r>
              <w:rPr>
                <w:rFonts w:eastAsia="Calibri"/>
                <w:lang w:val="ro-RO"/>
              </w:rPr>
              <w:t xml:space="preserve">orilor, </w:t>
            </w:r>
            <w:r w:rsidRPr="00117512">
              <w:rPr>
                <w:rFonts w:eastAsia="Calibri"/>
                <w:lang w:val="ro-RO"/>
              </w:rPr>
              <w:t>i</w:t>
            </w:r>
            <w:r w:rsidRPr="00117512">
              <w:rPr>
                <w:rFonts w:eastAsia="Times New Roman"/>
                <w:lang w:val="ro-RO"/>
              </w:rPr>
              <w:t>nformarea consumatorilor despre produsele oferite se realizează, în mod obligatoriu, prin elemente de identificare şi prin indicarea caracteristicilor acestora, care se înscriu la vedere şi explicit pe produs, etichetă, ambalaj sa</w:t>
            </w:r>
            <w:r>
              <w:rPr>
                <w:rFonts w:eastAsia="Times New Roman"/>
                <w:lang w:val="ro-RO"/>
              </w:rPr>
              <w:t xml:space="preserve">u în cartea tehnică, în </w:t>
            </w:r>
            <w:r>
              <w:rPr>
                <w:rFonts w:eastAsia="Times New Roman"/>
                <w:lang w:val="ro-RO"/>
              </w:rPr>
              <w:lastRenderedPageBreak/>
              <w:t>instrucț</w:t>
            </w:r>
            <w:r w:rsidRPr="00117512">
              <w:rPr>
                <w:rFonts w:eastAsia="Times New Roman"/>
                <w:lang w:val="ro-RO"/>
              </w:rPr>
              <w:t>iunile de exploatare ori în alte docu</w:t>
            </w:r>
            <w:r>
              <w:rPr>
                <w:rFonts w:eastAsia="Times New Roman"/>
                <w:lang w:val="ro-RO"/>
              </w:rPr>
              <w:t xml:space="preserve">mente de însoţire a produsului. </w:t>
            </w:r>
            <w:r w:rsidRPr="00117512">
              <w:rPr>
                <w:rFonts w:eastAsia="Times New Roman"/>
                <w:lang w:val="ro-RO"/>
              </w:rPr>
              <w:t xml:space="preserve"> Se interzice introducerea pe piaţă şi/sau punerea la dispoziţie pe piaţă a produselor, în lipsa informaţiei complete, veridice şi corecte în limba română.</w:t>
            </w:r>
          </w:p>
          <w:p w:rsidR="00ED30FA" w:rsidRPr="00A3174B" w:rsidRDefault="00ED30FA" w:rsidP="00A75A82">
            <w:pPr>
              <w:spacing w:after="0" w:line="240" w:lineRule="auto"/>
              <w:ind w:right="63"/>
              <w:jc w:val="center"/>
              <w:rPr>
                <w:rFonts w:ascii="Times New Roman" w:eastAsia="Calibri" w:hAnsi="Times New Roman" w:cs="Times New Roman"/>
                <w:sz w:val="24"/>
                <w:szCs w:val="24"/>
                <w:lang w:val="ro-RO"/>
              </w:rPr>
            </w:pPr>
          </w:p>
        </w:tc>
      </w:tr>
      <w:tr w:rsidR="00ED30FA" w:rsidRPr="0070070E" w:rsidTr="00B81EC6">
        <w:trPr>
          <w:trHeight w:val="290"/>
        </w:trPr>
        <w:tc>
          <w:tcPr>
            <w:tcW w:w="2694" w:type="dxa"/>
            <w:vMerge/>
            <w:shd w:val="clear" w:color="auto" w:fill="auto"/>
          </w:tcPr>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tc>
        <w:tc>
          <w:tcPr>
            <w:tcW w:w="709" w:type="dxa"/>
            <w:vMerge/>
          </w:tcPr>
          <w:p w:rsidR="00ED30FA" w:rsidRDefault="00ED30FA"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p>
        </w:tc>
        <w:tc>
          <w:tcPr>
            <w:tcW w:w="6095" w:type="dxa"/>
            <w:shd w:val="clear" w:color="auto" w:fill="auto"/>
          </w:tcPr>
          <w:p w:rsidR="00ED30FA" w:rsidRPr="00A3174B" w:rsidRDefault="00ED30FA" w:rsidP="00A75A82">
            <w:pPr>
              <w:tabs>
                <w:tab w:val="left" w:pos="993"/>
              </w:tabs>
              <w:spacing w:after="120" w:line="240" w:lineRule="auto"/>
              <w:ind w:right="33"/>
              <w:jc w:val="both"/>
              <w:rPr>
                <w:rFonts w:ascii="Times New Roman" w:eastAsia="Times New Roman" w:hAnsi="Times New Roman" w:cs="Times New Roman"/>
                <w:sz w:val="24"/>
                <w:szCs w:val="24"/>
                <w:lang w:val="ro-RO" w:eastAsia="ru-RU"/>
              </w:rPr>
            </w:pPr>
            <w:r w:rsidRPr="00A3174B">
              <w:rPr>
                <w:rFonts w:ascii="Times New Roman" w:eastAsia="Times New Roman" w:hAnsi="Times New Roman" w:cs="Times New Roman"/>
                <w:sz w:val="24"/>
                <w:szCs w:val="24"/>
                <w:lang w:val="ro-RO" w:eastAsia="ru-RU"/>
              </w:rPr>
              <w:t>În nota de fundamentare nu sunt descrise suficient părțile interesate care sunt vizate de proiect. În Notă nu sunt stabilite clar obiectivele, lipsesc indicatorii de performanță pentru a efectua monitorizarea și nu se expune cum va fi monitorizat și evaluat impactul opțiunii recomandate și peste cât timp se va evalua performanța actului normativ propus</w:t>
            </w:r>
          </w:p>
        </w:tc>
        <w:tc>
          <w:tcPr>
            <w:tcW w:w="5954" w:type="dxa"/>
            <w:shd w:val="clear" w:color="auto" w:fill="auto"/>
          </w:tcPr>
          <w:p w:rsidR="00ED30FA" w:rsidRDefault="00ED30FA" w:rsidP="00A75A82">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 acceptă</w:t>
            </w:r>
          </w:p>
          <w:p w:rsidR="00ED30FA" w:rsidRDefault="00ED30FA" w:rsidP="00A75A82">
            <w:pPr>
              <w:spacing w:after="0" w:line="240" w:lineRule="auto"/>
              <w:ind w:right="63"/>
              <w:jc w:val="center"/>
              <w:rPr>
                <w:rFonts w:ascii="Times New Roman" w:eastAsia="Calibri" w:hAnsi="Times New Roman" w:cs="Times New Roman"/>
                <w:sz w:val="24"/>
                <w:szCs w:val="24"/>
                <w:lang w:val="ro-RO"/>
              </w:rPr>
            </w:pPr>
          </w:p>
          <w:p w:rsidR="00ED30FA" w:rsidRPr="00A3174B" w:rsidRDefault="00ED30FA" w:rsidP="00A75A82">
            <w:pPr>
              <w:spacing w:after="0" w:line="240" w:lineRule="auto"/>
              <w:ind w:right="63"/>
              <w:jc w:val="center"/>
              <w:rPr>
                <w:rFonts w:ascii="Times New Roman" w:eastAsia="Calibri" w:hAnsi="Times New Roman" w:cs="Times New Roman"/>
                <w:sz w:val="24"/>
                <w:szCs w:val="24"/>
                <w:lang w:val="ro-RO"/>
              </w:rPr>
            </w:pPr>
          </w:p>
        </w:tc>
      </w:tr>
      <w:tr w:rsidR="00A75A82" w:rsidRPr="0070070E" w:rsidTr="00C07C39">
        <w:trPr>
          <w:trHeight w:val="290"/>
        </w:trPr>
        <w:tc>
          <w:tcPr>
            <w:tcW w:w="15452" w:type="dxa"/>
            <w:gridSpan w:val="4"/>
            <w:shd w:val="clear" w:color="auto" w:fill="auto"/>
          </w:tcPr>
          <w:p w:rsidR="00A75A82" w:rsidRPr="00A3174B" w:rsidRDefault="00A75A82" w:rsidP="00A75A82">
            <w:pPr>
              <w:spacing w:after="0" w:line="240" w:lineRule="auto"/>
              <w:ind w:right="63"/>
              <w:jc w:val="center"/>
              <w:rPr>
                <w:rFonts w:ascii="Times New Roman" w:eastAsia="Calibri" w:hAnsi="Times New Roman" w:cs="Times New Roman"/>
                <w:sz w:val="24"/>
                <w:szCs w:val="24"/>
                <w:lang w:val="ro-RO"/>
              </w:rPr>
            </w:pPr>
            <w:r w:rsidRPr="002910E8">
              <w:rPr>
                <w:rFonts w:ascii="Times New Roman" w:eastAsia="Calibri" w:hAnsi="Times New Roman" w:cs="Times New Roman"/>
                <w:b/>
                <w:sz w:val="24"/>
                <w:szCs w:val="24"/>
                <w:lang w:val="ro-RO"/>
              </w:rPr>
              <w:t>Avizare și consultare publică repetată</w:t>
            </w:r>
          </w:p>
        </w:tc>
      </w:tr>
      <w:tr w:rsidR="00A75A82" w:rsidRPr="0070070E" w:rsidTr="00B81EC6">
        <w:trPr>
          <w:trHeight w:val="290"/>
        </w:trPr>
        <w:tc>
          <w:tcPr>
            <w:tcW w:w="2694" w:type="dxa"/>
            <w:shd w:val="clear" w:color="auto" w:fill="auto"/>
          </w:tcPr>
          <w:p w:rsidR="00ED30FA" w:rsidRPr="00ED30FA" w:rsidRDefault="00ED30FA" w:rsidP="00ED30FA">
            <w:pPr>
              <w:spacing w:after="0" w:line="240" w:lineRule="auto"/>
              <w:jc w:val="center"/>
              <w:rPr>
                <w:rFonts w:ascii="Times New Roman" w:eastAsia="Times New Roman" w:hAnsi="Times New Roman" w:cs="Times New Roman"/>
                <w:sz w:val="24"/>
                <w:szCs w:val="24"/>
                <w:lang w:val="ro-RO" w:eastAsia="ru-RU"/>
              </w:rPr>
            </w:pPr>
            <w:r w:rsidRPr="00ED30FA">
              <w:rPr>
                <w:rFonts w:ascii="Times New Roman" w:eastAsia="Times New Roman" w:hAnsi="Times New Roman" w:cs="Times New Roman"/>
                <w:sz w:val="24"/>
                <w:szCs w:val="24"/>
                <w:lang w:val="ro-RO" w:eastAsia="ru-RU"/>
              </w:rPr>
              <w:t>Ministerul Agriculturii și Industriei Alimentare</w:t>
            </w:r>
          </w:p>
          <w:p w:rsidR="00A75A82" w:rsidRDefault="00ED30FA" w:rsidP="00A75A82">
            <w:pPr>
              <w:spacing w:after="0" w:line="240" w:lineRule="auto"/>
              <w:jc w:val="center"/>
              <w:rPr>
                <w:rFonts w:ascii="Times New Roman" w:eastAsia="Times New Roman" w:hAnsi="Times New Roman" w:cs="Times New Roman"/>
                <w:sz w:val="24"/>
                <w:szCs w:val="24"/>
                <w:lang w:val="ro-RO" w:eastAsia="ru-RU"/>
              </w:rPr>
            </w:pPr>
            <w:proofErr w:type="spellStart"/>
            <w:r w:rsidRPr="00ED30FA">
              <w:rPr>
                <w:rFonts w:ascii="Times New Roman" w:eastAsia="Times New Roman" w:hAnsi="Times New Roman" w:cs="Times New Roman"/>
                <w:sz w:val="24"/>
                <w:szCs w:val="24"/>
                <w:lang w:eastAsia="ru-RU"/>
              </w:rPr>
              <w:t>Nr</w:t>
            </w:r>
            <w:proofErr w:type="spellEnd"/>
            <w:r w:rsidRPr="00ED30FA">
              <w:rPr>
                <w:rFonts w:ascii="Times New Roman" w:eastAsia="Times New Roman" w:hAnsi="Times New Roman" w:cs="Times New Roman"/>
                <w:sz w:val="24"/>
                <w:szCs w:val="24"/>
                <w:lang w:eastAsia="ru-RU"/>
              </w:rPr>
              <w:t>. 2024PHG-3480</w:t>
            </w:r>
          </w:p>
        </w:tc>
        <w:tc>
          <w:tcPr>
            <w:tcW w:w="709" w:type="dxa"/>
          </w:tcPr>
          <w:p w:rsidR="00A75A82" w:rsidRDefault="00A75A82"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10</w:t>
            </w:r>
          </w:p>
        </w:tc>
        <w:tc>
          <w:tcPr>
            <w:tcW w:w="6095" w:type="dxa"/>
            <w:shd w:val="clear" w:color="auto" w:fill="auto"/>
          </w:tcPr>
          <w:p w:rsidR="00ED30FA" w:rsidRDefault="00ED30FA" w:rsidP="00A75A82">
            <w:pPr>
              <w:tabs>
                <w:tab w:val="left" w:pos="993"/>
              </w:tabs>
              <w:spacing w:after="120" w:line="240" w:lineRule="auto"/>
              <w:ind w:right="33"/>
              <w:jc w:val="both"/>
              <w:rPr>
                <w:rFonts w:ascii="Times New Roman" w:eastAsia="Times New Roman" w:hAnsi="Times New Roman" w:cs="Times New Roman"/>
                <w:sz w:val="24"/>
                <w:szCs w:val="24"/>
                <w:lang w:val="ro-RO" w:eastAsia="ru-RU"/>
              </w:rPr>
            </w:pPr>
            <w:r w:rsidRPr="00ED30FA">
              <w:rPr>
                <w:rFonts w:ascii="Times New Roman" w:eastAsia="Times New Roman" w:hAnsi="Times New Roman" w:cs="Times New Roman"/>
                <w:sz w:val="24"/>
                <w:szCs w:val="24"/>
                <w:lang w:val="ro-RO" w:eastAsia="ru-RU"/>
              </w:rPr>
              <w:t xml:space="preserve">În contextul examinării proiectului hotărîrii Guvernului cu privire la modificarea unor hotărîri ale Guvernului în domeniul metrologiei (număr unic 811/MDED/2024), Vă comunicăm că din argumentele aduse în sinteză nu este clar ce prevedere s-a acceptat parțial și ce înțelege autorul prin definiția „vinului nou aflat încă în fermentație”. </w:t>
            </w:r>
          </w:p>
          <w:p w:rsidR="00ED30FA" w:rsidRDefault="00ED30FA" w:rsidP="00ED30FA">
            <w:pPr>
              <w:tabs>
                <w:tab w:val="left" w:pos="993"/>
              </w:tabs>
              <w:spacing w:before="120" w:after="120" w:line="240" w:lineRule="auto"/>
              <w:ind w:right="33"/>
              <w:jc w:val="both"/>
              <w:rPr>
                <w:rFonts w:ascii="Times New Roman" w:eastAsia="Times New Roman" w:hAnsi="Times New Roman" w:cs="Times New Roman"/>
                <w:sz w:val="24"/>
                <w:szCs w:val="24"/>
                <w:lang w:val="ro-RO" w:eastAsia="ru-RU"/>
              </w:rPr>
            </w:pPr>
            <w:r w:rsidRPr="00ED30FA">
              <w:rPr>
                <w:rFonts w:ascii="Times New Roman" w:eastAsia="Times New Roman" w:hAnsi="Times New Roman" w:cs="Times New Roman"/>
                <w:sz w:val="24"/>
                <w:szCs w:val="24"/>
                <w:lang w:val="ro-RO" w:eastAsia="ru-RU"/>
              </w:rPr>
              <w:lastRenderedPageBreak/>
              <w:t xml:space="preserve">Menționăm că, „vinul” reglementat prin Regulamentul privind organizarea pieței vitivinicole, aprobat prin Hotărârea Guvernului nr. 356/2015, care transpune întocmai categoriile prevăzute de Regulamentul (UE) nr. 1308/2013 al Parlamentului European și al Consiliului din 17 decembrie 2013 de instituire a unei organizări comune a piețelor produselor agricole și de abrogare a Regulamentelor (CEE) nr. 922/72, (CEE) nr. 234/79, (CE) nr. 1037/2001 și (CE) nr. 1234/2007 ale Consiliului, (CELEX: 32013R1308), publicat în Jurnalul Oficial al Uniunii Europene L 347 din 20 decembrie 2013, așa cum a fost modificat ultima oară prin Regulamentul (UE) 2021/2117 al Parlamentului European și al Consiliului din 2 decembrie 2021, este același „vin liniștit”. </w:t>
            </w:r>
          </w:p>
          <w:p w:rsidR="00ED30FA" w:rsidRDefault="00ED30FA" w:rsidP="00ED30FA">
            <w:pPr>
              <w:tabs>
                <w:tab w:val="left" w:pos="993"/>
              </w:tabs>
              <w:spacing w:before="120" w:after="120" w:line="240" w:lineRule="auto"/>
              <w:ind w:right="33"/>
              <w:jc w:val="both"/>
              <w:rPr>
                <w:rFonts w:ascii="Times New Roman" w:eastAsia="Times New Roman" w:hAnsi="Times New Roman" w:cs="Times New Roman"/>
                <w:sz w:val="24"/>
                <w:szCs w:val="24"/>
                <w:lang w:val="ro-RO" w:eastAsia="ru-RU"/>
              </w:rPr>
            </w:pPr>
            <w:r w:rsidRPr="00ED30FA">
              <w:rPr>
                <w:rFonts w:ascii="Times New Roman" w:eastAsia="Times New Roman" w:hAnsi="Times New Roman" w:cs="Times New Roman"/>
                <w:sz w:val="24"/>
                <w:szCs w:val="24"/>
                <w:lang w:val="ro-RO" w:eastAsia="ru-RU"/>
              </w:rPr>
              <w:t xml:space="preserve">În acest context, la pct. 3, ce ține de modificarea Hotărârii Guvernului nr. 907/2014 pentru aprobarea Regulamentului general de metrologie legală referitor la preambalarea, în funcție de masă sau volum, a anumitor preambalate (Monitorul Oficial al Republicii Moldova, 2014, nr.333-338, art.975), cu modificările ulterioare, această noțiune nu va fi modificată și se va menține versiunea actuală. </w:t>
            </w:r>
          </w:p>
          <w:p w:rsidR="00233265" w:rsidRDefault="00ED30FA" w:rsidP="00ED30FA">
            <w:pPr>
              <w:tabs>
                <w:tab w:val="left" w:pos="993"/>
              </w:tabs>
              <w:spacing w:before="120" w:after="120" w:line="240" w:lineRule="auto"/>
              <w:ind w:right="33"/>
              <w:jc w:val="both"/>
              <w:rPr>
                <w:rFonts w:ascii="Times New Roman" w:eastAsia="Times New Roman" w:hAnsi="Times New Roman" w:cs="Times New Roman"/>
                <w:sz w:val="24"/>
                <w:szCs w:val="24"/>
                <w:lang w:val="ro-RO" w:eastAsia="ru-RU"/>
              </w:rPr>
            </w:pPr>
            <w:r w:rsidRPr="00ED30FA">
              <w:rPr>
                <w:rFonts w:ascii="Times New Roman" w:eastAsia="Times New Roman" w:hAnsi="Times New Roman" w:cs="Times New Roman"/>
                <w:sz w:val="24"/>
                <w:szCs w:val="24"/>
                <w:lang w:val="ro-RO" w:eastAsia="ru-RU"/>
              </w:rPr>
              <w:t xml:space="preserve">De asemenea, informăm că, „vinul </w:t>
            </w:r>
            <w:proofErr w:type="spellStart"/>
            <w:r w:rsidRPr="00ED30FA">
              <w:rPr>
                <w:rFonts w:ascii="Times New Roman" w:eastAsia="Times New Roman" w:hAnsi="Times New Roman" w:cs="Times New Roman"/>
                <w:sz w:val="24"/>
                <w:szCs w:val="24"/>
                <w:lang w:val="ro-RO" w:eastAsia="ru-RU"/>
              </w:rPr>
              <w:t>jaune</w:t>
            </w:r>
            <w:proofErr w:type="spellEnd"/>
            <w:r w:rsidRPr="00ED30FA">
              <w:rPr>
                <w:rFonts w:ascii="Times New Roman" w:eastAsia="Times New Roman" w:hAnsi="Times New Roman" w:cs="Times New Roman"/>
                <w:sz w:val="24"/>
                <w:szCs w:val="24"/>
                <w:lang w:val="ro-RO" w:eastAsia="ru-RU"/>
              </w:rPr>
              <w:t xml:space="preserve">” este un vin special, produs în anumite regiuni cu denumire de origine controlată din Franța, după o tehnologie asemănătoare vinurilor peliculare, în actele normative naționale acestea fiind reglementate în Regulamentul privind organizarea pieței vitivinicole, aprobat prin Hotărârea Guvernului nr. 356/2015. </w:t>
            </w:r>
          </w:p>
          <w:p w:rsidR="00A75A82" w:rsidRPr="00ED30FA" w:rsidRDefault="00ED30FA" w:rsidP="00ED30FA">
            <w:pPr>
              <w:tabs>
                <w:tab w:val="left" w:pos="993"/>
              </w:tabs>
              <w:spacing w:before="120" w:after="120" w:line="240" w:lineRule="auto"/>
              <w:ind w:right="33"/>
              <w:jc w:val="both"/>
              <w:rPr>
                <w:rFonts w:ascii="Times New Roman" w:eastAsia="Times New Roman" w:hAnsi="Times New Roman" w:cs="Times New Roman"/>
                <w:sz w:val="24"/>
                <w:szCs w:val="24"/>
                <w:lang w:val="ro-RO" w:eastAsia="ru-RU"/>
              </w:rPr>
            </w:pPr>
            <w:r w:rsidRPr="00ED30FA">
              <w:rPr>
                <w:rFonts w:ascii="Times New Roman" w:eastAsia="Times New Roman" w:hAnsi="Times New Roman" w:cs="Times New Roman"/>
                <w:sz w:val="24"/>
                <w:szCs w:val="24"/>
                <w:lang w:val="ro-RO" w:eastAsia="ru-RU"/>
              </w:rPr>
              <w:t xml:space="preserve">În același timp, observăm că articolul 128 alineatul (4) din Regulamentul nr. 479/2008 privind organizarea comună a pieţei vitivinicole, prin care s-a abrogat Regulamentul 1493/1999 al Consiliului din 17 mai 1999 privind organizarea comună a pieței vitivinicole, stabilește că „Trimiterile la </w:t>
            </w:r>
            <w:r w:rsidRPr="00ED30FA">
              <w:rPr>
                <w:rFonts w:ascii="Times New Roman" w:eastAsia="Times New Roman" w:hAnsi="Times New Roman" w:cs="Times New Roman"/>
                <w:sz w:val="24"/>
                <w:szCs w:val="24"/>
                <w:lang w:val="ro-RO" w:eastAsia="ru-RU"/>
              </w:rPr>
              <w:lastRenderedPageBreak/>
              <w:t>Regulamentul (CE) nr. 1493/1999, care a fost abrogat, sunt interpretate, atunci când este cazul, drept trimiteri la prezentul regulament.” Deci, cel mai probabil, că modificările ce urmează a fi aduse la Directiva 2007/45/CE potrivit autorul avizului, nu se vor realiza.</w:t>
            </w:r>
          </w:p>
        </w:tc>
        <w:tc>
          <w:tcPr>
            <w:tcW w:w="5954" w:type="dxa"/>
            <w:shd w:val="clear" w:color="auto" w:fill="auto"/>
          </w:tcPr>
          <w:p w:rsidR="00A75A82" w:rsidRDefault="00233265" w:rsidP="00A75A82">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se </w:t>
            </w:r>
            <w:r w:rsidR="00D54E4F">
              <w:rPr>
                <w:rFonts w:ascii="Times New Roman" w:eastAsia="Calibri" w:hAnsi="Times New Roman" w:cs="Times New Roman"/>
                <w:sz w:val="24"/>
                <w:szCs w:val="24"/>
                <w:lang w:val="ro-RO"/>
              </w:rPr>
              <w:t xml:space="preserve">acceptă </w:t>
            </w:r>
          </w:p>
          <w:p w:rsidR="00E5557C" w:rsidRDefault="00233265" w:rsidP="00E93F8A">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Consens cu MAIA a fost atins. </w:t>
            </w:r>
          </w:p>
          <w:p w:rsidR="00D54E4F" w:rsidRDefault="00E5557C" w:rsidP="00E93F8A">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MDED </w:t>
            </w:r>
            <w:r w:rsidR="00D54E4F">
              <w:rPr>
                <w:rFonts w:ascii="Times New Roman" w:eastAsia="Calibri" w:hAnsi="Times New Roman" w:cs="Times New Roman"/>
                <w:sz w:val="24"/>
                <w:szCs w:val="24"/>
                <w:lang w:val="ro-RO"/>
              </w:rPr>
              <w:t xml:space="preserve">a acceptat </w:t>
            </w:r>
            <w:r>
              <w:rPr>
                <w:rFonts w:ascii="Times New Roman" w:eastAsia="Calibri" w:hAnsi="Times New Roman" w:cs="Times New Roman"/>
                <w:sz w:val="24"/>
                <w:szCs w:val="24"/>
                <w:lang w:val="ro-RO"/>
              </w:rPr>
              <w:t xml:space="preserve">propunerea MAIA </w:t>
            </w:r>
            <w:r w:rsidR="00D54E4F">
              <w:rPr>
                <w:rFonts w:ascii="Times New Roman" w:eastAsia="Calibri" w:hAnsi="Times New Roman" w:cs="Times New Roman"/>
                <w:sz w:val="24"/>
                <w:szCs w:val="24"/>
                <w:lang w:val="ro-RO"/>
              </w:rPr>
              <w:t xml:space="preserve">(se anexează) </w:t>
            </w:r>
            <w:r>
              <w:rPr>
                <w:rFonts w:ascii="Times New Roman" w:eastAsia="Calibri" w:hAnsi="Times New Roman" w:cs="Times New Roman"/>
                <w:sz w:val="24"/>
                <w:szCs w:val="24"/>
                <w:lang w:val="ro-RO"/>
              </w:rPr>
              <w:t xml:space="preserve">de a </w:t>
            </w:r>
            <w:r w:rsidR="00D54E4F">
              <w:rPr>
                <w:rFonts w:ascii="Times New Roman" w:eastAsia="Calibri" w:hAnsi="Times New Roman" w:cs="Times New Roman"/>
                <w:sz w:val="24"/>
                <w:szCs w:val="24"/>
                <w:lang w:val="ro-RO"/>
              </w:rPr>
              <w:t xml:space="preserve">modifica </w:t>
            </w:r>
            <w:r w:rsidR="00D54E4F" w:rsidRPr="00D54E4F">
              <w:rPr>
                <w:rFonts w:ascii="Times New Roman" w:eastAsia="Calibri" w:hAnsi="Times New Roman" w:cs="Times New Roman"/>
                <w:sz w:val="24"/>
                <w:szCs w:val="24"/>
                <w:lang w:val="ro-RO"/>
              </w:rPr>
              <w:t xml:space="preserve">pct. 3.3 din proiectul de hotărâre, </w:t>
            </w:r>
            <w:r w:rsidR="00D54E4F">
              <w:rPr>
                <w:rFonts w:ascii="Times New Roman" w:eastAsia="Calibri" w:hAnsi="Times New Roman" w:cs="Times New Roman"/>
                <w:sz w:val="24"/>
                <w:szCs w:val="24"/>
                <w:lang w:val="ro-RO"/>
              </w:rPr>
              <w:t xml:space="preserve">și anume </w:t>
            </w:r>
            <w:r w:rsidR="00D54E4F" w:rsidRPr="00D54E4F">
              <w:rPr>
                <w:rFonts w:ascii="Times New Roman" w:eastAsia="Calibri" w:hAnsi="Times New Roman" w:cs="Times New Roman"/>
                <w:sz w:val="24"/>
                <w:szCs w:val="24"/>
                <w:lang w:val="ro-RO"/>
              </w:rPr>
              <w:t xml:space="preserve">  cuvintele „Categoriile ale produselor” se substituie cu cuvintele „ Definiții ale produselor”.</w:t>
            </w:r>
          </w:p>
          <w:p w:rsidR="00D54E4F" w:rsidRDefault="00D54E4F" w:rsidP="00E93F8A">
            <w:pPr>
              <w:spacing w:after="0" w:line="240" w:lineRule="auto"/>
              <w:ind w:right="63"/>
              <w:jc w:val="both"/>
              <w:rPr>
                <w:rFonts w:ascii="Times New Roman" w:eastAsia="Calibri" w:hAnsi="Times New Roman" w:cs="Times New Roman"/>
                <w:sz w:val="24"/>
                <w:szCs w:val="24"/>
                <w:lang w:val="ro-RO"/>
              </w:rPr>
            </w:pPr>
          </w:p>
          <w:p w:rsidR="00E93F8A" w:rsidRPr="00E93F8A" w:rsidRDefault="00E93F8A" w:rsidP="0011617E">
            <w:pPr>
              <w:spacing w:after="0" w:line="240" w:lineRule="auto"/>
              <w:ind w:right="63"/>
              <w:jc w:val="both"/>
              <w:rPr>
                <w:rFonts w:ascii="Times New Roman" w:eastAsia="Calibri" w:hAnsi="Times New Roman" w:cs="Times New Roman"/>
                <w:sz w:val="24"/>
                <w:szCs w:val="24"/>
                <w:lang w:val="ro-MD"/>
              </w:rPr>
            </w:pPr>
          </w:p>
        </w:tc>
      </w:tr>
      <w:tr w:rsidR="00A75A82" w:rsidRPr="002F6325" w:rsidTr="00B56B5D">
        <w:tc>
          <w:tcPr>
            <w:tcW w:w="15452" w:type="dxa"/>
            <w:gridSpan w:val="4"/>
            <w:shd w:val="clear" w:color="auto" w:fill="auto"/>
          </w:tcPr>
          <w:p w:rsidR="00A75A82" w:rsidRPr="002910E8" w:rsidRDefault="00A75A82" w:rsidP="00A75A82">
            <w:pPr>
              <w:spacing w:after="0" w:line="240" w:lineRule="auto"/>
              <w:ind w:right="63"/>
              <w:jc w:val="center"/>
              <w:rPr>
                <w:rFonts w:ascii="Times New Roman" w:eastAsia="Calibri" w:hAnsi="Times New Roman" w:cs="Times New Roman"/>
                <w:b/>
                <w:sz w:val="24"/>
                <w:szCs w:val="24"/>
                <w:lang w:val="ro-RO"/>
              </w:rPr>
            </w:pPr>
            <w:r w:rsidRPr="002910E8">
              <w:rPr>
                <w:rFonts w:ascii="Times New Roman" w:eastAsia="Calibri" w:hAnsi="Times New Roman" w:cs="Times New Roman"/>
                <w:b/>
                <w:sz w:val="24"/>
                <w:szCs w:val="24"/>
                <w:lang w:val="ro-RO"/>
              </w:rPr>
              <w:lastRenderedPageBreak/>
              <w:t>Expertizare</w:t>
            </w:r>
          </w:p>
        </w:tc>
      </w:tr>
      <w:tr w:rsidR="00A75A82" w:rsidRPr="002F6325" w:rsidTr="000762F6">
        <w:tc>
          <w:tcPr>
            <w:tcW w:w="2694" w:type="dxa"/>
            <w:shd w:val="clear" w:color="auto" w:fill="auto"/>
          </w:tcPr>
          <w:p w:rsidR="00A75A82" w:rsidRDefault="00A75A82" w:rsidP="00A75A82">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Centrul de Armonizare a Legislației</w:t>
            </w:r>
          </w:p>
          <w:p w:rsidR="00A75A82" w:rsidRPr="007857BA" w:rsidRDefault="00A75A82" w:rsidP="00A75A82">
            <w:pPr>
              <w:spacing w:after="0" w:line="240" w:lineRule="auto"/>
              <w:jc w:val="both"/>
              <w:rPr>
                <w:rFonts w:ascii="Times New Roman" w:eastAsia="Times New Roman" w:hAnsi="Times New Roman" w:cs="Times New Roman"/>
                <w:sz w:val="24"/>
                <w:szCs w:val="24"/>
                <w:lang w:val="ro-RO" w:eastAsia="ru-RU"/>
              </w:rPr>
            </w:pPr>
            <w:proofErr w:type="spellStart"/>
            <w:proofErr w:type="gramStart"/>
            <w:r>
              <w:rPr>
                <w:rFonts w:ascii="Times New Roman" w:eastAsia="Times New Roman" w:hAnsi="Times New Roman" w:cs="Times New Roman"/>
                <w:sz w:val="24"/>
                <w:szCs w:val="24"/>
                <w:lang w:eastAsia="ru-RU"/>
              </w:rPr>
              <w:t>n</w:t>
            </w:r>
            <w:r w:rsidRPr="001650E1">
              <w:rPr>
                <w:rFonts w:ascii="Times New Roman" w:eastAsia="Times New Roman" w:hAnsi="Times New Roman" w:cs="Times New Roman"/>
                <w:sz w:val="24"/>
                <w:szCs w:val="24"/>
                <w:lang w:eastAsia="ru-RU"/>
              </w:rPr>
              <w:t>r</w:t>
            </w:r>
            <w:proofErr w:type="spellEnd"/>
            <w:proofErr w:type="gramEnd"/>
            <w:r w:rsidRPr="001650E1">
              <w:rPr>
                <w:rFonts w:ascii="Times New Roman" w:eastAsia="Times New Roman" w:hAnsi="Times New Roman" w:cs="Times New Roman"/>
                <w:sz w:val="24"/>
                <w:szCs w:val="24"/>
                <w:lang w:eastAsia="ru-RU"/>
              </w:rPr>
              <w:t>. 31/02-126-11391</w:t>
            </w:r>
            <w:r>
              <w:rPr>
                <w:rFonts w:ascii="Times New Roman" w:eastAsia="Times New Roman" w:hAnsi="Times New Roman" w:cs="Times New Roman"/>
                <w:sz w:val="24"/>
                <w:szCs w:val="24"/>
                <w:lang w:eastAsia="ru-RU"/>
              </w:rPr>
              <w:t xml:space="preserve"> din 10.10.2024</w:t>
            </w:r>
          </w:p>
        </w:tc>
        <w:tc>
          <w:tcPr>
            <w:tcW w:w="709" w:type="dxa"/>
          </w:tcPr>
          <w:p w:rsidR="00A75A82" w:rsidRPr="007857BA" w:rsidRDefault="00A75A82"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11</w:t>
            </w:r>
          </w:p>
        </w:tc>
        <w:tc>
          <w:tcPr>
            <w:tcW w:w="6095" w:type="dxa"/>
            <w:shd w:val="clear" w:color="auto" w:fill="auto"/>
          </w:tcPr>
          <w:p w:rsidR="00A75A82" w:rsidRPr="001650E1" w:rsidRDefault="00A75A82"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 xml:space="preserve">III. Respectarea mecanismului de armonizare </w:t>
            </w:r>
          </w:p>
          <w:p w:rsidR="00A75A82" w:rsidRPr="001650E1" w:rsidRDefault="00A75A82"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 xml:space="preserve"> a) Obiecții privind clauza de armonizare</w:t>
            </w:r>
          </w:p>
          <w:p w:rsidR="00A75A82" w:rsidRPr="001650E1" w:rsidRDefault="00A75A82" w:rsidP="00A75A82">
            <w:pPr>
              <w:tabs>
                <w:tab w:val="left" w:pos="993"/>
              </w:tabs>
              <w:spacing w:before="120" w:after="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 xml:space="preserve"> Astfel, ținând cont de recentele modificări operate la Regulamentul privind armonizarea legislației Republicii Moldova cu legislația Uniunii Europene, aprobat prin Hotărârea Guvernului nr. 1171/2018, în conformitate cu HG nr. 447/2024, în temeiul pct. 33 și 34, se va insera clauza de armonizare nemijlocit în textul proiectului de HG, după clauza de adoptare, în următoarea redacție:</w:t>
            </w:r>
          </w:p>
          <w:p w:rsidR="00A75A82" w:rsidRPr="001650E1" w:rsidRDefault="00A75A82" w:rsidP="00A75A82">
            <w:pPr>
              <w:tabs>
                <w:tab w:val="left" w:pos="993"/>
              </w:tabs>
              <w:spacing w:before="120" w:after="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„Prezenta Hotărâre transpune parțial:</w:t>
            </w:r>
          </w:p>
          <w:p w:rsidR="00A75A82" w:rsidRPr="001650E1" w:rsidRDefault="00A75A82" w:rsidP="00A75A82">
            <w:pPr>
              <w:tabs>
                <w:tab w:val="left" w:pos="993"/>
              </w:tabs>
              <w:spacing w:before="120" w:after="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 Directiva 2014/31/UE a Parlamentului European și a Consiliului din 26 februarie 2014 privind armonizarea legislației statelor membre referitoare la punerea la dispoziție pe piață a aparatelor de cântărit cu funcționare neautomată (reformare), CELEX: 32014L0031, publicată în Jurnalul Oficial al Uniunii Europene L 096 din 29 martie 2014;</w:t>
            </w:r>
          </w:p>
          <w:p w:rsidR="00A75A82" w:rsidRPr="001650E1" w:rsidRDefault="00A75A82" w:rsidP="00A75A82">
            <w:pPr>
              <w:tabs>
                <w:tab w:val="left" w:pos="993"/>
              </w:tabs>
              <w:spacing w:before="120" w:after="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 Directiva 75/107/CEE a Consiliului din 19 decembrie 1974 privind apropierea legislațiilor statelor membre referitoare la sticlele utilizate ca recipiente de măsurare, CELEX: 31975L0107, publicată în Jurnalul Oficial al Uniunii Europene L 42 din 15 februarie 1975;</w:t>
            </w:r>
          </w:p>
          <w:p w:rsidR="00A75A82" w:rsidRPr="001650E1" w:rsidRDefault="00A75A82" w:rsidP="00A75A82">
            <w:pPr>
              <w:tabs>
                <w:tab w:val="left" w:pos="993"/>
              </w:tabs>
              <w:spacing w:before="120" w:after="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 xml:space="preserve">- Directiva Consiliului 76/211/CEE din 20 ianuarie 1976 privind apropierea legislațiilor statelor membre referitoare la preambalarea, în funcție de masă sau volum, a anumitor </w:t>
            </w:r>
            <w:r w:rsidRPr="001650E1">
              <w:rPr>
                <w:rFonts w:ascii="Times New Roman" w:eastAsia="Times New Roman" w:hAnsi="Times New Roman" w:cs="Times New Roman"/>
                <w:sz w:val="24"/>
                <w:szCs w:val="24"/>
                <w:lang w:val="ro-RO" w:eastAsia="ru-RU"/>
              </w:rPr>
              <w:lastRenderedPageBreak/>
              <w:t xml:space="preserve">produse preambalate, astfel cum a fost modificată ultima dată prin Regulamentul (UE) 2019/1243 al Parlamentului European și al Consiliului din 20 iunie 2019 de adaptare la articolele 290 și 291 din Tratatul privind funcționarea Uniunii Europene a unei serii de acte juridice care prevăd utilizarea procedurii de reglementare cu control, CELEX: 301976L0211-20190726, publicată în Jurnalul Oficial al Uniunii Europene L 046 din 21 februarie 1976 astfel cum a fost modificată ultima oară prin Regulamentul (UE) 2019/1243 al Parlamentului European și al Consiliului din 20 iunie 2019; </w:t>
            </w:r>
          </w:p>
          <w:p w:rsidR="00A75A82" w:rsidRPr="001650E1" w:rsidRDefault="00A75A82" w:rsidP="00A75A82">
            <w:pPr>
              <w:tabs>
                <w:tab w:val="left" w:pos="993"/>
              </w:tabs>
              <w:spacing w:before="120" w:after="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 Directiva 2007/45/CE a Parlamentului European şi a Consiliului din 5 septembrie 2007 de stabilire a normelor privind cantitățile nominale ale produselor preambalate, de abrogare a Directivelor 75/106/CEE și 80/232/CEE ale Consiliului, și de modificare a Directivei 76/211/CEE a Consiliului, CELEX:32007L0045, publicată în Jurnalul Oficial al Uniunii Europene L 247 din 21 septembrie 2007;</w:t>
            </w:r>
          </w:p>
          <w:p w:rsidR="00A75A82" w:rsidRPr="001650E1" w:rsidRDefault="00A75A82" w:rsidP="00A75A82">
            <w:pPr>
              <w:tabs>
                <w:tab w:val="left" w:pos="993"/>
              </w:tabs>
              <w:spacing w:before="120" w:after="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 Directiva 80/181/CEE a Consiliului din 20 decembrie 1979 privind apropierea legislațiilor statelor membre referitoare la unitățile de măsură și de abrogare a Directivei 71/354/CEE, astfel cum a fost modificată ultima data prin Directiva 9UE) 2019/1258 a</w:t>
            </w:r>
            <w:r>
              <w:rPr>
                <w:rFonts w:ascii="Times New Roman" w:eastAsia="Times New Roman" w:hAnsi="Times New Roman" w:cs="Times New Roman"/>
                <w:sz w:val="24"/>
                <w:szCs w:val="24"/>
                <w:lang w:val="ro-RO" w:eastAsia="ru-RU"/>
              </w:rPr>
              <w:t xml:space="preserve"> </w:t>
            </w:r>
            <w:r w:rsidRPr="001650E1">
              <w:rPr>
                <w:rFonts w:ascii="Times New Roman" w:eastAsia="Times New Roman" w:hAnsi="Times New Roman" w:cs="Times New Roman"/>
                <w:sz w:val="24"/>
                <w:szCs w:val="24"/>
                <w:lang w:val="ro-RO" w:eastAsia="ru-RU"/>
              </w:rPr>
              <w:t>Comisiei din 23 iulie 2019, CELEX: 301980L0181-20200613, publicată în Jurnalul Oficial al Uniunii Europene L 039 din 15 februarie 1980 astfel cum a fost modificată ultima oară prin Directiva (UE) 2019/1258 a Comisiei din 23 iulie 2019;</w:t>
            </w:r>
          </w:p>
          <w:p w:rsidR="00A75A82" w:rsidRPr="001650E1" w:rsidRDefault="00A75A82" w:rsidP="00A75A82">
            <w:pPr>
              <w:tabs>
                <w:tab w:val="left" w:pos="993"/>
              </w:tabs>
              <w:spacing w:after="12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 xml:space="preserve">- Directiva 2014/32/UE a Parlamentului European și a Consiliului din 26 februarie 2014 privind armonizarea legislației statelor membre referitoare la punerea la dispoziție pe piață a mijloacelor de măsurare (reformare), așa cum a fost modificată ultima dată prin Directiva delegată (UE) 2015/13 </w:t>
            </w:r>
            <w:r w:rsidRPr="001650E1">
              <w:rPr>
                <w:rFonts w:ascii="Times New Roman" w:eastAsia="Times New Roman" w:hAnsi="Times New Roman" w:cs="Times New Roman"/>
                <w:sz w:val="24"/>
                <w:szCs w:val="24"/>
                <w:lang w:val="ro-RO" w:eastAsia="ru-RU"/>
              </w:rPr>
              <w:lastRenderedPageBreak/>
              <w:t>a Comisiei din 31 octombrie 2014, CELEX: 302014L00322-20150127, publicată în Jurnalul Oficial al Uniunii Europene L 096 din 29 martie 2014 așa cum a fost modificată ultima dată prin Directiva delegată (UE) 2015/13 a Comisiei din 31 octombrie 2014.</w:t>
            </w:r>
          </w:p>
          <w:p w:rsidR="00A75A82" w:rsidRDefault="00A75A82"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 xml:space="preserve"> IV. Concluzii </w:t>
            </w:r>
          </w:p>
          <w:p w:rsidR="00A75A82" w:rsidRPr="007857BA" w:rsidRDefault="00A75A82"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1650E1">
              <w:rPr>
                <w:rFonts w:ascii="Times New Roman" w:eastAsia="Times New Roman" w:hAnsi="Times New Roman" w:cs="Times New Roman"/>
                <w:sz w:val="24"/>
                <w:szCs w:val="24"/>
                <w:lang w:val="ro-RO" w:eastAsia="ru-RU"/>
              </w:rPr>
              <w:t>Ca urmare a expertizei de compatibilitate realizate, proiectul național se va definitiva potrivit celor expuse în prezenta Declarație. Facem mențiunea că 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 – UE</w:t>
            </w:r>
          </w:p>
        </w:tc>
        <w:tc>
          <w:tcPr>
            <w:tcW w:w="5954" w:type="dxa"/>
            <w:shd w:val="clear" w:color="auto" w:fill="auto"/>
          </w:tcPr>
          <w:p w:rsidR="00A75A82" w:rsidRPr="00C3371C" w:rsidRDefault="00A75A82" w:rsidP="00A75A82">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se acceptă</w:t>
            </w:r>
          </w:p>
        </w:tc>
      </w:tr>
      <w:tr w:rsidR="00A75A82" w:rsidRPr="002F6325" w:rsidTr="000762F6">
        <w:tc>
          <w:tcPr>
            <w:tcW w:w="2694" w:type="dxa"/>
            <w:shd w:val="clear" w:color="auto" w:fill="auto"/>
          </w:tcPr>
          <w:p w:rsidR="00A75A82" w:rsidRDefault="00A75A82" w:rsidP="00A75A82">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Centrul Național Anticorupție</w:t>
            </w:r>
          </w:p>
          <w:p w:rsidR="00A75A82" w:rsidRPr="007857BA" w:rsidRDefault="00A75A82" w:rsidP="00A75A82">
            <w:pPr>
              <w:spacing w:after="0" w:line="240" w:lineRule="auto"/>
              <w:ind w:firstLine="34"/>
              <w:jc w:val="center"/>
              <w:rPr>
                <w:rFonts w:ascii="Times New Roman" w:eastAsia="Times New Roman" w:hAnsi="Times New Roman" w:cs="Times New Roman"/>
                <w:sz w:val="24"/>
                <w:szCs w:val="24"/>
                <w:lang w:val="ro-RO" w:eastAsia="ru-RU"/>
              </w:rPr>
            </w:pPr>
            <w:proofErr w:type="spellStart"/>
            <w:proofErr w:type="gramStart"/>
            <w:r>
              <w:rPr>
                <w:rFonts w:ascii="Times New Roman" w:eastAsia="Times New Roman" w:hAnsi="Times New Roman" w:cs="Times New Roman"/>
                <w:sz w:val="24"/>
                <w:szCs w:val="24"/>
                <w:lang w:eastAsia="ru-RU"/>
              </w:rPr>
              <w:t>nr</w:t>
            </w:r>
            <w:proofErr w:type="spellEnd"/>
            <w:proofErr w:type="gramEnd"/>
            <w:r>
              <w:rPr>
                <w:rFonts w:ascii="Times New Roman" w:eastAsia="Times New Roman" w:hAnsi="Times New Roman" w:cs="Times New Roman"/>
                <w:sz w:val="24"/>
                <w:szCs w:val="24"/>
                <w:lang w:eastAsia="ru-RU"/>
              </w:rPr>
              <w:t xml:space="preserve">. </w:t>
            </w:r>
            <w:r w:rsidRPr="002910E8">
              <w:rPr>
                <w:rFonts w:ascii="Times New Roman" w:eastAsia="Times New Roman" w:hAnsi="Times New Roman" w:cs="Times New Roman"/>
                <w:sz w:val="24"/>
                <w:szCs w:val="24"/>
                <w:lang w:eastAsia="ru-RU"/>
              </w:rPr>
              <w:t>06/2/17979 din 24.10.2024</w:t>
            </w:r>
          </w:p>
        </w:tc>
        <w:tc>
          <w:tcPr>
            <w:tcW w:w="709" w:type="dxa"/>
          </w:tcPr>
          <w:p w:rsidR="00A75A82" w:rsidRPr="007857BA" w:rsidRDefault="00A75A82"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12</w:t>
            </w:r>
          </w:p>
        </w:tc>
        <w:tc>
          <w:tcPr>
            <w:tcW w:w="6095" w:type="dxa"/>
            <w:shd w:val="clear" w:color="auto" w:fill="auto"/>
          </w:tcPr>
          <w:p w:rsidR="00A75A82" w:rsidRPr="005D446C" w:rsidRDefault="00A75A82"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r w:rsidRPr="005D446C">
              <w:rPr>
                <w:rFonts w:ascii="Times New Roman" w:eastAsia="Times New Roman" w:hAnsi="Times New Roman" w:cs="Times New Roman"/>
                <w:sz w:val="24"/>
                <w:szCs w:val="24"/>
                <w:lang w:val="ro-RO" w:eastAsia="ru-RU"/>
              </w:rPr>
              <w:t>IV. Concluzia expertizei</w:t>
            </w:r>
          </w:p>
          <w:p w:rsidR="00A75A82" w:rsidRPr="005D446C" w:rsidRDefault="00A75A82"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5D446C">
              <w:rPr>
                <w:rFonts w:ascii="Times New Roman" w:eastAsia="Times New Roman" w:hAnsi="Times New Roman" w:cs="Times New Roman"/>
                <w:sz w:val="24"/>
                <w:szCs w:val="24"/>
                <w:lang w:val="ro-RO" w:eastAsia="ru-RU"/>
              </w:rPr>
              <w:t>Potrivit notei informative, proiectul are drept scop ajustarea normelor privind:</w:t>
            </w:r>
          </w:p>
          <w:p w:rsidR="00A75A82" w:rsidRPr="005D446C" w:rsidRDefault="00A75A82"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5D446C">
              <w:rPr>
                <w:rFonts w:ascii="Times New Roman" w:eastAsia="Times New Roman" w:hAnsi="Times New Roman" w:cs="Times New Roman"/>
                <w:sz w:val="24"/>
                <w:szCs w:val="24"/>
                <w:lang w:val="ro-RO" w:eastAsia="ru-RU"/>
              </w:rPr>
              <w:t xml:space="preserve">- introducerea și punerea la dispoziție pe piață, punerea în funcțiune a aparatelor de cântărit cu funcționarea neautomată și mijloacelor de măsurare; și </w:t>
            </w:r>
          </w:p>
          <w:p w:rsidR="00A75A82" w:rsidRPr="005D446C" w:rsidRDefault="00A75A82" w:rsidP="00A75A82">
            <w:pPr>
              <w:tabs>
                <w:tab w:val="left" w:pos="993"/>
              </w:tabs>
              <w:spacing w:after="120" w:line="240" w:lineRule="auto"/>
              <w:ind w:right="47"/>
              <w:jc w:val="both"/>
              <w:rPr>
                <w:rFonts w:ascii="Times New Roman" w:eastAsia="Times New Roman" w:hAnsi="Times New Roman" w:cs="Times New Roman"/>
                <w:sz w:val="24"/>
                <w:szCs w:val="24"/>
                <w:lang w:val="ro-RO" w:eastAsia="ru-RU"/>
              </w:rPr>
            </w:pPr>
            <w:r w:rsidRPr="005D446C">
              <w:rPr>
                <w:rFonts w:ascii="Times New Roman" w:eastAsia="Times New Roman" w:hAnsi="Times New Roman" w:cs="Times New Roman"/>
                <w:sz w:val="24"/>
                <w:szCs w:val="24"/>
                <w:lang w:val="ro-RO" w:eastAsia="ru-RU"/>
              </w:rPr>
              <w:t xml:space="preserve">- cerințele privind sticlele utilizate ca recipiente de măsură, preambalarea, în funcţie de masă sau volum, la actele juridice ale UE pertinente. </w:t>
            </w:r>
          </w:p>
          <w:p w:rsidR="00A75A82" w:rsidRDefault="00A75A82" w:rsidP="00A75A82">
            <w:pPr>
              <w:tabs>
                <w:tab w:val="left" w:pos="993"/>
              </w:tabs>
              <w:spacing w:after="120" w:line="240" w:lineRule="auto"/>
              <w:ind w:right="47"/>
              <w:jc w:val="both"/>
              <w:rPr>
                <w:rFonts w:ascii="Times New Roman" w:eastAsia="Times New Roman" w:hAnsi="Times New Roman" w:cs="Times New Roman"/>
                <w:sz w:val="24"/>
                <w:szCs w:val="24"/>
                <w:lang w:val="ro-RO" w:eastAsia="ru-RU"/>
              </w:rPr>
            </w:pPr>
            <w:r w:rsidRPr="005D446C">
              <w:rPr>
                <w:rFonts w:ascii="Times New Roman" w:eastAsia="Times New Roman" w:hAnsi="Times New Roman" w:cs="Times New Roman"/>
                <w:sz w:val="24"/>
                <w:szCs w:val="24"/>
                <w:lang w:val="ro-RO" w:eastAsia="ru-RU"/>
              </w:rPr>
              <w:t>Autorul a prezentat Sinteza avizelor parvenite în cadrul procesului de consultare publică a proiectului de către autoritățile responsabile de</w:t>
            </w:r>
            <w:r>
              <w:rPr>
                <w:rFonts w:ascii="Times New Roman" w:eastAsia="Times New Roman" w:hAnsi="Times New Roman" w:cs="Times New Roman"/>
                <w:sz w:val="24"/>
                <w:szCs w:val="24"/>
                <w:lang w:val="ro-RO" w:eastAsia="ru-RU"/>
              </w:rPr>
              <w:t xml:space="preserve"> implementarea prevederilor conț</w:t>
            </w:r>
            <w:r w:rsidRPr="005D446C">
              <w:rPr>
                <w:rFonts w:ascii="Times New Roman" w:eastAsia="Times New Roman" w:hAnsi="Times New Roman" w:cs="Times New Roman"/>
                <w:sz w:val="24"/>
                <w:szCs w:val="24"/>
                <w:lang w:val="ro-RO" w:eastAsia="ru-RU"/>
              </w:rPr>
              <w:t>inute în proiect/instituţiilor interesate, fapt ce denotă aspectul definitivat al acestuia și întrunirea condițiilor stabilite de prevederile art.36 al Legii nr.100/2017, coroborat art.28 al Legii nr.82/2017 - pentru efect</w:t>
            </w:r>
            <w:r>
              <w:rPr>
                <w:rFonts w:ascii="Times New Roman" w:eastAsia="Times New Roman" w:hAnsi="Times New Roman" w:cs="Times New Roman"/>
                <w:sz w:val="24"/>
                <w:szCs w:val="24"/>
                <w:lang w:val="ro-RO" w:eastAsia="ru-RU"/>
              </w:rPr>
              <w:t xml:space="preserve">uarea expertizei anticorupție. </w:t>
            </w:r>
          </w:p>
          <w:p w:rsidR="00A75A82" w:rsidRPr="005D446C" w:rsidRDefault="00A75A82" w:rsidP="00A75A82">
            <w:pPr>
              <w:tabs>
                <w:tab w:val="left" w:pos="993"/>
              </w:tabs>
              <w:spacing w:after="120" w:line="240" w:lineRule="auto"/>
              <w:ind w:right="47"/>
              <w:jc w:val="both"/>
              <w:rPr>
                <w:rFonts w:ascii="Times New Roman" w:eastAsia="Times New Roman" w:hAnsi="Times New Roman" w:cs="Times New Roman"/>
                <w:sz w:val="24"/>
                <w:szCs w:val="24"/>
                <w:lang w:val="ro-RO" w:eastAsia="ru-RU"/>
              </w:rPr>
            </w:pPr>
            <w:r w:rsidRPr="005D446C">
              <w:rPr>
                <w:rFonts w:ascii="Times New Roman" w:eastAsia="Times New Roman" w:hAnsi="Times New Roman" w:cs="Times New Roman"/>
                <w:sz w:val="24"/>
                <w:szCs w:val="24"/>
                <w:lang w:val="ro-RO" w:eastAsia="ru-RU"/>
              </w:rPr>
              <w:lastRenderedPageBreak/>
              <w:t>În procesul de promovare a proiectului, au fost respectate rigorile de asigurare a transparenţei decizionale statuate de prevederile art.8 lit.</w:t>
            </w:r>
            <w:r>
              <w:rPr>
                <w:rFonts w:ascii="Times New Roman" w:eastAsia="Times New Roman" w:hAnsi="Times New Roman" w:cs="Times New Roman"/>
                <w:sz w:val="24"/>
                <w:szCs w:val="24"/>
                <w:lang w:val="ro-RO" w:eastAsia="ru-RU"/>
              </w:rPr>
              <w:t xml:space="preserve"> </w:t>
            </w:r>
            <w:r w:rsidRPr="005D446C">
              <w:rPr>
                <w:rFonts w:ascii="Times New Roman" w:eastAsia="Times New Roman" w:hAnsi="Times New Roman" w:cs="Times New Roman"/>
                <w:sz w:val="24"/>
                <w:szCs w:val="24"/>
                <w:lang w:val="ro-RO" w:eastAsia="ru-RU"/>
              </w:rPr>
              <w:t>a)-d) al Legii nr. 239-XVI din 13 noiembrie 2008 privind transparen</w:t>
            </w:r>
            <w:r>
              <w:rPr>
                <w:rFonts w:ascii="Times New Roman" w:eastAsia="Times New Roman" w:hAnsi="Times New Roman" w:cs="Times New Roman"/>
                <w:sz w:val="24"/>
                <w:szCs w:val="24"/>
                <w:lang w:val="ro-RO" w:eastAsia="ru-RU"/>
              </w:rPr>
              <w:t>ț</w:t>
            </w:r>
            <w:r w:rsidRPr="005D446C">
              <w:rPr>
                <w:rFonts w:ascii="Times New Roman" w:eastAsia="Times New Roman" w:hAnsi="Times New Roman" w:cs="Times New Roman"/>
                <w:sz w:val="24"/>
                <w:szCs w:val="24"/>
                <w:lang w:val="ro-RO" w:eastAsia="ru-RU"/>
              </w:rPr>
              <w:t>a în procesul decizional. Nota informativă a proiectului a fost întocmită cu întrunirea exigențelor de tehnică legislativă statuate de prevederile art.30 lit.</w:t>
            </w:r>
            <w:r>
              <w:rPr>
                <w:rFonts w:ascii="Times New Roman" w:eastAsia="Times New Roman" w:hAnsi="Times New Roman" w:cs="Times New Roman"/>
                <w:sz w:val="24"/>
                <w:szCs w:val="24"/>
                <w:lang w:val="ro-RO" w:eastAsia="ru-RU"/>
              </w:rPr>
              <w:t xml:space="preserve"> </w:t>
            </w:r>
            <w:r w:rsidRPr="005D446C">
              <w:rPr>
                <w:rFonts w:ascii="Times New Roman" w:eastAsia="Times New Roman" w:hAnsi="Times New Roman" w:cs="Times New Roman"/>
                <w:sz w:val="24"/>
                <w:szCs w:val="24"/>
                <w:lang w:val="ro-RO" w:eastAsia="ru-RU"/>
              </w:rPr>
              <w:t xml:space="preserve">a)-f) al Legii cu privire la actele normative nr.100 din 22 decembrie 2017. </w:t>
            </w:r>
          </w:p>
          <w:p w:rsidR="00A75A82" w:rsidRDefault="00A75A82" w:rsidP="00A75A82">
            <w:pPr>
              <w:tabs>
                <w:tab w:val="left" w:pos="993"/>
              </w:tabs>
              <w:spacing w:before="120" w:after="0" w:line="240" w:lineRule="auto"/>
              <w:ind w:right="47"/>
              <w:jc w:val="both"/>
              <w:rPr>
                <w:rFonts w:ascii="Times New Roman" w:eastAsia="Times New Roman" w:hAnsi="Times New Roman" w:cs="Times New Roman"/>
                <w:sz w:val="24"/>
                <w:szCs w:val="24"/>
                <w:lang w:val="ro-RO" w:eastAsia="ru-RU"/>
              </w:rPr>
            </w:pPr>
            <w:r w:rsidRPr="005D446C">
              <w:rPr>
                <w:rFonts w:ascii="Times New Roman" w:eastAsia="Times New Roman" w:hAnsi="Times New Roman" w:cs="Times New Roman"/>
                <w:sz w:val="24"/>
                <w:szCs w:val="24"/>
                <w:lang w:val="ro-RO" w:eastAsia="ru-RU"/>
              </w:rPr>
              <w:t>Revizuirea noțiunilor vizate de Hotărârea Guvernului nr.267/2014, Hotărârea Guvernului nr. 408/2015, necesită o reconsiderare prin prisma exigențelor de tehnică legislativă vizate de art.3 alin. (1) lit.</w:t>
            </w:r>
            <w:r>
              <w:rPr>
                <w:rFonts w:ascii="Times New Roman" w:eastAsia="Times New Roman" w:hAnsi="Times New Roman" w:cs="Times New Roman"/>
                <w:sz w:val="24"/>
                <w:szCs w:val="24"/>
                <w:lang w:val="ro-RO" w:eastAsia="ru-RU"/>
              </w:rPr>
              <w:t xml:space="preserve"> </w:t>
            </w:r>
            <w:r w:rsidRPr="005D446C">
              <w:rPr>
                <w:rFonts w:ascii="Times New Roman" w:eastAsia="Times New Roman" w:hAnsi="Times New Roman" w:cs="Times New Roman"/>
                <w:sz w:val="24"/>
                <w:szCs w:val="24"/>
                <w:lang w:val="ro-RO" w:eastAsia="ru-RU"/>
              </w:rPr>
              <w:t xml:space="preserve">d), alin.(4) al Legii nr.100/2017. </w:t>
            </w:r>
          </w:p>
          <w:p w:rsidR="00A75A82" w:rsidRPr="007857BA" w:rsidRDefault="00A75A82" w:rsidP="00A75A82">
            <w:pPr>
              <w:tabs>
                <w:tab w:val="left" w:pos="993"/>
              </w:tabs>
              <w:spacing w:before="120" w:after="0" w:line="240" w:lineRule="auto"/>
              <w:ind w:right="47"/>
              <w:jc w:val="both"/>
              <w:rPr>
                <w:rFonts w:ascii="Times New Roman" w:eastAsia="Times New Roman" w:hAnsi="Times New Roman" w:cs="Times New Roman"/>
                <w:sz w:val="24"/>
                <w:szCs w:val="24"/>
                <w:lang w:val="ro-RO" w:eastAsia="ru-RU"/>
              </w:rPr>
            </w:pPr>
            <w:r w:rsidRPr="005D446C">
              <w:rPr>
                <w:rFonts w:ascii="Times New Roman" w:eastAsia="Times New Roman" w:hAnsi="Times New Roman" w:cs="Times New Roman"/>
                <w:sz w:val="24"/>
                <w:szCs w:val="24"/>
                <w:lang w:val="ro-RO" w:eastAsia="ru-RU"/>
              </w:rPr>
              <w:t>Implementarea prevederilor propuse, poate contribui la realizarea interesului public vizat de proiect, fapt care nu este detrimentul interesului public general (în sensul prevăzut</w:t>
            </w:r>
            <w:r>
              <w:rPr>
                <w:rFonts w:ascii="Times New Roman" w:eastAsia="Times New Roman" w:hAnsi="Times New Roman" w:cs="Times New Roman"/>
                <w:sz w:val="24"/>
                <w:szCs w:val="24"/>
                <w:lang w:val="ro-RO" w:eastAsia="ru-RU"/>
              </w:rPr>
              <w:t xml:space="preserve"> de prevederile Legii integrităț</w:t>
            </w:r>
            <w:r w:rsidRPr="005D446C">
              <w:rPr>
                <w:rFonts w:ascii="Times New Roman" w:eastAsia="Times New Roman" w:hAnsi="Times New Roman" w:cs="Times New Roman"/>
                <w:sz w:val="24"/>
                <w:szCs w:val="24"/>
                <w:lang w:val="ro-RO" w:eastAsia="ru-RU"/>
              </w:rPr>
              <w:t>ii nr.82 din 25 mai 2017), în condițiile respectării recomandărilor vizate de compartimentul III al prezentului raport de expertiză anticorupție.</w:t>
            </w:r>
          </w:p>
        </w:tc>
        <w:tc>
          <w:tcPr>
            <w:tcW w:w="5954" w:type="dxa"/>
            <w:shd w:val="clear" w:color="auto" w:fill="auto"/>
          </w:tcPr>
          <w:p w:rsidR="00A75A82" w:rsidRDefault="00A75A82" w:rsidP="00A75A82">
            <w:pPr>
              <w:spacing w:after="120" w:line="240" w:lineRule="auto"/>
              <w:ind w:right="63"/>
              <w:jc w:val="both"/>
              <w:rPr>
                <w:rFonts w:ascii="Times New Roman" w:eastAsia="Calibri" w:hAnsi="Times New Roman" w:cs="Times New Roman"/>
                <w:sz w:val="24"/>
                <w:szCs w:val="24"/>
                <w:lang w:val="ro-MD"/>
              </w:rPr>
            </w:pPr>
            <w:r w:rsidRPr="00821F8D">
              <w:rPr>
                <w:rFonts w:ascii="Times New Roman" w:eastAsia="Calibri" w:hAnsi="Times New Roman" w:cs="Times New Roman"/>
                <w:sz w:val="24"/>
                <w:szCs w:val="24"/>
                <w:lang w:val="ro-MD"/>
              </w:rPr>
              <w:lastRenderedPageBreak/>
              <w:t xml:space="preserve">Proiectul de hotărâre de Guvern asigură transpunerea completă a </w:t>
            </w:r>
            <w:r>
              <w:rPr>
                <w:rFonts w:ascii="Times New Roman" w:eastAsia="Calibri" w:hAnsi="Times New Roman" w:cs="Times New Roman"/>
                <w:sz w:val="24"/>
                <w:szCs w:val="24"/>
                <w:lang w:val="ro-MD"/>
              </w:rPr>
              <w:t>unor directive</w:t>
            </w:r>
            <w:r w:rsidRPr="00821F8D">
              <w:rPr>
                <w:rFonts w:ascii="Times New Roman" w:eastAsia="Calibri" w:hAnsi="Times New Roman" w:cs="Times New Roman"/>
                <w:sz w:val="24"/>
                <w:szCs w:val="24"/>
                <w:lang w:val="ro-MD"/>
              </w:rPr>
              <w:t xml:space="preserve"> UE</w:t>
            </w:r>
            <w:r>
              <w:rPr>
                <w:rFonts w:ascii="Times New Roman" w:eastAsia="Calibri" w:hAnsi="Times New Roman" w:cs="Times New Roman"/>
                <w:sz w:val="24"/>
                <w:szCs w:val="24"/>
                <w:lang w:val="ro-MD"/>
              </w:rPr>
              <w:t xml:space="preserve"> din domeniul metrologiei</w:t>
            </w:r>
            <w:r w:rsidRPr="00821F8D">
              <w:rPr>
                <w:rFonts w:ascii="Times New Roman" w:eastAsia="Calibri" w:hAnsi="Times New Roman" w:cs="Times New Roman"/>
                <w:sz w:val="24"/>
                <w:szCs w:val="24"/>
                <w:lang w:val="ro-MD"/>
              </w:rPr>
              <w:t xml:space="preserve">. </w:t>
            </w:r>
            <w:r w:rsidRPr="00415B2D">
              <w:rPr>
                <w:rFonts w:ascii="Times New Roman" w:eastAsia="Calibri" w:hAnsi="Times New Roman" w:cs="Times New Roman"/>
                <w:sz w:val="24"/>
                <w:szCs w:val="24"/>
                <w:lang w:val="ro-MD"/>
              </w:rPr>
              <w:t xml:space="preserve">Prevederile tehnice, </w:t>
            </w:r>
            <w:r w:rsidRPr="00415B2D">
              <w:rPr>
                <w:rFonts w:ascii="Times New Roman" w:eastAsia="Calibri" w:hAnsi="Times New Roman" w:cs="Times New Roman"/>
                <w:b/>
                <w:sz w:val="24"/>
                <w:szCs w:val="24"/>
                <w:lang w:val="ro-MD"/>
              </w:rPr>
              <w:t>definițiile</w:t>
            </w:r>
            <w:r w:rsidRPr="00415B2D">
              <w:rPr>
                <w:rFonts w:ascii="Times New Roman" w:eastAsia="Calibri" w:hAnsi="Times New Roman" w:cs="Times New Roman"/>
                <w:sz w:val="24"/>
                <w:szCs w:val="24"/>
                <w:lang w:val="ro-MD"/>
              </w:rPr>
              <w:t xml:space="preserve">, limitări și excepțiile se transpun prin copiere </w:t>
            </w:r>
            <w:r w:rsidRPr="00821F8D">
              <w:rPr>
                <w:rFonts w:ascii="Times New Roman" w:eastAsia="Calibri" w:hAnsi="Times New Roman" w:cs="Times New Roman"/>
                <w:sz w:val="24"/>
                <w:szCs w:val="24"/>
                <w:lang w:val="ro-MD"/>
              </w:rPr>
              <w:t xml:space="preserve">Astfel, fiind stabilit gradul de compatibilitate – compatibil, se prezumă, că prevederile proiectului actului normativ naţional transpun în totalitate prevederile actului Uniunii Europene şi </w:t>
            </w:r>
            <w:r>
              <w:rPr>
                <w:rFonts w:ascii="Times New Roman" w:eastAsia="Calibri" w:hAnsi="Times New Roman" w:cs="Times New Roman"/>
                <w:sz w:val="24"/>
                <w:szCs w:val="24"/>
                <w:lang w:val="ro-MD"/>
              </w:rPr>
              <w:t xml:space="preserve">care </w:t>
            </w:r>
            <w:r w:rsidRPr="00821F8D">
              <w:rPr>
                <w:rFonts w:ascii="Times New Roman" w:eastAsia="Calibri" w:hAnsi="Times New Roman" w:cs="Times New Roman"/>
                <w:sz w:val="24"/>
                <w:szCs w:val="24"/>
                <w:lang w:val="ro-MD"/>
              </w:rPr>
              <w:t>sunt conforme cu scopul şi principiile actului Uniunii Europene</w:t>
            </w:r>
            <w:r>
              <w:rPr>
                <w:rFonts w:ascii="Times New Roman" w:eastAsia="Calibri" w:hAnsi="Times New Roman" w:cs="Times New Roman"/>
                <w:sz w:val="24"/>
                <w:szCs w:val="24"/>
                <w:lang w:val="ro-MD"/>
              </w:rPr>
              <w:t xml:space="preserve">. </w:t>
            </w:r>
          </w:p>
          <w:p w:rsidR="00A75A82" w:rsidRDefault="00A75A82" w:rsidP="00A75A82">
            <w:pPr>
              <w:spacing w:after="120" w:line="240" w:lineRule="auto"/>
              <w:ind w:right="63"/>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 xml:space="preserve">Prin urmare, se  respectă prevederile Hotărârii Guvernului nr. 1171/2018 </w:t>
            </w:r>
            <w:r w:rsidRPr="00821F8D">
              <w:rPr>
                <w:rFonts w:ascii="Times New Roman" w:eastAsia="Calibri" w:hAnsi="Times New Roman" w:cs="Times New Roman"/>
                <w:sz w:val="24"/>
                <w:szCs w:val="24"/>
                <w:lang w:val="ro-MD"/>
              </w:rPr>
              <w:t>pentru aprobarea Regulamentului privind armonizarea legislaţiei</w:t>
            </w:r>
            <w:r>
              <w:rPr>
                <w:rFonts w:ascii="Times New Roman" w:eastAsia="Calibri" w:hAnsi="Times New Roman" w:cs="Times New Roman"/>
                <w:sz w:val="24"/>
                <w:szCs w:val="24"/>
                <w:lang w:val="ro-MD"/>
              </w:rPr>
              <w:t xml:space="preserve"> </w:t>
            </w:r>
            <w:r w:rsidRPr="00821F8D">
              <w:rPr>
                <w:rFonts w:ascii="Times New Roman" w:eastAsia="Calibri" w:hAnsi="Times New Roman" w:cs="Times New Roman"/>
                <w:sz w:val="24"/>
                <w:szCs w:val="24"/>
                <w:lang w:val="ro-MD"/>
              </w:rPr>
              <w:t>Republicii Moldova cu legislaţia Uniunii Europene</w:t>
            </w:r>
            <w:r>
              <w:rPr>
                <w:rFonts w:ascii="Times New Roman" w:eastAsia="Calibri" w:hAnsi="Times New Roman" w:cs="Times New Roman"/>
                <w:sz w:val="24"/>
                <w:szCs w:val="24"/>
                <w:lang w:val="ro-MD"/>
              </w:rPr>
              <w:t>, cu modificările ulterioare.</w:t>
            </w:r>
          </w:p>
          <w:p w:rsidR="00A75A82" w:rsidRDefault="00A75A82" w:rsidP="00A75A82">
            <w:pPr>
              <w:spacing w:after="0" w:line="240" w:lineRule="auto"/>
              <w:ind w:right="63"/>
              <w:jc w:val="both"/>
              <w:rPr>
                <w:rFonts w:ascii="Times New Roman" w:eastAsia="Calibri" w:hAnsi="Times New Roman" w:cs="Times New Roman"/>
                <w:sz w:val="24"/>
                <w:szCs w:val="24"/>
                <w:lang w:val="ro-RO"/>
              </w:rPr>
            </w:pPr>
            <w:r w:rsidRPr="00821F8D">
              <w:rPr>
                <w:rFonts w:ascii="Times New Roman" w:eastAsia="Calibri" w:hAnsi="Times New Roman" w:cs="Times New Roman"/>
                <w:sz w:val="24"/>
                <w:szCs w:val="24"/>
                <w:lang w:val="ro-RO"/>
              </w:rPr>
              <w:t>Alăturat, Legea nr.235/2011</w:t>
            </w:r>
            <w:r>
              <w:rPr>
                <w:rFonts w:ascii="Times New Roman" w:eastAsia="Calibri" w:hAnsi="Times New Roman" w:cs="Times New Roman"/>
                <w:sz w:val="24"/>
                <w:szCs w:val="24"/>
                <w:lang w:val="ro-RO"/>
              </w:rPr>
              <w:t xml:space="preserve"> </w:t>
            </w:r>
            <w:r w:rsidRPr="00821F8D">
              <w:rPr>
                <w:rFonts w:ascii="Times New Roman" w:eastAsia="Calibri" w:hAnsi="Times New Roman" w:cs="Times New Roman"/>
                <w:sz w:val="24"/>
                <w:szCs w:val="24"/>
                <w:lang w:val="ro-RO"/>
              </w:rPr>
              <w:t xml:space="preserve">privind activitățile de acreditare și de evaluarea a conformității transpune Regulamentul (CE) nr.765/2008 al Parlamentului European şi al Consiliului din 9 iulie 2008 de stabilire a cerinţelor de acreditare şi de supraveghere a pieţei în ceea ce priveşte </w:t>
            </w:r>
            <w:r w:rsidRPr="00821F8D">
              <w:rPr>
                <w:rFonts w:ascii="Times New Roman" w:eastAsia="Calibri" w:hAnsi="Times New Roman" w:cs="Times New Roman"/>
                <w:sz w:val="24"/>
                <w:szCs w:val="24"/>
                <w:lang w:val="ro-RO"/>
              </w:rPr>
              <w:lastRenderedPageBreak/>
              <w:t>comercializarea produselor şi de abrogare a Regulamentului (CEE) nr.339/93 și Decizia nr.768/2008/CE a Parlamentului European şi a Consiliului din 9 iulie 2008 privind un cadru comun pentru comercializarea produselor şi de abrogare a Deciziei 93/465/CEE a Consiliului</w:t>
            </w:r>
            <w:r>
              <w:rPr>
                <w:rFonts w:ascii="Times New Roman" w:eastAsia="Calibri" w:hAnsi="Times New Roman" w:cs="Times New Roman"/>
                <w:sz w:val="24"/>
                <w:szCs w:val="24"/>
                <w:lang w:val="ro-RO"/>
              </w:rPr>
              <w:t>. Definițiile stabilite în Legea nr.235/2011 sunt identice definițiilor din regulamentul și decizia  UE menționate supra.</w:t>
            </w:r>
          </w:p>
          <w:p w:rsidR="00A75A82" w:rsidRDefault="00A75A82" w:rsidP="00A75A82">
            <w:pPr>
              <w:spacing w:before="120" w:after="0" w:line="240" w:lineRule="auto"/>
              <w:ind w:right="63"/>
              <w:jc w:val="both"/>
              <w:rPr>
                <w:rFonts w:ascii="Times New Roman" w:eastAsia="Calibri" w:hAnsi="Times New Roman" w:cs="Times New Roman"/>
                <w:sz w:val="24"/>
                <w:szCs w:val="24"/>
                <w:lang w:val="ro-RO"/>
              </w:rPr>
            </w:pPr>
          </w:p>
          <w:p w:rsidR="00A75A82" w:rsidRPr="00821F8D" w:rsidRDefault="0011617E" w:rsidP="00A75A82">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Obiecția a fost pusă în discuție în cadrul ședinței interinstituționale din 04.12.2024. Proces Verbal al ședinței se anexează.</w:t>
            </w:r>
          </w:p>
        </w:tc>
      </w:tr>
      <w:tr w:rsidR="00ED30FA" w:rsidRPr="002F6325" w:rsidTr="000762F6">
        <w:tc>
          <w:tcPr>
            <w:tcW w:w="2694" w:type="dxa"/>
            <w:vMerge w:val="restart"/>
            <w:shd w:val="clear" w:color="auto" w:fill="auto"/>
          </w:tcPr>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Ministerul Justiției</w:t>
            </w:r>
          </w:p>
          <w:p w:rsidR="00ED30FA" w:rsidRDefault="00ED30FA" w:rsidP="00A75A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nr.</w:t>
            </w:r>
            <w:r w:rsidRPr="00DA447E">
              <w:rPr>
                <w:rFonts w:ascii="Times New Roman" w:eastAsia="Times New Roman" w:hAnsi="Times New Roman" w:cs="Times New Roman"/>
                <w:sz w:val="24"/>
                <w:szCs w:val="24"/>
                <w:lang w:eastAsia="ru-RU"/>
              </w:rPr>
              <w:t>04/2-9465</w:t>
            </w:r>
            <w:r>
              <w:rPr>
                <w:rFonts w:ascii="Times New Roman" w:eastAsia="Times New Roman" w:hAnsi="Times New Roman" w:cs="Times New Roman"/>
                <w:sz w:val="24"/>
                <w:szCs w:val="24"/>
                <w:lang w:eastAsia="ru-RU"/>
              </w:rPr>
              <w:t xml:space="preserve"> din 24.10.2024</w:t>
            </w: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tc>
        <w:tc>
          <w:tcPr>
            <w:tcW w:w="709" w:type="dxa"/>
            <w:vMerge w:val="restart"/>
          </w:tcPr>
          <w:p w:rsidR="00ED30FA" w:rsidRDefault="00ED30FA"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13</w:t>
            </w:r>
          </w:p>
        </w:tc>
        <w:tc>
          <w:tcPr>
            <w:tcW w:w="6095" w:type="dxa"/>
            <w:shd w:val="clear" w:color="auto" w:fill="auto"/>
          </w:tcPr>
          <w:p w:rsidR="00ED30FA" w:rsidRDefault="00ED30FA"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Urmare examinării proiectului de hotărâre a Guvernului cu privire la modificarea unor hotărâri ale Guvernului</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în domeniul metrologiei</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 xml:space="preserve">(număr unic 811/MDED/2024), comunicăm următoarele. </w:t>
            </w:r>
          </w:p>
          <w:p w:rsidR="00ED30FA" w:rsidRDefault="00ED30FA"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Sub aspectul intenț</w:t>
            </w:r>
            <w:r w:rsidRPr="008F700F">
              <w:rPr>
                <w:rFonts w:ascii="Times New Roman" w:eastAsia="Times New Roman" w:hAnsi="Times New Roman" w:cs="Times New Roman"/>
                <w:sz w:val="24"/>
                <w:szCs w:val="24"/>
                <w:lang w:val="ro-RO" w:eastAsia="ru-RU"/>
              </w:rPr>
              <w:t>iei de reglementare, potrivit notei de fundamentare, proiectul de act</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normativ</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este elaborat întru implementarea art.173 capitolul 3 titlul V Comerțul și aspectele legate de comerț din Acordul de Asociere între Republica Moldova, pe de o parte, și Uniunea Europeană și Comunitatea Europeană a Energiei Atomice și statele membre ale acestora, pe de altă parte, ratificat prin Legea nr.112/2014. Potrivit obiectivelor urmărite, proiectul are drept scop ajustarea normelor privind:</w:t>
            </w:r>
            <w:r>
              <w:rPr>
                <w:rFonts w:ascii="Times New Roman" w:eastAsia="Times New Roman" w:hAnsi="Times New Roman" w:cs="Times New Roman"/>
                <w:sz w:val="24"/>
                <w:szCs w:val="24"/>
                <w:lang w:val="ro-RO" w:eastAsia="ru-RU"/>
              </w:rPr>
              <w:t xml:space="preserve"> </w:t>
            </w:r>
          </w:p>
          <w:p w:rsidR="00ED30FA" w:rsidRDefault="00ED30FA"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 xml:space="preserve">- </w:t>
            </w:r>
            <w:r w:rsidRPr="008F700F">
              <w:rPr>
                <w:rFonts w:ascii="Times New Roman" w:eastAsia="Times New Roman" w:hAnsi="Times New Roman" w:cs="Times New Roman"/>
                <w:sz w:val="24"/>
                <w:szCs w:val="24"/>
                <w:lang w:val="ro-RO" w:eastAsia="ru-RU"/>
              </w:rPr>
              <w:t>introducerea și punerea la dispoziție pe piață, punerea în funcțiune a aparatelor de cântărit cu funcționarea neautomată și mijloacelor de măsurare;</w:t>
            </w:r>
          </w:p>
          <w:p w:rsidR="00ED30FA" w:rsidRDefault="00ED30FA"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 xml:space="preserve"> - cerințele privind sticlele utilizate ca recipiente de măsură, preambalarea, în funcţie de masă sau volum, a anumitor preambalate, aprobarea unităților</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de</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 xml:space="preserve">măsură legale, acoperite de Reglementările tehnice prenotate, la actele juridice ale UE pertinente. </w:t>
            </w:r>
          </w:p>
          <w:p w:rsidR="00ED30FA" w:rsidRDefault="00ED30FA" w:rsidP="00A75A82">
            <w:pPr>
              <w:tabs>
                <w:tab w:val="left" w:pos="993"/>
              </w:tabs>
              <w:spacing w:before="120" w:after="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Raționamentele autorului proiectului reflectate în nota de fundamentare definesc cu claritate condiţiile ce au impus elaborarea proiectul</w:t>
            </w:r>
            <w:r>
              <w:rPr>
                <w:rFonts w:ascii="Times New Roman" w:eastAsia="Times New Roman" w:hAnsi="Times New Roman" w:cs="Times New Roman"/>
                <w:sz w:val="24"/>
                <w:szCs w:val="24"/>
                <w:lang w:val="ro-RO" w:eastAsia="ru-RU"/>
              </w:rPr>
              <w:t>ui actului normativ şi finalităț</w:t>
            </w:r>
            <w:r w:rsidRPr="008F700F">
              <w:rPr>
                <w:rFonts w:ascii="Times New Roman" w:eastAsia="Times New Roman" w:hAnsi="Times New Roman" w:cs="Times New Roman"/>
                <w:sz w:val="24"/>
                <w:szCs w:val="24"/>
                <w:lang w:val="ro-RO" w:eastAsia="ru-RU"/>
              </w:rPr>
              <w:t xml:space="preserve">ile urmărite pe termen. </w:t>
            </w:r>
          </w:p>
          <w:p w:rsidR="00ED30FA" w:rsidRDefault="00ED30FA" w:rsidP="00A75A82">
            <w:pPr>
              <w:tabs>
                <w:tab w:val="left" w:pos="993"/>
              </w:tabs>
              <w:spacing w:before="120" w:after="120" w:line="240" w:lineRule="auto"/>
              <w:ind w:right="4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Pe plan redacț</w:t>
            </w:r>
            <w:r w:rsidRPr="008F700F">
              <w:rPr>
                <w:rFonts w:ascii="Times New Roman" w:eastAsia="Times New Roman" w:hAnsi="Times New Roman" w:cs="Times New Roman"/>
                <w:sz w:val="24"/>
                <w:szCs w:val="24"/>
                <w:lang w:val="ro-RO" w:eastAsia="ru-RU"/>
              </w:rPr>
              <w:t>ional, în raport cu normele de tehnică legislativă prin prisma Legii nr. 100/2017 cu privire la actele norma</w:t>
            </w:r>
            <w:r>
              <w:rPr>
                <w:rFonts w:ascii="Times New Roman" w:eastAsia="Times New Roman" w:hAnsi="Times New Roman" w:cs="Times New Roman"/>
                <w:sz w:val="24"/>
                <w:szCs w:val="24"/>
                <w:lang w:val="ro-RO" w:eastAsia="ru-RU"/>
              </w:rPr>
              <w:t>tive, expunem următoarele obiecț</w:t>
            </w:r>
            <w:r w:rsidRPr="008F700F">
              <w:rPr>
                <w:rFonts w:ascii="Times New Roman" w:eastAsia="Times New Roman" w:hAnsi="Times New Roman" w:cs="Times New Roman"/>
                <w:sz w:val="24"/>
                <w:szCs w:val="24"/>
                <w:lang w:val="ro-RO" w:eastAsia="ru-RU"/>
              </w:rPr>
              <w:t>ii</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 xml:space="preserve">şi recomandări. </w:t>
            </w:r>
          </w:p>
          <w:p w:rsidR="00ED30FA" w:rsidRDefault="00ED30FA"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La proiectul hotărârii:</w:t>
            </w:r>
          </w:p>
          <w:p w:rsidR="00ED30FA" w:rsidRDefault="00ED30FA" w:rsidP="00ED30FA">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 xml:space="preserve">În clauza de adoptare se va indica doar temeiul juridic concret pentru emiterea prezentului act normativ, referințele la alte norme ale actelor normative care nu constituie temei juridic de adoptare a actului normativ elaborat (nu constituie temei juridic pentru obiectul de reglementare al proiectului) , nu se vor indica în clauza de adoptare. </w:t>
            </w:r>
          </w:p>
          <w:p w:rsidR="00ED30FA" w:rsidRPr="008F700F" w:rsidRDefault="00ED30FA" w:rsidP="00ED30FA">
            <w:pPr>
              <w:tabs>
                <w:tab w:val="left" w:pos="993"/>
              </w:tabs>
              <w:spacing w:after="0" w:line="240" w:lineRule="auto"/>
              <w:ind w:right="47"/>
              <w:jc w:val="both"/>
              <w:rPr>
                <w:rFonts w:ascii="Times New Roman" w:eastAsia="Times New Roman" w:hAnsi="Times New Roman" w:cs="Times New Roman"/>
                <w:sz w:val="24"/>
                <w:szCs w:val="24"/>
                <w:lang w:val="ro-RO" w:eastAsia="ru-RU"/>
              </w:rPr>
            </w:pPr>
          </w:p>
        </w:tc>
        <w:tc>
          <w:tcPr>
            <w:tcW w:w="5954" w:type="dxa"/>
            <w:shd w:val="clear" w:color="auto" w:fill="auto"/>
          </w:tcPr>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p w:rsidR="00ED30FA" w:rsidRDefault="00ED30FA" w:rsidP="00A75A82">
            <w:pPr>
              <w:spacing w:after="360" w:line="240" w:lineRule="auto"/>
              <w:ind w:right="63"/>
              <w:jc w:val="both"/>
              <w:rPr>
                <w:rFonts w:ascii="Times New Roman" w:eastAsia="Calibri" w:hAnsi="Times New Roman" w:cs="Times New Roman"/>
                <w:sz w:val="24"/>
                <w:szCs w:val="24"/>
                <w:lang w:val="ro-MD"/>
              </w:rPr>
            </w:pPr>
          </w:p>
          <w:p w:rsidR="00ED30FA" w:rsidRPr="00821F8D" w:rsidRDefault="00ED30FA" w:rsidP="00ED30FA">
            <w:pPr>
              <w:spacing w:after="240" w:line="240" w:lineRule="auto"/>
              <w:ind w:right="63"/>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se acceptă</w:t>
            </w:r>
          </w:p>
        </w:tc>
      </w:tr>
      <w:tr w:rsidR="00ED30FA" w:rsidRPr="002F6325" w:rsidTr="000762F6">
        <w:tc>
          <w:tcPr>
            <w:tcW w:w="2694" w:type="dxa"/>
            <w:vMerge/>
            <w:shd w:val="clear" w:color="auto" w:fill="auto"/>
          </w:tcPr>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tc>
        <w:tc>
          <w:tcPr>
            <w:tcW w:w="709" w:type="dxa"/>
            <w:vMerge/>
          </w:tcPr>
          <w:p w:rsidR="00ED30FA" w:rsidRDefault="00ED30FA"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p>
        </w:tc>
        <w:tc>
          <w:tcPr>
            <w:tcW w:w="6095" w:type="dxa"/>
            <w:shd w:val="clear" w:color="auto" w:fill="auto"/>
          </w:tcPr>
          <w:p w:rsidR="00ED30FA" w:rsidRPr="008F700F" w:rsidRDefault="00ED30FA" w:rsidP="00ED30FA">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La pct.2</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atenționăm că, regula generală privind intrarea în vigoare a actelor normative, statuată în art. 56 alin. (1) din Legea nr. 100/2017 cu privire la actele normative, prevede că actele normative intră în vigoare peste o lună de la data publicării în Monitorul Oficial al Republicii Moldova. Totodată, alin. (3) al acestui articol dispune că „Intrarea în vigoare a actelor normative poate fi stabilită pentru o altă da</w:t>
            </w:r>
            <w:r>
              <w:rPr>
                <w:rFonts w:ascii="Times New Roman" w:eastAsia="Times New Roman" w:hAnsi="Times New Roman" w:cs="Times New Roman"/>
                <w:sz w:val="24"/>
                <w:szCs w:val="24"/>
                <w:lang w:val="ro-RO" w:eastAsia="ru-RU"/>
              </w:rPr>
              <w:t>tă doar în cazul în care se urmăreș</w:t>
            </w:r>
            <w:r w:rsidRPr="008F700F">
              <w:rPr>
                <w:rFonts w:ascii="Times New Roman" w:eastAsia="Times New Roman" w:hAnsi="Times New Roman" w:cs="Times New Roman"/>
                <w:sz w:val="24"/>
                <w:szCs w:val="24"/>
                <w:lang w:val="ro-RO" w:eastAsia="ru-RU"/>
              </w:rPr>
              <w:t>te</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protecţia drepturilor şi</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lastRenderedPageBreak/>
              <w:t>libertăț</w:t>
            </w:r>
            <w:r w:rsidRPr="008F700F">
              <w:rPr>
                <w:rFonts w:ascii="Times New Roman" w:eastAsia="Times New Roman" w:hAnsi="Times New Roman" w:cs="Times New Roman"/>
                <w:sz w:val="24"/>
                <w:szCs w:val="24"/>
                <w:lang w:val="ro-RO" w:eastAsia="ru-RU"/>
              </w:rPr>
              <w:t>ilor fundamentale ale omului, realizarea angajamentelor internaţionale ale Republicii Moldova, conformarea ca</w:t>
            </w:r>
            <w:r>
              <w:rPr>
                <w:rFonts w:ascii="Times New Roman" w:eastAsia="Times New Roman" w:hAnsi="Times New Roman" w:cs="Times New Roman"/>
                <w:sz w:val="24"/>
                <w:szCs w:val="24"/>
                <w:lang w:val="ro-RO" w:eastAsia="ru-RU"/>
              </w:rPr>
              <w:t>drului normativ hotărârilor Curț</w:t>
            </w:r>
            <w:r w:rsidRPr="008F700F">
              <w:rPr>
                <w:rFonts w:ascii="Times New Roman" w:eastAsia="Times New Roman" w:hAnsi="Times New Roman" w:cs="Times New Roman"/>
                <w:sz w:val="24"/>
                <w:szCs w:val="24"/>
                <w:lang w:val="ro-RO" w:eastAsia="ru-RU"/>
              </w:rPr>
              <w:t>ii</w:t>
            </w:r>
            <w:r>
              <w:rPr>
                <w:rFonts w:ascii="Times New Roman" w:eastAsia="Times New Roman" w:hAnsi="Times New Roman" w:cs="Times New Roman"/>
                <w:sz w:val="24"/>
                <w:szCs w:val="24"/>
                <w:lang w:val="ro-RO" w:eastAsia="ru-RU"/>
              </w:rPr>
              <w:t xml:space="preserve"> Constituț</w:t>
            </w:r>
            <w:r w:rsidRPr="008F700F">
              <w:rPr>
                <w:rFonts w:ascii="Times New Roman" w:eastAsia="Times New Roman" w:hAnsi="Times New Roman" w:cs="Times New Roman"/>
                <w:sz w:val="24"/>
                <w:szCs w:val="24"/>
                <w:lang w:val="ro-RO" w:eastAsia="ru-RU"/>
              </w:rPr>
              <w:t>ionale,</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eliminarea unor lacu</w:t>
            </w:r>
            <w:r>
              <w:rPr>
                <w:rFonts w:ascii="Times New Roman" w:eastAsia="Times New Roman" w:hAnsi="Times New Roman" w:cs="Times New Roman"/>
                <w:sz w:val="24"/>
                <w:szCs w:val="24"/>
                <w:lang w:val="ro-RO" w:eastAsia="ru-RU"/>
              </w:rPr>
              <w:t>ne din legislație sau contradicț</w:t>
            </w:r>
            <w:r w:rsidRPr="008F700F">
              <w:rPr>
                <w:rFonts w:ascii="Times New Roman" w:eastAsia="Times New Roman" w:hAnsi="Times New Roman" w:cs="Times New Roman"/>
                <w:sz w:val="24"/>
                <w:szCs w:val="24"/>
                <w:lang w:val="ro-RO" w:eastAsia="ru-RU"/>
              </w:rPr>
              <w:t xml:space="preserve">ii între actele normative </w:t>
            </w:r>
            <w:r>
              <w:rPr>
                <w:rFonts w:ascii="Times New Roman" w:eastAsia="Times New Roman" w:hAnsi="Times New Roman" w:cs="Times New Roman"/>
                <w:sz w:val="24"/>
                <w:szCs w:val="24"/>
                <w:lang w:val="ro-RO" w:eastAsia="ru-RU"/>
              </w:rPr>
              <w:t>ori dacă există alte circumstanț</w:t>
            </w:r>
            <w:r w:rsidRPr="008F700F">
              <w:rPr>
                <w:rFonts w:ascii="Times New Roman" w:eastAsia="Times New Roman" w:hAnsi="Times New Roman" w:cs="Times New Roman"/>
                <w:sz w:val="24"/>
                <w:szCs w:val="24"/>
                <w:lang w:val="ro-RO" w:eastAsia="ru-RU"/>
              </w:rPr>
              <w:t xml:space="preserve">e obiective.”. Astfel, intrarea în vigoare a actului normativ la data publicării trebuie să fie argumentată în nota informativă. </w:t>
            </w:r>
          </w:p>
        </w:tc>
        <w:tc>
          <w:tcPr>
            <w:tcW w:w="5954" w:type="dxa"/>
            <w:shd w:val="clear" w:color="auto" w:fill="auto"/>
          </w:tcPr>
          <w:p w:rsidR="00ED30FA" w:rsidRDefault="00ED30FA" w:rsidP="00ED30FA">
            <w:pPr>
              <w:spacing w:after="0" w:line="240" w:lineRule="auto"/>
              <w:ind w:right="63"/>
              <w:jc w:val="center"/>
              <w:rPr>
                <w:rFonts w:ascii="Times New Roman" w:eastAsia="Calibri" w:hAnsi="Times New Roman" w:cs="Times New Roman"/>
                <w:sz w:val="24"/>
                <w:szCs w:val="24"/>
                <w:lang w:val="ro-MD"/>
              </w:rPr>
            </w:pPr>
            <w:r w:rsidRPr="00A549C2">
              <w:rPr>
                <w:rFonts w:ascii="Times New Roman" w:eastAsia="Calibri" w:hAnsi="Times New Roman" w:cs="Times New Roman"/>
                <w:sz w:val="24"/>
                <w:szCs w:val="24"/>
                <w:lang w:val="ro-MD"/>
              </w:rPr>
              <w:lastRenderedPageBreak/>
              <w:t>se acceptă</w:t>
            </w:r>
          </w:p>
          <w:p w:rsidR="00ED30FA" w:rsidRDefault="00ED30FA" w:rsidP="00ED30FA">
            <w:pPr>
              <w:spacing w:after="120" w:line="240" w:lineRule="auto"/>
              <w:ind w:right="63"/>
              <w:jc w:val="center"/>
              <w:rPr>
                <w:rFonts w:ascii="Times New Roman" w:eastAsia="Calibri" w:hAnsi="Times New Roman" w:cs="Times New Roman"/>
                <w:sz w:val="24"/>
                <w:szCs w:val="24"/>
                <w:lang w:val="ro-MD"/>
              </w:rPr>
            </w:pP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tc>
      </w:tr>
      <w:tr w:rsidR="00ED30FA" w:rsidRPr="002F6325" w:rsidTr="000762F6">
        <w:tc>
          <w:tcPr>
            <w:tcW w:w="2694" w:type="dxa"/>
            <w:vMerge/>
            <w:shd w:val="clear" w:color="auto" w:fill="auto"/>
          </w:tcPr>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tc>
        <w:tc>
          <w:tcPr>
            <w:tcW w:w="709" w:type="dxa"/>
            <w:vMerge/>
          </w:tcPr>
          <w:p w:rsidR="00ED30FA" w:rsidRDefault="00ED30FA"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p>
        </w:tc>
        <w:tc>
          <w:tcPr>
            <w:tcW w:w="6095" w:type="dxa"/>
            <w:shd w:val="clear" w:color="auto" w:fill="auto"/>
          </w:tcPr>
          <w:p w:rsidR="00ED30FA" w:rsidRDefault="00ED30FA" w:rsidP="00ED30FA">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 xml:space="preserve">La proiectul modificărilor: </w:t>
            </w:r>
          </w:p>
          <w:p w:rsidR="00ED30FA" w:rsidRDefault="00ED30FA" w:rsidP="00ED30FA">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La</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 xml:space="preserve">pct.1 (Hotărârea Guvernului nr.267/2014 pentru aprobarea Reglementării tehnice privind aparatele de cântărit neautomate) </w:t>
            </w:r>
          </w:p>
          <w:p w:rsidR="00ED30FA" w:rsidRDefault="00ED30FA" w:rsidP="00ED30FA">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La pct.1.2.1 din proiect semnalăm</w:t>
            </w:r>
            <w:r>
              <w:rPr>
                <w:rFonts w:ascii="Times New Roman" w:eastAsia="Times New Roman" w:hAnsi="Times New Roman" w:cs="Times New Roman"/>
                <w:sz w:val="24"/>
                <w:szCs w:val="24"/>
                <w:lang w:val="ro-RO" w:eastAsia="ru-RU"/>
              </w:rPr>
              <w:t xml:space="preserve"> că, actul normativ nu este dicț</w:t>
            </w:r>
            <w:r w:rsidRPr="008F700F">
              <w:rPr>
                <w:rFonts w:ascii="Times New Roman" w:eastAsia="Times New Roman" w:hAnsi="Times New Roman" w:cs="Times New Roman"/>
                <w:sz w:val="24"/>
                <w:szCs w:val="24"/>
                <w:lang w:val="ro-RO" w:eastAsia="ru-RU"/>
              </w:rPr>
              <w:t>ionar juridic sau un manual și noțiunile nu trebuie să fie definite doar pentru a explica care este sensul acestora</w:t>
            </w:r>
            <w:r>
              <w:rPr>
                <w:rFonts w:ascii="Times New Roman" w:eastAsia="Times New Roman" w:hAnsi="Times New Roman" w:cs="Times New Roman"/>
                <w:sz w:val="24"/>
                <w:szCs w:val="24"/>
                <w:lang w:val="ro-RO" w:eastAsia="ru-RU"/>
              </w:rPr>
              <w:t>. Astfel, semnalăm că, unele noț</w:t>
            </w:r>
            <w:r w:rsidRPr="008F700F">
              <w:rPr>
                <w:rFonts w:ascii="Times New Roman" w:eastAsia="Times New Roman" w:hAnsi="Times New Roman" w:cs="Times New Roman"/>
                <w:sz w:val="24"/>
                <w:szCs w:val="24"/>
                <w:lang w:val="ro-RO" w:eastAsia="ru-RU"/>
              </w:rPr>
              <w:t>iuni</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sunt</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definite</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 xml:space="preserve">în Legea nr.235/2011privind activităţile de acreditare şi de evaluare a conformităţii, motiv pentru care nu este necesară definirea repetată a acestora. La fel, se va ține cont de faptul că, noțiunile a căror definire se propune urmează a fi utilizate în textul actului normativ. </w:t>
            </w:r>
          </w:p>
          <w:p w:rsidR="00ED30FA" w:rsidRPr="008F700F" w:rsidRDefault="00ED30FA"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p>
        </w:tc>
        <w:tc>
          <w:tcPr>
            <w:tcW w:w="5954" w:type="dxa"/>
            <w:shd w:val="clear" w:color="auto" w:fill="auto"/>
          </w:tcPr>
          <w:p w:rsidR="00ED30FA" w:rsidRDefault="00ED30FA" w:rsidP="00ED30FA">
            <w:pPr>
              <w:spacing w:after="120" w:line="240" w:lineRule="auto"/>
              <w:ind w:right="63"/>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nu se acceptă</w:t>
            </w:r>
          </w:p>
          <w:p w:rsidR="00ED30FA" w:rsidRPr="00135AF2" w:rsidRDefault="00ED30FA" w:rsidP="00ED30FA">
            <w:pPr>
              <w:spacing w:after="120" w:line="240" w:lineRule="auto"/>
              <w:ind w:right="63"/>
              <w:jc w:val="both"/>
              <w:rPr>
                <w:rFonts w:ascii="Times New Roman" w:eastAsia="Calibri" w:hAnsi="Times New Roman" w:cs="Times New Roman"/>
                <w:sz w:val="24"/>
                <w:szCs w:val="24"/>
                <w:lang w:val="ro-MD"/>
              </w:rPr>
            </w:pPr>
            <w:r w:rsidRPr="00135AF2">
              <w:rPr>
                <w:rFonts w:ascii="Times New Roman" w:eastAsia="Calibri" w:hAnsi="Times New Roman" w:cs="Times New Roman"/>
                <w:sz w:val="24"/>
                <w:szCs w:val="24"/>
                <w:lang w:val="ro-MD"/>
              </w:rPr>
              <w:t xml:space="preserve">Proiectul de hotărâre de Guvern asigură transpunerea completă a unor directive UE din domeniul metrologiei. Prevederile tehnice, </w:t>
            </w:r>
            <w:r w:rsidRPr="00135AF2">
              <w:rPr>
                <w:rFonts w:ascii="Times New Roman" w:eastAsia="Calibri" w:hAnsi="Times New Roman" w:cs="Times New Roman"/>
                <w:b/>
                <w:sz w:val="24"/>
                <w:szCs w:val="24"/>
                <w:lang w:val="ro-MD"/>
              </w:rPr>
              <w:t>definițiile</w:t>
            </w:r>
            <w:r w:rsidRPr="00135AF2">
              <w:rPr>
                <w:rFonts w:ascii="Times New Roman" w:eastAsia="Calibri" w:hAnsi="Times New Roman" w:cs="Times New Roman"/>
                <w:sz w:val="24"/>
                <w:szCs w:val="24"/>
                <w:lang w:val="ro-MD"/>
              </w:rPr>
              <w:t xml:space="preserve">, limitări și excepțiile se transpun prin copiere Astfel, fiind stabilit gradul de compatibilitate – compatibil, se prezumă, că prevederile proiectului actului normativ naţional transpun în totalitate prevederile actului Uniunii Europene şi care sunt conforme cu scopul şi principiile actului Uniunii Europene. </w:t>
            </w:r>
          </w:p>
          <w:p w:rsidR="00ED30FA" w:rsidRPr="00135AF2" w:rsidRDefault="00ED30FA" w:rsidP="00ED30FA">
            <w:pPr>
              <w:spacing w:after="120" w:line="240" w:lineRule="auto"/>
              <w:ind w:right="63"/>
              <w:jc w:val="both"/>
              <w:rPr>
                <w:rFonts w:ascii="Times New Roman" w:eastAsia="Calibri" w:hAnsi="Times New Roman" w:cs="Times New Roman"/>
                <w:sz w:val="24"/>
                <w:szCs w:val="24"/>
                <w:lang w:val="ro-MD"/>
              </w:rPr>
            </w:pPr>
            <w:r w:rsidRPr="00135AF2">
              <w:rPr>
                <w:rFonts w:ascii="Times New Roman" w:eastAsia="Calibri" w:hAnsi="Times New Roman" w:cs="Times New Roman"/>
                <w:sz w:val="24"/>
                <w:szCs w:val="24"/>
                <w:lang w:val="ro-MD"/>
              </w:rPr>
              <w:t>Prin urmare, se  respectă prevederile Hotărârii Guvernului nr. 1171/2018 pentru aprobarea Regulamentului privind armonizarea legislaţiei Republicii Moldova cu legislaţia Uniunii Europene, cu modificările ulterioare.</w:t>
            </w:r>
          </w:p>
          <w:p w:rsidR="00ED30FA" w:rsidRDefault="00ED30FA" w:rsidP="00ED30FA">
            <w:pPr>
              <w:spacing w:after="120" w:line="240" w:lineRule="auto"/>
              <w:ind w:right="63"/>
              <w:jc w:val="both"/>
              <w:rPr>
                <w:rFonts w:ascii="Times New Roman" w:eastAsia="Calibri" w:hAnsi="Times New Roman" w:cs="Times New Roman"/>
                <w:sz w:val="24"/>
                <w:szCs w:val="24"/>
                <w:lang w:val="ro-RO"/>
              </w:rPr>
            </w:pPr>
            <w:r w:rsidRPr="00135AF2">
              <w:rPr>
                <w:rFonts w:ascii="Times New Roman" w:eastAsia="Calibri" w:hAnsi="Times New Roman" w:cs="Times New Roman"/>
                <w:sz w:val="24"/>
                <w:szCs w:val="24"/>
                <w:lang w:val="ro-RO"/>
              </w:rPr>
              <w:t xml:space="preserve">Alăturat, Legea nr.235/2011 privind activitățile de acreditare și de evaluarea a conformității transpune Regulamentul (CE) nr.765/2008 al Parlamentului European şi al Consiliului din 9 iulie 2008 de stabilire a cerinţelor de acreditare şi de supraveghere a pieţei în ceea ce priveşte comercializarea produselor şi de abrogare a Regulamentului (CEE) nr.339/93 și Decizia nr.768/2008/CE a Parlamentului European şi a Consiliului din 9 iulie 2008 privind un cadru comun pentru comercializarea produselor şi de abrogare a Deciziei </w:t>
            </w:r>
            <w:r w:rsidRPr="00135AF2">
              <w:rPr>
                <w:rFonts w:ascii="Times New Roman" w:eastAsia="Calibri" w:hAnsi="Times New Roman" w:cs="Times New Roman"/>
                <w:sz w:val="24"/>
                <w:szCs w:val="24"/>
                <w:lang w:val="ro-RO"/>
              </w:rPr>
              <w:lastRenderedPageBreak/>
              <w:t>93/465/CEE a Consiliului. Definițiile stabilite în Legea nr.235/2011 sunt identice definițiilor din regulamentul și decizia  UE menționate supra.</w:t>
            </w:r>
          </w:p>
          <w:p w:rsidR="0011617E" w:rsidRDefault="0011617E" w:rsidP="00ED30FA">
            <w:pPr>
              <w:spacing w:after="120" w:line="240" w:lineRule="auto"/>
              <w:ind w:right="63"/>
              <w:jc w:val="both"/>
              <w:rPr>
                <w:rFonts w:ascii="Times New Roman" w:eastAsia="Calibri" w:hAnsi="Times New Roman" w:cs="Times New Roman"/>
                <w:sz w:val="24"/>
                <w:szCs w:val="24"/>
                <w:lang w:val="ro-RO"/>
              </w:rPr>
            </w:pPr>
          </w:p>
          <w:p w:rsidR="0011617E" w:rsidRPr="00ED30FA" w:rsidRDefault="0011617E" w:rsidP="0011617E">
            <w:pPr>
              <w:spacing w:after="120" w:line="240" w:lineRule="auto"/>
              <w:ind w:right="63"/>
              <w:jc w:val="both"/>
              <w:rPr>
                <w:rFonts w:ascii="Times New Roman" w:eastAsia="Calibri" w:hAnsi="Times New Roman" w:cs="Times New Roman"/>
                <w:sz w:val="24"/>
                <w:szCs w:val="24"/>
                <w:lang w:val="ro-RO"/>
              </w:rPr>
            </w:pPr>
            <w:r w:rsidRPr="0011617E">
              <w:rPr>
                <w:rFonts w:ascii="Times New Roman" w:eastAsia="Calibri" w:hAnsi="Times New Roman" w:cs="Times New Roman"/>
                <w:sz w:val="24"/>
                <w:szCs w:val="24"/>
                <w:lang w:val="ro-RO"/>
              </w:rPr>
              <w:t>Obiecția a fost pusă în discuție în cadrul ședinței interinstituționale din 04.12.2024. Proces Verbal al ședinței se anexează.</w:t>
            </w:r>
          </w:p>
        </w:tc>
      </w:tr>
      <w:tr w:rsidR="00ED30FA" w:rsidRPr="002F6325" w:rsidTr="00ED30FA">
        <w:trPr>
          <w:trHeight w:val="1835"/>
        </w:trPr>
        <w:tc>
          <w:tcPr>
            <w:tcW w:w="2694" w:type="dxa"/>
            <w:vMerge/>
            <w:shd w:val="clear" w:color="auto" w:fill="auto"/>
          </w:tcPr>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tc>
        <w:tc>
          <w:tcPr>
            <w:tcW w:w="709" w:type="dxa"/>
            <w:vMerge w:val="restart"/>
          </w:tcPr>
          <w:p w:rsidR="00ED30FA" w:rsidRDefault="00ED30FA"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p>
        </w:tc>
        <w:tc>
          <w:tcPr>
            <w:tcW w:w="6095" w:type="dxa"/>
            <w:shd w:val="clear" w:color="auto" w:fill="auto"/>
          </w:tcPr>
          <w:p w:rsidR="00ED30FA" w:rsidRDefault="00ED30FA" w:rsidP="00ED30FA">
            <w:pPr>
              <w:tabs>
                <w:tab w:val="left" w:pos="993"/>
              </w:tabs>
              <w:spacing w:after="12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 xml:space="preserve">La pct.4 ( Hotărârea Guvernului nr.909/2014 cu privire la aprobarea unităților de măsură legale) </w:t>
            </w:r>
          </w:p>
          <w:p w:rsidR="00ED30FA" w:rsidRPr="008F700F" w:rsidRDefault="00ED30FA" w:rsidP="00ED30FA">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La pct.4.1 menționăm</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că, intenția normativă de a modifica pct.1</w:t>
            </w:r>
            <w:r>
              <w:rPr>
                <w:rFonts w:ascii="Times New Roman" w:eastAsia="Times New Roman" w:hAnsi="Times New Roman" w:cs="Times New Roman"/>
                <w:sz w:val="24"/>
                <w:szCs w:val="24"/>
                <w:lang w:val="ro-RO" w:eastAsia="ru-RU"/>
              </w:rPr>
              <w:t xml:space="preserve"> </w:t>
            </w:r>
            <w:r w:rsidRPr="008F700F">
              <w:rPr>
                <w:rFonts w:ascii="Times New Roman" w:eastAsia="Times New Roman" w:hAnsi="Times New Roman" w:cs="Times New Roman"/>
                <w:sz w:val="24"/>
                <w:szCs w:val="24"/>
                <w:lang w:val="ro-RO" w:eastAsia="ru-RU"/>
              </w:rPr>
              <w:t>din Anexa la Hotărârea Guvernului nr.909/2</w:t>
            </w:r>
            <w:r>
              <w:rPr>
                <w:rFonts w:ascii="Times New Roman" w:eastAsia="Times New Roman" w:hAnsi="Times New Roman" w:cs="Times New Roman"/>
                <w:sz w:val="24"/>
                <w:szCs w:val="24"/>
                <w:lang w:val="ro-RO" w:eastAsia="ru-RU"/>
              </w:rPr>
              <w:t>014 nu este clară și previzibilă, î</w:t>
            </w:r>
            <w:r w:rsidRPr="008F700F">
              <w:rPr>
                <w:rFonts w:ascii="Times New Roman" w:eastAsia="Times New Roman" w:hAnsi="Times New Roman" w:cs="Times New Roman"/>
                <w:sz w:val="24"/>
                <w:szCs w:val="24"/>
                <w:lang w:val="ro-RO" w:eastAsia="ru-RU"/>
              </w:rPr>
              <w:t xml:space="preserve">n condițiile în care Tabelul nr.1 nu este abrogat. </w:t>
            </w:r>
          </w:p>
        </w:tc>
        <w:tc>
          <w:tcPr>
            <w:tcW w:w="5954" w:type="dxa"/>
            <w:shd w:val="clear" w:color="auto" w:fill="auto"/>
          </w:tcPr>
          <w:p w:rsidR="00ED30FA" w:rsidRDefault="00ED30FA" w:rsidP="00ED30FA">
            <w:pPr>
              <w:spacing w:after="120" w:line="240" w:lineRule="auto"/>
              <w:ind w:right="63"/>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RO"/>
              </w:rPr>
              <w:t>se acceptă</w:t>
            </w:r>
          </w:p>
        </w:tc>
      </w:tr>
      <w:tr w:rsidR="00ED30FA" w:rsidRPr="002F6325" w:rsidTr="000762F6">
        <w:tc>
          <w:tcPr>
            <w:tcW w:w="2694" w:type="dxa"/>
            <w:vMerge/>
            <w:shd w:val="clear" w:color="auto" w:fill="auto"/>
          </w:tcPr>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tc>
        <w:tc>
          <w:tcPr>
            <w:tcW w:w="709" w:type="dxa"/>
            <w:vMerge/>
          </w:tcPr>
          <w:p w:rsidR="00ED30FA" w:rsidRDefault="00ED30FA"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p>
        </w:tc>
        <w:tc>
          <w:tcPr>
            <w:tcW w:w="6095" w:type="dxa"/>
            <w:shd w:val="clear" w:color="auto" w:fill="auto"/>
          </w:tcPr>
          <w:p w:rsidR="00ED30FA" w:rsidRDefault="00ED30FA" w:rsidP="00ED30FA">
            <w:pPr>
              <w:tabs>
                <w:tab w:val="left" w:pos="993"/>
              </w:tabs>
              <w:spacing w:after="12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La pct.5 (Hotărârea Guvernului nr.408/2015 pentru aprobarea Reglementării tehnice privind punerea la dispoziţie pe piaţă a mijloacelor de măsurare)</w:t>
            </w:r>
          </w:p>
          <w:p w:rsidR="00ED30FA" w:rsidRPr="008F700F" w:rsidRDefault="00ED30FA" w:rsidP="00ED30FA">
            <w:pPr>
              <w:tabs>
                <w:tab w:val="left" w:pos="993"/>
              </w:tabs>
              <w:spacing w:after="12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 xml:space="preserve">La pct.5.2.5 reiterăm obiecțiile expuse la pct.1 din proiect referitoare la noțiuni. </w:t>
            </w:r>
          </w:p>
        </w:tc>
        <w:tc>
          <w:tcPr>
            <w:tcW w:w="5954" w:type="dxa"/>
            <w:shd w:val="clear" w:color="auto" w:fill="auto"/>
          </w:tcPr>
          <w:p w:rsidR="00ED30FA" w:rsidRDefault="00ED30FA" w:rsidP="00ED30FA">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 se acceptă</w:t>
            </w:r>
          </w:p>
          <w:p w:rsidR="00ED30FA" w:rsidRDefault="00ED30FA" w:rsidP="00ED30FA">
            <w:pPr>
              <w:spacing w:after="0" w:line="240" w:lineRule="auto"/>
              <w:ind w:right="63"/>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 se vedea argumentarea la pct.1.2.1</w:t>
            </w:r>
          </w:p>
          <w:p w:rsidR="00ED30FA" w:rsidRDefault="00ED30FA" w:rsidP="00ED30FA">
            <w:pPr>
              <w:spacing w:after="0" w:line="240" w:lineRule="auto"/>
              <w:ind w:right="63"/>
              <w:jc w:val="center"/>
              <w:rPr>
                <w:rFonts w:ascii="Times New Roman" w:eastAsia="Calibri" w:hAnsi="Times New Roman" w:cs="Times New Roman"/>
                <w:sz w:val="24"/>
                <w:szCs w:val="24"/>
                <w:lang w:val="ro-RO"/>
              </w:rPr>
            </w:pPr>
          </w:p>
          <w:p w:rsidR="00ED30FA" w:rsidRDefault="0011617E" w:rsidP="00A75A82">
            <w:pPr>
              <w:spacing w:after="120" w:line="240" w:lineRule="auto"/>
              <w:ind w:right="63"/>
              <w:jc w:val="both"/>
              <w:rPr>
                <w:rFonts w:ascii="Times New Roman" w:eastAsia="Calibri" w:hAnsi="Times New Roman" w:cs="Times New Roman"/>
                <w:sz w:val="24"/>
                <w:szCs w:val="24"/>
                <w:lang w:val="ro-MD"/>
              </w:rPr>
            </w:pPr>
            <w:r w:rsidRPr="0011617E">
              <w:rPr>
                <w:rFonts w:ascii="Times New Roman" w:eastAsia="Calibri" w:hAnsi="Times New Roman" w:cs="Times New Roman"/>
                <w:sz w:val="24"/>
                <w:szCs w:val="24"/>
                <w:lang w:val="ro-RO"/>
              </w:rPr>
              <w:t>Obiecția a fost pusă în discuție în cadrul ședinței interinstituționale din 04.12.2024. Proces Verbal al ședinței se anexează.</w:t>
            </w:r>
          </w:p>
        </w:tc>
      </w:tr>
      <w:tr w:rsidR="00ED30FA" w:rsidRPr="002F6325" w:rsidTr="00ED30FA">
        <w:tc>
          <w:tcPr>
            <w:tcW w:w="2694" w:type="dxa"/>
            <w:vMerge/>
            <w:shd w:val="clear" w:color="auto" w:fill="auto"/>
          </w:tcPr>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tc>
        <w:tc>
          <w:tcPr>
            <w:tcW w:w="709" w:type="dxa"/>
            <w:vMerge/>
          </w:tcPr>
          <w:p w:rsidR="00ED30FA" w:rsidRDefault="00ED30FA"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p>
        </w:tc>
        <w:tc>
          <w:tcPr>
            <w:tcW w:w="6095" w:type="dxa"/>
            <w:shd w:val="clear" w:color="auto" w:fill="auto"/>
          </w:tcPr>
          <w:p w:rsidR="00ED30FA" w:rsidRPr="008F700F" w:rsidRDefault="00ED30FA" w:rsidP="00ED30FA">
            <w:pPr>
              <w:tabs>
                <w:tab w:val="left" w:pos="993"/>
              </w:tabs>
              <w:spacing w:after="12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La pct.5.2.22 semnalăm că, exprimarea prin abrevieri a unor denumiri sau termeni se poate face numai după explicarea lor în text, la prima folosire.</w:t>
            </w:r>
          </w:p>
        </w:tc>
        <w:tc>
          <w:tcPr>
            <w:tcW w:w="5954" w:type="dxa"/>
            <w:shd w:val="clear" w:color="auto" w:fill="auto"/>
          </w:tcPr>
          <w:p w:rsidR="00ED30FA" w:rsidRDefault="00ED30FA" w:rsidP="00ED30FA">
            <w:pPr>
              <w:spacing w:after="0" w:line="240" w:lineRule="auto"/>
              <w:ind w:right="63"/>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 acceptă</w:t>
            </w:r>
          </w:p>
          <w:p w:rsidR="00ED30FA" w:rsidRDefault="00ED30FA" w:rsidP="00ED30FA">
            <w:pPr>
              <w:spacing w:after="0" w:line="240" w:lineRule="auto"/>
              <w:ind w:right="63"/>
              <w:jc w:val="center"/>
              <w:rPr>
                <w:rFonts w:ascii="Times New Roman" w:eastAsia="Calibri" w:hAnsi="Times New Roman" w:cs="Times New Roman"/>
                <w:sz w:val="24"/>
                <w:szCs w:val="24"/>
                <w:lang w:val="ro-MD"/>
              </w:rPr>
            </w:pPr>
          </w:p>
        </w:tc>
      </w:tr>
      <w:tr w:rsidR="00ED30FA" w:rsidRPr="002F6325" w:rsidTr="000762F6">
        <w:tc>
          <w:tcPr>
            <w:tcW w:w="2694" w:type="dxa"/>
            <w:vMerge/>
            <w:shd w:val="clear" w:color="auto" w:fill="auto"/>
          </w:tcPr>
          <w:p w:rsidR="00ED30FA" w:rsidRDefault="00ED30FA" w:rsidP="00A75A82">
            <w:pPr>
              <w:spacing w:after="0" w:line="240" w:lineRule="auto"/>
              <w:jc w:val="center"/>
              <w:rPr>
                <w:rFonts w:ascii="Times New Roman" w:eastAsia="Times New Roman" w:hAnsi="Times New Roman" w:cs="Times New Roman"/>
                <w:sz w:val="24"/>
                <w:szCs w:val="24"/>
                <w:lang w:val="ro-RO" w:eastAsia="ru-RU"/>
              </w:rPr>
            </w:pPr>
          </w:p>
        </w:tc>
        <w:tc>
          <w:tcPr>
            <w:tcW w:w="709" w:type="dxa"/>
            <w:vMerge/>
          </w:tcPr>
          <w:p w:rsidR="00ED30FA" w:rsidRDefault="00ED30FA" w:rsidP="00A75A82">
            <w:pPr>
              <w:tabs>
                <w:tab w:val="left" w:pos="993"/>
              </w:tabs>
              <w:spacing w:after="0" w:line="240" w:lineRule="auto"/>
              <w:ind w:right="47"/>
              <w:jc w:val="center"/>
              <w:rPr>
                <w:rFonts w:ascii="Times New Roman" w:eastAsia="Times New Roman" w:hAnsi="Times New Roman" w:cs="Times New Roman"/>
                <w:sz w:val="24"/>
                <w:szCs w:val="24"/>
                <w:lang w:val="ro-RO" w:eastAsia="ru-RU"/>
              </w:rPr>
            </w:pPr>
          </w:p>
        </w:tc>
        <w:tc>
          <w:tcPr>
            <w:tcW w:w="6095" w:type="dxa"/>
            <w:shd w:val="clear" w:color="auto" w:fill="auto"/>
          </w:tcPr>
          <w:p w:rsidR="00ED30FA" w:rsidRPr="008F700F" w:rsidRDefault="00ED30FA" w:rsidP="00A75A82">
            <w:pPr>
              <w:tabs>
                <w:tab w:val="left" w:pos="993"/>
              </w:tabs>
              <w:spacing w:after="0" w:line="240" w:lineRule="auto"/>
              <w:ind w:right="47"/>
              <w:jc w:val="both"/>
              <w:rPr>
                <w:rFonts w:ascii="Times New Roman" w:eastAsia="Times New Roman" w:hAnsi="Times New Roman" w:cs="Times New Roman"/>
                <w:sz w:val="24"/>
                <w:szCs w:val="24"/>
                <w:lang w:val="ro-RO" w:eastAsia="ru-RU"/>
              </w:rPr>
            </w:pPr>
            <w:r w:rsidRPr="008F700F">
              <w:rPr>
                <w:rFonts w:ascii="Times New Roman" w:eastAsia="Times New Roman" w:hAnsi="Times New Roman" w:cs="Times New Roman"/>
                <w:sz w:val="24"/>
                <w:szCs w:val="24"/>
                <w:lang w:val="ro-RO" w:eastAsia="ru-RU"/>
              </w:rPr>
              <w:t>La pct.5.2.28, conform uzanțelor normative, se va ține cont că, pentru enumerarea a mai mult de două elemente structurale consecutive se utilizează cratima.</w:t>
            </w:r>
          </w:p>
        </w:tc>
        <w:tc>
          <w:tcPr>
            <w:tcW w:w="5954" w:type="dxa"/>
            <w:shd w:val="clear" w:color="auto" w:fill="auto"/>
          </w:tcPr>
          <w:p w:rsidR="00ED30FA" w:rsidRDefault="00ED30FA" w:rsidP="00ED30FA">
            <w:pPr>
              <w:spacing w:before="120" w:after="0" w:line="240" w:lineRule="auto"/>
              <w:ind w:right="63"/>
              <w:jc w:val="center"/>
              <w:rPr>
                <w:rFonts w:ascii="Times New Roman" w:eastAsia="Calibri" w:hAnsi="Times New Roman" w:cs="Times New Roman"/>
                <w:sz w:val="24"/>
                <w:szCs w:val="24"/>
                <w:lang w:val="ro-MD"/>
              </w:rPr>
            </w:pPr>
            <w:r>
              <w:rPr>
                <w:rFonts w:ascii="Times New Roman" w:eastAsia="Calibri" w:hAnsi="Times New Roman" w:cs="Times New Roman"/>
                <w:sz w:val="24"/>
                <w:szCs w:val="24"/>
                <w:lang w:val="ro-RO"/>
              </w:rPr>
              <w:t>se acceptă</w:t>
            </w:r>
          </w:p>
          <w:p w:rsidR="00ED30FA" w:rsidRDefault="00ED30FA" w:rsidP="00A75A82">
            <w:pPr>
              <w:spacing w:after="120" w:line="240" w:lineRule="auto"/>
              <w:ind w:right="63"/>
              <w:jc w:val="both"/>
              <w:rPr>
                <w:rFonts w:ascii="Times New Roman" w:eastAsia="Calibri" w:hAnsi="Times New Roman" w:cs="Times New Roman"/>
                <w:sz w:val="24"/>
                <w:szCs w:val="24"/>
                <w:lang w:val="ro-MD"/>
              </w:rPr>
            </w:pPr>
          </w:p>
        </w:tc>
      </w:tr>
    </w:tbl>
    <w:p w:rsidR="009A01D1" w:rsidRDefault="00906AF4" w:rsidP="001650E1">
      <w:pPr>
        <w:ind w:right="-643"/>
        <w:rPr>
          <w:rFonts w:ascii="Times New Roman" w:hAnsi="Times New Roman"/>
          <w:b/>
          <w:sz w:val="26"/>
          <w:szCs w:val="26"/>
        </w:rPr>
      </w:pPr>
      <w:r w:rsidRPr="002C7C98">
        <w:rPr>
          <w:rFonts w:ascii="Times New Roman" w:hAnsi="Times New Roman"/>
          <w:b/>
          <w:sz w:val="26"/>
          <w:szCs w:val="26"/>
          <w:lang w:val="ro-RO"/>
        </w:rPr>
        <w:t xml:space="preserve">  </w:t>
      </w:r>
      <w:r w:rsidRPr="002F03AA">
        <w:rPr>
          <w:rFonts w:ascii="Times New Roman" w:hAnsi="Times New Roman"/>
          <w:b/>
          <w:sz w:val="26"/>
          <w:szCs w:val="26"/>
        </w:rPr>
        <w:t xml:space="preserve">                  </w:t>
      </w:r>
      <w:r w:rsidR="00B81EC6">
        <w:rPr>
          <w:rFonts w:ascii="Times New Roman" w:hAnsi="Times New Roman"/>
          <w:b/>
          <w:sz w:val="26"/>
          <w:szCs w:val="26"/>
        </w:rPr>
        <w:t xml:space="preserve">                                  </w:t>
      </w:r>
      <w:r w:rsidR="00A033C2">
        <w:rPr>
          <w:rFonts w:ascii="Times New Roman" w:hAnsi="Times New Roman"/>
          <w:b/>
          <w:sz w:val="26"/>
          <w:szCs w:val="26"/>
        </w:rPr>
        <w:t xml:space="preserve">                              </w:t>
      </w:r>
      <w:r w:rsidRPr="002F03AA">
        <w:rPr>
          <w:rFonts w:ascii="Times New Roman" w:hAnsi="Times New Roman"/>
          <w:b/>
          <w:sz w:val="26"/>
          <w:szCs w:val="26"/>
        </w:rPr>
        <w:t xml:space="preserve">                               </w:t>
      </w:r>
    </w:p>
    <w:p w:rsidR="003959F6" w:rsidRDefault="003959F6" w:rsidP="001650E1">
      <w:pPr>
        <w:ind w:right="-643"/>
        <w:rPr>
          <w:rFonts w:ascii="Times New Roman" w:hAnsi="Times New Roman"/>
          <w:b/>
          <w:sz w:val="26"/>
          <w:szCs w:val="26"/>
        </w:rPr>
      </w:pPr>
    </w:p>
    <w:p w:rsidR="003959F6" w:rsidRDefault="003959F6" w:rsidP="001650E1">
      <w:pPr>
        <w:ind w:right="-643"/>
        <w:rPr>
          <w:rFonts w:ascii="Times New Roman" w:hAnsi="Times New Roman"/>
          <w:b/>
          <w:sz w:val="26"/>
          <w:szCs w:val="26"/>
        </w:rPr>
      </w:pPr>
    </w:p>
    <w:p w:rsidR="003959F6" w:rsidRDefault="003959F6" w:rsidP="001650E1">
      <w:pPr>
        <w:ind w:right="-643"/>
        <w:rPr>
          <w:rFonts w:ascii="Times New Roman" w:hAnsi="Times New Roman"/>
          <w:b/>
          <w:sz w:val="26"/>
          <w:szCs w:val="26"/>
        </w:rPr>
        <w:sectPr w:rsidR="003959F6" w:rsidSect="00B57216">
          <w:footerReference w:type="default" r:id="rId7"/>
          <w:pgSz w:w="16838" w:h="11906" w:orient="landscape"/>
          <w:pgMar w:top="709" w:right="1440" w:bottom="1134" w:left="1440" w:header="708" w:footer="708" w:gutter="0"/>
          <w:cols w:space="708"/>
          <w:docGrid w:linePitch="360"/>
        </w:sectPr>
      </w:pPr>
    </w:p>
    <w:p w:rsidR="003959F6" w:rsidRDefault="003959F6" w:rsidP="003959F6">
      <w:pPr>
        <w:spacing w:after="0"/>
        <w:ind w:right="-643"/>
        <w:jc w:val="right"/>
        <w:rPr>
          <w:rFonts w:ascii="Times New Roman" w:hAnsi="Times New Roman"/>
          <w:b/>
          <w:sz w:val="26"/>
          <w:szCs w:val="26"/>
        </w:rPr>
      </w:pPr>
      <w:proofErr w:type="spellStart"/>
      <w:r>
        <w:rPr>
          <w:rFonts w:ascii="Times New Roman" w:hAnsi="Times New Roman"/>
          <w:b/>
          <w:sz w:val="26"/>
          <w:szCs w:val="26"/>
        </w:rPr>
        <w:lastRenderedPageBreak/>
        <w:t>Anexa</w:t>
      </w:r>
      <w:proofErr w:type="spellEnd"/>
      <w:r>
        <w:rPr>
          <w:rFonts w:ascii="Times New Roman" w:hAnsi="Times New Roman"/>
          <w:b/>
          <w:sz w:val="26"/>
          <w:szCs w:val="26"/>
        </w:rPr>
        <w:t xml:space="preserve"> </w:t>
      </w:r>
    </w:p>
    <w:p w:rsidR="003959F6" w:rsidRDefault="003959F6" w:rsidP="003959F6">
      <w:pPr>
        <w:spacing w:after="0"/>
        <w:ind w:right="-643"/>
        <w:jc w:val="right"/>
        <w:rPr>
          <w:rFonts w:ascii="Times New Roman" w:hAnsi="Times New Roman"/>
          <w:b/>
          <w:sz w:val="26"/>
          <w:szCs w:val="26"/>
        </w:rPr>
      </w:pPr>
      <w:proofErr w:type="gramStart"/>
      <w:r>
        <w:rPr>
          <w:rFonts w:ascii="Times New Roman" w:hAnsi="Times New Roman"/>
          <w:b/>
          <w:sz w:val="26"/>
          <w:szCs w:val="26"/>
        </w:rPr>
        <w:t>la</w:t>
      </w:r>
      <w:proofErr w:type="gramEnd"/>
      <w:r>
        <w:rPr>
          <w:rFonts w:ascii="Times New Roman" w:hAnsi="Times New Roman"/>
          <w:b/>
          <w:sz w:val="26"/>
          <w:szCs w:val="26"/>
        </w:rPr>
        <w:t xml:space="preserve"> </w:t>
      </w:r>
      <w:proofErr w:type="spellStart"/>
      <w:r>
        <w:rPr>
          <w:rFonts w:ascii="Times New Roman" w:hAnsi="Times New Roman"/>
          <w:b/>
          <w:sz w:val="26"/>
          <w:szCs w:val="26"/>
        </w:rPr>
        <w:t>poziția</w:t>
      </w:r>
      <w:proofErr w:type="spellEnd"/>
      <w:r>
        <w:rPr>
          <w:rFonts w:ascii="Times New Roman" w:hAnsi="Times New Roman"/>
          <w:b/>
          <w:sz w:val="26"/>
          <w:szCs w:val="26"/>
        </w:rPr>
        <w:t xml:space="preserve"> nr.10</w:t>
      </w:r>
    </w:p>
    <w:p w:rsidR="00D54E4F" w:rsidRDefault="00D54E4F" w:rsidP="003959F6">
      <w:pPr>
        <w:rPr>
          <w:b/>
          <w:bCs/>
          <w:lang w:val="en-US"/>
        </w:rPr>
      </w:pPr>
    </w:p>
    <w:p w:rsidR="00D54E4F" w:rsidRDefault="00D54E4F" w:rsidP="003959F6">
      <w:pPr>
        <w:rPr>
          <w:b/>
          <w:bCs/>
          <w:lang w:val="en-US"/>
        </w:rPr>
      </w:pPr>
    </w:p>
    <w:p w:rsidR="00D54E4F" w:rsidRPr="00D54E4F" w:rsidRDefault="00D54E4F" w:rsidP="00D54E4F">
      <w:pPr>
        <w:spacing w:after="0" w:line="240" w:lineRule="auto"/>
        <w:rPr>
          <w:rFonts w:ascii="Calibri" w:eastAsia="Times New Roman" w:hAnsi="Calibri" w:cs="Calibri"/>
          <w:lang w:val="en-US"/>
        </w:rPr>
      </w:pPr>
      <w:r w:rsidRPr="00D54E4F">
        <w:rPr>
          <w:rFonts w:ascii="Calibri" w:eastAsia="Times New Roman" w:hAnsi="Calibri" w:cs="Calibri"/>
          <w:b/>
          <w:bCs/>
          <w:lang w:val="en-US"/>
        </w:rPr>
        <w:t>From:</w:t>
      </w:r>
      <w:r w:rsidRPr="00D54E4F">
        <w:rPr>
          <w:rFonts w:ascii="Calibri" w:eastAsia="Times New Roman" w:hAnsi="Calibri" w:cs="Calibri"/>
          <w:lang w:val="en-US"/>
        </w:rPr>
        <w:t xml:space="preserve"> Vasilii Dogotari [mailto:vasilii.dogotari@maia.gov.md] </w:t>
      </w:r>
      <w:r w:rsidRPr="00D54E4F">
        <w:rPr>
          <w:rFonts w:ascii="Calibri" w:eastAsia="Times New Roman" w:hAnsi="Calibri" w:cs="Calibri"/>
          <w:lang w:val="en-US"/>
        </w:rPr>
        <w:br/>
      </w:r>
      <w:r w:rsidRPr="00D54E4F">
        <w:rPr>
          <w:rFonts w:ascii="Calibri" w:eastAsia="Times New Roman" w:hAnsi="Calibri" w:cs="Calibri"/>
          <w:b/>
          <w:bCs/>
          <w:lang w:val="en-US"/>
        </w:rPr>
        <w:t>Sent:</w:t>
      </w:r>
      <w:r w:rsidRPr="00D54E4F">
        <w:rPr>
          <w:rFonts w:ascii="Calibri" w:eastAsia="Times New Roman" w:hAnsi="Calibri" w:cs="Calibri"/>
          <w:lang w:val="en-US"/>
        </w:rPr>
        <w:t xml:space="preserve"> Thursday, January 23, 2025 3:19 PM</w:t>
      </w:r>
      <w:r w:rsidRPr="00D54E4F">
        <w:rPr>
          <w:rFonts w:ascii="Calibri" w:eastAsia="Times New Roman" w:hAnsi="Calibri" w:cs="Calibri"/>
          <w:lang w:val="en-US"/>
        </w:rPr>
        <w:br/>
      </w:r>
      <w:r w:rsidRPr="00D54E4F">
        <w:rPr>
          <w:rFonts w:ascii="Calibri" w:eastAsia="Times New Roman" w:hAnsi="Calibri" w:cs="Calibri"/>
          <w:b/>
          <w:bCs/>
          <w:lang w:val="en-US"/>
        </w:rPr>
        <w:t>To:</w:t>
      </w:r>
      <w:r w:rsidRPr="00D54E4F">
        <w:rPr>
          <w:rFonts w:ascii="Calibri" w:eastAsia="Times New Roman" w:hAnsi="Calibri" w:cs="Calibri"/>
          <w:lang w:val="en-US"/>
        </w:rPr>
        <w:t xml:space="preserve"> Viorica Bejan &lt;viorica.bejan@mded.gov.md&gt;</w:t>
      </w:r>
      <w:r w:rsidRPr="00D54E4F">
        <w:rPr>
          <w:rFonts w:ascii="Calibri" w:eastAsia="Times New Roman" w:hAnsi="Calibri" w:cs="Calibri"/>
          <w:lang w:val="en-US"/>
        </w:rPr>
        <w:br/>
      </w:r>
      <w:r w:rsidRPr="00D54E4F">
        <w:rPr>
          <w:rFonts w:ascii="Calibri" w:eastAsia="Times New Roman" w:hAnsi="Calibri" w:cs="Calibri"/>
          <w:b/>
          <w:bCs/>
          <w:lang w:val="en-US"/>
        </w:rPr>
        <w:t>Cc:</w:t>
      </w:r>
      <w:r w:rsidRPr="00D54E4F">
        <w:rPr>
          <w:rFonts w:ascii="Calibri" w:eastAsia="Times New Roman" w:hAnsi="Calibri" w:cs="Calibri"/>
          <w:lang w:val="en-US"/>
        </w:rPr>
        <w:t xml:space="preserve"> Andrian DIGOLEAN &lt;andrian.digolean@maia.gov.md&gt;; Liliana Dascaliuc &lt;liliana.dascaliuc@maia.gov.md&gt;; svetlana </w:t>
      </w:r>
      <w:proofErr w:type="spellStart"/>
      <w:r w:rsidRPr="00D54E4F">
        <w:rPr>
          <w:rFonts w:ascii="Calibri" w:eastAsia="Times New Roman" w:hAnsi="Calibri" w:cs="Calibri"/>
          <w:lang w:val="en-US"/>
        </w:rPr>
        <w:t>nunu</w:t>
      </w:r>
      <w:proofErr w:type="spellEnd"/>
      <w:r w:rsidRPr="00D54E4F">
        <w:rPr>
          <w:rFonts w:ascii="Calibri" w:eastAsia="Times New Roman" w:hAnsi="Calibri" w:cs="Calibri"/>
          <w:lang w:val="en-US"/>
        </w:rPr>
        <w:t xml:space="preserve"> &lt;svetlana.nunu@gov.md&gt;</w:t>
      </w:r>
      <w:r w:rsidRPr="00D54E4F">
        <w:rPr>
          <w:rFonts w:ascii="Calibri" w:eastAsia="Times New Roman" w:hAnsi="Calibri" w:cs="Calibri"/>
          <w:lang w:val="en-US"/>
        </w:rPr>
        <w:br/>
      </w:r>
      <w:r w:rsidRPr="00D54E4F">
        <w:rPr>
          <w:rFonts w:ascii="Calibri" w:eastAsia="Times New Roman" w:hAnsi="Calibri" w:cs="Calibri"/>
          <w:b/>
          <w:bCs/>
          <w:lang w:val="en-US"/>
        </w:rPr>
        <w:t>Subject:</w:t>
      </w:r>
      <w:r w:rsidRPr="00D54E4F">
        <w:rPr>
          <w:rFonts w:ascii="Calibri" w:eastAsia="Times New Roman" w:hAnsi="Calibri" w:cs="Calibri"/>
          <w:lang w:val="en-US"/>
        </w:rPr>
        <w:t xml:space="preserve"> Re:</w:t>
      </w:r>
    </w:p>
    <w:p w:rsidR="00D54E4F" w:rsidRPr="00D54E4F" w:rsidRDefault="00D54E4F" w:rsidP="00D54E4F">
      <w:pPr>
        <w:spacing w:after="0" w:line="240" w:lineRule="auto"/>
        <w:rPr>
          <w:rFonts w:ascii="Calibri" w:eastAsia="Calibri" w:hAnsi="Calibri" w:cs="Calibri"/>
          <w:lang w:val="en-US"/>
        </w:rPr>
      </w:pPr>
    </w:p>
    <w:p w:rsidR="00D54E4F" w:rsidRPr="00D54E4F" w:rsidRDefault="00D54E4F" w:rsidP="00D54E4F">
      <w:pPr>
        <w:spacing w:after="260" w:line="240" w:lineRule="auto"/>
        <w:rPr>
          <w:rFonts w:ascii="Arial" w:eastAsia="Times New Roman" w:hAnsi="Arial" w:cs="Arial"/>
          <w:color w:val="000000"/>
          <w:sz w:val="26"/>
          <w:szCs w:val="26"/>
          <w:lang w:val="en-US"/>
        </w:rPr>
      </w:pPr>
      <w:proofErr w:type="spellStart"/>
      <w:r w:rsidRPr="00D54E4F">
        <w:rPr>
          <w:rFonts w:ascii="Arial" w:eastAsia="Times New Roman" w:hAnsi="Arial" w:cs="Arial"/>
          <w:color w:val="000000"/>
          <w:sz w:val="26"/>
          <w:szCs w:val="26"/>
          <w:lang w:val="en-US"/>
        </w:rPr>
        <w:t>Obiecții</w:t>
      </w:r>
      <w:proofErr w:type="spellEnd"/>
      <w:r w:rsidRPr="00D54E4F">
        <w:rPr>
          <w:rFonts w:ascii="Arial" w:eastAsia="Times New Roman" w:hAnsi="Arial" w:cs="Arial"/>
          <w:color w:val="000000"/>
          <w:sz w:val="26"/>
          <w:szCs w:val="26"/>
          <w:lang w:val="en-US"/>
        </w:rPr>
        <w:t xml:space="preserve"> nu </w:t>
      </w:r>
      <w:proofErr w:type="spellStart"/>
      <w:r w:rsidRPr="00D54E4F">
        <w:rPr>
          <w:rFonts w:ascii="Arial" w:eastAsia="Times New Roman" w:hAnsi="Arial" w:cs="Arial"/>
          <w:color w:val="000000"/>
          <w:sz w:val="26"/>
          <w:szCs w:val="26"/>
          <w:lang w:val="en-US"/>
        </w:rPr>
        <w:t>avem</w:t>
      </w:r>
      <w:proofErr w:type="spellEnd"/>
      <w:r w:rsidRPr="00D54E4F">
        <w:rPr>
          <w:rFonts w:ascii="Arial" w:eastAsia="Times New Roman" w:hAnsi="Arial" w:cs="Arial"/>
          <w:color w:val="000000"/>
          <w:sz w:val="26"/>
          <w:szCs w:val="26"/>
          <w:lang w:val="en-US"/>
        </w:rPr>
        <w:t xml:space="preserve"> la </w:t>
      </w:r>
      <w:proofErr w:type="spellStart"/>
      <w:r w:rsidRPr="00D54E4F">
        <w:rPr>
          <w:rFonts w:ascii="Arial" w:eastAsia="Times New Roman" w:hAnsi="Arial" w:cs="Arial"/>
          <w:color w:val="000000"/>
          <w:sz w:val="26"/>
          <w:szCs w:val="26"/>
          <w:lang w:val="en-US"/>
        </w:rPr>
        <w:t>proiectul</w:t>
      </w:r>
      <w:proofErr w:type="spellEnd"/>
      <w:r w:rsidRPr="00D54E4F">
        <w:rPr>
          <w:rFonts w:ascii="Arial" w:eastAsia="Times New Roman" w:hAnsi="Arial" w:cs="Arial"/>
          <w:color w:val="000000"/>
          <w:sz w:val="26"/>
          <w:szCs w:val="26"/>
          <w:lang w:val="en-US"/>
        </w:rPr>
        <w:t xml:space="preserve"> cu </w:t>
      </w:r>
      <w:proofErr w:type="spellStart"/>
      <w:r w:rsidRPr="00D54E4F">
        <w:rPr>
          <w:rFonts w:ascii="Arial" w:eastAsia="Times New Roman" w:hAnsi="Arial" w:cs="Arial"/>
          <w:color w:val="000000"/>
          <w:sz w:val="26"/>
          <w:szCs w:val="26"/>
          <w:lang w:val="en-US"/>
        </w:rPr>
        <w:t>număr</w:t>
      </w:r>
      <w:proofErr w:type="spellEnd"/>
      <w:r w:rsidRPr="00D54E4F">
        <w:rPr>
          <w:rFonts w:ascii="Arial" w:eastAsia="Times New Roman" w:hAnsi="Arial" w:cs="Arial"/>
          <w:color w:val="000000"/>
          <w:sz w:val="26"/>
          <w:szCs w:val="26"/>
          <w:lang w:val="en-US"/>
        </w:rPr>
        <w:t xml:space="preserve"> </w:t>
      </w:r>
      <w:proofErr w:type="spellStart"/>
      <w:r w:rsidRPr="00D54E4F">
        <w:rPr>
          <w:rFonts w:ascii="Arial" w:eastAsia="Times New Roman" w:hAnsi="Arial" w:cs="Arial"/>
          <w:color w:val="000000"/>
          <w:sz w:val="26"/>
          <w:szCs w:val="26"/>
          <w:lang w:val="en-US"/>
        </w:rPr>
        <w:t>unic</w:t>
      </w:r>
      <w:proofErr w:type="spellEnd"/>
      <w:r w:rsidRPr="00D54E4F">
        <w:rPr>
          <w:rFonts w:ascii="Arial" w:eastAsia="Times New Roman" w:hAnsi="Arial" w:cs="Arial"/>
          <w:color w:val="000000"/>
          <w:sz w:val="26"/>
          <w:szCs w:val="26"/>
          <w:lang w:val="en-US"/>
        </w:rPr>
        <w:t xml:space="preserve"> 811/MDED/2024</w:t>
      </w:r>
    </w:p>
    <w:p w:rsidR="00D54E4F" w:rsidRPr="00D54E4F" w:rsidRDefault="00A66DC2" w:rsidP="00D54E4F">
      <w:pPr>
        <w:spacing w:after="0" w:line="240" w:lineRule="auto"/>
        <w:jc w:val="center"/>
        <w:rPr>
          <w:rFonts w:ascii="Arial" w:eastAsia="Times New Roman" w:hAnsi="Arial" w:cs="Arial"/>
          <w:color w:val="000000"/>
          <w:sz w:val="26"/>
          <w:szCs w:val="26"/>
          <w:lang w:val="en-US"/>
        </w:rPr>
      </w:pPr>
      <w:r>
        <w:rPr>
          <w:rFonts w:ascii="Arial" w:eastAsia="Times New Roman" w:hAnsi="Arial" w:cs="Arial"/>
          <w:color w:val="000000"/>
          <w:sz w:val="26"/>
          <w:szCs w:val="26"/>
          <w:lang w:val="en-US"/>
        </w:rPr>
        <w:pict>
          <v:rect id="_x0000_i1025" style="width:503.15pt;height:1.5pt" o:hralign="center" o:hrstd="t" o:hr="t" fillcolor="#a0a0a0" stroked="f"/>
        </w:pict>
      </w:r>
    </w:p>
    <w:p w:rsidR="00D54E4F" w:rsidRPr="00D54E4F" w:rsidRDefault="00D54E4F" w:rsidP="00D54E4F">
      <w:pPr>
        <w:spacing w:after="0" w:line="240" w:lineRule="auto"/>
        <w:rPr>
          <w:rFonts w:ascii="Arial" w:eastAsia="Times New Roman" w:hAnsi="Arial" w:cs="Arial"/>
          <w:color w:val="000000"/>
          <w:sz w:val="26"/>
          <w:szCs w:val="26"/>
          <w:lang w:val="en-US"/>
        </w:rPr>
      </w:pPr>
      <w:r w:rsidRPr="00D54E4F">
        <w:rPr>
          <w:rFonts w:ascii="Arial" w:eastAsia="Times New Roman" w:hAnsi="Arial" w:cs="Arial"/>
          <w:b/>
          <w:bCs/>
          <w:color w:val="000000"/>
          <w:sz w:val="26"/>
          <w:szCs w:val="26"/>
          <w:lang w:val="en-US"/>
        </w:rPr>
        <w:t xml:space="preserve">De la: </w:t>
      </w:r>
      <w:r w:rsidRPr="00D54E4F">
        <w:rPr>
          <w:rFonts w:ascii="Arial" w:eastAsia="Times New Roman" w:hAnsi="Arial" w:cs="Arial"/>
          <w:color w:val="000000"/>
          <w:sz w:val="26"/>
          <w:szCs w:val="26"/>
          <w:lang w:val="en-US"/>
        </w:rPr>
        <w:t>"Vasilii Dogotari" &lt;</w:t>
      </w:r>
      <w:hyperlink r:id="rId8" w:history="1">
        <w:r w:rsidRPr="00D54E4F">
          <w:rPr>
            <w:rFonts w:ascii="Arial" w:eastAsia="Times New Roman" w:hAnsi="Arial" w:cs="Arial"/>
            <w:color w:val="0563C1"/>
            <w:sz w:val="26"/>
            <w:szCs w:val="26"/>
            <w:u w:val="single"/>
            <w:lang w:val="en-US"/>
          </w:rPr>
          <w:t>vasilii.dogotari@maia.gov.md</w:t>
        </w:r>
      </w:hyperlink>
      <w:r w:rsidRPr="00D54E4F">
        <w:rPr>
          <w:rFonts w:ascii="Arial" w:eastAsia="Times New Roman" w:hAnsi="Arial" w:cs="Arial"/>
          <w:color w:val="000000"/>
          <w:sz w:val="26"/>
          <w:szCs w:val="26"/>
          <w:lang w:val="en-US"/>
        </w:rPr>
        <w:t>&gt;</w:t>
      </w:r>
      <w:r w:rsidRPr="00D54E4F">
        <w:rPr>
          <w:rFonts w:ascii="Arial" w:eastAsia="Times New Roman" w:hAnsi="Arial" w:cs="Arial"/>
          <w:color w:val="000000"/>
          <w:sz w:val="26"/>
          <w:szCs w:val="26"/>
          <w:lang w:val="en-US"/>
        </w:rPr>
        <w:br/>
      </w:r>
      <w:proofErr w:type="spellStart"/>
      <w:r w:rsidRPr="00D54E4F">
        <w:rPr>
          <w:rFonts w:ascii="Arial" w:eastAsia="Times New Roman" w:hAnsi="Arial" w:cs="Arial"/>
          <w:b/>
          <w:bCs/>
          <w:color w:val="000000"/>
          <w:sz w:val="26"/>
          <w:szCs w:val="26"/>
          <w:lang w:val="en-US"/>
        </w:rPr>
        <w:t>Către</w:t>
      </w:r>
      <w:proofErr w:type="spellEnd"/>
      <w:r w:rsidRPr="00D54E4F">
        <w:rPr>
          <w:rFonts w:ascii="Arial" w:eastAsia="Times New Roman" w:hAnsi="Arial" w:cs="Arial"/>
          <w:b/>
          <w:bCs/>
          <w:color w:val="000000"/>
          <w:sz w:val="26"/>
          <w:szCs w:val="26"/>
          <w:lang w:val="en-US"/>
        </w:rPr>
        <w:t xml:space="preserve">: </w:t>
      </w:r>
      <w:r w:rsidRPr="00D54E4F">
        <w:rPr>
          <w:rFonts w:ascii="Arial" w:eastAsia="Times New Roman" w:hAnsi="Arial" w:cs="Arial"/>
          <w:color w:val="000000"/>
          <w:sz w:val="26"/>
          <w:szCs w:val="26"/>
          <w:lang w:val="en-US"/>
        </w:rPr>
        <w:t>"Viorica Bejan" &lt;</w:t>
      </w:r>
      <w:hyperlink r:id="rId9" w:history="1">
        <w:r w:rsidRPr="00D54E4F">
          <w:rPr>
            <w:rFonts w:ascii="Arial" w:eastAsia="Times New Roman" w:hAnsi="Arial" w:cs="Arial"/>
            <w:color w:val="0563C1"/>
            <w:sz w:val="26"/>
            <w:szCs w:val="26"/>
            <w:u w:val="single"/>
            <w:lang w:val="en-US"/>
          </w:rPr>
          <w:t>viorica.bejan@mded.gov.md</w:t>
        </w:r>
      </w:hyperlink>
      <w:r w:rsidRPr="00D54E4F">
        <w:rPr>
          <w:rFonts w:ascii="Arial" w:eastAsia="Times New Roman" w:hAnsi="Arial" w:cs="Arial"/>
          <w:color w:val="000000"/>
          <w:sz w:val="26"/>
          <w:szCs w:val="26"/>
          <w:lang w:val="en-US"/>
        </w:rPr>
        <w:t>&gt;</w:t>
      </w:r>
      <w:r w:rsidRPr="00D54E4F">
        <w:rPr>
          <w:rFonts w:ascii="Arial" w:eastAsia="Times New Roman" w:hAnsi="Arial" w:cs="Arial"/>
          <w:color w:val="000000"/>
          <w:sz w:val="26"/>
          <w:szCs w:val="26"/>
          <w:lang w:val="en-US"/>
        </w:rPr>
        <w:br/>
      </w:r>
      <w:r w:rsidRPr="00D54E4F">
        <w:rPr>
          <w:rFonts w:ascii="Arial" w:eastAsia="Times New Roman" w:hAnsi="Arial" w:cs="Arial"/>
          <w:b/>
          <w:bCs/>
          <w:color w:val="000000"/>
          <w:sz w:val="26"/>
          <w:szCs w:val="26"/>
          <w:lang w:val="en-US"/>
        </w:rPr>
        <w:t xml:space="preserve">cc: </w:t>
      </w:r>
      <w:r w:rsidRPr="00D54E4F">
        <w:rPr>
          <w:rFonts w:ascii="Arial" w:eastAsia="Times New Roman" w:hAnsi="Arial" w:cs="Arial"/>
          <w:color w:val="000000"/>
          <w:sz w:val="26"/>
          <w:szCs w:val="26"/>
          <w:lang w:val="en-US"/>
        </w:rPr>
        <w:t>"Andrian DIGOLEAN" &lt;</w:t>
      </w:r>
      <w:hyperlink r:id="rId10" w:history="1">
        <w:r w:rsidRPr="00D54E4F">
          <w:rPr>
            <w:rFonts w:ascii="Arial" w:eastAsia="Times New Roman" w:hAnsi="Arial" w:cs="Arial"/>
            <w:color w:val="0563C1"/>
            <w:sz w:val="26"/>
            <w:szCs w:val="26"/>
            <w:u w:val="single"/>
            <w:lang w:val="en-US"/>
          </w:rPr>
          <w:t>andrian.digolean@maia.gov.md</w:t>
        </w:r>
      </w:hyperlink>
      <w:r w:rsidRPr="00D54E4F">
        <w:rPr>
          <w:rFonts w:ascii="Arial" w:eastAsia="Times New Roman" w:hAnsi="Arial" w:cs="Arial"/>
          <w:color w:val="000000"/>
          <w:sz w:val="26"/>
          <w:szCs w:val="26"/>
          <w:lang w:val="en-US"/>
        </w:rPr>
        <w:t>&gt;, "Liliana Dascaliuc" &lt;</w:t>
      </w:r>
      <w:hyperlink r:id="rId11" w:history="1">
        <w:r w:rsidRPr="00D54E4F">
          <w:rPr>
            <w:rFonts w:ascii="Arial" w:eastAsia="Times New Roman" w:hAnsi="Arial" w:cs="Arial"/>
            <w:color w:val="0563C1"/>
            <w:sz w:val="26"/>
            <w:szCs w:val="26"/>
            <w:u w:val="single"/>
            <w:lang w:val="en-US"/>
          </w:rPr>
          <w:t>liliana.dascaliuc@maia.gov.md</w:t>
        </w:r>
      </w:hyperlink>
      <w:r w:rsidRPr="00D54E4F">
        <w:rPr>
          <w:rFonts w:ascii="Arial" w:eastAsia="Times New Roman" w:hAnsi="Arial" w:cs="Arial"/>
          <w:color w:val="000000"/>
          <w:sz w:val="26"/>
          <w:szCs w:val="26"/>
          <w:lang w:val="en-US"/>
        </w:rPr>
        <w:t xml:space="preserve">&gt;, "svetlana </w:t>
      </w:r>
      <w:proofErr w:type="spellStart"/>
      <w:r w:rsidRPr="00D54E4F">
        <w:rPr>
          <w:rFonts w:ascii="Arial" w:eastAsia="Times New Roman" w:hAnsi="Arial" w:cs="Arial"/>
          <w:color w:val="000000"/>
          <w:sz w:val="26"/>
          <w:szCs w:val="26"/>
          <w:lang w:val="en-US"/>
        </w:rPr>
        <w:t>nunu</w:t>
      </w:r>
      <w:proofErr w:type="spellEnd"/>
      <w:r w:rsidRPr="00D54E4F">
        <w:rPr>
          <w:rFonts w:ascii="Arial" w:eastAsia="Times New Roman" w:hAnsi="Arial" w:cs="Arial"/>
          <w:color w:val="000000"/>
          <w:sz w:val="26"/>
          <w:szCs w:val="26"/>
          <w:lang w:val="en-US"/>
        </w:rPr>
        <w:t>" &lt;</w:t>
      </w:r>
      <w:hyperlink r:id="rId12" w:history="1">
        <w:r w:rsidRPr="00D54E4F">
          <w:rPr>
            <w:rFonts w:ascii="Arial" w:eastAsia="Times New Roman" w:hAnsi="Arial" w:cs="Arial"/>
            <w:color w:val="0563C1"/>
            <w:sz w:val="26"/>
            <w:szCs w:val="26"/>
            <w:u w:val="single"/>
            <w:lang w:val="en-US"/>
          </w:rPr>
          <w:t>svetlana.nunu@gov.md</w:t>
        </w:r>
      </w:hyperlink>
      <w:r w:rsidRPr="00D54E4F">
        <w:rPr>
          <w:rFonts w:ascii="Arial" w:eastAsia="Times New Roman" w:hAnsi="Arial" w:cs="Arial"/>
          <w:color w:val="000000"/>
          <w:sz w:val="26"/>
          <w:szCs w:val="26"/>
          <w:lang w:val="en-US"/>
        </w:rPr>
        <w:t>&gt;</w:t>
      </w:r>
      <w:r w:rsidRPr="00D54E4F">
        <w:rPr>
          <w:rFonts w:ascii="Arial" w:eastAsia="Times New Roman" w:hAnsi="Arial" w:cs="Arial"/>
          <w:color w:val="000000"/>
          <w:sz w:val="26"/>
          <w:szCs w:val="26"/>
          <w:lang w:val="en-US"/>
        </w:rPr>
        <w:br/>
      </w:r>
      <w:proofErr w:type="spellStart"/>
      <w:r w:rsidRPr="00D54E4F">
        <w:rPr>
          <w:rFonts w:ascii="Arial" w:eastAsia="Times New Roman" w:hAnsi="Arial" w:cs="Arial"/>
          <w:b/>
          <w:bCs/>
          <w:color w:val="000000"/>
          <w:sz w:val="26"/>
          <w:szCs w:val="26"/>
          <w:lang w:val="en-US"/>
        </w:rPr>
        <w:t>Trimis</w:t>
      </w:r>
      <w:proofErr w:type="spellEnd"/>
      <w:r w:rsidRPr="00D54E4F">
        <w:rPr>
          <w:rFonts w:ascii="Arial" w:eastAsia="Times New Roman" w:hAnsi="Arial" w:cs="Arial"/>
          <w:b/>
          <w:bCs/>
          <w:color w:val="000000"/>
          <w:sz w:val="26"/>
          <w:szCs w:val="26"/>
          <w:lang w:val="en-US"/>
        </w:rPr>
        <w:t xml:space="preserve">: </w:t>
      </w:r>
      <w:proofErr w:type="spellStart"/>
      <w:r w:rsidRPr="00D54E4F">
        <w:rPr>
          <w:rFonts w:ascii="Arial" w:eastAsia="Times New Roman" w:hAnsi="Arial" w:cs="Arial"/>
          <w:color w:val="000000"/>
          <w:sz w:val="26"/>
          <w:szCs w:val="26"/>
          <w:lang w:val="en-US"/>
        </w:rPr>
        <w:t>joi</w:t>
      </w:r>
      <w:proofErr w:type="spellEnd"/>
      <w:r w:rsidRPr="00D54E4F">
        <w:rPr>
          <w:rFonts w:ascii="Arial" w:eastAsia="Times New Roman" w:hAnsi="Arial" w:cs="Arial"/>
          <w:color w:val="000000"/>
          <w:sz w:val="26"/>
          <w:szCs w:val="26"/>
          <w:lang w:val="en-US"/>
        </w:rPr>
        <w:t xml:space="preserve">, 23 </w:t>
      </w:r>
      <w:proofErr w:type="spellStart"/>
      <w:r w:rsidRPr="00D54E4F">
        <w:rPr>
          <w:rFonts w:ascii="Arial" w:eastAsia="Times New Roman" w:hAnsi="Arial" w:cs="Arial"/>
          <w:color w:val="000000"/>
          <w:sz w:val="26"/>
          <w:szCs w:val="26"/>
          <w:lang w:val="en-US"/>
        </w:rPr>
        <w:t>ianuarie</w:t>
      </w:r>
      <w:proofErr w:type="spellEnd"/>
      <w:r w:rsidRPr="00D54E4F">
        <w:rPr>
          <w:rFonts w:ascii="Arial" w:eastAsia="Times New Roman" w:hAnsi="Arial" w:cs="Arial"/>
          <w:color w:val="000000"/>
          <w:sz w:val="26"/>
          <w:szCs w:val="26"/>
          <w:lang w:val="en-US"/>
        </w:rPr>
        <w:t>, 2025 15:18:22</w:t>
      </w:r>
      <w:r w:rsidRPr="00D54E4F">
        <w:rPr>
          <w:rFonts w:ascii="Arial" w:eastAsia="Times New Roman" w:hAnsi="Arial" w:cs="Arial"/>
          <w:color w:val="000000"/>
          <w:sz w:val="26"/>
          <w:szCs w:val="26"/>
          <w:lang w:val="en-US"/>
        </w:rPr>
        <w:br/>
      </w:r>
      <w:proofErr w:type="spellStart"/>
      <w:r w:rsidRPr="00D54E4F">
        <w:rPr>
          <w:rFonts w:ascii="Arial" w:eastAsia="Times New Roman" w:hAnsi="Arial" w:cs="Arial"/>
          <w:b/>
          <w:bCs/>
          <w:color w:val="000000"/>
          <w:sz w:val="26"/>
          <w:szCs w:val="26"/>
          <w:lang w:val="en-US"/>
        </w:rPr>
        <w:t>Subiect</w:t>
      </w:r>
      <w:proofErr w:type="spellEnd"/>
      <w:r w:rsidRPr="00D54E4F">
        <w:rPr>
          <w:rFonts w:ascii="Arial" w:eastAsia="Times New Roman" w:hAnsi="Arial" w:cs="Arial"/>
          <w:b/>
          <w:bCs/>
          <w:color w:val="000000"/>
          <w:sz w:val="26"/>
          <w:szCs w:val="26"/>
          <w:lang w:val="en-US"/>
        </w:rPr>
        <w:t xml:space="preserve">: </w:t>
      </w:r>
      <w:r w:rsidRPr="00D54E4F">
        <w:rPr>
          <w:rFonts w:ascii="Arial" w:eastAsia="Times New Roman" w:hAnsi="Arial" w:cs="Arial"/>
          <w:color w:val="000000"/>
          <w:sz w:val="26"/>
          <w:szCs w:val="26"/>
          <w:lang w:val="en-US"/>
        </w:rPr>
        <w:t>Re:</w:t>
      </w:r>
    </w:p>
    <w:p w:rsidR="00D54E4F" w:rsidRPr="00D54E4F" w:rsidRDefault="00D54E4F" w:rsidP="00D54E4F">
      <w:pPr>
        <w:spacing w:after="0" w:line="240" w:lineRule="auto"/>
        <w:rPr>
          <w:rFonts w:ascii="Arial" w:eastAsia="Times New Roman" w:hAnsi="Arial" w:cs="Arial"/>
          <w:color w:val="000000"/>
          <w:sz w:val="26"/>
          <w:szCs w:val="26"/>
          <w:lang w:val="en-US"/>
        </w:rPr>
      </w:pPr>
    </w:p>
    <w:p w:rsidR="00D54E4F" w:rsidRPr="00D54E4F" w:rsidRDefault="00D54E4F" w:rsidP="00D54E4F">
      <w:pPr>
        <w:spacing w:after="260" w:line="240" w:lineRule="auto"/>
        <w:rPr>
          <w:rFonts w:ascii="Arial" w:eastAsia="Times New Roman" w:hAnsi="Arial" w:cs="Arial"/>
          <w:color w:val="000000"/>
          <w:sz w:val="26"/>
          <w:szCs w:val="26"/>
          <w:lang w:val="en-US"/>
        </w:rPr>
      </w:pPr>
      <w:r w:rsidRPr="00D54E4F">
        <w:rPr>
          <w:rFonts w:ascii="Arial" w:eastAsia="Times New Roman" w:hAnsi="Arial" w:cs="Arial"/>
          <w:color w:val="000000"/>
          <w:sz w:val="26"/>
          <w:szCs w:val="26"/>
          <w:lang w:val="en-US"/>
        </w:rPr>
        <w:t xml:space="preserve">Buna </w:t>
      </w:r>
      <w:proofErr w:type="spellStart"/>
      <w:r w:rsidRPr="00D54E4F">
        <w:rPr>
          <w:rFonts w:ascii="Arial" w:eastAsia="Times New Roman" w:hAnsi="Arial" w:cs="Arial"/>
          <w:color w:val="000000"/>
          <w:sz w:val="26"/>
          <w:szCs w:val="26"/>
          <w:lang w:val="en-US"/>
        </w:rPr>
        <w:t>ziua</w:t>
      </w:r>
      <w:proofErr w:type="spellEnd"/>
      <w:proofErr w:type="gramStart"/>
      <w:r w:rsidRPr="00D54E4F">
        <w:rPr>
          <w:rFonts w:ascii="Arial" w:eastAsia="Times New Roman" w:hAnsi="Arial" w:cs="Arial"/>
          <w:color w:val="000000"/>
          <w:sz w:val="26"/>
          <w:szCs w:val="26"/>
          <w:lang w:val="en-US"/>
        </w:rPr>
        <w:t>,</w:t>
      </w:r>
      <w:proofErr w:type="gramEnd"/>
      <w:r w:rsidRPr="00D54E4F">
        <w:rPr>
          <w:rFonts w:ascii="Arial" w:eastAsia="Times New Roman" w:hAnsi="Arial" w:cs="Arial"/>
          <w:color w:val="000000"/>
          <w:sz w:val="26"/>
          <w:szCs w:val="26"/>
          <w:lang w:val="en-US"/>
        </w:rPr>
        <w:br/>
      </w:r>
      <w:proofErr w:type="spellStart"/>
      <w:r w:rsidRPr="00D54E4F">
        <w:rPr>
          <w:rFonts w:ascii="Arial" w:eastAsia="Times New Roman" w:hAnsi="Arial" w:cs="Arial"/>
          <w:color w:val="000000"/>
          <w:sz w:val="26"/>
          <w:szCs w:val="26"/>
          <w:lang w:val="en-US"/>
        </w:rPr>
        <w:t>Obiecții</w:t>
      </w:r>
      <w:proofErr w:type="spellEnd"/>
      <w:r w:rsidRPr="00D54E4F">
        <w:rPr>
          <w:rFonts w:ascii="Arial" w:eastAsia="Times New Roman" w:hAnsi="Arial" w:cs="Arial"/>
          <w:color w:val="000000"/>
          <w:sz w:val="26"/>
          <w:szCs w:val="26"/>
          <w:lang w:val="en-US"/>
        </w:rPr>
        <w:t xml:space="preserve"> nu </w:t>
      </w:r>
      <w:proofErr w:type="spellStart"/>
      <w:r w:rsidRPr="00D54E4F">
        <w:rPr>
          <w:rFonts w:ascii="Arial" w:eastAsia="Times New Roman" w:hAnsi="Arial" w:cs="Arial"/>
          <w:color w:val="000000"/>
          <w:sz w:val="26"/>
          <w:szCs w:val="26"/>
          <w:lang w:val="en-US"/>
        </w:rPr>
        <w:t>avem</w:t>
      </w:r>
      <w:proofErr w:type="spellEnd"/>
      <w:r w:rsidRPr="00D54E4F">
        <w:rPr>
          <w:rFonts w:ascii="Arial" w:eastAsia="Times New Roman" w:hAnsi="Arial" w:cs="Arial"/>
          <w:color w:val="000000"/>
          <w:sz w:val="26"/>
          <w:szCs w:val="26"/>
          <w:lang w:val="en-US"/>
        </w:rPr>
        <w:t>.</w:t>
      </w:r>
    </w:p>
    <w:p w:rsidR="00D54E4F" w:rsidRPr="00D54E4F" w:rsidRDefault="00A66DC2" w:rsidP="00D54E4F">
      <w:pPr>
        <w:spacing w:after="0" w:line="240" w:lineRule="auto"/>
        <w:jc w:val="center"/>
        <w:rPr>
          <w:rFonts w:ascii="Arial" w:eastAsia="Times New Roman" w:hAnsi="Arial" w:cs="Arial"/>
          <w:color w:val="000000"/>
          <w:sz w:val="26"/>
          <w:szCs w:val="26"/>
          <w:lang w:val="en-US"/>
        </w:rPr>
      </w:pPr>
      <w:r>
        <w:rPr>
          <w:rFonts w:ascii="Arial" w:eastAsia="Times New Roman" w:hAnsi="Arial" w:cs="Arial"/>
          <w:color w:val="000000"/>
          <w:sz w:val="26"/>
          <w:szCs w:val="26"/>
          <w:lang w:val="en-US"/>
        </w:rPr>
        <w:pict>
          <v:rect id="_x0000_i1026" style="width:503.15pt;height:1.5pt" o:hralign="center" o:hrstd="t" o:hr="t" fillcolor="#a0a0a0" stroked="f"/>
        </w:pict>
      </w:r>
    </w:p>
    <w:p w:rsidR="00D54E4F" w:rsidRPr="00D54E4F" w:rsidRDefault="00D54E4F" w:rsidP="00D54E4F">
      <w:pPr>
        <w:spacing w:after="0" w:line="240" w:lineRule="auto"/>
        <w:rPr>
          <w:rFonts w:ascii="Arial" w:eastAsia="Times New Roman" w:hAnsi="Arial" w:cs="Arial"/>
          <w:color w:val="000000"/>
          <w:sz w:val="26"/>
          <w:szCs w:val="26"/>
          <w:lang w:val="en-US"/>
        </w:rPr>
      </w:pPr>
      <w:r w:rsidRPr="00D54E4F">
        <w:rPr>
          <w:rFonts w:ascii="Arial" w:eastAsia="Times New Roman" w:hAnsi="Arial" w:cs="Arial"/>
          <w:b/>
          <w:bCs/>
          <w:color w:val="000000"/>
          <w:sz w:val="26"/>
          <w:szCs w:val="26"/>
          <w:lang w:val="en-US"/>
        </w:rPr>
        <w:t xml:space="preserve">De la: </w:t>
      </w:r>
      <w:r w:rsidRPr="00D54E4F">
        <w:rPr>
          <w:rFonts w:ascii="Arial" w:eastAsia="Times New Roman" w:hAnsi="Arial" w:cs="Arial"/>
          <w:color w:val="000000"/>
          <w:sz w:val="26"/>
          <w:szCs w:val="26"/>
          <w:lang w:val="en-US"/>
        </w:rPr>
        <w:t>"Viorica Bejan" &lt;</w:t>
      </w:r>
      <w:hyperlink r:id="rId13" w:history="1">
        <w:r w:rsidRPr="00D54E4F">
          <w:rPr>
            <w:rFonts w:ascii="Arial" w:eastAsia="Times New Roman" w:hAnsi="Arial" w:cs="Arial"/>
            <w:color w:val="0563C1"/>
            <w:sz w:val="26"/>
            <w:szCs w:val="26"/>
            <w:u w:val="single"/>
            <w:lang w:val="en-US"/>
          </w:rPr>
          <w:t>viorica.bejan@mded.gov.md</w:t>
        </w:r>
      </w:hyperlink>
      <w:r w:rsidRPr="00D54E4F">
        <w:rPr>
          <w:rFonts w:ascii="Arial" w:eastAsia="Times New Roman" w:hAnsi="Arial" w:cs="Arial"/>
          <w:color w:val="000000"/>
          <w:sz w:val="26"/>
          <w:szCs w:val="26"/>
          <w:lang w:val="en-US"/>
        </w:rPr>
        <w:t>&gt;</w:t>
      </w:r>
      <w:r w:rsidRPr="00D54E4F">
        <w:rPr>
          <w:rFonts w:ascii="Arial" w:eastAsia="Times New Roman" w:hAnsi="Arial" w:cs="Arial"/>
          <w:color w:val="000000"/>
          <w:sz w:val="26"/>
          <w:szCs w:val="26"/>
          <w:lang w:val="en-US"/>
        </w:rPr>
        <w:br/>
      </w:r>
      <w:proofErr w:type="spellStart"/>
      <w:r w:rsidRPr="00D54E4F">
        <w:rPr>
          <w:rFonts w:ascii="Arial" w:eastAsia="Times New Roman" w:hAnsi="Arial" w:cs="Arial"/>
          <w:b/>
          <w:bCs/>
          <w:color w:val="000000"/>
          <w:sz w:val="26"/>
          <w:szCs w:val="26"/>
          <w:lang w:val="en-US"/>
        </w:rPr>
        <w:t>Către</w:t>
      </w:r>
      <w:proofErr w:type="spellEnd"/>
      <w:r w:rsidRPr="00D54E4F">
        <w:rPr>
          <w:rFonts w:ascii="Arial" w:eastAsia="Times New Roman" w:hAnsi="Arial" w:cs="Arial"/>
          <w:b/>
          <w:bCs/>
          <w:color w:val="000000"/>
          <w:sz w:val="26"/>
          <w:szCs w:val="26"/>
          <w:lang w:val="en-US"/>
        </w:rPr>
        <w:t xml:space="preserve">: </w:t>
      </w:r>
      <w:r w:rsidRPr="00D54E4F">
        <w:rPr>
          <w:rFonts w:ascii="Arial" w:eastAsia="Times New Roman" w:hAnsi="Arial" w:cs="Arial"/>
          <w:color w:val="000000"/>
          <w:sz w:val="26"/>
          <w:szCs w:val="26"/>
          <w:lang w:val="en-US"/>
        </w:rPr>
        <w:t>"Vasilii Dogotari" &lt;</w:t>
      </w:r>
      <w:hyperlink r:id="rId14" w:history="1">
        <w:r w:rsidRPr="00D54E4F">
          <w:rPr>
            <w:rFonts w:ascii="Arial" w:eastAsia="Times New Roman" w:hAnsi="Arial" w:cs="Arial"/>
            <w:color w:val="0563C1"/>
            <w:sz w:val="26"/>
            <w:szCs w:val="26"/>
            <w:u w:val="single"/>
            <w:lang w:val="en-US"/>
          </w:rPr>
          <w:t>vasilii.dogotari@maia.gov.md</w:t>
        </w:r>
      </w:hyperlink>
      <w:r w:rsidRPr="00D54E4F">
        <w:rPr>
          <w:rFonts w:ascii="Arial" w:eastAsia="Times New Roman" w:hAnsi="Arial" w:cs="Arial"/>
          <w:color w:val="000000"/>
          <w:sz w:val="26"/>
          <w:szCs w:val="26"/>
          <w:lang w:val="en-US"/>
        </w:rPr>
        <w:t>&gt;</w:t>
      </w:r>
      <w:r w:rsidRPr="00D54E4F">
        <w:rPr>
          <w:rFonts w:ascii="Arial" w:eastAsia="Times New Roman" w:hAnsi="Arial" w:cs="Arial"/>
          <w:color w:val="000000"/>
          <w:sz w:val="26"/>
          <w:szCs w:val="26"/>
          <w:lang w:val="en-US"/>
        </w:rPr>
        <w:br/>
      </w:r>
      <w:r w:rsidRPr="00D54E4F">
        <w:rPr>
          <w:rFonts w:ascii="Arial" w:eastAsia="Times New Roman" w:hAnsi="Arial" w:cs="Arial"/>
          <w:b/>
          <w:bCs/>
          <w:color w:val="000000"/>
          <w:sz w:val="26"/>
          <w:szCs w:val="26"/>
          <w:lang w:val="en-US"/>
        </w:rPr>
        <w:t xml:space="preserve">cc: </w:t>
      </w:r>
      <w:r w:rsidRPr="00D54E4F">
        <w:rPr>
          <w:rFonts w:ascii="Arial" w:eastAsia="Times New Roman" w:hAnsi="Arial" w:cs="Arial"/>
          <w:color w:val="000000"/>
          <w:sz w:val="26"/>
          <w:szCs w:val="26"/>
          <w:lang w:val="en-US"/>
        </w:rPr>
        <w:t>"Andrian DIGOLEAN" &lt;</w:t>
      </w:r>
      <w:hyperlink r:id="rId15" w:history="1">
        <w:r w:rsidRPr="00D54E4F">
          <w:rPr>
            <w:rFonts w:ascii="Arial" w:eastAsia="Times New Roman" w:hAnsi="Arial" w:cs="Arial"/>
            <w:color w:val="0563C1"/>
            <w:sz w:val="26"/>
            <w:szCs w:val="26"/>
            <w:u w:val="single"/>
            <w:lang w:val="en-US"/>
          </w:rPr>
          <w:t>andrian.digolean@maia.gov.md</w:t>
        </w:r>
      </w:hyperlink>
      <w:r w:rsidRPr="00D54E4F">
        <w:rPr>
          <w:rFonts w:ascii="Arial" w:eastAsia="Times New Roman" w:hAnsi="Arial" w:cs="Arial"/>
          <w:color w:val="000000"/>
          <w:sz w:val="26"/>
          <w:szCs w:val="26"/>
          <w:lang w:val="en-US"/>
        </w:rPr>
        <w:t>&gt;, "Liliana Dascaliuc" &lt;</w:t>
      </w:r>
      <w:hyperlink r:id="rId16" w:history="1">
        <w:r w:rsidRPr="00D54E4F">
          <w:rPr>
            <w:rFonts w:ascii="Arial" w:eastAsia="Times New Roman" w:hAnsi="Arial" w:cs="Arial"/>
            <w:color w:val="0563C1"/>
            <w:sz w:val="26"/>
            <w:szCs w:val="26"/>
            <w:u w:val="single"/>
            <w:lang w:val="en-US"/>
          </w:rPr>
          <w:t>liliana.dascaliuc@maia.gov.md</w:t>
        </w:r>
      </w:hyperlink>
      <w:r w:rsidRPr="00D54E4F">
        <w:rPr>
          <w:rFonts w:ascii="Arial" w:eastAsia="Times New Roman" w:hAnsi="Arial" w:cs="Arial"/>
          <w:color w:val="000000"/>
          <w:sz w:val="26"/>
          <w:szCs w:val="26"/>
          <w:lang w:val="en-US"/>
        </w:rPr>
        <w:t xml:space="preserve">&gt;, "svetlana </w:t>
      </w:r>
      <w:proofErr w:type="spellStart"/>
      <w:r w:rsidRPr="00D54E4F">
        <w:rPr>
          <w:rFonts w:ascii="Arial" w:eastAsia="Times New Roman" w:hAnsi="Arial" w:cs="Arial"/>
          <w:color w:val="000000"/>
          <w:sz w:val="26"/>
          <w:szCs w:val="26"/>
          <w:lang w:val="en-US"/>
        </w:rPr>
        <w:t>nunu</w:t>
      </w:r>
      <w:proofErr w:type="spellEnd"/>
      <w:r w:rsidRPr="00D54E4F">
        <w:rPr>
          <w:rFonts w:ascii="Arial" w:eastAsia="Times New Roman" w:hAnsi="Arial" w:cs="Arial"/>
          <w:color w:val="000000"/>
          <w:sz w:val="26"/>
          <w:szCs w:val="26"/>
          <w:lang w:val="en-US"/>
        </w:rPr>
        <w:t>" &lt;</w:t>
      </w:r>
      <w:hyperlink r:id="rId17" w:history="1">
        <w:r w:rsidRPr="00D54E4F">
          <w:rPr>
            <w:rFonts w:ascii="Arial" w:eastAsia="Times New Roman" w:hAnsi="Arial" w:cs="Arial"/>
            <w:color w:val="0563C1"/>
            <w:sz w:val="26"/>
            <w:szCs w:val="26"/>
            <w:u w:val="single"/>
            <w:lang w:val="en-US"/>
          </w:rPr>
          <w:t>svetlana.nunu@gov.md</w:t>
        </w:r>
      </w:hyperlink>
      <w:r w:rsidRPr="00D54E4F">
        <w:rPr>
          <w:rFonts w:ascii="Arial" w:eastAsia="Times New Roman" w:hAnsi="Arial" w:cs="Arial"/>
          <w:color w:val="000000"/>
          <w:sz w:val="26"/>
          <w:szCs w:val="26"/>
          <w:lang w:val="en-US"/>
        </w:rPr>
        <w:t>&gt;</w:t>
      </w:r>
      <w:r w:rsidRPr="00D54E4F">
        <w:rPr>
          <w:rFonts w:ascii="Arial" w:eastAsia="Times New Roman" w:hAnsi="Arial" w:cs="Arial"/>
          <w:color w:val="000000"/>
          <w:sz w:val="26"/>
          <w:szCs w:val="26"/>
          <w:lang w:val="en-US"/>
        </w:rPr>
        <w:br/>
      </w:r>
      <w:proofErr w:type="spellStart"/>
      <w:r w:rsidRPr="00D54E4F">
        <w:rPr>
          <w:rFonts w:ascii="Arial" w:eastAsia="Times New Roman" w:hAnsi="Arial" w:cs="Arial"/>
          <w:b/>
          <w:bCs/>
          <w:color w:val="000000"/>
          <w:sz w:val="26"/>
          <w:szCs w:val="26"/>
          <w:lang w:val="en-US"/>
        </w:rPr>
        <w:t>Trimis</w:t>
      </w:r>
      <w:proofErr w:type="spellEnd"/>
      <w:r w:rsidRPr="00D54E4F">
        <w:rPr>
          <w:rFonts w:ascii="Arial" w:eastAsia="Times New Roman" w:hAnsi="Arial" w:cs="Arial"/>
          <w:b/>
          <w:bCs/>
          <w:color w:val="000000"/>
          <w:sz w:val="26"/>
          <w:szCs w:val="26"/>
          <w:lang w:val="en-US"/>
        </w:rPr>
        <w:t xml:space="preserve">: </w:t>
      </w:r>
      <w:proofErr w:type="spellStart"/>
      <w:r w:rsidRPr="00D54E4F">
        <w:rPr>
          <w:rFonts w:ascii="Arial" w:eastAsia="Times New Roman" w:hAnsi="Arial" w:cs="Arial"/>
          <w:color w:val="000000"/>
          <w:sz w:val="26"/>
          <w:szCs w:val="26"/>
          <w:lang w:val="en-US"/>
        </w:rPr>
        <w:t>joi</w:t>
      </w:r>
      <w:proofErr w:type="spellEnd"/>
      <w:r w:rsidRPr="00D54E4F">
        <w:rPr>
          <w:rFonts w:ascii="Arial" w:eastAsia="Times New Roman" w:hAnsi="Arial" w:cs="Arial"/>
          <w:color w:val="000000"/>
          <w:sz w:val="26"/>
          <w:szCs w:val="26"/>
          <w:lang w:val="en-US"/>
        </w:rPr>
        <w:t xml:space="preserve">, 23 </w:t>
      </w:r>
      <w:proofErr w:type="spellStart"/>
      <w:r w:rsidRPr="00D54E4F">
        <w:rPr>
          <w:rFonts w:ascii="Arial" w:eastAsia="Times New Roman" w:hAnsi="Arial" w:cs="Arial"/>
          <w:color w:val="000000"/>
          <w:sz w:val="26"/>
          <w:szCs w:val="26"/>
          <w:lang w:val="en-US"/>
        </w:rPr>
        <w:t>ianuarie</w:t>
      </w:r>
      <w:proofErr w:type="spellEnd"/>
      <w:r w:rsidRPr="00D54E4F">
        <w:rPr>
          <w:rFonts w:ascii="Arial" w:eastAsia="Times New Roman" w:hAnsi="Arial" w:cs="Arial"/>
          <w:color w:val="000000"/>
          <w:sz w:val="26"/>
          <w:szCs w:val="26"/>
          <w:lang w:val="en-US"/>
        </w:rPr>
        <w:t>, 2025 14:54:16</w:t>
      </w:r>
      <w:r w:rsidRPr="00D54E4F">
        <w:rPr>
          <w:rFonts w:ascii="Arial" w:eastAsia="Times New Roman" w:hAnsi="Arial" w:cs="Arial"/>
          <w:color w:val="000000"/>
          <w:sz w:val="26"/>
          <w:szCs w:val="26"/>
          <w:lang w:val="en-US"/>
        </w:rPr>
        <w:br/>
      </w:r>
      <w:proofErr w:type="spellStart"/>
      <w:r w:rsidRPr="00D54E4F">
        <w:rPr>
          <w:rFonts w:ascii="Arial" w:eastAsia="Times New Roman" w:hAnsi="Arial" w:cs="Arial"/>
          <w:b/>
          <w:bCs/>
          <w:color w:val="000000"/>
          <w:sz w:val="26"/>
          <w:szCs w:val="26"/>
          <w:lang w:val="en-US"/>
        </w:rPr>
        <w:t>Subiect</w:t>
      </w:r>
      <w:proofErr w:type="spellEnd"/>
      <w:r w:rsidRPr="00D54E4F">
        <w:rPr>
          <w:rFonts w:ascii="Arial" w:eastAsia="Times New Roman" w:hAnsi="Arial" w:cs="Arial"/>
          <w:b/>
          <w:bCs/>
          <w:color w:val="000000"/>
          <w:sz w:val="26"/>
          <w:szCs w:val="26"/>
          <w:lang w:val="en-US"/>
        </w:rPr>
        <w:t xml:space="preserve">: </w:t>
      </w:r>
      <w:r w:rsidRPr="00D54E4F">
        <w:rPr>
          <w:rFonts w:ascii="Arial" w:eastAsia="Times New Roman" w:hAnsi="Arial" w:cs="Arial"/>
          <w:color w:val="000000"/>
          <w:sz w:val="26"/>
          <w:szCs w:val="26"/>
          <w:lang w:val="en-US"/>
        </w:rPr>
        <w:t xml:space="preserve">RE: </w:t>
      </w:r>
    </w:p>
    <w:p w:rsidR="00D54E4F" w:rsidRPr="00D54E4F" w:rsidRDefault="00D54E4F" w:rsidP="00D54E4F">
      <w:pPr>
        <w:spacing w:after="0" w:line="240" w:lineRule="auto"/>
        <w:rPr>
          <w:rFonts w:ascii="Arial" w:eastAsia="Times New Roman" w:hAnsi="Arial" w:cs="Arial"/>
          <w:color w:val="000000"/>
          <w:sz w:val="26"/>
          <w:szCs w:val="26"/>
          <w:lang w:val="en-US"/>
        </w:rPr>
      </w:pPr>
    </w:p>
    <w:p w:rsidR="00D54E4F" w:rsidRPr="00D54E4F" w:rsidRDefault="00D54E4F" w:rsidP="00D54E4F">
      <w:pPr>
        <w:spacing w:after="0" w:line="240" w:lineRule="auto"/>
        <w:rPr>
          <w:rFonts w:ascii="Calibri" w:eastAsia="Calibri" w:hAnsi="Calibri" w:cs="Calibri"/>
          <w:color w:val="000000"/>
          <w:lang w:val="en-US"/>
        </w:rPr>
      </w:pPr>
      <w:r w:rsidRPr="00D54E4F">
        <w:rPr>
          <w:rFonts w:ascii="Calibri" w:eastAsia="Calibri" w:hAnsi="Calibri" w:cs="Calibri"/>
          <w:color w:val="1F497D"/>
          <w:lang w:val="en-US"/>
        </w:rPr>
        <w:t xml:space="preserve">Buna </w:t>
      </w:r>
      <w:proofErr w:type="spellStart"/>
      <w:r w:rsidRPr="00D54E4F">
        <w:rPr>
          <w:rFonts w:ascii="Calibri" w:eastAsia="Calibri" w:hAnsi="Calibri" w:cs="Calibri"/>
          <w:color w:val="1F497D"/>
          <w:lang w:val="en-US"/>
        </w:rPr>
        <w:t>ziua</w:t>
      </w:r>
      <w:proofErr w:type="spellEnd"/>
      <w:r w:rsidRPr="00D54E4F">
        <w:rPr>
          <w:rFonts w:ascii="Calibri" w:eastAsia="Calibri" w:hAnsi="Calibri" w:cs="Calibri"/>
          <w:color w:val="1F497D"/>
          <w:lang w:val="en-US"/>
        </w:rPr>
        <w:t>,</w:t>
      </w:r>
    </w:p>
    <w:p w:rsidR="00D54E4F" w:rsidRPr="00D54E4F" w:rsidRDefault="00D54E4F" w:rsidP="009705EE">
      <w:pPr>
        <w:spacing w:after="0" w:line="240" w:lineRule="auto"/>
        <w:jc w:val="both"/>
        <w:rPr>
          <w:rFonts w:ascii="Calibri" w:eastAsia="Calibri" w:hAnsi="Calibri" w:cs="Calibri"/>
          <w:color w:val="000000"/>
          <w:lang w:val="en-US"/>
        </w:rPr>
      </w:pPr>
      <w:proofErr w:type="spellStart"/>
      <w:proofErr w:type="gramStart"/>
      <w:r w:rsidRPr="00D54E4F">
        <w:rPr>
          <w:rFonts w:ascii="Calibri" w:eastAsia="Calibri" w:hAnsi="Calibri" w:cs="Calibri"/>
          <w:color w:val="1F497D"/>
          <w:lang w:val="en-US"/>
        </w:rPr>
        <w:t>urmare</w:t>
      </w:r>
      <w:proofErr w:type="spellEnd"/>
      <w:proofErr w:type="gramEnd"/>
      <w:r w:rsidRPr="00D54E4F">
        <w:rPr>
          <w:rFonts w:ascii="Calibri" w:eastAsia="Calibri" w:hAnsi="Calibri" w:cs="Calibri"/>
          <w:color w:val="1F497D"/>
          <w:lang w:val="en-US"/>
        </w:rPr>
        <w:t xml:space="preserve"> </w:t>
      </w:r>
      <w:proofErr w:type="spellStart"/>
      <w:r w:rsidRPr="00D54E4F">
        <w:rPr>
          <w:rFonts w:ascii="Calibri" w:eastAsia="Calibri" w:hAnsi="Calibri" w:cs="Calibri"/>
          <w:color w:val="1F497D"/>
          <w:lang w:val="en-US"/>
        </w:rPr>
        <w:t>propuneri</w:t>
      </w:r>
      <w:proofErr w:type="spellEnd"/>
      <w:r w:rsidRPr="00D54E4F">
        <w:rPr>
          <w:rFonts w:ascii="Calibri" w:eastAsia="Calibri" w:hAnsi="Calibri" w:cs="Calibri"/>
          <w:color w:val="1F497D"/>
          <w:lang w:val="en-US"/>
        </w:rPr>
        <w:t xml:space="preserve"> </w:t>
      </w:r>
      <w:proofErr w:type="spellStart"/>
      <w:r w:rsidRPr="00D54E4F">
        <w:rPr>
          <w:rFonts w:ascii="Calibri" w:eastAsia="Calibri" w:hAnsi="Calibri" w:cs="Calibri"/>
          <w:color w:val="1F497D"/>
          <w:lang w:val="en-US"/>
        </w:rPr>
        <w:t>i</w:t>
      </w:r>
      <w:proofErr w:type="spellEnd"/>
      <w:r w:rsidRPr="00D54E4F">
        <w:rPr>
          <w:rFonts w:ascii="Calibri" w:eastAsia="Calibri" w:hAnsi="Calibri" w:cs="Calibri"/>
          <w:color w:val="1F497D"/>
          <w:lang w:val="en-US"/>
        </w:rPr>
        <w:t xml:space="preserve"> MAIA, </w:t>
      </w:r>
      <w:proofErr w:type="spellStart"/>
      <w:r w:rsidRPr="00D54E4F">
        <w:rPr>
          <w:rFonts w:ascii="Calibri" w:eastAsia="Calibri" w:hAnsi="Calibri" w:cs="Calibri"/>
          <w:color w:val="1F497D"/>
          <w:lang w:val="en-US"/>
        </w:rPr>
        <w:t>solicităm</w:t>
      </w:r>
      <w:proofErr w:type="spellEnd"/>
      <w:r w:rsidRPr="00D54E4F">
        <w:rPr>
          <w:rFonts w:ascii="Calibri" w:eastAsia="Calibri" w:hAnsi="Calibri" w:cs="Calibri"/>
          <w:color w:val="1F497D"/>
          <w:lang w:val="en-US"/>
        </w:rPr>
        <w:t xml:space="preserve"> </w:t>
      </w:r>
      <w:proofErr w:type="spellStart"/>
      <w:r w:rsidRPr="00D54E4F">
        <w:rPr>
          <w:rFonts w:ascii="Calibri" w:eastAsia="Calibri" w:hAnsi="Calibri" w:cs="Calibri"/>
          <w:color w:val="1F497D"/>
          <w:lang w:val="en-US"/>
        </w:rPr>
        <w:t>respectuos</w:t>
      </w:r>
      <w:proofErr w:type="spellEnd"/>
      <w:r w:rsidRPr="00D54E4F">
        <w:rPr>
          <w:rFonts w:ascii="Calibri" w:eastAsia="Calibri" w:hAnsi="Calibri" w:cs="Calibri"/>
          <w:color w:val="1F497D"/>
          <w:lang w:val="en-US"/>
        </w:rPr>
        <w:t xml:space="preserve"> </w:t>
      </w:r>
      <w:proofErr w:type="spellStart"/>
      <w:r w:rsidRPr="00D54E4F">
        <w:rPr>
          <w:rFonts w:ascii="Calibri" w:eastAsia="Calibri" w:hAnsi="Calibri" w:cs="Calibri"/>
          <w:color w:val="1F497D"/>
          <w:lang w:val="en-US"/>
        </w:rPr>
        <w:t>confirmarea</w:t>
      </w:r>
      <w:proofErr w:type="spellEnd"/>
      <w:r w:rsidRPr="00D54E4F">
        <w:rPr>
          <w:rFonts w:ascii="Calibri" w:eastAsia="Calibri" w:hAnsi="Calibri" w:cs="Calibri"/>
          <w:color w:val="1F497D"/>
          <w:lang w:val="en-US"/>
        </w:rPr>
        <w:t>/</w:t>
      </w:r>
      <w:proofErr w:type="spellStart"/>
      <w:r w:rsidRPr="00D54E4F">
        <w:rPr>
          <w:rFonts w:ascii="Calibri" w:eastAsia="Calibri" w:hAnsi="Calibri" w:cs="Calibri"/>
          <w:color w:val="1F497D"/>
          <w:lang w:val="en-US"/>
        </w:rPr>
        <w:t>coordonarea</w:t>
      </w:r>
      <w:proofErr w:type="spellEnd"/>
      <w:r w:rsidRPr="00D54E4F">
        <w:rPr>
          <w:rFonts w:ascii="Calibri" w:eastAsia="Calibri" w:hAnsi="Calibri" w:cs="Calibri"/>
          <w:color w:val="1F497D"/>
          <w:lang w:val="en-US"/>
        </w:rPr>
        <w:t xml:space="preserve"> </w:t>
      </w:r>
      <w:proofErr w:type="spellStart"/>
      <w:r w:rsidRPr="00D54E4F">
        <w:rPr>
          <w:rFonts w:ascii="Calibri" w:eastAsia="Calibri" w:hAnsi="Calibri" w:cs="Calibri"/>
          <w:color w:val="1F497D"/>
          <w:lang w:val="en-US"/>
        </w:rPr>
        <w:t>modificărilor</w:t>
      </w:r>
      <w:proofErr w:type="spellEnd"/>
      <w:r w:rsidRPr="00D54E4F">
        <w:rPr>
          <w:rFonts w:ascii="Calibri" w:eastAsia="Calibri" w:hAnsi="Calibri" w:cs="Calibri"/>
          <w:color w:val="1F497D"/>
          <w:lang w:val="en-US"/>
        </w:rPr>
        <w:t xml:space="preserve"> operate la </w:t>
      </w:r>
      <w:proofErr w:type="spellStart"/>
      <w:r w:rsidRPr="00D54E4F">
        <w:rPr>
          <w:rFonts w:ascii="Calibri" w:eastAsia="Calibri" w:hAnsi="Calibri" w:cs="Calibri"/>
          <w:color w:val="1F497D"/>
          <w:lang w:val="en-US"/>
        </w:rPr>
        <w:t>proiectul</w:t>
      </w:r>
      <w:proofErr w:type="spellEnd"/>
      <w:r w:rsidRPr="00D54E4F">
        <w:rPr>
          <w:rFonts w:ascii="Calibri" w:eastAsia="Calibri" w:hAnsi="Calibri" w:cs="Calibri"/>
          <w:color w:val="1F497D"/>
          <w:lang w:val="en-US"/>
        </w:rPr>
        <w:t xml:space="preserve"> </w:t>
      </w:r>
      <w:proofErr w:type="spellStart"/>
      <w:r w:rsidRPr="00D54E4F">
        <w:rPr>
          <w:rFonts w:ascii="Calibri" w:eastAsia="Calibri" w:hAnsi="Calibri" w:cs="Calibri"/>
          <w:color w:val="1F497D"/>
          <w:lang w:val="en-US"/>
        </w:rPr>
        <w:t>hotărârii</w:t>
      </w:r>
      <w:proofErr w:type="spellEnd"/>
      <w:r w:rsidRPr="00D54E4F">
        <w:rPr>
          <w:rFonts w:ascii="Calibri" w:eastAsia="Calibri" w:hAnsi="Calibri" w:cs="Calibri"/>
          <w:color w:val="1F497D"/>
          <w:lang w:val="en-US"/>
        </w:rPr>
        <w:t xml:space="preserve"> de </w:t>
      </w:r>
      <w:proofErr w:type="spellStart"/>
      <w:r w:rsidRPr="00D54E4F">
        <w:rPr>
          <w:rFonts w:ascii="Calibri" w:eastAsia="Calibri" w:hAnsi="Calibri" w:cs="Calibri"/>
          <w:color w:val="1F497D"/>
          <w:lang w:val="en-US"/>
        </w:rPr>
        <w:t>Guvern</w:t>
      </w:r>
      <w:proofErr w:type="spellEnd"/>
      <w:r w:rsidRPr="00D54E4F">
        <w:rPr>
          <w:rFonts w:ascii="Calibri" w:eastAsia="Calibri" w:hAnsi="Calibri" w:cs="Calibri"/>
          <w:color w:val="1F497D"/>
          <w:lang w:val="en-US"/>
        </w:rPr>
        <w:t xml:space="preserve"> </w:t>
      </w:r>
      <w:r w:rsidRPr="00D54E4F">
        <w:rPr>
          <w:rFonts w:ascii="Calibri" w:eastAsia="Calibri" w:hAnsi="Calibri" w:cs="Calibri"/>
          <w:color w:val="1F497D"/>
          <w:lang w:val="ro-MD"/>
        </w:rPr>
        <w:t>cu privire la modificarea unor hotărâri ale Guvernului în domeniul metrologiei (nr. unic 811/2024)</w:t>
      </w:r>
      <w:r w:rsidR="009705EE">
        <w:rPr>
          <w:rFonts w:ascii="Calibri" w:eastAsia="Calibri" w:hAnsi="Calibri" w:cs="Calibri"/>
          <w:color w:val="1F497D"/>
          <w:lang w:val="ro-MD"/>
        </w:rPr>
        <w:t xml:space="preserve"> </w:t>
      </w:r>
      <w:r w:rsidRPr="00D54E4F">
        <w:rPr>
          <w:rFonts w:ascii="Calibri" w:eastAsia="Calibri" w:hAnsi="Calibri" w:cs="Calibri"/>
          <w:color w:val="1F497D"/>
          <w:lang w:val="ro-MD"/>
        </w:rPr>
        <w:t>și anume:</w:t>
      </w:r>
    </w:p>
    <w:p w:rsidR="00D54E4F" w:rsidRPr="00D54E4F" w:rsidRDefault="00D54E4F" w:rsidP="009705EE">
      <w:pPr>
        <w:spacing w:after="0" w:line="240" w:lineRule="auto"/>
        <w:jc w:val="both"/>
        <w:rPr>
          <w:rFonts w:ascii="Calibri" w:eastAsia="Calibri" w:hAnsi="Calibri" w:cs="Calibri"/>
          <w:color w:val="000000"/>
          <w:lang w:val="en-US"/>
        </w:rPr>
      </w:pPr>
      <w:r w:rsidRPr="00D54E4F">
        <w:rPr>
          <w:rFonts w:ascii="Calibri" w:eastAsia="Calibri" w:hAnsi="Calibri" w:cs="Calibri"/>
          <w:color w:val="1F497D"/>
          <w:lang w:val="ro-MD"/>
        </w:rPr>
        <w:t>la pct. 3.3 din proiectul de hotărâre,   cuvintele „Categoriile ale produselor” se substituie cu cuvintele „ Definiții ale produselor”.</w:t>
      </w:r>
    </w:p>
    <w:p w:rsidR="00D54E4F" w:rsidRPr="00D54E4F" w:rsidRDefault="00D54E4F" w:rsidP="009705EE">
      <w:pPr>
        <w:spacing w:after="0" w:line="240" w:lineRule="auto"/>
        <w:jc w:val="both"/>
        <w:rPr>
          <w:rFonts w:ascii="Calibri" w:eastAsia="Calibri" w:hAnsi="Calibri" w:cs="Calibri"/>
          <w:color w:val="000000"/>
          <w:lang w:val="en-US"/>
        </w:rPr>
      </w:pPr>
      <w:r w:rsidRPr="00D54E4F">
        <w:rPr>
          <w:rFonts w:ascii="Calibri" w:eastAsia="Calibri" w:hAnsi="Calibri" w:cs="Calibri"/>
          <w:color w:val="1F497D"/>
          <w:lang w:val="ro-MD"/>
        </w:rPr>
        <w:t xml:space="preserve">Proiectul de hotărâre de Guvern cu modificările operate se anexează. </w:t>
      </w:r>
    </w:p>
    <w:p w:rsidR="00D54E4F" w:rsidRPr="00D54E4F" w:rsidRDefault="00D54E4F" w:rsidP="00D54E4F">
      <w:pPr>
        <w:spacing w:after="0" w:line="240" w:lineRule="auto"/>
        <w:rPr>
          <w:rFonts w:ascii="Calibri" w:eastAsia="Calibri" w:hAnsi="Calibri" w:cs="Calibri"/>
          <w:color w:val="000000"/>
          <w:lang w:val="en-US"/>
        </w:rPr>
      </w:pPr>
      <w:r w:rsidRPr="00D54E4F">
        <w:rPr>
          <w:rFonts w:ascii="Calibri" w:eastAsia="Calibri" w:hAnsi="Calibri" w:cs="Calibri"/>
          <w:color w:val="1F497D"/>
          <w:lang w:val="en-US"/>
        </w:rPr>
        <w:t> </w:t>
      </w:r>
    </w:p>
    <w:p w:rsidR="00D54E4F" w:rsidRPr="00D54E4F" w:rsidRDefault="00D54E4F" w:rsidP="00D54E4F">
      <w:pPr>
        <w:spacing w:after="0" w:line="240" w:lineRule="auto"/>
        <w:rPr>
          <w:rFonts w:ascii="Calibri" w:eastAsia="Calibri" w:hAnsi="Calibri" w:cs="Calibri"/>
          <w:color w:val="000000"/>
          <w:lang w:val="en-US"/>
        </w:rPr>
      </w:pPr>
      <w:r w:rsidRPr="00D54E4F">
        <w:rPr>
          <w:rFonts w:ascii="Calibri" w:eastAsia="Calibri" w:hAnsi="Calibri" w:cs="Calibri"/>
          <w:color w:val="1F497D"/>
          <w:lang w:val="en-US"/>
        </w:rPr>
        <w:t> </w:t>
      </w:r>
    </w:p>
    <w:p w:rsidR="00D54E4F" w:rsidRPr="00D54E4F" w:rsidRDefault="00D54E4F" w:rsidP="00D54E4F">
      <w:pPr>
        <w:spacing w:after="0" w:line="240" w:lineRule="auto"/>
        <w:rPr>
          <w:rFonts w:ascii="Calibri" w:eastAsia="Calibri" w:hAnsi="Calibri" w:cs="Calibri"/>
          <w:color w:val="000000"/>
          <w:lang w:val="en-US"/>
        </w:rPr>
      </w:pPr>
      <w:r w:rsidRPr="00D54E4F">
        <w:rPr>
          <w:rFonts w:ascii="Calibri" w:eastAsia="Calibri" w:hAnsi="Calibri" w:cs="Calibri"/>
          <w:i/>
          <w:iCs/>
          <w:color w:val="323E4F"/>
          <w:lang w:val="en-US"/>
        </w:rPr>
        <w:t>Cu respect,</w:t>
      </w:r>
    </w:p>
    <w:p w:rsidR="00D54E4F" w:rsidRPr="00D54E4F" w:rsidRDefault="00D54E4F" w:rsidP="00D54E4F">
      <w:pPr>
        <w:spacing w:after="0" w:line="240" w:lineRule="auto"/>
        <w:rPr>
          <w:rFonts w:ascii="Calibri" w:eastAsia="Calibri" w:hAnsi="Calibri" w:cs="Calibri"/>
          <w:color w:val="000000"/>
          <w:lang w:val="en-US"/>
        </w:rPr>
      </w:pPr>
      <w:r w:rsidRPr="00D54E4F">
        <w:rPr>
          <w:rFonts w:ascii="Calibri" w:eastAsia="Calibri" w:hAnsi="Calibri" w:cs="Calibri"/>
          <w:b/>
          <w:bCs/>
          <w:i/>
          <w:iCs/>
          <w:color w:val="323E4F"/>
          <w:lang w:val="en-US"/>
        </w:rPr>
        <w:t> </w:t>
      </w:r>
    </w:p>
    <w:p w:rsidR="00D54E4F" w:rsidRPr="00D54E4F" w:rsidRDefault="00D54E4F" w:rsidP="00D54E4F">
      <w:pPr>
        <w:spacing w:after="0" w:line="240" w:lineRule="auto"/>
        <w:rPr>
          <w:rFonts w:ascii="Calibri" w:eastAsia="Calibri" w:hAnsi="Calibri" w:cs="Calibri"/>
          <w:color w:val="000000"/>
          <w:lang w:val="en-US"/>
        </w:rPr>
      </w:pPr>
      <w:r w:rsidRPr="00D54E4F">
        <w:rPr>
          <w:rFonts w:ascii="Calibri" w:eastAsia="Calibri" w:hAnsi="Calibri" w:cs="Calibri"/>
          <w:b/>
          <w:bCs/>
          <w:i/>
          <w:iCs/>
          <w:color w:val="323E4F"/>
          <w:lang w:val="en-US"/>
        </w:rPr>
        <w:t>Viorica Bejan,</w:t>
      </w:r>
    </w:p>
    <w:p w:rsidR="00D54E4F" w:rsidRPr="00D54E4F" w:rsidRDefault="00D54E4F" w:rsidP="00D54E4F">
      <w:pPr>
        <w:spacing w:after="0" w:line="240" w:lineRule="auto"/>
        <w:rPr>
          <w:rFonts w:ascii="Calibri" w:eastAsia="Calibri" w:hAnsi="Calibri" w:cs="Calibri"/>
          <w:color w:val="000000"/>
          <w:lang w:val="en-US"/>
        </w:rPr>
      </w:pPr>
      <w:proofErr w:type="spellStart"/>
      <w:r w:rsidRPr="00D54E4F">
        <w:rPr>
          <w:rFonts w:ascii="Calibri" w:eastAsia="Calibri" w:hAnsi="Calibri" w:cs="Calibri"/>
          <w:i/>
          <w:iCs/>
          <w:color w:val="323E4F"/>
          <w:lang w:val="en-US"/>
        </w:rPr>
        <w:t>Șef</w:t>
      </w:r>
      <w:proofErr w:type="spellEnd"/>
      <w:r w:rsidRPr="00D54E4F">
        <w:rPr>
          <w:rFonts w:ascii="Calibri" w:eastAsia="Calibri" w:hAnsi="Calibri" w:cs="Calibri"/>
          <w:i/>
          <w:iCs/>
          <w:color w:val="323E4F"/>
          <w:lang w:val="en-US"/>
        </w:rPr>
        <w:t xml:space="preserve"> adjunct </w:t>
      </w:r>
      <w:proofErr w:type="spellStart"/>
      <w:r w:rsidRPr="00D54E4F">
        <w:rPr>
          <w:rFonts w:ascii="Calibri" w:eastAsia="Calibri" w:hAnsi="Calibri" w:cs="Calibri"/>
          <w:i/>
          <w:iCs/>
          <w:color w:val="323E4F"/>
          <w:lang w:val="en-US"/>
        </w:rPr>
        <w:t>direcție</w:t>
      </w:r>
      <w:proofErr w:type="spellEnd"/>
      <w:r w:rsidRPr="00D54E4F">
        <w:rPr>
          <w:rFonts w:ascii="Calibri" w:eastAsia="Calibri" w:hAnsi="Calibri" w:cs="Calibri"/>
          <w:i/>
          <w:iCs/>
          <w:color w:val="323E4F"/>
          <w:lang w:val="en-US"/>
        </w:rPr>
        <w:t xml:space="preserve"> </w:t>
      </w:r>
      <w:proofErr w:type="spellStart"/>
      <w:r w:rsidRPr="00D54E4F">
        <w:rPr>
          <w:rFonts w:ascii="Calibri" w:eastAsia="Calibri" w:hAnsi="Calibri" w:cs="Calibri"/>
          <w:i/>
          <w:iCs/>
          <w:color w:val="323E4F"/>
          <w:lang w:val="en-US"/>
        </w:rPr>
        <w:t>infrastructura</w:t>
      </w:r>
      <w:proofErr w:type="spellEnd"/>
      <w:proofErr w:type="gramStart"/>
      <w:r w:rsidRPr="00D54E4F">
        <w:rPr>
          <w:rFonts w:ascii="Calibri" w:eastAsia="Calibri" w:hAnsi="Calibri" w:cs="Calibri"/>
          <w:i/>
          <w:iCs/>
          <w:color w:val="323E4F"/>
          <w:lang w:val="en-US"/>
        </w:rPr>
        <w:t xml:space="preserve">  </w:t>
      </w:r>
      <w:proofErr w:type="spellStart"/>
      <w:r w:rsidRPr="00D54E4F">
        <w:rPr>
          <w:rFonts w:ascii="Calibri" w:eastAsia="Calibri" w:hAnsi="Calibri" w:cs="Calibri"/>
          <w:i/>
          <w:iCs/>
          <w:color w:val="323E4F"/>
          <w:lang w:val="en-US"/>
        </w:rPr>
        <w:t>calită</w:t>
      </w:r>
      <w:proofErr w:type="gramEnd"/>
      <w:r w:rsidRPr="00D54E4F">
        <w:rPr>
          <w:rFonts w:ascii="Calibri" w:eastAsia="Calibri" w:hAnsi="Calibri" w:cs="Calibri"/>
          <w:i/>
          <w:iCs/>
          <w:color w:val="323E4F"/>
          <w:lang w:val="en-US"/>
        </w:rPr>
        <w:t>ții</w:t>
      </w:r>
      <w:proofErr w:type="spellEnd"/>
      <w:r w:rsidRPr="00D54E4F">
        <w:rPr>
          <w:rFonts w:ascii="Calibri" w:eastAsia="Calibri" w:hAnsi="Calibri" w:cs="Calibri"/>
          <w:i/>
          <w:iCs/>
          <w:color w:val="323E4F"/>
          <w:lang w:val="en-US"/>
        </w:rPr>
        <w:t xml:space="preserve"> </w:t>
      </w:r>
      <w:proofErr w:type="spellStart"/>
      <w:r w:rsidRPr="00D54E4F">
        <w:rPr>
          <w:rFonts w:ascii="Calibri" w:eastAsia="Calibri" w:hAnsi="Calibri" w:cs="Calibri"/>
          <w:i/>
          <w:iCs/>
          <w:color w:val="323E4F"/>
          <w:lang w:val="en-US"/>
        </w:rPr>
        <w:t>și</w:t>
      </w:r>
      <w:proofErr w:type="spellEnd"/>
      <w:r w:rsidRPr="00D54E4F">
        <w:rPr>
          <w:rFonts w:ascii="Calibri" w:eastAsia="Calibri" w:hAnsi="Calibri" w:cs="Calibri"/>
          <w:i/>
          <w:iCs/>
          <w:color w:val="323E4F"/>
          <w:lang w:val="en-US"/>
        </w:rPr>
        <w:t xml:space="preserve"> </w:t>
      </w:r>
      <w:proofErr w:type="spellStart"/>
      <w:r w:rsidRPr="00D54E4F">
        <w:rPr>
          <w:rFonts w:ascii="Calibri" w:eastAsia="Calibri" w:hAnsi="Calibri" w:cs="Calibri"/>
          <w:i/>
          <w:iCs/>
          <w:color w:val="323E4F"/>
          <w:lang w:val="en-US"/>
        </w:rPr>
        <w:t>supravegherea</w:t>
      </w:r>
      <w:proofErr w:type="spellEnd"/>
      <w:r w:rsidRPr="00D54E4F">
        <w:rPr>
          <w:rFonts w:ascii="Calibri" w:eastAsia="Calibri" w:hAnsi="Calibri" w:cs="Calibri"/>
          <w:i/>
          <w:iCs/>
          <w:color w:val="323E4F"/>
          <w:lang w:val="en-US"/>
        </w:rPr>
        <w:t xml:space="preserve"> </w:t>
      </w:r>
      <w:proofErr w:type="spellStart"/>
      <w:r w:rsidRPr="00D54E4F">
        <w:rPr>
          <w:rFonts w:ascii="Calibri" w:eastAsia="Calibri" w:hAnsi="Calibri" w:cs="Calibri"/>
          <w:i/>
          <w:iCs/>
          <w:color w:val="323E4F"/>
          <w:lang w:val="en-US"/>
        </w:rPr>
        <w:t>pieței</w:t>
      </w:r>
      <w:proofErr w:type="spellEnd"/>
    </w:p>
    <w:p w:rsidR="00D54E4F" w:rsidRPr="00D54E4F" w:rsidRDefault="00D54E4F" w:rsidP="00D54E4F">
      <w:pPr>
        <w:spacing w:after="0" w:line="240" w:lineRule="auto"/>
        <w:rPr>
          <w:rFonts w:ascii="Calibri" w:eastAsia="Calibri" w:hAnsi="Calibri" w:cs="Calibri"/>
          <w:color w:val="000000"/>
          <w:lang w:val="en-US"/>
        </w:rPr>
      </w:pPr>
      <w:proofErr w:type="spellStart"/>
      <w:r w:rsidRPr="00D54E4F">
        <w:rPr>
          <w:rFonts w:ascii="Calibri" w:eastAsia="Calibri" w:hAnsi="Calibri" w:cs="Calibri"/>
          <w:i/>
          <w:iCs/>
          <w:color w:val="323E4F"/>
          <w:lang w:val="en-US"/>
        </w:rPr>
        <w:t>Ministerul</w:t>
      </w:r>
      <w:proofErr w:type="spellEnd"/>
      <w:r w:rsidRPr="00D54E4F">
        <w:rPr>
          <w:rFonts w:ascii="Calibri" w:eastAsia="Calibri" w:hAnsi="Calibri" w:cs="Calibri"/>
          <w:i/>
          <w:iCs/>
          <w:color w:val="323E4F"/>
          <w:lang w:val="en-US"/>
        </w:rPr>
        <w:t xml:space="preserve"> </w:t>
      </w:r>
      <w:proofErr w:type="spellStart"/>
      <w:r w:rsidRPr="00D54E4F">
        <w:rPr>
          <w:rFonts w:ascii="Calibri" w:eastAsia="Calibri" w:hAnsi="Calibri" w:cs="Calibri"/>
          <w:i/>
          <w:iCs/>
          <w:color w:val="323E4F"/>
          <w:lang w:val="en-US"/>
        </w:rPr>
        <w:t>Dezvoltării</w:t>
      </w:r>
      <w:proofErr w:type="spellEnd"/>
      <w:r w:rsidRPr="00D54E4F">
        <w:rPr>
          <w:rFonts w:ascii="Calibri" w:eastAsia="Calibri" w:hAnsi="Calibri" w:cs="Calibri"/>
          <w:i/>
          <w:iCs/>
          <w:color w:val="323E4F"/>
          <w:lang w:val="en-US"/>
        </w:rPr>
        <w:t xml:space="preserve"> </w:t>
      </w:r>
      <w:proofErr w:type="spellStart"/>
      <w:r w:rsidRPr="00D54E4F">
        <w:rPr>
          <w:rFonts w:ascii="Calibri" w:eastAsia="Calibri" w:hAnsi="Calibri" w:cs="Calibri"/>
          <w:i/>
          <w:iCs/>
          <w:color w:val="323E4F"/>
          <w:lang w:val="en-US"/>
        </w:rPr>
        <w:t>Economice</w:t>
      </w:r>
      <w:proofErr w:type="spellEnd"/>
      <w:r w:rsidRPr="00D54E4F">
        <w:rPr>
          <w:rFonts w:ascii="Calibri" w:eastAsia="Calibri" w:hAnsi="Calibri" w:cs="Calibri"/>
          <w:i/>
          <w:iCs/>
          <w:color w:val="323E4F"/>
          <w:lang w:val="en-US"/>
        </w:rPr>
        <w:t xml:space="preserve"> </w:t>
      </w:r>
      <w:proofErr w:type="spellStart"/>
      <w:r w:rsidRPr="00D54E4F">
        <w:rPr>
          <w:rFonts w:ascii="Calibri" w:eastAsia="Calibri" w:hAnsi="Calibri" w:cs="Calibri"/>
          <w:i/>
          <w:iCs/>
          <w:color w:val="323E4F"/>
          <w:lang w:val="en-US"/>
        </w:rPr>
        <w:t>și</w:t>
      </w:r>
      <w:proofErr w:type="spellEnd"/>
      <w:r w:rsidRPr="00D54E4F">
        <w:rPr>
          <w:rFonts w:ascii="Calibri" w:eastAsia="Calibri" w:hAnsi="Calibri" w:cs="Calibri"/>
          <w:i/>
          <w:iCs/>
          <w:color w:val="323E4F"/>
          <w:lang w:val="en-US"/>
        </w:rPr>
        <w:t xml:space="preserve"> </w:t>
      </w:r>
      <w:proofErr w:type="spellStart"/>
      <w:r w:rsidRPr="00D54E4F">
        <w:rPr>
          <w:rFonts w:ascii="Calibri" w:eastAsia="Calibri" w:hAnsi="Calibri" w:cs="Calibri"/>
          <w:i/>
          <w:iCs/>
          <w:color w:val="323E4F"/>
          <w:lang w:val="en-US"/>
        </w:rPr>
        <w:t>Digitalizării</w:t>
      </w:r>
      <w:proofErr w:type="spellEnd"/>
    </w:p>
    <w:p w:rsidR="00D54E4F" w:rsidRPr="00D54E4F" w:rsidRDefault="00D54E4F" w:rsidP="00D54E4F">
      <w:pPr>
        <w:spacing w:after="0" w:line="240" w:lineRule="auto"/>
        <w:rPr>
          <w:rFonts w:ascii="Calibri" w:eastAsia="Calibri" w:hAnsi="Calibri" w:cs="Calibri"/>
          <w:color w:val="000000"/>
          <w:lang w:val="en-US"/>
        </w:rPr>
      </w:pPr>
      <w:r w:rsidRPr="00D54E4F">
        <w:rPr>
          <w:rFonts w:ascii="Calibri" w:eastAsia="Calibri" w:hAnsi="Calibri" w:cs="Calibri"/>
          <w:i/>
          <w:iCs/>
          <w:color w:val="323E4F"/>
          <w:lang w:val="en-US"/>
        </w:rPr>
        <w:t>Tel. +373 22 250 642</w:t>
      </w:r>
    </w:p>
    <w:p w:rsidR="00D54E4F" w:rsidRPr="00D54E4F" w:rsidRDefault="00D54E4F" w:rsidP="00D54E4F">
      <w:pPr>
        <w:spacing w:after="0" w:line="240" w:lineRule="auto"/>
        <w:rPr>
          <w:rFonts w:ascii="Calibri" w:eastAsia="Calibri" w:hAnsi="Calibri" w:cs="Calibri"/>
          <w:color w:val="000000"/>
          <w:lang w:val="en-US"/>
        </w:rPr>
      </w:pPr>
      <w:proofErr w:type="gramStart"/>
      <w:r w:rsidRPr="00D54E4F">
        <w:rPr>
          <w:rFonts w:ascii="Calibri" w:eastAsia="Calibri" w:hAnsi="Calibri" w:cs="Calibri"/>
          <w:b/>
          <w:bCs/>
          <w:i/>
          <w:iCs/>
          <w:color w:val="323E4F"/>
          <w:lang w:val="en-US"/>
        </w:rPr>
        <w:t>e-mail</w:t>
      </w:r>
      <w:proofErr w:type="gramEnd"/>
      <w:r w:rsidRPr="00D54E4F">
        <w:rPr>
          <w:rFonts w:ascii="Calibri" w:eastAsia="Calibri" w:hAnsi="Calibri" w:cs="Calibri"/>
          <w:i/>
          <w:iCs/>
          <w:color w:val="323E4F"/>
          <w:lang w:val="en-US"/>
        </w:rPr>
        <w:t xml:space="preserve">: </w:t>
      </w:r>
      <w:hyperlink r:id="rId18" w:history="1">
        <w:r w:rsidRPr="00D54E4F">
          <w:rPr>
            <w:rFonts w:ascii="Calibri" w:eastAsia="Calibri" w:hAnsi="Calibri" w:cs="Calibri"/>
            <w:i/>
            <w:iCs/>
            <w:color w:val="0563C1"/>
            <w:u w:val="single"/>
            <w:lang w:val="en-US"/>
          </w:rPr>
          <w:t>viorica.bejan@mded.gov.md</w:t>
        </w:r>
      </w:hyperlink>
    </w:p>
    <w:p w:rsidR="00D54E4F" w:rsidRPr="00D54E4F" w:rsidRDefault="00D54E4F" w:rsidP="00D54E4F">
      <w:pPr>
        <w:spacing w:after="0" w:line="240" w:lineRule="auto"/>
        <w:rPr>
          <w:rFonts w:ascii="Calibri" w:eastAsia="Calibri" w:hAnsi="Calibri" w:cs="Calibri"/>
          <w:color w:val="000000"/>
          <w:lang w:val="en-US"/>
        </w:rPr>
      </w:pPr>
    </w:p>
    <w:p w:rsidR="00D54E4F" w:rsidRPr="00D54E4F" w:rsidRDefault="00D54E4F" w:rsidP="00D54E4F">
      <w:pPr>
        <w:spacing w:after="0" w:line="240" w:lineRule="auto"/>
        <w:rPr>
          <w:rFonts w:ascii="Calibri" w:eastAsia="Calibri" w:hAnsi="Calibri" w:cs="Calibri"/>
          <w:color w:val="000000"/>
          <w:lang w:val="en-US"/>
        </w:rPr>
      </w:pPr>
      <w:r w:rsidRPr="00D54E4F">
        <w:rPr>
          <w:rFonts w:ascii="Calibri" w:eastAsia="Calibri" w:hAnsi="Calibri" w:cs="Calibri"/>
          <w:color w:val="1F497D"/>
          <w:lang w:val="en-US"/>
        </w:rPr>
        <w:t> </w:t>
      </w:r>
    </w:p>
    <w:p w:rsidR="00D54E4F" w:rsidRPr="00D54E4F" w:rsidRDefault="00D54E4F" w:rsidP="00D54E4F">
      <w:pPr>
        <w:spacing w:after="0" w:line="240" w:lineRule="auto"/>
        <w:rPr>
          <w:rFonts w:ascii="Calibri" w:eastAsia="Calibri" w:hAnsi="Calibri" w:cs="Calibri"/>
          <w:color w:val="000000"/>
          <w:lang w:val="en-US"/>
        </w:rPr>
      </w:pPr>
      <w:r w:rsidRPr="00D54E4F">
        <w:rPr>
          <w:rFonts w:ascii="Calibri" w:eastAsia="Calibri" w:hAnsi="Calibri" w:cs="Calibri"/>
          <w:color w:val="1F497D"/>
          <w:lang w:val="en-US"/>
        </w:rPr>
        <w:t> </w:t>
      </w:r>
    </w:p>
    <w:p w:rsidR="00D54E4F" w:rsidRPr="00D54E4F" w:rsidRDefault="00D54E4F" w:rsidP="00D54E4F">
      <w:pPr>
        <w:spacing w:after="0" w:line="240" w:lineRule="auto"/>
        <w:outlineLvl w:val="0"/>
        <w:rPr>
          <w:rFonts w:ascii="Calibri" w:eastAsia="Calibri" w:hAnsi="Calibri" w:cs="Calibri"/>
          <w:color w:val="000000"/>
          <w:lang w:val="en-US"/>
        </w:rPr>
      </w:pPr>
      <w:r w:rsidRPr="00D54E4F">
        <w:rPr>
          <w:rFonts w:ascii="Calibri" w:eastAsia="Calibri" w:hAnsi="Calibri" w:cs="Calibri"/>
          <w:b/>
          <w:bCs/>
          <w:color w:val="000000"/>
          <w:lang w:val="en-US"/>
        </w:rPr>
        <w:lastRenderedPageBreak/>
        <w:t>From:</w:t>
      </w:r>
      <w:r w:rsidRPr="00D54E4F">
        <w:rPr>
          <w:rFonts w:ascii="Calibri" w:eastAsia="Calibri" w:hAnsi="Calibri" w:cs="Calibri"/>
          <w:color w:val="000000"/>
          <w:lang w:val="en-US"/>
        </w:rPr>
        <w:t xml:space="preserve"> Vasilii Dogotari [</w:t>
      </w:r>
      <w:hyperlink r:id="rId19" w:history="1">
        <w:r w:rsidRPr="00D54E4F">
          <w:rPr>
            <w:rFonts w:ascii="Calibri" w:eastAsia="Calibri" w:hAnsi="Calibri" w:cs="Calibri"/>
            <w:color w:val="0563C1"/>
            <w:u w:val="single"/>
            <w:lang w:val="en-US"/>
          </w:rPr>
          <w:t>mailto:vasilii.dogotari@maia.gov.md</w:t>
        </w:r>
      </w:hyperlink>
      <w:r w:rsidRPr="00D54E4F">
        <w:rPr>
          <w:rFonts w:ascii="Calibri" w:eastAsia="Calibri" w:hAnsi="Calibri" w:cs="Calibri"/>
          <w:color w:val="000000"/>
          <w:lang w:val="en-US"/>
        </w:rPr>
        <w:t xml:space="preserve">] </w:t>
      </w:r>
      <w:r w:rsidRPr="00D54E4F">
        <w:rPr>
          <w:rFonts w:ascii="Calibri" w:eastAsia="Calibri" w:hAnsi="Calibri" w:cs="Calibri"/>
          <w:color w:val="000000"/>
          <w:lang w:val="en-US"/>
        </w:rPr>
        <w:br/>
      </w:r>
      <w:r w:rsidRPr="00D54E4F">
        <w:rPr>
          <w:rFonts w:ascii="Calibri" w:eastAsia="Calibri" w:hAnsi="Calibri" w:cs="Calibri"/>
          <w:b/>
          <w:bCs/>
          <w:color w:val="000000"/>
          <w:lang w:val="en-US"/>
        </w:rPr>
        <w:t>Sent:</w:t>
      </w:r>
      <w:r w:rsidRPr="00D54E4F">
        <w:rPr>
          <w:rFonts w:ascii="Calibri" w:eastAsia="Calibri" w:hAnsi="Calibri" w:cs="Calibri"/>
          <w:color w:val="000000"/>
          <w:lang w:val="en-US"/>
        </w:rPr>
        <w:t xml:space="preserve"> Thursday, January 23, 2025 2:16 PM</w:t>
      </w:r>
      <w:r w:rsidRPr="00D54E4F">
        <w:rPr>
          <w:rFonts w:ascii="Calibri" w:eastAsia="Calibri" w:hAnsi="Calibri" w:cs="Calibri"/>
          <w:color w:val="000000"/>
          <w:lang w:val="en-US"/>
        </w:rPr>
        <w:br/>
      </w:r>
      <w:r w:rsidRPr="00D54E4F">
        <w:rPr>
          <w:rFonts w:ascii="Calibri" w:eastAsia="Calibri" w:hAnsi="Calibri" w:cs="Calibri"/>
          <w:b/>
          <w:bCs/>
          <w:color w:val="000000"/>
          <w:lang w:val="en-US"/>
        </w:rPr>
        <w:t>To:</w:t>
      </w:r>
      <w:r w:rsidRPr="00D54E4F">
        <w:rPr>
          <w:rFonts w:ascii="Calibri" w:eastAsia="Calibri" w:hAnsi="Calibri" w:cs="Calibri"/>
          <w:color w:val="000000"/>
          <w:lang w:val="en-US"/>
        </w:rPr>
        <w:t xml:space="preserve"> Viorica Bejan &lt;</w:t>
      </w:r>
      <w:hyperlink r:id="rId20" w:history="1">
        <w:r w:rsidRPr="00D54E4F">
          <w:rPr>
            <w:rFonts w:ascii="Calibri" w:eastAsia="Calibri" w:hAnsi="Calibri" w:cs="Calibri"/>
            <w:color w:val="0563C1"/>
            <w:u w:val="single"/>
            <w:lang w:val="en-US"/>
          </w:rPr>
          <w:t>viorica.bejan@mded.gov.md</w:t>
        </w:r>
      </w:hyperlink>
      <w:r w:rsidRPr="00D54E4F">
        <w:rPr>
          <w:rFonts w:ascii="Calibri" w:eastAsia="Calibri" w:hAnsi="Calibri" w:cs="Calibri"/>
          <w:color w:val="000000"/>
          <w:lang w:val="en-US"/>
        </w:rPr>
        <w:t>&gt;</w:t>
      </w:r>
      <w:r w:rsidRPr="00D54E4F">
        <w:rPr>
          <w:rFonts w:ascii="Calibri" w:eastAsia="Calibri" w:hAnsi="Calibri" w:cs="Calibri"/>
          <w:color w:val="000000"/>
          <w:lang w:val="en-US"/>
        </w:rPr>
        <w:br/>
      </w:r>
      <w:r w:rsidRPr="00D54E4F">
        <w:rPr>
          <w:rFonts w:ascii="Calibri" w:eastAsia="Calibri" w:hAnsi="Calibri" w:cs="Calibri"/>
          <w:b/>
          <w:bCs/>
          <w:color w:val="000000"/>
          <w:lang w:val="en-US"/>
        </w:rPr>
        <w:t>Cc:</w:t>
      </w:r>
      <w:r w:rsidRPr="00D54E4F">
        <w:rPr>
          <w:rFonts w:ascii="Calibri" w:eastAsia="Calibri" w:hAnsi="Calibri" w:cs="Calibri"/>
          <w:color w:val="000000"/>
          <w:lang w:val="en-US"/>
        </w:rPr>
        <w:t xml:space="preserve"> Andrian DIGOLEAN &lt;</w:t>
      </w:r>
      <w:hyperlink r:id="rId21" w:history="1">
        <w:r w:rsidRPr="00D54E4F">
          <w:rPr>
            <w:rFonts w:ascii="Calibri" w:eastAsia="Calibri" w:hAnsi="Calibri" w:cs="Calibri"/>
            <w:color w:val="0563C1"/>
            <w:u w:val="single"/>
            <w:lang w:val="en-US"/>
          </w:rPr>
          <w:t>andrian.digolean@maia.gov.md</w:t>
        </w:r>
      </w:hyperlink>
      <w:r w:rsidRPr="00D54E4F">
        <w:rPr>
          <w:rFonts w:ascii="Calibri" w:eastAsia="Calibri" w:hAnsi="Calibri" w:cs="Calibri"/>
          <w:color w:val="000000"/>
          <w:lang w:val="en-US"/>
        </w:rPr>
        <w:t>&gt;; Liliana Dascaliuc &lt;</w:t>
      </w:r>
      <w:hyperlink r:id="rId22" w:history="1">
        <w:r w:rsidRPr="00D54E4F">
          <w:rPr>
            <w:rFonts w:ascii="Calibri" w:eastAsia="Calibri" w:hAnsi="Calibri" w:cs="Calibri"/>
            <w:color w:val="0563C1"/>
            <w:u w:val="single"/>
            <w:lang w:val="en-US"/>
          </w:rPr>
          <w:t>liliana.dascaliuc@maia.gov.md</w:t>
        </w:r>
      </w:hyperlink>
      <w:r w:rsidRPr="00D54E4F">
        <w:rPr>
          <w:rFonts w:ascii="Calibri" w:eastAsia="Calibri" w:hAnsi="Calibri" w:cs="Calibri"/>
          <w:color w:val="000000"/>
          <w:lang w:val="en-US"/>
        </w:rPr>
        <w:t>&gt;</w:t>
      </w:r>
      <w:r w:rsidRPr="00D54E4F">
        <w:rPr>
          <w:rFonts w:ascii="Calibri" w:eastAsia="Calibri" w:hAnsi="Calibri" w:cs="Calibri"/>
          <w:color w:val="000000"/>
          <w:lang w:val="en-US"/>
        </w:rPr>
        <w:br/>
      </w:r>
      <w:r w:rsidRPr="00D54E4F">
        <w:rPr>
          <w:rFonts w:ascii="Calibri" w:eastAsia="Calibri" w:hAnsi="Calibri" w:cs="Calibri"/>
          <w:b/>
          <w:bCs/>
          <w:color w:val="000000"/>
          <w:lang w:val="en-US"/>
        </w:rPr>
        <w:t>Subject:</w:t>
      </w:r>
      <w:r w:rsidRPr="00D54E4F">
        <w:rPr>
          <w:rFonts w:ascii="Calibri" w:eastAsia="Calibri" w:hAnsi="Calibri" w:cs="Calibri"/>
          <w:color w:val="000000"/>
          <w:lang w:val="en-US"/>
        </w:rPr>
        <w:t xml:space="preserve"> Re:</w:t>
      </w:r>
    </w:p>
    <w:p w:rsidR="00D54E4F" w:rsidRPr="00D54E4F" w:rsidRDefault="00D54E4F" w:rsidP="00D54E4F">
      <w:pPr>
        <w:spacing w:after="0" w:line="240" w:lineRule="auto"/>
        <w:rPr>
          <w:rFonts w:ascii="Calibri" w:eastAsia="Calibri" w:hAnsi="Calibri" w:cs="Calibri"/>
          <w:color w:val="000000"/>
          <w:lang w:val="en-US"/>
        </w:rPr>
      </w:pPr>
      <w:r w:rsidRPr="00D54E4F">
        <w:rPr>
          <w:rFonts w:ascii="Calibri" w:eastAsia="Calibri" w:hAnsi="Calibri" w:cs="Calibri"/>
          <w:color w:val="000000"/>
          <w:lang w:val="en-US"/>
        </w:rPr>
        <w:t> </w:t>
      </w:r>
    </w:p>
    <w:p w:rsidR="00D54E4F" w:rsidRPr="00D54E4F" w:rsidRDefault="00D54E4F" w:rsidP="00D54E4F">
      <w:pPr>
        <w:spacing w:after="0" w:line="240" w:lineRule="auto"/>
        <w:rPr>
          <w:rFonts w:ascii="Calibri" w:eastAsia="Calibri" w:hAnsi="Calibri" w:cs="Calibri"/>
          <w:color w:val="000000"/>
          <w:lang w:val="en-US"/>
        </w:rPr>
      </w:pPr>
      <w:r w:rsidRPr="00D54E4F">
        <w:rPr>
          <w:rFonts w:ascii="Arial" w:eastAsia="Calibri" w:hAnsi="Arial" w:cs="Arial"/>
          <w:color w:val="000000"/>
          <w:sz w:val="26"/>
          <w:szCs w:val="26"/>
          <w:lang w:val="en-US"/>
        </w:rPr>
        <w:t xml:space="preserve">Buna </w:t>
      </w:r>
      <w:proofErr w:type="spellStart"/>
      <w:r w:rsidRPr="00D54E4F">
        <w:rPr>
          <w:rFonts w:ascii="Arial" w:eastAsia="Calibri" w:hAnsi="Arial" w:cs="Arial"/>
          <w:color w:val="000000"/>
          <w:sz w:val="26"/>
          <w:szCs w:val="26"/>
          <w:lang w:val="en-US"/>
        </w:rPr>
        <w:t>ziua</w:t>
      </w:r>
      <w:proofErr w:type="spellEnd"/>
      <w:r w:rsidRPr="00D54E4F">
        <w:rPr>
          <w:rFonts w:ascii="Arial" w:eastAsia="Calibri" w:hAnsi="Arial" w:cs="Arial"/>
          <w:color w:val="000000"/>
          <w:sz w:val="26"/>
          <w:szCs w:val="26"/>
          <w:lang w:val="en-US"/>
        </w:rPr>
        <w:t>,</w:t>
      </w:r>
    </w:p>
    <w:p w:rsidR="00D54E4F" w:rsidRPr="00D54E4F" w:rsidRDefault="00D54E4F" w:rsidP="009705EE">
      <w:pPr>
        <w:spacing w:after="0" w:line="240" w:lineRule="auto"/>
        <w:jc w:val="both"/>
        <w:rPr>
          <w:rFonts w:ascii="Calibri" w:eastAsia="Calibri" w:hAnsi="Calibri" w:cs="Calibri"/>
          <w:color w:val="000000"/>
          <w:lang w:val="en-US"/>
        </w:rPr>
      </w:pPr>
      <w:proofErr w:type="spellStart"/>
      <w:r w:rsidRPr="00D54E4F">
        <w:rPr>
          <w:rFonts w:ascii="Arial" w:eastAsia="Calibri" w:hAnsi="Arial" w:cs="Arial"/>
          <w:color w:val="000000"/>
          <w:sz w:val="26"/>
          <w:szCs w:val="26"/>
          <w:lang w:val="en-US"/>
        </w:rPr>
        <w:t>Dna</w:t>
      </w:r>
      <w:proofErr w:type="spellEnd"/>
      <w:r w:rsidRPr="00D54E4F">
        <w:rPr>
          <w:rFonts w:ascii="Arial" w:eastAsia="Calibri" w:hAnsi="Arial" w:cs="Arial"/>
          <w:color w:val="000000"/>
          <w:sz w:val="26"/>
          <w:szCs w:val="26"/>
          <w:lang w:val="en-US"/>
        </w:rPr>
        <w:t xml:space="preserve"> Viorica </w:t>
      </w:r>
      <w:proofErr w:type="spellStart"/>
      <w:r w:rsidRPr="00D54E4F">
        <w:rPr>
          <w:rFonts w:ascii="Arial" w:eastAsia="Calibri" w:hAnsi="Arial" w:cs="Arial"/>
          <w:color w:val="000000"/>
          <w:sz w:val="26"/>
          <w:szCs w:val="26"/>
          <w:lang w:val="en-US"/>
        </w:rPr>
        <w:t>examinînd</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suplimentar</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proiectul</w:t>
      </w:r>
      <w:proofErr w:type="spellEnd"/>
      <w:r w:rsidRPr="00D54E4F">
        <w:rPr>
          <w:rFonts w:ascii="Arial" w:eastAsia="Calibri" w:hAnsi="Arial" w:cs="Arial"/>
          <w:color w:val="000000"/>
          <w:sz w:val="26"/>
          <w:szCs w:val="26"/>
          <w:lang w:val="en-US"/>
        </w:rPr>
        <w:t xml:space="preserve"> HG cu </w:t>
      </w:r>
      <w:proofErr w:type="spellStart"/>
      <w:r w:rsidRPr="00D54E4F">
        <w:rPr>
          <w:rFonts w:ascii="Arial" w:eastAsia="Calibri" w:hAnsi="Arial" w:cs="Arial"/>
          <w:color w:val="000000"/>
          <w:sz w:val="26"/>
          <w:szCs w:val="26"/>
          <w:lang w:val="en-US"/>
        </w:rPr>
        <w:t>număr</w:t>
      </w:r>
      <w:proofErr w:type="spellEnd"/>
      <w:r w:rsidRPr="00D54E4F">
        <w:rPr>
          <w:rFonts w:ascii="Arial" w:eastAsia="Calibri" w:hAnsi="Arial" w:cs="Arial"/>
          <w:color w:val="000000"/>
          <w:sz w:val="26"/>
          <w:szCs w:val="26"/>
          <w:lang w:val="en-US"/>
        </w:rPr>
        <w:t xml:space="preserve"> </w:t>
      </w:r>
      <w:proofErr w:type="spellStart"/>
      <w:proofErr w:type="gramStart"/>
      <w:r w:rsidRPr="00D54E4F">
        <w:rPr>
          <w:rFonts w:ascii="Arial" w:eastAsia="Calibri" w:hAnsi="Arial" w:cs="Arial"/>
          <w:color w:val="000000"/>
          <w:sz w:val="26"/>
          <w:szCs w:val="26"/>
          <w:lang w:val="en-US"/>
        </w:rPr>
        <w:t>unic</w:t>
      </w:r>
      <w:proofErr w:type="spellEnd"/>
      <w:r w:rsidRPr="00D54E4F">
        <w:rPr>
          <w:rFonts w:ascii="Arial" w:eastAsia="Calibri" w:hAnsi="Arial" w:cs="Arial"/>
          <w:color w:val="000000"/>
          <w:sz w:val="26"/>
          <w:szCs w:val="26"/>
          <w:lang w:val="en-US"/>
        </w:rPr>
        <w:t xml:space="preserve">  811</w:t>
      </w:r>
      <w:proofErr w:type="gramEnd"/>
      <w:r w:rsidRPr="00D54E4F">
        <w:rPr>
          <w:rFonts w:ascii="Arial" w:eastAsia="Calibri" w:hAnsi="Arial" w:cs="Arial"/>
          <w:color w:val="000000"/>
          <w:sz w:val="26"/>
          <w:szCs w:val="26"/>
          <w:lang w:val="en-US"/>
        </w:rPr>
        <w:t xml:space="preserve">/MDED/2024, </w:t>
      </w:r>
      <w:proofErr w:type="spellStart"/>
      <w:r w:rsidRPr="00D54E4F">
        <w:rPr>
          <w:rFonts w:ascii="Arial" w:eastAsia="Calibri" w:hAnsi="Arial" w:cs="Arial"/>
          <w:color w:val="000000"/>
          <w:sz w:val="26"/>
          <w:szCs w:val="26"/>
          <w:lang w:val="en-US"/>
        </w:rPr>
        <w:t>atragem</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atenția</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că</w:t>
      </w:r>
      <w:proofErr w:type="spellEnd"/>
      <w:r w:rsidRPr="00D54E4F">
        <w:rPr>
          <w:rFonts w:ascii="Arial" w:eastAsia="Calibri" w:hAnsi="Arial" w:cs="Arial"/>
          <w:color w:val="000000"/>
          <w:sz w:val="26"/>
          <w:szCs w:val="26"/>
          <w:lang w:val="en-US"/>
        </w:rPr>
        <w:t xml:space="preserve"> pct. 2 din </w:t>
      </w:r>
      <w:proofErr w:type="spellStart"/>
      <w:r w:rsidRPr="00D54E4F">
        <w:rPr>
          <w:rFonts w:ascii="Arial" w:eastAsia="Calibri" w:hAnsi="Arial" w:cs="Arial"/>
          <w:color w:val="000000"/>
          <w:sz w:val="26"/>
          <w:szCs w:val="26"/>
          <w:lang w:val="en-US"/>
        </w:rPr>
        <w:t>Anexa</w:t>
      </w:r>
      <w:proofErr w:type="spellEnd"/>
      <w:r w:rsidRPr="00D54E4F">
        <w:rPr>
          <w:rFonts w:ascii="Arial" w:eastAsia="Calibri" w:hAnsi="Arial" w:cs="Arial"/>
          <w:color w:val="000000"/>
          <w:sz w:val="26"/>
          <w:szCs w:val="26"/>
          <w:lang w:val="en-US"/>
        </w:rPr>
        <w:t xml:space="preserve"> la </w:t>
      </w:r>
      <w:proofErr w:type="spellStart"/>
      <w:r w:rsidRPr="00D54E4F">
        <w:rPr>
          <w:rFonts w:ascii="Arial" w:eastAsia="Calibri" w:hAnsi="Arial" w:cs="Arial"/>
          <w:color w:val="000000"/>
          <w:sz w:val="26"/>
          <w:szCs w:val="26"/>
          <w:lang w:val="en-US"/>
        </w:rPr>
        <w:t>Directiva</w:t>
      </w:r>
      <w:proofErr w:type="spellEnd"/>
      <w:r w:rsidRPr="00D54E4F">
        <w:rPr>
          <w:rFonts w:ascii="Arial" w:eastAsia="Calibri" w:hAnsi="Arial" w:cs="Arial"/>
          <w:color w:val="000000"/>
          <w:sz w:val="26"/>
          <w:szCs w:val="26"/>
          <w:lang w:val="en-US"/>
        </w:rPr>
        <w:t xml:space="preserve"> 2007/45/CE </w:t>
      </w:r>
      <w:proofErr w:type="spellStart"/>
      <w:r w:rsidRPr="00D54E4F">
        <w:rPr>
          <w:rFonts w:ascii="Arial" w:eastAsia="Calibri" w:hAnsi="Arial" w:cs="Arial"/>
          <w:color w:val="000000"/>
          <w:sz w:val="26"/>
          <w:szCs w:val="26"/>
          <w:lang w:val="en-US"/>
        </w:rPr>
        <w:t>este</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intitulat</w:t>
      </w:r>
      <w:proofErr w:type="spellEnd"/>
      <w:r w:rsidR="009705EE">
        <w:rPr>
          <w:rFonts w:ascii="Arial" w:eastAsia="Calibri" w:hAnsi="Arial" w:cs="Arial"/>
          <w:color w:val="000000"/>
          <w:sz w:val="26"/>
          <w:szCs w:val="26"/>
          <w:lang w:val="en-US"/>
        </w:rPr>
        <w:t xml:space="preserve"> </w:t>
      </w:r>
      <w:r w:rsidRPr="00D54E4F">
        <w:rPr>
          <w:rFonts w:ascii="Arial" w:eastAsia="Calibri" w:hAnsi="Arial" w:cs="Arial"/>
          <w:color w:val="000000"/>
          <w:sz w:val="26"/>
          <w:szCs w:val="26"/>
          <w:lang w:val="en-US"/>
        </w:rPr>
        <w:t>„</w:t>
      </w:r>
      <w:proofErr w:type="spellStart"/>
      <w:r w:rsidRPr="00D54E4F">
        <w:rPr>
          <w:rFonts w:ascii="Arial" w:eastAsia="Calibri" w:hAnsi="Arial" w:cs="Arial"/>
          <w:color w:val="000000"/>
          <w:sz w:val="26"/>
          <w:szCs w:val="26"/>
          <w:lang w:val="en-US"/>
        </w:rPr>
        <w:t>Definiții</w:t>
      </w:r>
      <w:proofErr w:type="spellEnd"/>
      <w:r w:rsidRPr="00D54E4F">
        <w:rPr>
          <w:rFonts w:ascii="Arial" w:eastAsia="Calibri" w:hAnsi="Arial" w:cs="Arial"/>
          <w:color w:val="000000"/>
          <w:sz w:val="26"/>
          <w:szCs w:val="26"/>
          <w:lang w:val="en-US"/>
        </w:rPr>
        <w:t xml:space="preserve"> ale </w:t>
      </w:r>
      <w:proofErr w:type="spellStart"/>
      <w:r w:rsidRPr="00D54E4F">
        <w:rPr>
          <w:rFonts w:ascii="Arial" w:eastAsia="Calibri" w:hAnsi="Arial" w:cs="Arial"/>
          <w:color w:val="000000"/>
          <w:sz w:val="26"/>
          <w:szCs w:val="26"/>
          <w:lang w:val="en-US"/>
        </w:rPr>
        <w:t>produselor</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pe</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cînt</w:t>
      </w:r>
      <w:proofErr w:type="spellEnd"/>
      <w:r w:rsidRPr="00D54E4F">
        <w:rPr>
          <w:rFonts w:ascii="Arial" w:eastAsia="Calibri" w:hAnsi="Arial" w:cs="Arial"/>
          <w:color w:val="000000"/>
          <w:sz w:val="26"/>
          <w:szCs w:val="26"/>
          <w:lang w:val="en-US"/>
        </w:rPr>
        <w:t xml:space="preserve"> în </w:t>
      </w:r>
      <w:proofErr w:type="spellStart"/>
      <w:r w:rsidRPr="00D54E4F">
        <w:rPr>
          <w:rFonts w:ascii="Arial" w:eastAsia="Calibri" w:hAnsi="Arial" w:cs="Arial"/>
          <w:color w:val="000000"/>
          <w:sz w:val="26"/>
          <w:szCs w:val="26"/>
          <w:lang w:val="en-US"/>
        </w:rPr>
        <w:t>textul</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proiectul</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anexa</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dată</w:t>
      </w:r>
      <w:proofErr w:type="spellEnd"/>
      <w:r w:rsidRPr="00D54E4F">
        <w:rPr>
          <w:rFonts w:ascii="Arial" w:eastAsia="Calibri" w:hAnsi="Arial" w:cs="Arial"/>
          <w:color w:val="000000"/>
          <w:sz w:val="26"/>
          <w:szCs w:val="26"/>
          <w:lang w:val="en-US"/>
        </w:rPr>
        <w:t xml:space="preserve"> la pct. 2 </w:t>
      </w:r>
      <w:proofErr w:type="spellStart"/>
      <w:r w:rsidRPr="00D54E4F">
        <w:rPr>
          <w:rFonts w:ascii="Arial" w:eastAsia="Calibri" w:hAnsi="Arial" w:cs="Arial"/>
          <w:color w:val="000000"/>
          <w:sz w:val="26"/>
          <w:szCs w:val="26"/>
          <w:lang w:val="en-US"/>
        </w:rPr>
        <w:t>este</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intitulat</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Categoriile</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produselor</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ceea</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ce</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considerăm</w:t>
      </w:r>
      <w:proofErr w:type="spellEnd"/>
      <w:r w:rsidRPr="00D54E4F">
        <w:rPr>
          <w:rFonts w:ascii="Arial" w:eastAsia="Calibri" w:hAnsi="Arial" w:cs="Arial"/>
          <w:color w:val="000000"/>
          <w:sz w:val="26"/>
          <w:szCs w:val="26"/>
          <w:lang w:val="en-US"/>
        </w:rPr>
        <w:t xml:space="preserve"> conceptual </w:t>
      </w:r>
      <w:proofErr w:type="spellStart"/>
      <w:r w:rsidRPr="00D54E4F">
        <w:rPr>
          <w:rFonts w:ascii="Arial" w:eastAsia="Calibri" w:hAnsi="Arial" w:cs="Arial"/>
          <w:color w:val="000000"/>
          <w:sz w:val="26"/>
          <w:szCs w:val="26"/>
          <w:lang w:val="en-US"/>
        </w:rPr>
        <w:t>greșit</w:t>
      </w:r>
      <w:proofErr w:type="spellEnd"/>
      <w:r w:rsidRPr="00D54E4F">
        <w:rPr>
          <w:rFonts w:ascii="Arial" w:eastAsia="Calibri" w:hAnsi="Arial" w:cs="Arial"/>
          <w:color w:val="000000"/>
          <w:sz w:val="26"/>
          <w:szCs w:val="26"/>
          <w:lang w:val="en-US"/>
        </w:rPr>
        <w:t>, întrucît s-</w:t>
      </w:r>
      <w:proofErr w:type="spellStart"/>
      <w:r w:rsidRPr="00D54E4F">
        <w:rPr>
          <w:rFonts w:ascii="Arial" w:eastAsia="Calibri" w:hAnsi="Arial" w:cs="Arial"/>
          <w:color w:val="000000"/>
          <w:sz w:val="26"/>
          <w:szCs w:val="26"/>
          <w:lang w:val="en-US"/>
        </w:rPr>
        <w:t>ar</w:t>
      </w:r>
      <w:proofErr w:type="spellEnd"/>
      <w:r w:rsidRPr="00D54E4F">
        <w:rPr>
          <w:rFonts w:ascii="Arial" w:eastAsia="Calibri" w:hAnsi="Arial" w:cs="Arial"/>
          <w:color w:val="000000"/>
          <w:sz w:val="26"/>
          <w:szCs w:val="26"/>
          <w:lang w:val="en-US"/>
        </w:rPr>
        <w:t xml:space="preserve"> deduce </w:t>
      </w:r>
      <w:proofErr w:type="spellStart"/>
      <w:r w:rsidRPr="00D54E4F">
        <w:rPr>
          <w:rFonts w:ascii="Arial" w:eastAsia="Calibri" w:hAnsi="Arial" w:cs="Arial"/>
          <w:color w:val="000000"/>
          <w:sz w:val="26"/>
          <w:szCs w:val="26"/>
          <w:lang w:val="en-US"/>
        </w:rPr>
        <w:t>că</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lista</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reprezintă</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categorii</w:t>
      </w:r>
      <w:proofErr w:type="spellEnd"/>
      <w:r w:rsidRPr="00D54E4F">
        <w:rPr>
          <w:rFonts w:ascii="Arial" w:eastAsia="Calibri" w:hAnsi="Arial" w:cs="Arial"/>
          <w:color w:val="000000"/>
          <w:sz w:val="26"/>
          <w:szCs w:val="26"/>
          <w:lang w:val="en-US"/>
        </w:rPr>
        <w:t xml:space="preserve"> de </w:t>
      </w:r>
      <w:proofErr w:type="spellStart"/>
      <w:r w:rsidRPr="00D54E4F">
        <w:rPr>
          <w:rFonts w:ascii="Arial" w:eastAsia="Calibri" w:hAnsi="Arial" w:cs="Arial"/>
          <w:color w:val="000000"/>
          <w:sz w:val="26"/>
          <w:szCs w:val="26"/>
          <w:lang w:val="en-US"/>
        </w:rPr>
        <w:t>produse</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pe</w:t>
      </w:r>
      <w:proofErr w:type="spellEnd"/>
      <w:r w:rsidRPr="00D54E4F">
        <w:rPr>
          <w:rFonts w:ascii="Arial" w:eastAsia="Calibri" w:hAnsi="Arial" w:cs="Arial"/>
          <w:color w:val="000000"/>
          <w:sz w:val="26"/>
          <w:szCs w:val="26"/>
          <w:lang w:val="en-US"/>
        </w:rPr>
        <w:t xml:space="preserve"> cînd </w:t>
      </w:r>
      <w:proofErr w:type="spellStart"/>
      <w:r w:rsidRPr="00D54E4F">
        <w:rPr>
          <w:rFonts w:ascii="Arial" w:eastAsia="Calibri" w:hAnsi="Arial" w:cs="Arial"/>
          <w:color w:val="000000"/>
          <w:sz w:val="26"/>
          <w:szCs w:val="26"/>
          <w:lang w:val="en-US"/>
        </w:rPr>
        <w:t>legislația</w:t>
      </w:r>
      <w:proofErr w:type="spellEnd"/>
      <w:r w:rsidRPr="00D54E4F">
        <w:rPr>
          <w:rFonts w:ascii="Arial" w:eastAsia="Calibri" w:hAnsi="Arial" w:cs="Arial"/>
          <w:color w:val="000000"/>
          <w:sz w:val="26"/>
          <w:szCs w:val="26"/>
          <w:lang w:val="en-US"/>
        </w:rPr>
        <w:t xml:space="preserve"> din </w:t>
      </w:r>
      <w:proofErr w:type="spellStart"/>
      <w:r w:rsidRPr="00D54E4F">
        <w:rPr>
          <w:rFonts w:ascii="Arial" w:eastAsia="Calibri" w:hAnsi="Arial" w:cs="Arial"/>
          <w:color w:val="000000"/>
          <w:sz w:val="26"/>
          <w:szCs w:val="26"/>
          <w:lang w:val="en-US"/>
        </w:rPr>
        <w:t>domeniu</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vinului</w:t>
      </w:r>
      <w:proofErr w:type="spellEnd"/>
      <w:r w:rsidRPr="00D54E4F">
        <w:rPr>
          <w:rFonts w:ascii="Arial" w:eastAsia="Calibri" w:hAnsi="Arial" w:cs="Arial"/>
          <w:color w:val="000000"/>
          <w:sz w:val="26"/>
          <w:szCs w:val="26"/>
          <w:lang w:val="en-US"/>
        </w:rPr>
        <w:t xml:space="preserve"> nu </w:t>
      </w:r>
      <w:proofErr w:type="spellStart"/>
      <w:r w:rsidR="009705EE">
        <w:rPr>
          <w:rFonts w:ascii="Arial" w:eastAsia="Calibri" w:hAnsi="Arial" w:cs="Arial"/>
          <w:color w:val="000000"/>
          <w:sz w:val="26"/>
          <w:szCs w:val="26"/>
          <w:lang w:val="en-US"/>
        </w:rPr>
        <w:t>r</w:t>
      </w:r>
      <w:r w:rsidRPr="00D54E4F">
        <w:rPr>
          <w:rFonts w:ascii="Arial" w:eastAsia="Calibri" w:hAnsi="Arial" w:cs="Arial"/>
          <w:color w:val="000000"/>
          <w:sz w:val="26"/>
          <w:szCs w:val="26"/>
          <w:lang w:val="en-US"/>
        </w:rPr>
        <w:t>eglementează</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astfel</w:t>
      </w:r>
      <w:proofErr w:type="spellEnd"/>
      <w:r w:rsidRPr="00D54E4F">
        <w:rPr>
          <w:rFonts w:ascii="Arial" w:eastAsia="Calibri" w:hAnsi="Arial" w:cs="Arial"/>
          <w:color w:val="000000"/>
          <w:sz w:val="26"/>
          <w:szCs w:val="26"/>
          <w:lang w:val="en-US"/>
        </w:rPr>
        <w:t xml:space="preserve"> de </w:t>
      </w:r>
      <w:proofErr w:type="spellStart"/>
      <w:r w:rsidRPr="00D54E4F">
        <w:rPr>
          <w:rFonts w:ascii="Arial" w:eastAsia="Calibri" w:hAnsi="Arial" w:cs="Arial"/>
          <w:color w:val="000000"/>
          <w:sz w:val="26"/>
          <w:szCs w:val="26"/>
          <w:lang w:val="en-US"/>
        </w:rPr>
        <w:t>categorii</w:t>
      </w:r>
      <w:proofErr w:type="spellEnd"/>
      <w:r w:rsidRPr="00D54E4F">
        <w:rPr>
          <w:rFonts w:ascii="Arial" w:eastAsia="Calibri" w:hAnsi="Arial" w:cs="Arial"/>
          <w:color w:val="000000"/>
          <w:sz w:val="26"/>
          <w:szCs w:val="26"/>
          <w:lang w:val="en-US"/>
        </w:rPr>
        <w:t xml:space="preserve"> de </w:t>
      </w:r>
      <w:proofErr w:type="spellStart"/>
      <w:r w:rsidRPr="00D54E4F">
        <w:rPr>
          <w:rFonts w:ascii="Arial" w:eastAsia="Calibri" w:hAnsi="Arial" w:cs="Arial"/>
          <w:color w:val="000000"/>
          <w:sz w:val="26"/>
          <w:szCs w:val="26"/>
          <w:lang w:val="en-US"/>
        </w:rPr>
        <w:t>produse</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cel</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puțin</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unele</w:t>
      </w:r>
      <w:proofErr w:type="spellEnd"/>
      <w:r w:rsidRPr="00D54E4F">
        <w:rPr>
          <w:rFonts w:ascii="Arial" w:eastAsia="Calibri" w:hAnsi="Arial" w:cs="Arial"/>
          <w:color w:val="000000"/>
          <w:sz w:val="26"/>
          <w:szCs w:val="26"/>
          <w:lang w:val="en-US"/>
        </w:rPr>
        <w:t xml:space="preserve"> din </w:t>
      </w:r>
      <w:proofErr w:type="spellStart"/>
      <w:r w:rsidRPr="00D54E4F">
        <w:rPr>
          <w:rFonts w:ascii="Arial" w:eastAsia="Calibri" w:hAnsi="Arial" w:cs="Arial"/>
          <w:color w:val="000000"/>
          <w:sz w:val="26"/>
          <w:szCs w:val="26"/>
          <w:lang w:val="en-US"/>
        </w:rPr>
        <w:t>ele</w:t>
      </w:r>
      <w:proofErr w:type="spellEnd"/>
      <w:r w:rsidRPr="00D54E4F">
        <w:rPr>
          <w:rFonts w:ascii="Arial" w:eastAsia="Calibri" w:hAnsi="Arial" w:cs="Arial"/>
          <w:color w:val="000000"/>
          <w:sz w:val="26"/>
          <w:szCs w:val="26"/>
          <w:lang w:val="en-US"/>
        </w:rPr>
        <w:t>).</w:t>
      </w:r>
    </w:p>
    <w:p w:rsidR="00D54E4F" w:rsidRPr="00D54E4F" w:rsidRDefault="00D54E4F" w:rsidP="009705EE">
      <w:pPr>
        <w:spacing w:after="0" w:line="240" w:lineRule="auto"/>
        <w:jc w:val="both"/>
        <w:rPr>
          <w:rFonts w:ascii="Calibri" w:eastAsia="Calibri" w:hAnsi="Calibri" w:cs="Calibri"/>
          <w:color w:val="000000"/>
          <w:lang w:val="en-US"/>
        </w:rPr>
      </w:pPr>
      <w:r w:rsidRPr="00D54E4F">
        <w:rPr>
          <w:rFonts w:ascii="Arial" w:eastAsia="Calibri" w:hAnsi="Arial" w:cs="Arial"/>
          <w:color w:val="000000"/>
          <w:sz w:val="26"/>
          <w:szCs w:val="26"/>
          <w:lang w:val="en-US"/>
        </w:rPr>
        <w:t xml:space="preserve">De </w:t>
      </w:r>
      <w:proofErr w:type="spellStart"/>
      <w:r w:rsidRPr="00D54E4F">
        <w:rPr>
          <w:rFonts w:ascii="Arial" w:eastAsia="Calibri" w:hAnsi="Arial" w:cs="Arial"/>
          <w:color w:val="000000"/>
          <w:sz w:val="26"/>
          <w:szCs w:val="26"/>
          <w:lang w:val="en-US"/>
        </w:rPr>
        <w:t>aceea</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solicităm</w:t>
      </w:r>
      <w:proofErr w:type="spellEnd"/>
      <w:r w:rsidRPr="00D54E4F">
        <w:rPr>
          <w:rFonts w:ascii="Arial" w:eastAsia="Calibri" w:hAnsi="Arial" w:cs="Arial"/>
          <w:color w:val="000000"/>
          <w:sz w:val="26"/>
          <w:szCs w:val="26"/>
          <w:lang w:val="en-US"/>
        </w:rPr>
        <w:t xml:space="preserve"> </w:t>
      </w:r>
      <w:proofErr w:type="spellStart"/>
      <w:proofErr w:type="gramStart"/>
      <w:r w:rsidRPr="00D54E4F">
        <w:rPr>
          <w:rFonts w:ascii="Arial" w:eastAsia="Calibri" w:hAnsi="Arial" w:cs="Arial"/>
          <w:color w:val="000000"/>
          <w:sz w:val="26"/>
          <w:szCs w:val="26"/>
          <w:lang w:val="en-US"/>
        </w:rPr>
        <w:t>să</w:t>
      </w:r>
      <w:proofErr w:type="spellEnd"/>
      <w:proofErr w:type="gram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înlocuiți</w:t>
      </w:r>
      <w:proofErr w:type="spellEnd"/>
      <w:r w:rsidRPr="00D54E4F">
        <w:rPr>
          <w:rFonts w:ascii="Arial" w:eastAsia="Calibri" w:hAnsi="Arial" w:cs="Arial"/>
          <w:color w:val="000000"/>
          <w:sz w:val="26"/>
          <w:szCs w:val="26"/>
          <w:lang w:val="en-US"/>
        </w:rPr>
        <w:t xml:space="preserve"> la pct. 2 </w:t>
      </w:r>
      <w:proofErr w:type="spellStart"/>
      <w:r w:rsidRPr="00D54E4F">
        <w:rPr>
          <w:rFonts w:ascii="Arial" w:eastAsia="Calibri" w:hAnsi="Arial" w:cs="Arial"/>
          <w:color w:val="000000"/>
          <w:sz w:val="26"/>
          <w:szCs w:val="26"/>
          <w:lang w:val="en-US"/>
        </w:rPr>
        <w:t>textul</w:t>
      </w:r>
      <w:proofErr w:type="spellEnd"/>
      <w:r w:rsidRPr="00D54E4F">
        <w:rPr>
          <w:rFonts w:ascii="Arial" w:eastAsia="Calibri" w:hAnsi="Arial" w:cs="Arial"/>
          <w:color w:val="000000"/>
          <w:sz w:val="26"/>
          <w:szCs w:val="26"/>
          <w:lang w:val="en-US"/>
        </w:rPr>
        <w:t xml:space="preserve"> „2. </w:t>
      </w:r>
      <w:proofErr w:type="spellStart"/>
      <w:r w:rsidRPr="00D54E4F">
        <w:rPr>
          <w:rFonts w:ascii="Arial" w:eastAsia="Calibri" w:hAnsi="Arial" w:cs="Arial"/>
          <w:color w:val="000000"/>
          <w:sz w:val="26"/>
          <w:szCs w:val="26"/>
          <w:lang w:val="en-US"/>
        </w:rPr>
        <w:t>Categoriile</w:t>
      </w:r>
      <w:proofErr w:type="spellEnd"/>
      <w:r w:rsidRPr="00D54E4F">
        <w:rPr>
          <w:rFonts w:ascii="Arial" w:eastAsia="Calibri" w:hAnsi="Arial" w:cs="Arial"/>
          <w:color w:val="000000"/>
          <w:sz w:val="26"/>
          <w:szCs w:val="26"/>
          <w:lang w:val="en-US"/>
        </w:rPr>
        <w:t xml:space="preserve"> </w:t>
      </w:r>
      <w:proofErr w:type="spellStart"/>
      <w:r w:rsidRPr="00D54E4F">
        <w:rPr>
          <w:rFonts w:ascii="Arial" w:eastAsia="Calibri" w:hAnsi="Arial" w:cs="Arial"/>
          <w:color w:val="000000"/>
          <w:sz w:val="26"/>
          <w:szCs w:val="26"/>
          <w:lang w:val="en-US"/>
        </w:rPr>
        <w:t>produselor</w:t>
      </w:r>
      <w:proofErr w:type="spellEnd"/>
      <w:r w:rsidRPr="00D54E4F">
        <w:rPr>
          <w:rFonts w:ascii="Arial" w:eastAsia="Calibri" w:hAnsi="Arial" w:cs="Arial"/>
          <w:color w:val="000000"/>
          <w:sz w:val="26"/>
          <w:szCs w:val="26"/>
          <w:lang w:val="en-US"/>
        </w:rPr>
        <w:t xml:space="preserve">” cu „2. </w:t>
      </w:r>
      <w:proofErr w:type="spellStart"/>
      <w:r w:rsidRPr="00D54E4F">
        <w:rPr>
          <w:rFonts w:ascii="Arial" w:eastAsia="Calibri" w:hAnsi="Arial" w:cs="Arial"/>
          <w:color w:val="000000"/>
          <w:sz w:val="26"/>
          <w:szCs w:val="26"/>
          <w:lang w:val="en-US"/>
        </w:rPr>
        <w:t>Definiții</w:t>
      </w:r>
      <w:proofErr w:type="spellEnd"/>
      <w:r w:rsidRPr="00D54E4F">
        <w:rPr>
          <w:rFonts w:ascii="Arial" w:eastAsia="Calibri" w:hAnsi="Arial" w:cs="Arial"/>
          <w:color w:val="000000"/>
          <w:sz w:val="26"/>
          <w:szCs w:val="26"/>
          <w:lang w:val="en-US"/>
        </w:rPr>
        <w:t xml:space="preserve"> ale </w:t>
      </w:r>
      <w:proofErr w:type="spellStart"/>
      <w:r w:rsidRPr="00D54E4F">
        <w:rPr>
          <w:rFonts w:ascii="Arial" w:eastAsia="Calibri" w:hAnsi="Arial" w:cs="Arial"/>
          <w:color w:val="000000"/>
          <w:sz w:val="26"/>
          <w:szCs w:val="26"/>
          <w:lang w:val="en-US"/>
        </w:rPr>
        <w:t>produselor</w:t>
      </w:r>
      <w:proofErr w:type="spellEnd"/>
      <w:r w:rsidRPr="00D54E4F">
        <w:rPr>
          <w:rFonts w:ascii="Arial" w:eastAsia="Calibri" w:hAnsi="Arial" w:cs="Arial"/>
          <w:color w:val="000000"/>
          <w:sz w:val="26"/>
          <w:szCs w:val="26"/>
          <w:lang w:val="en-US"/>
        </w:rPr>
        <w:t>”.</w:t>
      </w:r>
    </w:p>
    <w:p w:rsidR="00D54E4F" w:rsidRDefault="00D54E4F" w:rsidP="009705EE">
      <w:pPr>
        <w:jc w:val="both"/>
        <w:rPr>
          <w:b/>
          <w:bCs/>
          <w:lang w:val="en-US"/>
        </w:rPr>
      </w:pPr>
      <w:bookmarkStart w:id="0" w:name="_GoBack"/>
      <w:bookmarkEnd w:id="0"/>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p w:rsidR="00D54E4F" w:rsidRDefault="00D54E4F" w:rsidP="003959F6">
      <w:pPr>
        <w:rPr>
          <w:b/>
          <w:bCs/>
          <w:lang w:val="en-US"/>
        </w:rPr>
      </w:pPr>
    </w:p>
    <w:sectPr w:rsidR="00D54E4F" w:rsidSect="003959F6">
      <w:pgSz w:w="11906" w:h="16838"/>
      <w:pgMar w:top="284" w:right="1134" w:bottom="1440"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DC2" w:rsidRDefault="00A66DC2">
      <w:pPr>
        <w:spacing w:after="0" w:line="240" w:lineRule="auto"/>
      </w:pPr>
      <w:r>
        <w:separator/>
      </w:r>
    </w:p>
  </w:endnote>
  <w:endnote w:type="continuationSeparator" w:id="0">
    <w:p w:rsidR="00A66DC2" w:rsidRDefault="00A6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494080"/>
      <w:docPartObj>
        <w:docPartGallery w:val="Page Numbers (Bottom of Page)"/>
        <w:docPartUnique/>
      </w:docPartObj>
    </w:sdtPr>
    <w:sdtEndPr>
      <w:rPr>
        <w:noProof/>
      </w:rPr>
    </w:sdtEndPr>
    <w:sdtContent>
      <w:p w:rsidR="00A52C8A" w:rsidRDefault="008E5BE5">
        <w:pPr>
          <w:pStyle w:val="Footer"/>
          <w:jc w:val="center"/>
        </w:pPr>
        <w:r>
          <w:fldChar w:fldCharType="begin"/>
        </w:r>
        <w:r>
          <w:instrText xml:space="preserve"> PAGE   \* MERGEFORMAT </w:instrText>
        </w:r>
        <w:r>
          <w:fldChar w:fldCharType="separate"/>
        </w:r>
        <w:r w:rsidR="00597E79">
          <w:rPr>
            <w:noProof/>
          </w:rPr>
          <w:t>20</w:t>
        </w:r>
        <w:r>
          <w:rPr>
            <w:noProof/>
          </w:rPr>
          <w:fldChar w:fldCharType="end"/>
        </w:r>
      </w:p>
    </w:sdtContent>
  </w:sdt>
  <w:p w:rsidR="00A52C8A" w:rsidRDefault="00A66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DC2" w:rsidRDefault="00A66DC2">
      <w:pPr>
        <w:spacing w:after="0" w:line="240" w:lineRule="auto"/>
      </w:pPr>
      <w:r>
        <w:separator/>
      </w:r>
    </w:p>
  </w:footnote>
  <w:footnote w:type="continuationSeparator" w:id="0">
    <w:p w:rsidR="00A66DC2" w:rsidRDefault="00A66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D2947"/>
    <w:multiLevelType w:val="multilevel"/>
    <w:tmpl w:val="6DA6D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5D06287"/>
    <w:multiLevelType w:val="hybridMultilevel"/>
    <w:tmpl w:val="D4D8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928E1"/>
    <w:multiLevelType w:val="multilevel"/>
    <w:tmpl w:val="DC1EFF1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065"/>
    <w:rsid w:val="00014286"/>
    <w:rsid w:val="0001674E"/>
    <w:rsid w:val="00025BD4"/>
    <w:rsid w:val="00034447"/>
    <w:rsid w:val="00034924"/>
    <w:rsid w:val="00047600"/>
    <w:rsid w:val="0005285B"/>
    <w:rsid w:val="000563D8"/>
    <w:rsid w:val="00066561"/>
    <w:rsid w:val="000762F6"/>
    <w:rsid w:val="00084CBF"/>
    <w:rsid w:val="000850F9"/>
    <w:rsid w:val="0008677F"/>
    <w:rsid w:val="00087CBC"/>
    <w:rsid w:val="00091E8F"/>
    <w:rsid w:val="000A671F"/>
    <w:rsid w:val="000A7394"/>
    <w:rsid w:val="000A76B6"/>
    <w:rsid w:val="000B3DF2"/>
    <w:rsid w:val="000B6146"/>
    <w:rsid w:val="000C0B1D"/>
    <w:rsid w:val="000E5711"/>
    <w:rsid w:val="000E5A6F"/>
    <w:rsid w:val="000F7280"/>
    <w:rsid w:val="00106E27"/>
    <w:rsid w:val="0011617E"/>
    <w:rsid w:val="00117512"/>
    <w:rsid w:val="00125337"/>
    <w:rsid w:val="00133E5D"/>
    <w:rsid w:val="00133F9A"/>
    <w:rsid w:val="001342A7"/>
    <w:rsid w:val="00135AF2"/>
    <w:rsid w:val="001363F9"/>
    <w:rsid w:val="00142818"/>
    <w:rsid w:val="001541B1"/>
    <w:rsid w:val="00161041"/>
    <w:rsid w:val="001650E1"/>
    <w:rsid w:val="0016761D"/>
    <w:rsid w:val="00167E56"/>
    <w:rsid w:val="001956CA"/>
    <w:rsid w:val="001A66B3"/>
    <w:rsid w:val="001B7CEE"/>
    <w:rsid w:val="001C15FE"/>
    <w:rsid w:val="001C50DE"/>
    <w:rsid w:val="001E7A30"/>
    <w:rsid w:val="001E7CEA"/>
    <w:rsid w:val="00204736"/>
    <w:rsid w:val="00205429"/>
    <w:rsid w:val="00225629"/>
    <w:rsid w:val="00233265"/>
    <w:rsid w:val="00234941"/>
    <w:rsid w:val="002733BC"/>
    <w:rsid w:val="002910E8"/>
    <w:rsid w:val="002A352D"/>
    <w:rsid w:val="002B164E"/>
    <w:rsid w:val="002B49DE"/>
    <w:rsid w:val="002B75E2"/>
    <w:rsid w:val="002C7C98"/>
    <w:rsid w:val="002D22F5"/>
    <w:rsid w:val="002D4BA1"/>
    <w:rsid w:val="002E0521"/>
    <w:rsid w:val="002E39E6"/>
    <w:rsid w:val="002E4463"/>
    <w:rsid w:val="002E7844"/>
    <w:rsid w:val="002E7ACA"/>
    <w:rsid w:val="00311262"/>
    <w:rsid w:val="003236A5"/>
    <w:rsid w:val="003443C4"/>
    <w:rsid w:val="00383209"/>
    <w:rsid w:val="003959F6"/>
    <w:rsid w:val="003B2C40"/>
    <w:rsid w:val="003E76E9"/>
    <w:rsid w:val="003F7A04"/>
    <w:rsid w:val="00415B2D"/>
    <w:rsid w:val="00423271"/>
    <w:rsid w:val="00424446"/>
    <w:rsid w:val="00437184"/>
    <w:rsid w:val="00470F31"/>
    <w:rsid w:val="0048012D"/>
    <w:rsid w:val="004827C6"/>
    <w:rsid w:val="004B0734"/>
    <w:rsid w:val="004B4432"/>
    <w:rsid w:val="004C0E57"/>
    <w:rsid w:val="004C2FAD"/>
    <w:rsid w:val="004C32CF"/>
    <w:rsid w:val="004C44F0"/>
    <w:rsid w:val="004D12F7"/>
    <w:rsid w:val="004E3019"/>
    <w:rsid w:val="004F5469"/>
    <w:rsid w:val="00500CAE"/>
    <w:rsid w:val="00513CB2"/>
    <w:rsid w:val="0051475A"/>
    <w:rsid w:val="0051721B"/>
    <w:rsid w:val="00522E72"/>
    <w:rsid w:val="0052366D"/>
    <w:rsid w:val="0055419C"/>
    <w:rsid w:val="00560525"/>
    <w:rsid w:val="00560E21"/>
    <w:rsid w:val="00565D56"/>
    <w:rsid w:val="00593D81"/>
    <w:rsid w:val="00597E79"/>
    <w:rsid w:val="005C47F5"/>
    <w:rsid w:val="005C797A"/>
    <w:rsid w:val="005D446C"/>
    <w:rsid w:val="0061218C"/>
    <w:rsid w:val="00615BB3"/>
    <w:rsid w:val="00626686"/>
    <w:rsid w:val="00650551"/>
    <w:rsid w:val="0065059F"/>
    <w:rsid w:val="006523E6"/>
    <w:rsid w:val="00657412"/>
    <w:rsid w:val="00667FC8"/>
    <w:rsid w:val="00674B37"/>
    <w:rsid w:val="00675E5B"/>
    <w:rsid w:val="006761DE"/>
    <w:rsid w:val="0067757B"/>
    <w:rsid w:val="00682FD6"/>
    <w:rsid w:val="006A51A8"/>
    <w:rsid w:val="006B14B6"/>
    <w:rsid w:val="006C5F1E"/>
    <w:rsid w:val="006D02A2"/>
    <w:rsid w:val="006E53C0"/>
    <w:rsid w:val="006F3E3A"/>
    <w:rsid w:val="0070070E"/>
    <w:rsid w:val="00707224"/>
    <w:rsid w:val="007221D8"/>
    <w:rsid w:val="00726CA3"/>
    <w:rsid w:val="00734288"/>
    <w:rsid w:val="00735C4D"/>
    <w:rsid w:val="00742C97"/>
    <w:rsid w:val="00750F16"/>
    <w:rsid w:val="00756A70"/>
    <w:rsid w:val="007857BA"/>
    <w:rsid w:val="007971CE"/>
    <w:rsid w:val="007B2C8D"/>
    <w:rsid w:val="007C4057"/>
    <w:rsid w:val="007D598B"/>
    <w:rsid w:val="007D66E4"/>
    <w:rsid w:val="007E3984"/>
    <w:rsid w:val="007E59F4"/>
    <w:rsid w:val="007F1269"/>
    <w:rsid w:val="007F69D1"/>
    <w:rsid w:val="00801355"/>
    <w:rsid w:val="00804F1D"/>
    <w:rsid w:val="00806BCD"/>
    <w:rsid w:val="00821D1D"/>
    <w:rsid w:val="00821F8D"/>
    <w:rsid w:val="00831072"/>
    <w:rsid w:val="00833AB4"/>
    <w:rsid w:val="00850992"/>
    <w:rsid w:val="00851B8B"/>
    <w:rsid w:val="0086151C"/>
    <w:rsid w:val="00865585"/>
    <w:rsid w:val="00865A7A"/>
    <w:rsid w:val="008674AC"/>
    <w:rsid w:val="008710F2"/>
    <w:rsid w:val="00893B24"/>
    <w:rsid w:val="00895164"/>
    <w:rsid w:val="008A17B1"/>
    <w:rsid w:val="008A3152"/>
    <w:rsid w:val="008B09E5"/>
    <w:rsid w:val="008B634F"/>
    <w:rsid w:val="008D437C"/>
    <w:rsid w:val="008E45C1"/>
    <w:rsid w:val="008E5BE5"/>
    <w:rsid w:val="008F0442"/>
    <w:rsid w:val="008F3753"/>
    <w:rsid w:val="008F700F"/>
    <w:rsid w:val="00906AF4"/>
    <w:rsid w:val="00913D36"/>
    <w:rsid w:val="00932E71"/>
    <w:rsid w:val="00937A55"/>
    <w:rsid w:val="00940B3E"/>
    <w:rsid w:val="0094764E"/>
    <w:rsid w:val="00951A13"/>
    <w:rsid w:val="009705EE"/>
    <w:rsid w:val="00976D8B"/>
    <w:rsid w:val="00994C31"/>
    <w:rsid w:val="009A01D1"/>
    <w:rsid w:val="009C5C2E"/>
    <w:rsid w:val="009E129E"/>
    <w:rsid w:val="00A007B5"/>
    <w:rsid w:val="00A02429"/>
    <w:rsid w:val="00A033C2"/>
    <w:rsid w:val="00A160B0"/>
    <w:rsid w:val="00A3174B"/>
    <w:rsid w:val="00A376F8"/>
    <w:rsid w:val="00A549C2"/>
    <w:rsid w:val="00A553B1"/>
    <w:rsid w:val="00A66DC2"/>
    <w:rsid w:val="00A67AAE"/>
    <w:rsid w:val="00A75A82"/>
    <w:rsid w:val="00A761C3"/>
    <w:rsid w:val="00A82FD8"/>
    <w:rsid w:val="00A83589"/>
    <w:rsid w:val="00A83A57"/>
    <w:rsid w:val="00A94D6F"/>
    <w:rsid w:val="00A94FCE"/>
    <w:rsid w:val="00A9644F"/>
    <w:rsid w:val="00AB4175"/>
    <w:rsid w:val="00AB7301"/>
    <w:rsid w:val="00AC4295"/>
    <w:rsid w:val="00AC63E6"/>
    <w:rsid w:val="00B01A14"/>
    <w:rsid w:val="00B12EBB"/>
    <w:rsid w:val="00B17DD0"/>
    <w:rsid w:val="00B3055B"/>
    <w:rsid w:val="00B31F97"/>
    <w:rsid w:val="00B5159C"/>
    <w:rsid w:val="00B57216"/>
    <w:rsid w:val="00B57998"/>
    <w:rsid w:val="00B748FC"/>
    <w:rsid w:val="00B74F9A"/>
    <w:rsid w:val="00B7590F"/>
    <w:rsid w:val="00B81EC6"/>
    <w:rsid w:val="00B8231F"/>
    <w:rsid w:val="00B904F5"/>
    <w:rsid w:val="00BB34DE"/>
    <w:rsid w:val="00BB392B"/>
    <w:rsid w:val="00BD680B"/>
    <w:rsid w:val="00BF1B3B"/>
    <w:rsid w:val="00C0540B"/>
    <w:rsid w:val="00C30EDB"/>
    <w:rsid w:val="00C32302"/>
    <w:rsid w:val="00C3371C"/>
    <w:rsid w:val="00C37079"/>
    <w:rsid w:val="00C40206"/>
    <w:rsid w:val="00C4164A"/>
    <w:rsid w:val="00C4588E"/>
    <w:rsid w:val="00C55BE6"/>
    <w:rsid w:val="00C57E59"/>
    <w:rsid w:val="00C6043F"/>
    <w:rsid w:val="00C64C4B"/>
    <w:rsid w:val="00C653F0"/>
    <w:rsid w:val="00C66C2A"/>
    <w:rsid w:val="00C67A8E"/>
    <w:rsid w:val="00C70C18"/>
    <w:rsid w:val="00C87786"/>
    <w:rsid w:val="00CC1012"/>
    <w:rsid w:val="00CC49BC"/>
    <w:rsid w:val="00CE0061"/>
    <w:rsid w:val="00CF62BA"/>
    <w:rsid w:val="00D046EE"/>
    <w:rsid w:val="00D10F2B"/>
    <w:rsid w:val="00D17576"/>
    <w:rsid w:val="00D20043"/>
    <w:rsid w:val="00D31300"/>
    <w:rsid w:val="00D3340C"/>
    <w:rsid w:val="00D40F77"/>
    <w:rsid w:val="00D441C8"/>
    <w:rsid w:val="00D54E4F"/>
    <w:rsid w:val="00D56C90"/>
    <w:rsid w:val="00DA4065"/>
    <w:rsid w:val="00DA447E"/>
    <w:rsid w:val="00DA539A"/>
    <w:rsid w:val="00DA6BDA"/>
    <w:rsid w:val="00DB41AE"/>
    <w:rsid w:val="00DB637A"/>
    <w:rsid w:val="00DD139D"/>
    <w:rsid w:val="00DF6F81"/>
    <w:rsid w:val="00E06A7E"/>
    <w:rsid w:val="00E0715E"/>
    <w:rsid w:val="00E162F8"/>
    <w:rsid w:val="00E16D19"/>
    <w:rsid w:val="00E176E2"/>
    <w:rsid w:val="00E22221"/>
    <w:rsid w:val="00E33DA0"/>
    <w:rsid w:val="00E34AD6"/>
    <w:rsid w:val="00E40841"/>
    <w:rsid w:val="00E41224"/>
    <w:rsid w:val="00E50019"/>
    <w:rsid w:val="00E5525B"/>
    <w:rsid w:val="00E5557C"/>
    <w:rsid w:val="00E802D2"/>
    <w:rsid w:val="00E93F8A"/>
    <w:rsid w:val="00E9447F"/>
    <w:rsid w:val="00E948DC"/>
    <w:rsid w:val="00EA1BE5"/>
    <w:rsid w:val="00EA4855"/>
    <w:rsid w:val="00EA7A83"/>
    <w:rsid w:val="00EB4CCB"/>
    <w:rsid w:val="00EB567D"/>
    <w:rsid w:val="00EC04B5"/>
    <w:rsid w:val="00EC4F7D"/>
    <w:rsid w:val="00EC71C1"/>
    <w:rsid w:val="00ED30FA"/>
    <w:rsid w:val="00EE1F29"/>
    <w:rsid w:val="00F23ECC"/>
    <w:rsid w:val="00F244CA"/>
    <w:rsid w:val="00F358B4"/>
    <w:rsid w:val="00F35EFA"/>
    <w:rsid w:val="00F61303"/>
    <w:rsid w:val="00FE47BD"/>
    <w:rsid w:val="00FE5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0D897-A74A-4103-8A51-31C1098D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6AF4"/>
    <w:pPr>
      <w:spacing w:after="0" w:line="240" w:lineRule="auto"/>
    </w:pPr>
  </w:style>
  <w:style w:type="character" w:customStyle="1" w:styleId="Bodytext14Exact">
    <w:name w:val="Body text (14) Exact"/>
    <w:basedOn w:val="DefaultParagraphFont"/>
    <w:rsid w:val="00906AF4"/>
    <w:rPr>
      <w:rFonts w:ascii="Times New Roman" w:eastAsia="Times New Roman" w:hAnsi="Times New Roman" w:cs="Times New Roman"/>
      <w:b w:val="0"/>
      <w:bCs w:val="0"/>
      <w:i w:val="0"/>
      <w:iCs w:val="0"/>
      <w:smallCaps w:val="0"/>
      <w:strike w:val="0"/>
      <w:sz w:val="24"/>
      <w:szCs w:val="24"/>
      <w:u w:val="none"/>
    </w:rPr>
  </w:style>
  <w:style w:type="paragraph" w:styleId="Footer">
    <w:name w:val="footer"/>
    <w:basedOn w:val="Normal"/>
    <w:link w:val="FooterChar"/>
    <w:uiPriority w:val="99"/>
    <w:unhideWhenUsed/>
    <w:rsid w:val="00906AF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06AF4"/>
  </w:style>
  <w:style w:type="paragraph" w:styleId="NormalWeb">
    <w:name w:val="Normal (Web)"/>
    <w:basedOn w:val="Normal"/>
    <w:uiPriority w:val="99"/>
    <w:unhideWhenUsed/>
    <w:rsid w:val="00D10F2B"/>
    <w:rPr>
      <w:rFonts w:ascii="Times New Roman" w:hAnsi="Times New Roman" w:cs="Times New Roman"/>
      <w:sz w:val="24"/>
      <w:szCs w:val="24"/>
    </w:rPr>
  </w:style>
  <w:style w:type="table" w:styleId="TableGrid">
    <w:name w:val="Table Grid"/>
    <w:basedOn w:val="TableNormal"/>
    <w:uiPriority w:val="39"/>
    <w:rsid w:val="008E4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216"/>
    <w:rPr>
      <w:rFonts w:ascii="Segoe UI" w:hAnsi="Segoe UI" w:cs="Segoe UI"/>
      <w:sz w:val="18"/>
      <w:szCs w:val="18"/>
    </w:rPr>
  </w:style>
  <w:style w:type="paragraph" w:styleId="ListParagraph">
    <w:name w:val="List Paragraph"/>
    <w:basedOn w:val="Normal"/>
    <w:uiPriority w:val="34"/>
    <w:qFormat/>
    <w:rsid w:val="002733BC"/>
    <w:pPr>
      <w:ind w:left="720"/>
      <w:contextualSpacing/>
    </w:pPr>
  </w:style>
  <w:style w:type="character" w:styleId="Hyperlink">
    <w:name w:val="Hyperlink"/>
    <w:basedOn w:val="DefaultParagraphFont"/>
    <w:uiPriority w:val="99"/>
    <w:unhideWhenUsed/>
    <w:rsid w:val="00E93F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962045">
      <w:bodyDiv w:val="1"/>
      <w:marLeft w:val="0"/>
      <w:marRight w:val="0"/>
      <w:marTop w:val="0"/>
      <w:marBottom w:val="0"/>
      <w:divBdr>
        <w:top w:val="none" w:sz="0" w:space="0" w:color="auto"/>
        <w:left w:val="none" w:sz="0" w:space="0" w:color="auto"/>
        <w:bottom w:val="none" w:sz="0" w:space="0" w:color="auto"/>
        <w:right w:val="none" w:sz="0" w:space="0" w:color="auto"/>
      </w:divBdr>
    </w:div>
    <w:div w:id="862936758">
      <w:bodyDiv w:val="1"/>
      <w:marLeft w:val="0"/>
      <w:marRight w:val="0"/>
      <w:marTop w:val="0"/>
      <w:marBottom w:val="0"/>
      <w:divBdr>
        <w:top w:val="none" w:sz="0" w:space="0" w:color="auto"/>
        <w:left w:val="none" w:sz="0" w:space="0" w:color="auto"/>
        <w:bottom w:val="none" w:sz="0" w:space="0" w:color="auto"/>
        <w:right w:val="none" w:sz="0" w:space="0" w:color="auto"/>
      </w:divBdr>
    </w:div>
    <w:div w:id="1035539658">
      <w:bodyDiv w:val="1"/>
      <w:marLeft w:val="0"/>
      <w:marRight w:val="0"/>
      <w:marTop w:val="0"/>
      <w:marBottom w:val="0"/>
      <w:divBdr>
        <w:top w:val="none" w:sz="0" w:space="0" w:color="auto"/>
        <w:left w:val="none" w:sz="0" w:space="0" w:color="auto"/>
        <w:bottom w:val="none" w:sz="0" w:space="0" w:color="auto"/>
        <w:right w:val="none" w:sz="0" w:space="0" w:color="auto"/>
      </w:divBdr>
    </w:div>
    <w:div w:id="1149440294">
      <w:bodyDiv w:val="1"/>
      <w:marLeft w:val="0"/>
      <w:marRight w:val="0"/>
      <w:marTop w:val="0"/>
      <w:marBottom w:val="0"/>
      <w:divBdr>
        <w:top w:val="none" w:sz="0" w:space="0" w:color="auto"/>
        <w:left w:val="none" w:sz="0" w:space="0" w:color="auto"/>
        <w:bottom w:val="none" w:sz="0" w:space="0" w:color="auto"/>
        <w:right w:val="none" w:sz="0" w:space="0" w:color="auto"/>
      </w:divBdr>
    </w:div>
    <w:div w:id="1383406254">
      <w:bodyDiv w:val="1"/>
      <w:marLeft w:val="0"/>
      <w:marRight w:val="0"/>
      <w:marTop w:val="0"/>
      <w:marBottom w:val="0"/>
      <w:divBdr>
        <w:top w:val="none" w:sz="0" w:space="0" w:color="auto"/>
        <w:left w:val="none" w:sz="0" w:space="0" w:color="auto"/>
        <w:bottom w:val="none" w:sz="0" w:space="0" w:color="auto"/>
        <w:right w:val="none" w:sz="0" w:space="0" w:color="auto"/>
      </w:divBdr>
    </w:div>
    <w:div w:id="18132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ilii.dogotari@maia.gov.md" TargetMode="External"/><Relationship Id="rId13" Type="http://schemas.openxmlformats.org/officeDocument/2006/relationships/hyperlink" Target="mailto:viorica.bejan@mded.gov.md" TargetMode="External"/><Relationship Id="rId18" Type="http://schemas.openxmlformats.org/officeDocument/2006/relationships/hyperlink" Target="mailto:viorica.bejan@mded.gov.md" TargetMode="External"/><Relationship Id="rId3" Type="http://schemas.openxmlformats.org/officeDocument/2006/relationships/settings" Target="settings.xml"/><Relationship Id="rId21" Type="http://schemas.openxmlformats.org/officeDocument/2006/relationships/hyperlink" Target="mailto:andrian.digolean@maia.gov.md" TargetMode="External"/><Relationship Id="rId7" Type="http://schemas.openxmlformats.org/officeDocument/2006/relationships/footer" Target="footer1.xml"/><Relationship Id="rId12" Type="http://schemas.openxmlformats.org/officeDocument/2006/relationships/hyperlink" Target="mailto:svetlana.nunu@gov.md" TargetMode="External"/><Relationship Id="rId17" Type="http://schemas.openxmlformats.org/officeDocument/2006/relationships/hyperlink" Target="mailto:svetlana.nunu@gov.md" TargetMode="External"/><Relationship Id="rId2" Type="http://schemas.openxmlformats.org/officeDocument/2006/relationships/styles" Target="styles.xml"/><Relationship Id="rId16" Type="http://schemas.openxmlformats.org/officeDocument/2006/relationships/hyperlink" Target="mailto:liliana.dascaliuc@maia.gov.md" TargetMode="External"/><Relationship Id="rId20" Type="http://schemas.openxmlformats.org/officeDocument/2006/relationships/hyperlink" Target="mailto:viorica.bejan@mded.gov.m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liana.dascaliuc@maia.gov.m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drian.digolean@maia.gov.md" TargetMode="External"/><Relationship Id="rId23" Type="http://schemas.openxmlformats.org/officeDocument/2006/relationships/fontTable" Target="fontTable.xml"/><Relationship Id="rId10" Type="http://schemas.openxmlformats.org/officeDocument/2006/relationships/hyperlink" Target="mailto:andrian.digolean@maia.gov.md" TargetMode="External"/><Relationship Id="rId19" Type="http://schemas.openxmlformats.org/officeDocument/2006/relationships/hyperlink" Target="mailto:vasilii.dogotari@maia.gov.md" TargetMode="External"/><Relationship Id="rId4" Type="http://schemas.openxmlformats.org/officeDocument/2006/relationships/webSettings" Target="webSettings.xml"/><Relationship Id="rId9" Type="http://schemas.openxmlformats.org/officeDocument/2006/relationships/hyperlink" Target="mailto:viorica.bejan@mded.gov.md" TargetMode="External"/><Relationship Id="rId14" Type="http://schemas.openxmlformats.org/officeDocument/2006/relationships/hyperlink" Target="mailto:vasilii.dogotari@maia.gov.md" TargetMode="External"/><Relationship Id="rId22" Type="http://schemas.openxmlformats.org/officeDocument/2006/relationships/hyperlink" Target="mailto:liliana.dascaliuc@maia.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20</Pages>
  <Words>5994</Words>
  <Characters>34169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Viorica Bejan</cp:lastModifiedBy>
  <cp:revision>14</cp:revision>
  <cp:lastPrinted>2022-02-03T07:34:00Z</cp:lastPrinted>
  <dcterms:created xsi:type="dcterms:W3CDTF">2024-10-30T12:30:00Z</dcterms:created>
  <dcterms:modified xsi:type="dcterms:W3CDTF">2025-01-24T07:24:00Z</dcterms:modified>
</cp:coreProperties>
</file>