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710"/>
        <w:gridCol w:w="5812"/>
        <w:gridCol w:w="5135"/>
      </w:tblGrid>
      <w:tr w:rsidR="00DE4EF1" w:rsidRPr="009C21C1" w14:paraId="2BBE3DFE" w14:textId="77777777" w:rsidTr="0044571E">
        <w:trPr>
          <w:trHeight w:val="930"/>
        </w:trPr>
        <w:tc>
          <w:tcPr>
            <w:tcW w:w="14174" w:type="dxa"/>
            <w:gridSpan w:val="4"/>
          </w:tcPr>
          <w:p w14:paraId="388B2F8A" w14:textId="77777777" w:rsidR="00DE4EF1" w:rsidRPr="009E7209" w:rsidRDefault="00DE4EF1" w:rsidP="009C21C1">
            <w:pPr>
              <w:spacing w:after="0" w:line="240" w:lineRule="auto"/>
              <w:jc w:val="center"/>
              <w:rPr>
                <w:rFonts w:ascii="Times New Roman" w:hAnsi="Times New Roman"/>
                <w:sz w:val="24"/>
                <w:szCs w:val="24"/>
                <w:u w:val="single"/>
                <w:lang w:val="ro-RO"/>
              </w:rPr>
            </w:pPr>
            <w:r>
              <w:rPr>
                <w:rFonts w:ascii="Times New Roman" w:hAnsi="Times New Roman"/>
                <w:b/>
                <w:bCs/>
                <w:sz w:val="24"/>
                <w:szCs w:val="24"/>
              </w:rPr>
              <w:t>SINTEZA</w:t>
            </w:r>
            <w:r w:rsidRPr="009C21C1">
              <w:rPr>
                <w:rFonts w:ascii="Times New Roman" w:hAnsi="Times New Roman"/>
                <w:b/>
                <w:bCs/>
                <w:sz w:val="24"/>
                <w:szCs w:val="24"/>
              </w:rPr>
              <w:br/>
            </w:r>
            <w:r w:rsidRPr="009E7209">
              <w:rPr>
                <w:rFonts w:ascii="Times New Roman" w:hAnsi="Times New Roman"/>
                <w:color w:val="333333"/>
                <w:sz w:val="24"/>
                <w:szCs w:val="24"/>
                <w:shd w:val="clear" w:color="auto" w:fill="FFFFFF"/>
                <w:lang w:val="ro-RO"/>
              </w:rPr>
              <w:t>la proiectul hotărârii Guvern</w:t>
            </w:r>
            <w:r>
              <w:rPr>
                <w:rFonts w:ascii="Times New Roman" w:hAnsi="Times New Roman"/>
                <w:color w:val="333333"/>
                <w:sz w:val="24"/>
                <w:szCs w:val="24"/>
                <w:shd w:val="clear" w:color="auto" w:fill="FFFFFF"/>
                <w:lang w:val="ro-RO"/>
              </w:rPr>
              <w:t>ului</w:t>
            </w:r>
            <w:r w:rsidRPr="009E7209">
              <w:rPr>
                <w:rFonts w:ascii="Times New Roman" w:hAnsi="Times New Roman"/>
                <w:color w:val="333333"/>
                <w:sz w:val="24"/>
                <w:szCs w:val="24"/>
                <w:shd w:val="clear" w:color="auto" w:fill="FFFFFF"/>
                <w:lang w:val="ro-RO"/>
              </w:rPr>
              <w:t xml:space="preserve"> </w:t>
            </w:r>
            <w:r w:rsidRPr="009E7209">
              <w:rPr>
                <w:rFonts w:ascii="Times New Roman" w:hAnsi="Times New Roman"/>
                <w:sz w:val="24"/>
                <w:szCs w:val="24"/>
                <w:u w:val="single"/>
                <w:lang w:val="ro-RO" w:eastAsia="ro-RO"/>
              </w:rPr>
              <w:t xml:space="preserve">cu privire </w:t>
            </w:r>
            <w:bookmarkStart w:id="0" w:name="_Hlk110257078"/>
            <w:r w:rsidRPr="009E7209">
              <w:rPr>
                <w:rFonts w:ascii="Times New Roman" w:hAnsi="Times New Roman"/>
                <w:sz w:val="24"/>
                <w:szCs w:val="24"/>
                <w:u w:val="single"/>
                <w:lang w:val="ro-RO" w:eastAsia="ro-RO"/>
              </w:rPr>
              <w:t>la</w:t>
            </w:r>
            <w:bookmarkEnd w:id="0"/>
            <w:r w:rsidRPr="009E7209">
              <w:rPr>
                <w:rFonts w:ascii="Times New Roman" w:hAnsi="Times New Roman"/>
                <w:sz w:val="24"/>
                <w:szCs w:val="24"/>
                <w:u w:val="single"/>
                <w:lang w:val="ro-RO" w:eastAsia="ro-RO"/>
              </w:rPr>
              <w:t xml:space="preserve"> </w:t>
            </w:r>
            <w:r w:rsidRPr="009E7209">
              <w:rPr>
                <w:rFonts w:ascii="Times New Roman" w:hAnsi="Times New Roman"/>
                <w:sz w:val="24"/>
                <w:szCs w:val="24"/>
                <w:u w:val="single"/>
                <w:lang w:val="ro-RO"/>
              </w:rPr>
              <w:t>schimbarea clasei Consulatului Republicii Moldova</w:t>
            </w:r>
          </w:p>
          <w:p w14:paraId="4EAB85FE" w14:textId="77777777" w:rsidR="00DE4EF1" w:rsidRPr="009E7209" w:rsidRDefault="00DE4EF1" w:rsidP="009C21C1">
            <w:pPr>
              <w:spacing w:after="0" w:line="240" w:lineRule="auto"/>
              <w:jc w:val="center"/>
              <w:rPr>
                <w:rFonts w:ascii="Times New Roman" w:hAnsi="Times New Roman"/>
                <w:sz w:val="24"/>
                <w:szCs w:val="24"/>
                <w:u w:val="single"/>
              </w:rPr>
            </w:pPr>
            <w:r w:rsidRPr="009E7209">
              <w:rPr>
                <w:rFonts w:ascii="Times New Roman" w:hAnsi="Times New Roman"/>
                <w:sz w:val="24"/>
                <w:szCs w:val="24"/>
                <w:u w:val="single"/>
                <w:lang w:val="ro-RO"/>
              </w:rPr>
              <w:t>în orașul Padova, Republica Italiană și modificarea unor hotărâri ale Guvernului</w:t>
            </w:r>
          </w:p>
          <w:p w14:paraId="25403858" w14:textId="77777777" w:rsidR="00DE4EF1" w:rsidRPr="009C21C1" w:rsidRDefault="00DE4EF1" w:rsidP="009C21C1">
            <w:pPr>
              <w:spacing w:after="0" w:line="240" w:lineRule="auto"/>
              <w:jc w:val="center"/>
              <w:rPr>
                <w:rFonts w:ascii="Times New Roman" w:hAnsi="Times New Roman"/>
                <w:b/>
                <w:bCs/>
                <w:sz w:val="24"/>
                <w:szCs w:val="24"/>
              </w:rPr>
            </w:pPr>
            <w:r w:rsidRPr="009E7209">
              <w:rPr>
                <w:rFonts w:ascii="Times New Roman" w:hAnsi="Times New Roman"/>
                <w:sz w:val="24"/>
                <w:szCs w:val="24"/>
                <w:u w:val="single"/>
              </w:rPr>
              <w:t>(număr unic 1083/MAE/2024)</w:t>
            </w:r>
          </w:p>
        </w:tc>
      </w:tr>
      <w:tr w:rsidR="00DE4EF1" w:rsidRPr="009C21C1" w14:paraId="0731985E" w14:textId="77777777" w:rsidTr="009E7209">
        <w:trPr>
          <w:trHeight w:val="630"/>
        </w:trPr>
        <w:tc>
          <w:tcPr>
            <w:tcW w:w="2517" w:type="dxa"/>
            <w:shd w:val="clear" w:color="auto" w:fill="E7E6E6"/>
            <w:hideMark/>
          </w:tcPr>
          <w:p w14:paraId="3C5D11B0" w14:textId="77777777" w:rsidR="00DE4EF1" w:rsidRPr="009C21C1" w:rsidRDefault="00DE4EF1" w:rsidP="009C21C1">
            <w:pPr>
              <w:spacing w:after="0" w:line="240" w:lineRule="auto"/>
              <w:jc w:val="center"/>
              <w:rPr>
                <w:rFonts w:ascii="Times New Roman" w:hAnsi="Times New Roman"/>
                <w:b/>
                <w:bCs/>
                <w:sz w:val="24"/>
                <w:szCs w:val="24"/>
              </w:rPr>
            </w:pPr>
            <w:r w:rsidRPr="00362942">
              <w:rPr>
                <w:rFonts w:ascii="Times New Roman" w:hAnsi="Times New Roman"/>
                <w:b/>
                <w:bCs/>
                <w:sz w:val="24"/>
                <w:szCs w:val="24"/>
              </w:rPr>
              <w:t>Participantul la avizare, consultare publică, expertizare</w:t>
            </w:r>
          </w:p>
        </w:tc>
        <w:tc>
          <w:tcPr>
            <w:tcW w:w="710" w:type="dxa"/>
            <w:shd w:val="clear" w:color="auto" w:fill="E7E6E6"/>
          </w:tcPr>
          <w:p w14:paraId="597C73AA" w14:textId="77777777" w:rsidR="00DE4EF1" w:rsidRPr="009C21C1" w:rsidRDefault="00DE4EF1" w:rsidP="009C21C1">
            <w:pPr>
              <w:spacing w:after="0" w:line="240" w:lineRule="auto"/>
              <w:jc w:val="center"/>
              <w:rPr>
                <w:rFonts w:ascii="Times New Roman" w:hAnsi="Times New Roman"/>
                <w:b/>
                <w:bCs/>
                <w:sz w:val="24"/>
                <w:szCs w:val="24"/>
              </w:rPr>
            </w:pPr>
            <w:r>
              <w:rPr>
                <w:rFonts w:ascii="Times New Roman" w:hAnsi="Times New Roman"/>
                <w:b/>
                <w:bCs/>
                <w:sz w:val="24"/>
                <w:szCs w:val="24"/>
              </w:rPr>
              <w:t>Nr. crt.</w:t>
            </w:r>
          </w:p>
        </w:tc>
        <w:tc>
          <w:tcPr>
            <w:tcW w:w="5812" w:type="dxa"/>
            <w:shd w:val="clear" w:color="auto" w:fill="E7E6E6"/>
            <w:hideMark/>
          </w:tcPr>
          <w:p w14:paraId="166E1BB9" w14:textId="77777777" w:rsidR="00DE4EF1" w:rsidRPr="00362942" w:rsidRDefault="00DE4EF1" w:rsidP="009C21C1">
            <w:pPr>
              <w:spacing w:after="0" w:line="240" w:lineRule="auto"/>
              <w:jc w:val="center"/>
              <w:rPr>
                <w:rFonts w:ascii="Times New Roman" w:hAnsi="Times New Roman"/>
                <w:b/>
                <w:bCs/>
                <w:sz w:val="24"/>
                <w:szCs w:val="24"/>
              </w:rPr>
            </w:pPr>
            <w:r w:rsidRPr="009C21C1">
              <w:rPr>
                <w:rFonts w:ascii="Times New Roman" w:hAnsi="Times New Roman"/>
                <w:b/>
                <w:bCs/>
                <w:sz w:val="24"/>
                <w:szCs w:val="24"/>
              </w:rPr>
              <w:t xml:space="preserve">Conținutul </w:t>
            </w:r>
            <w:r>
              <w:rPr>
                <w:rFonts w:ascii="Times New Roman" w:hAnsi="Times New Roman"/>
                <w:b/>
                <w:bCs/>
                <w:sz w:val="24"/>
                <w:szCs w:val="24"/>
              </w:rPr>
              <w:t>obiecției, propunerii, recomandări, concluziei</w:t>
            </w:r>
          </w:p>
        </w:tc>
        <w:tc>
          <w:tcPr>
            <w:tcW w:w="5135" w:type="dxa"/>
            <w:shd w:val="clear" w:color="auto" w:fill="E7E6E6"/>
            <w:hideMark/>
          </w:tcPr>
          <w:p w14:paraId="192A4F51" w14:textId="77777777" w:rsidR="00DE4EF1" w:rsidRPr="009C21C1" w:rsidRDefault="00112B79" w:rsidP="009E7209">
            <w:pPr>
              <w:spacing w:after="0" w:line="240" w:lineRule="auto"/>
              <w:jc w:val="center"/>
              <w:rPr>
                <w:rFonts w:ascii="Times New Roman" w:hAnsi="Times New Roman"/>
                <w:b/>
                <w:bCs/>
                <w:sz w:val="24"/>
                <w:szCs w:val="24"/>
              </w:rPr>
            </w:pPr>
            <w:r>
              <w:rPr>
                <w:rFonts w:ascii="Times New Roman" w:hAnsi="Times New Roman"/>
                <w:b/>
                <w:bCs/>
                <w:sz w:val="24"/>
                <w:szCs w:val="24"/>
              </w:rPr>
              <w:t>Argumentarea autorului proiectului</w:t>
            </w:r>
          </w:p>
        </w:tc>
      </w:tr>
      <w:tr w:rsidR="00112B79" w:rsidRPr="009C21C1" w14:paraId="17F83325" w14:textId="77777777" w:rsidTr="009E7209">
        <w:trPr>
          <w:trHeight w:val="328"/>
        </w:trPr>
        <w:tc>
          <w:tcPr>
            <w:tcW w:w="14174" w:type="dxa"/>
            <w:gridSpan w:val="4"/>
            <w:shd w:val="clear" w:color="auto" w:fill="E7E6E6"/>
          </w:tcPr>
          <w:p w14:paraId="14AEFBA2" w14:textId="77777777" w:rsidR="00112B79" w:rsidRPr="00012FB5" w:rsidDel="00112B79" w:rsidRDefault="00112B79" w:rsidP="00112B79">
            <w:pPr>
              <w:spacing w:after="0" w:line="240" w:lineRule="auto"/>
              <w:jc w:val="center"/>
              <w:rPr>
                <w:rFonts w:ascii="Times New Roman" w:hAnsi="Times New Roman"/>
                <w:sz w:val="24"/>
                <w:szCs w:val="24"/>
              </w:rPr>
            </w:pPr>
            <w:r w:rsidRPr="00012FB5">
              <w:rPr>
                <w:rFonts w:ascii="Times New Roman" w:hAnsi="Times New Roman"/>
                <w:sz w:val="24"/>
                <w:szCs w:val="24"/>
              </w:rPr>
              <w:t xml:space="preserve">Avizare și consultare publică </w:t>
            </w:r>
          </w:p>
        </w:tc>
      </w:tr>
      <w:tr w:rsidR="00DE4EF1" w:rsidRPr="009C21C1" w14:paraId="65B939C4" w14:textId="77777777" w:rsidTr="009E7209">
        <w:trPr>
          <w:trHeight w:val="315"/>
        </w:trPr>
        <w:tc>
          <w:tcPr>
            <w:tcW w:w="2517" w:type="dxa"/>
            <w:vMerge w:val="restart"/>
            <w:shd w:val="clear" w:color="auto" w:fill="auto"/>
            <w:hideMark/>
          </w:tcPr>
          <w:p w14:paraId="27CEDC3F" w14:textId="77777777" w:rsidR="00DE4EF1" w:rsidRPr="009C21C1" w:rsidRDefault="00DE4EF1" w:rsidP="009C21C1">
            <w:pPr>
              <w:spacing w:after="0" w:line="240" w:lineRule="auto"/>
              <w:jc w:val="center"/>
              <w:rPr>
                <w:rFonts w:ascii="Times New Roman" w:hAnsi="Times New Roman"/>
              </w:rPr>
            </w:pPr>
            <w:r w:rsidRPr="009C21C1">
              <w:rPr>
                <w:rFonts w:ascii="Times New Roman" w:hAnsi="Times New Roman"/>
                <w:b/>
                <w:bCs/>
              </w:rPr>
              <w:t>Cancelaria de Stat</w:t>
            </w:r>
          </w:p>
          <w:p w14:paraId="45E43381" w14:textId="77777777" w:rsidR="00DE4EF1" w:rsidRPr="009C21C1" w:rsidRDefault="00DE4EF1" w:rsidP="009C21C1">
            <w:pPr>
              <w:spacing w:after="0" w:line="240" w:lineRule="auto"/>
              <w:jc w:val="center"/>
              <w:rPr>
                <w:rFonts w:ascii="Times New Roman" w:hAnsi="Times New Roman"/>
              </w:rPr>
            </w:pPr>
            <w:r w:rsidRPr="009C21C1">
              <w:rPr>
                <w:rFonts w:ascii="Times New Roman" w:hAnsi="Times New Roman"/>
              </w:rPr>
              <w:t>(</w:t>
            </w:r>
            <w:r w:rsidR="00112B79">
              <w:rPr>
                <w:rFonts w:ascii="Times New Roman" w:hAnsi="Times New Roman"/>
              </w:rPr>
              <w:t xml:space="preserve">aviz </w:t>
            </w:r>
            <w:r w:rsidRPr="009C21C1">
              <w:rPr>
                <w:rFonts w:ascii="Times New Roman" w:hAnsi="Times New Roman"/>
              </w:rPr>
              <w:t xml:space="preserve">nr. 22-69-14110 </w:t>
            </w:r>
          </w:p>
          <w:p w14:paraId="5E98B4CD" w14:textId="77777777" w:rsidR="00DE4EF1" w:rsidRPr="009C21C1" w:rsidRDefault="00DE4EF1" w:rsidP="009C21C1">
            <w:pPr>
              <w:spacing w:after="0" w:line="240" w:lineRule="auto"/>
              <w:jc w:val="center"/>
              <w:rPr>
                <w:rFonts w:ascii="Times New Roman" w:hAnsi="Times New Roman"/>
              </w:rPr>
            </w:pPr>
            <w:r w:rsidRPr="009C21C1">
              <w:rPr>
                <w:rFonts w:ascii="Times New Roman" w:hAnsi="Times New Roman"/>
              </w:rPr>
              <w:t>din 23 decembrie 2024)</w:t>
            </w:r>
          </w:p>
        </w:tc>
        <w:tc>
          <w:tcPr>
            <w:tcW w:w="710" w:type="dxa"/>
          </w:tcPr>
          <w:p w14:paraId="235D0D9E" w14:textId="77777777" w:rsidR="00DE4EF1" w:rsidRPr="009C21C1" w:rsidRDefault="004840EC" w:rsidP="009E7209">
            <w:pPr>
              <w:spacing w:after="120" w:line="240" w:lineRule="auto"/>
              <w:jc w:val="center"/>
              <w:rPr>
                <w:rFonts w:ascii="Times New Roman" w:hAnsi="Times New Roman"/>
              </w:rPr>
            </w:pPr>
            <w:r>
              <w:rPr>
                <w:rFonts w:ascii="Times New Roman" w:hAnsi="Times New Roman"/>
              </w:rPr>
              <w:t>1.</w:t>
            </w:r>
          </w:p>
        </w:tc>
        <w:tc>
          <w:tcPr>
            <w:tcW w:w="5812" w:type="dxa"/>
            <w:tcBorders>
              <w:bottom w:val="single" w:sz="4" w:space="0" w:color="auto"/>
            </w:tcBorders>
            <w:shd w:val="clear" w:color="auto" w:fill="auto"/>
          </w:tcPr>
          <w:p w14:paraId="43E02484" w14:textId="77777777" w:rsidR="00DE4EF1" w:rsidRPr="009C21C1" w:rsidRDefault="00DE4EF1" w:rsidP="009C21C1">
            <w:pPr>
              <w:spacing w:after="0" w:line="240" w:lineRule="auto"/>
              <w:jc w:val="both"/>
              <w:rPr>
                <w:rFonts w:ascii="Times New Roman" w:hAnsi="Times New Roman"/>
              </w:rPr>
            </w:pPr>
            <w:r w:rsidRPr="009C21C1">
              <w:rPr>
                <w:rFonts w:ascii="Times New Roman" w:hAnsi="Times New Roman"/>
              </w:rPr>
              <w:t>La pct. 2 subpct.</w:t>
            </w:r>
            <w:r w:rsidR="00F13712">
              <w:rPr>
                <w:rFonts w:ascii="Times New Roman" w:hAnsi="Times New Roman"/>
              </w:rPr>
              <w:t xml:space="preserve"> </w:t>
            </w:r>
            <w:r w:rsidRPr="009C21C1">
              <w:rPr>
                <w:rFonts w:ascii="Times New Roman" w:hAnsi="Times New Roman"/>
              </w:rPr>
              <w:t>2.2 din proiect cuvintele „se abrogă” se vor substitui cu cuvintele „se exclud”, or potrivit art.</w:t>
            </w:r>
            <w:r w:rsidR="00F13712">
              <w:rPr>
                <w:rFonts w:ascii="Times New Roman" w:hAnsi="Times New Roman"/>
              </w:rPr>
              <w:t xml:space="preserve"> </w:t>
            </w:r>
            <w:r w:rsidRPr="009C21C1">
              <w:rPr>
                <w:rFonts w:ascii="Times New Roman" w:hAnsi="Times New Roman"/>
              </w:rPr>
              <w:t>62 alin.</w:t>
            </w:r>
            <w:r w:rsidR="00F13712">
              <w:rPr>
                <w:rFonts w:ascii="Times New Roman" w:hAnsi="Times New Roman"/>
              </w:rPr>
              <w:t xml:space="preserve"> </w:t>
            </w:r>
            <w:r w:rsidRPr="009C21C1">
              <w:rPr>
                <w:rFonts w:ascii="Times New Roman" w:hAnsi="Times New Roman"/>
              </w:rPr>
              <w:t>(1) a Legii nr.</w:t>
            </w:r>
            <w:r w:rsidR="00F13712">
              <w:rPr>
                <w:rFonts w:ascii="Times New Roman" w:hAnsi="Times New Roman"/>
              </w:rPr>
              <w:t xml:space="preserve"> </w:t>
            </w:r>
            <w:r w:rsidRPr="009C21C1">
              <w:rPr>
                <w:rFonts w:ascii="Times New Roman" w:hAnsi="Times New Roman"/>
              </w:rPr>
              <w:t>100/2017 cu privire la actele normative (în continuare – Legea nr.</w:t>
            </w:r>
            <w:r w:rsidR="00F13712">
              <w:rPr>
                <w:rFonts w:ascii="Times New Roman" w:hAnsi="Times New Roman"/>
              </w:rPr>
              <w:t xml:space="preserve"> </w:t>
            </w:r>
            <w:r w:rsidRPr="009C21C1">
              <w:rPr>
                <w:rFonts w:ascii="Times New Roman" w:hAnsi="Times New Roman"/>
              </w:rPr>
              <w:t>100/2017), modificarea actului normativ constă în schimbarea oficială a textului actului, inclusiv a dispozițiilor finale sau tranzitorii, realizată prin modificări, excluderi sau completări ale unor părți din text. Similar, se va revedea și pct.</w:t>
            </w:r>
            <w:r w:rsidR="00F13712">
              <w:rPr>
                <w:rFonts w:ascii="Times New Roman" w:hAnsi="Times New Roman"/>
              </w:rPr>
              <w:t xml:space="preserve"> </w:t>
            </w:r>
            <w:r w:rsidRPr="009C21C1">
              <w:rPr>
                <w:rFonts w:ascii="Times New Roman" w:hAnsi="Times New Roman"/>
              </w:rPr>
              <w:t>2 subpct.</w:t>
            </w:r>
            <w:r w:rsidR="00F13712">
              <w:rPr>
                <w:rFonts w:ascii="Times New Roman" w:hAnsi="Times New Roman"/>
              </w:rPr>
              <w:t xml:space="preserve"> </w:t>
            </w:r>
            <w:r w:rsidRPr="009C21C1">
              <w:rPr>
                <w:rFonts w:ascii="Times New Roman" w:hAnsi="Times New Roman"/>
              </w:rPr>
              <w:t xml:space="preserve">2.3. </w:t>
            </w:r>
          </w:p>
        </w:tc>
        <w:tc>
          <w:tcPr>
            <w:tcW w:w="5135" w:type="dxa"/>
            <w:tcBorders>
              <w:bottom w:val="single" w:sz="4" w:space="0" w:color="auto"/>
            </w:tcBorders>
            <w:shd w:val="clear" w:color="auto" w:fill="auto"/>
          </w:tcPr>
          <w:p w14:paraId="08E5A5B0" w14:textId="77777777" w:rsidR="00DE4EF1" w:rsidRDefault="00DE4EF1" w:rsidP="009C21C1">
            <w:pPr>
              <w:spacing w:after="120" w:line="240" w:lineRule="auto"/>
              <w:jc w:val="both"/>
              <w:rPr>
                <w:rFonts w:ascii="Times New Roman" w:hAnsi="Times New Roman"/>
                <w:b/>
                <w:bCs/>
              </w:rPr>
            </w:pPr>
            <w:r w:rsidRPr="009C21C1">
              <w:rPr>
                <w:rFonts w:ascii="Times New Roman" w:hAnsi="Times New Roman"/>
                <w:b/>
                <w:bCs/>
              </w:rPr>
              <w:t>Se acceptă</w:t>
            </w:r>
          </w:p>
          <w:p w14:paraId="6D11FA38" w14:textId="7DF9A090" w:rsidR="00183663" w:rsidRPr="009E7209" w:rsidRDefault="00183663" w:rsidP="009C21C1">
            <w:pPr>
              <w:spacing w:after="120" w:line="240" w:lineRule="auto"/>
              <w:jc w:val="both"/>
              <w:rPr>
                <w:rFonts w:ascii="Times New Roman" w:hAnsi="Times New Roman"/>
                <w:i/>
                <w:iCs/>
              </w:rPr>
            </w:pPr>
            <w:r w:rsidRPr="009E7209">
              <w:rPr>
                <w:rFonts w:ascii="Times New Roman" w:hAnsi="Times New Roman"/>
                <w:i/>
                <w:iCs/>
              </w:rPr>
              <w:t>(proiectul a fost ajustat)</w:t>
            </w:r>
          </w:p>
        </w:tc>
      </w:tr>
      <w:tr w:rsidR="00DE4EF1" w:rsidRPr="009C21C1" w14:paraId="45F225A0" w14:textId="77777777" w:rsidTr="009E7209">
        <w:trPr>
          <w:trHeight w:val="315"/>
        </w:trPr>
        <w:tc>
          <w:tcPr>
            <w:tcW w:w="2517" w:type="dxa"/>
            <w:vMerge/>
            <w:tcBorders>
              <w:bottom w:val="single" w:sz="4" w:space="0" w:color="auto"/>
            </w:tcBorders>
            <w:shd w:val="clear" w:color="auto" w:fill="auto"/>
          </w:tcPr>
          <w:p w14:paraId="0DEA0520" w14:textId="77777777" w:rsidR="00DE4EF1" w:rsidRPr="009C21C1" w:rsidRDefault="00DE4EF1" w:rsidP="009C21C1">
            <w:pPr>
              <w:spacing w:after="0" w:line="240" w:lineRule="auto"/>
              <w:jc w:val="center"/>
              <w:rPr>
                <w:rFonts w:ascii="Times New Roman" w:hAnsi="Times New Roman"/>
                <w:b/>
                <w:bCs/>
              </w:rPr>
            </w:pPr>
          </w:p>
        </w:tc>
        <w:tc>
          <w:tcPr>
            <w:tcW w:w="710" w:type="dxa"/>
            <w:tcBorders>
              <w:bottom w:val="single" w:sz="4" w:space="0" w:color="auto"/>
            </w:tcBorders>
          </w:tcPr>
          <w:p w14:paraId="65D345D5" w14:textId="77777777" w:rsidR="00DE4EF1" w:rsidRPr="009C21C1" w:rsidRDefault="004840EC" w:rsidP="009E7209">
            <w:pPr>
              <w:spacing w:after="120" w:line="240" w:lineRule="auto"/>
              <w:jc w:val="center"/>
              <w:rPr>
                <w:rFonts w:ascii="Times New Roman" w:hAnsi="Times New Roman"/>
              </w:rPr>
            </w:pPr>
            <w:r>
              <w:rPr>
                <w:rFonts w:ascii="Times New Roman" w:hAnsi="Times New Roman"/>
              </w:rPr>
              <w:t>2.</w:t>
            </w:r>
          </w:p>
        </w:tc>
        <w:tc>
          <w:tcPr>
            <w:tcW w:w="5812" w:type="dxa"/>
            <w:tcBorders>
              <w:bottom w:val="single" w:sz="4" w:space="0" w:color="auto"/>
            </w:tcBorders>
            <w:shd w:val="clear" w:color="auto" w:fill="auto"/>
          </w:tcPr>
          <w:p w14:paraId="752AF8D5" w14:textId="77777777" w:rsidR="00DE4EF1" w:rsidRPr="009C21C1" w:rsidRDefault="00DE4EF1" w:rsidP="009C21C1">
            <w:pPr>
              <w:spacing w:after="120" w:line="240" w:lineRule="auto"/>
              <w:jc w:val="both"/>
              <w:rPr>
                <w:rFonts w:ascii="Times New Roman" w:hAnsi="Times New Roman"/>
              </w:rPr>
            </w:pPr>
            <w:r w:rsidRPr="009C21C1">
              <w:rPr>
                <w:rFonts w:ascii="Times New Roman" w:hAnsi="Times New Roman"/>
              </w:rPr>
              <w:t>La pct.</w:t>
            </w:r>
            <w:r w:rsidR="00F13712">
              <w:rPr>
                <w:rFonts w:ascii="Times New Roman" w:hAnsi="Times New Roman"/>
              </w:rPr>
              <w:t xml:space="preserve"> </w:t>
            </w:r>
            <w:r w:rsidRPr="009C21C1">
              <w:rPr>
                <w:rFonts w:ascii="Times New Roman" w:hAnsi="Times New Roman"/>
              </w:rPr>
              <w:t>4 subpct.4.2 prin care se introduc modificări la Anexa nr.</w:t>
            </w:r>
            <w:r w:rsidR="00F13712">
              <w:rPr>
                <w:rFonts w:ascii="Times New Roman" w:hAnsi="Times New Roman"/>
              </w:rPr>
              <w:t xml:space="preserve"> </w:t>
            </w:r>
            <w:r w:rsidRPr="009C21C1">
              <w:rPr>
                <w:rFonts w:ascii="Times New Roman" w:hAnsi="Times New Roman"/>
              </w:rPr>
              <w:t>33, se va revizui structura Serviciului financiar-administrativ, or potrivit prevederilor pct.</w:t>
            </w:r>
            <w:r w:rsidR="00F13712">
              <w:rPr>
                <w:rFonts w:ascii="Times New Roman" w:hAnsi="Times New Roman"/>
              </w:rPr>
              <w:t xml:space="preserve"> </w:t>
            </w:r>
            <w:r w:rsidRPr="009C21C1">
              <w:rPr>
                <w:rFonts w:ascii="Times New Roman" w:hAnsi="Times New Roman"/>
              </w:rPr>
              <w:t>2 din Normele privind instituirea subdiviziunilor structurale ale autorității publice, aprobate prin Anexa nr.</w:t>
            </w:r>
            <w:r w:rsidR="00F13712">
              <w:rPr>
                <w:rFonts w:ascii="Times New Roman" w:hAnsi="Times New Roman"/>
              </w:rPr>
              <w:t xml:space="preserve"> </w:t>
            </w:r>
            <w:r w:rsidRPr="009C21C1">
              <w:rPr>
                <w:rFonts w:ascii="Times New Roman" w:hAnsi="Times New Roman"/>
              </w:rPr>
              <w:t>12 la Hotărârea Guvernului nr.201/2009 privind punerea în aplicare a prevederilor Legii nr.158/2008 cu privire la funcția publică și statutul funcționarului public (în continuare – Legea nr.158/2008), la instituirea serviciului cu o singură unitate, această funcție urmează a fi funcție de execuție. Respectiv, la instituirea subdiviziunii structurale de la două unități de personal, o funcție urmează a fi de conducere.</w:t>
            </w:r>
          </w:p>
          <w:p w14:paraId="0C98F845" w14:textId="77777777" w:rsidR="00DE4EF1" w:rsidRPr="009C21C1" w:rsidRDefault="00DE4EF1" w:rsidP="009C21C1">
            <w:pPr>
              <w:spacing w:after="120" w:line="240" w:lineRule="auto"/>
              <w:jc w:val="both"/>
              <w:rPr>
                <w:rFonts w:ascii="Times New Roman" w:hAnsi="Times New Roman"/>
              </w:rPr>
            </w:pPr>
            <w:r w:rsidRPr="009C21C1">
              <w:rPr>
                <w:rFonts w:ascii="Times New Roman" w:hAnsi="Times New Roman"/>
              </w:rPr>
              <w:t xml:space="preserve">În acest sens, la crearea subdiviziunilor structurale cu cel puțin 2 unități de personal, funcțiile publice de conducere, se vor institui în cadrul subdiviziunilor structurale pentru organizarea și coordonarea activităților desfășurate de funcționarii publici de execuție, care implică exercitarea prerogativelor de putere </w:t>
            </w:r>
            <w:r w:rsidRPr="009C21C1">
              <w:rPr>
                <w:rFonts w:ascii="Times New Roman" w:hAnsi="Times New Roman"/>
              </w:rPr>
              <w:lastRenderedPageBreak/>
              <w:t>publică, prevăzute la art.</w:t>
            </w:r>
            <w:r w:rsidR="00C80A90">
              <w:rPr>
                <w:rFonts w:ascii="Times New Roman" w:hAnsi="Times New Roman"/>
              </w:rPr>
              <w:t xml:space="preserve"> </w:t>
            </w:r>
            <w:r w:rsidRPr="009C21C1">
              <w:rPr>
                <w:rFonts w:ascii="Times New Roman" w:hAnsi="Times New Roman"/>
              </w:rPr>
              <w:t>3 al Legii nr.</w:t>
            </w:r>
            <w:r w:rsidR="00C80A90">
              <w:rPr>
                <w:rFonts w:ascii="Times New Roman" w:hAnsi="Times New Roman"/>
              </w:rPr>
              <w:t xml:space="preserve"> </w:t>
            </w:r>
            <w:r w:rsidRPr="009C21C1">
              <w:rPr>
                <w:rFonts w:ascii="Times New Roman" w:hAnsi="Times New Roman"/>
              </w:rPr>
              <w:t xml:space="preserve">158/2008. </w:t>
            </w:r>
          </w:p>
          <w:p w14:paraId="63793054" w14:textId="77777777" w:rsidR="00DE4EF1" w:rsidRPr="009C21C1" w:rsidRDefault="00DE4EF1" w:rsidP="009C21C1">
            <w:pPr>
              <w:spacing w:after="0" w:line="240" w:lineRule="auto"/>
              <w:jc w:val="both"/>
              <w:rPr>
                <w:rFonts w:ascii="Times New Roman" w:hAnsi="Times New Roman"/>
              </w:rPr>
            </w:pPr>
            <w:r w:rsidRPr="009C21C1">
              <w:rPr>
                <w:rFonts w:ascii="Times New Roman" w:hAnsi="Times New Roman"/>
              </w:rPr>
              <w:t>De asemenea, potrivit pct.</w:t>
            </w:r>
            <w:r w:rsidR="00C80A90">
              <w:rPr>
                <w:rFonts w:ascii="Times New Roman" w:hAnsi="Times New Roman"/>
              </w:rPr>
              <w:t xml:space="preserve"> </w:t>
            </w:r>
            <w:r w:rsidRPr="009C21C1">
              <w:rPr>
                <w:rFonts w:ascii="Times New Roman" w:hAnsi="Times New Roman"/>
              </w:rPr>
              <w:t>17 și pct.</w:t>
            </w:r>
            <w:r w:rsidR="00C80A90">
              <w:rPr>
                <w:rFonts w:ascii="Times New Roman" w:hAnsi="Times New Roman"/>
              </w:rPr>
              <w:t xml:space="preserve"> </w:t>
            </w:r>
            <w:r w:rsidRPr="009C21C1">
              <w:rPr>
                <w:rFonts w:ascii="Times New Roman" w:hAnsi="Times New Roman"/>
              </w:rPr>
              <w:t>171 din Metodologia cu privire la aprobarea și avizarea statului de personal, aprobată prin Anexa nr.</w:t>
            </w:r>
            <w:r w:rsidR="00C80A90">
              <w:rPr>
                <w:rFonts w:ascii="Times New Roman" w:hAnsi="Times New Roman"/>
              </w:rPr>
              <w:t xml:space="preserve"> </w:t>
            </w:r>
            <w:r w:rsidRPr="009C21C1">
              <w:rPr>
                <w:rFonts w:ascii="Times New Roman" w:hAnsi="Times New Roman"/>
              </w:rPr>
              <w:t>5 la Hotărârea Guvernului nr.</w:t>
            </w:r>
            <w:r w:rsidR="00C80A90">
              <w:rPr>
                <w:rFonts w:ascii="Times New Roman" w:hAnsi="Times New Roman"/>
              </w:rPr>
              <w:t xml:space="preserve"> </w:t>
            </w:r>
            <w:r w:rsidRPr="009C21C1">
              <w:rPr>
                <w:rFonts w:ascii="Times New Roman" w:hAnsi="Times New Roman"/>
              </w:rPr>
              <w:t xml:space="preserve">201/2009, funcțiile de conducere (posturi), se vor institui în cadrul subdiviziunilor structurale, pentru asigurarea desfășurării activității titularilor angajați în funcții de execuție (posturi), care nu prevăd exercitarea prerogativelor de putere publică. </w:t>
            </w:r>
          </w:p>
        </w:tc>
        <w:tc>
          <w:tcPr>
            <w:tcW w:w="5135" w:type="dxa"/>
            <w:tcBorders>
              <w:bottom w:val="single" w:sz="4" w:space="0" w:color="auto"/>
            </w:tcBorders>
            <w:shd w:val="clear" w:color="auto" w:fill="auto"/>
          </w:tcPr>
          <w:p w14:paraId="3B3FE85F" w14:textId="77777777" w:rsidR="005565AC" w:rsidRPr="009E7209" w:rsidRDefault="005565AC" w:rsidP="005565AC">
            <w:pPr>
              <w:ind w:firstLine="42"/>
              <w:rPr>
                <w:rFonts w:ascii="Times New Roman" w:hAnsi="Times New Roman"/>
                <w:b/>
                <w:bCs/>
                <w:sz w:val="23"/>
                <w:szCs w:val="23"/>
              </w:rPr>
            </w:pPr>
            <w:r w:rsidRPr="009E7209">
              <w:rPr>
                <w:rFonts w:ascii="Times New Roman" w:hAnsi="Times New Roman"/>
                <w:b/>
                <w:bCs/>
                <w:sz w:val="23"/>
                <w:szCs w:val="23"/>
              </w:rPr>
              <w:lastRenderedPageBreak/>
              <w:t>Se acceptă</w:t>
            </w:r>
          </w:p>
          <w:p w14:paraId="1DC266E5" w14:textId="77777777" w:rsidR="00DE4EF1" w:rsidRPr="009C21C1" w:rsidRDefault="005565AC" w:rsidP="005565AC">
            <w:pPr>
              <w:spacing w:after="120" w:line="240" w:lineRule="auto"/>
              <w:jc w:val="both"/>
              <w:rPr>
                <w:rFonts w:ascii="Times New Roman" w:hAnsi="Times New Roman"/>
                <w:b/>
                <w:bCs/>
                <w:lang w:val="ro-RO"/>
              </w:rPr>
            </w:pPr>
            <w:r w:rsidRPr="009E7209">
              <w:rPr>
                <w:rFonts w:ascii="Times New Roman" w:hAnsi="Times New Roman"/>
                <w:i/>
                <w:iCs/>
                <w:sz w:val="23"/>
                <w:szCs w:val="23"/>
              </w:rPr>
              <w:t xml:space="preserve">MAE </w:t>
            </w:r>
            <w:r>
              <w:rPr>
                <w:rFonts w:ascii="Times New Roman" w:hAnsi="Times New Roman"/>
                <w:i/>
                <w:iCs/>
                <w:sz w:val="23"/>
                <w:szCs w:val="23"/>
              </w:rPr>
              <w:t xml:space="preserve">va </w:t>
            </w:r>
            <w:r w:rsidRPr="009E7209">
              <w:rPr>
                <w:rFonts w:ascii="Times New Roman" w:hAnsi="Times New Roman"/>
                <w:i/>
                <w:iCs/>
                <w:sz w:val="23"/>
                <w:szCs w:val="23"/>
              </w:rPr>
              <w:t>ține cont de această recomandare la revizuirea planificată a hotărârii</w:t>
            </w:r>
            <w:r w:rsidR="002675B6">
              <w:rPr>
                <w:rFonts w:ascii="Times New Roman" w:hAnsi="Times New Roman"/>
                <w:i/>
                <w:iCs/>
                <w:sz w:val="23"/>
                <w:szCs w:val="23"/>
              </w:rPr>
              <w:t xml:space="preserve">, inițiată prin scr. </w:t>
            </w:r>
            <w:r w:rsidR="002675B6" w:rsidRPr="002675B6">
              <w:rPr>
                <w:rFonts w:ascii="Times New Roman" w:hAnsi="Times New Roman"/>
                <w:i/>
                <w:iCs/>
                <w:sz w:val="23"/>
                <w:szCs w:val="23"/>
              </w:rPr>
              <w:t>DI/3/041/12918 din 9 decembrie 2024</w:t>
            </w:r>
            <w:r w:rsidR="003313EE">
              <w:rPr>
                <w:rFonts w:ascii="Times New Roman" w:hAnsi="Times New Roman"/>
                <w:i/>
                <w:iCs/>
                <w:sz w:val="23"/>
                <w:szCs w:val="23"/>
              </w:rPr>
              <w:t>, cu armonizarea tuturor anexelor</w:t>
            </w:r>
          </w:p>
        </w:tc>
      </w:tr>
      <w:tr w:rsidR="00DE4EF1" w:rsidRPr="009C21C1" w14:paraId="5099122B" w14:textId="77777777" w:rsidTr="009E7209">
        <w:trPr>
          <w:trHeight w:val="315"/>
        </w:trPr>
        <w:tc>
          <w:tcPr>
            <w:tcW w:w="2517" w:type="dxa"/>
            <w:vMerge/>
            <w:tcBorders>
              <w:top w:val="nil"/>
            </w:tcBorders>
            <w:shd w:val="clear" w:color="auto" w:fill="auto"/>
          </w:tcPr>
          <w:p w14:paraId="759A3B12" w14:textId="77777777" w:rsidR="00DE4EF1" w:rsidRPr="009C21C1" w:rsidRDefault="00DE4EF1" w:rsidP="009C21C1">
            <w:pPr>
              <w:spacing w:after="0" w:line="240" w:lineRule="auto"/>
              <w:jc w:val="center"/>
              <w:rPr>
                <w:rFonts w:ascii="Times New Roman" w:hAnsi="Times New Roman"/>
                <w:b/>
                <w:bCs/>
              </w:rPr>
            </w:pPr>
          </w:p>
        </w:tc>
        <w:tc>
          <w:tcPr>
            <w:tcW w:w="710" w:type="dxa"/>
          </w:tcPr>
          <w:p w14:paraId="38D91A79" w14:textId="77777777" w:rsidR="00DE4EF1" w:rsidRPr="009C21C1" w:rsidRDefault="004840EC" w:rsidP="009E7209">
            <w:pPr>
              <w:spacing w:after="0" w:line="240" w:lineRule="auto"/>
              <w:jc w:val="center"/>
              <w:rPr>
                <w:rFonts w:ascii="Times New Roman" w:hAnsi="Times New Roman"/>
              </w:rPr>
            </w:pPr>
            <w:r>
              <w:rPr>
                <w:rFonts w:ascii="Times New Roman" w:hAnsi="Times New Roman"/>
              </w:rPr>
              <w:t>3.</w:t>
            </w:r>
          </w:p>
        </w:tc>
        <w:tc>
          <w:tcPr>
            <w:tcW w:w="5812" w:type="dxa"/>
            <w:tcBorders>
              <w:bottom w:val="single" w:sz="4" w:space="0" w:color="auto"/>
            </w:tcBorders>
            <w:shd w:val="clear" w:color="auto" w:fill="auto"/>
          </w:tcPr>
          <w:p w14:paraId="7BD97463" w14:textId="77777777" w:rsidR="00DE4EF1" w:rsidRPr="009C21C1" w:rsidRDefault="00DE4EF1" w:rsidP="009C21C1">
            <w:pPr>
              <w:spacing w:after="0" w:line="240" w:lineRule="auto"/>
              <w:jc w:val="both"/>
              <w:rPr>
                <w:rFonts w:ascii="Times New Roman" w:hAnsi="Times New Roman"/>
              </w:rPr>
            </w:pPr>
            <w:r w:rsidRPr="009C21C1">
              <w:rPr>
                <w:rFonts w:ascii="Times New Roman" w:hAnsi="Times New Roman"/>
              </w:rPr>
              <w:t>La același punct din cadrul proiectului hotărârii Guvernului se va revizui denumirea postului de „Administrator, șofer”, care conform Anexei nr.</w:t>
            </w:r>
            <w:r w:rsidR="003313EE">
              <w:rPr>
                <w:rFonts w:ascii="Times New Roman" w:hAnsi="Times New Roman"/>
              </w:rPr>
              <w:t xml:space="preserve"> </w:t>
            </w:r>
            <w:r w:rsidRPr="009C21C1">
              <w:rPr>
                <w:rFonts w:ascii="Times New Roman" w:hAnsi="Times New Roman"/>
              </w:rPr>
              <w:t>10 din Legea nr.</w:t>
            </w:r>
            <w:r w:rsidR="003313EE">
              <w:rPr>
                <w:rFonts w:ascii="Times New Roman" w:hAnsi="Times New Roman"/>
              </w:rPr>
              <w:t xml:space="preserve"> </w:t>
            </w:r>
            <w:r w:rsidRPr="009C21C1">
              <w:rPr>
                <w:rFonts w:ascii="Times New Roman" w:hAnsi="Times New Roman"/>
              </w:rPr>
              <w:t xml:space="preserve">270/2018 privind sistemul unitar de salarizare în sectorul bugetar, sunt două funcții distincte „Administrator” - categoria funcțiilor de execuție a Grupului ocupațional „Funcții complexe”, iar „Șofer” – categoria muncitorilor calificați, din același grup ocupațional, or prin menținerea denumirii duble a funcției, apare confuzie în ceea ce privește atribuțiile, competențele specifice și salarizarea pentru funcția respectivă. </w:t>
            </w:r>
          </w:p>
        </w:tc>
        <w:tc>
          <w:tcPr>
            <w:tcW w:w="5135" w:type="dxa"/>
            <w:tcBorders>
              <w:bottom w:val="single" w:sz="4" w:space="0" w:color="auto"/>
            </w:tcBorders>
            <w:shd w:val="clear" w:color="auto" w:fill="auto"/>
          </w:tcPr>
          <w:p w14:paraId="6052F166" w14:textId="77777777" w:rsidR="003313EE" w:rsidRPr="00780F1C" w:rsidRDefault="003313EE" w:rsidP="003313EE">
            <w:pPr>
              <w:ind w:firstLine="42"/>
              <w:rPr>
                <w:rFonts w:ascii="Times New Roman" w:hAnsi="Times New Roman"/>
                <w:b/>
                <w:bCs/>
                <w:sz w:val="23"/>
                <w:szCs w:val="23"/>
              </w:rPr>
            </w:pPr>
            <w:r w:rsidRPr="00780F1C">
              <w:rPr>
                <w:rFonts w:ascii="Times New Roman" w:hAnsi="Times New Roman"/>
                <w:b/>
                <w:bCs/>
                <w:sz w:val="23"/>
                <w:szCs w:val="23"/>
              </w:rPr>
              <w:t>Se acceptă</w:t>
            </w:r>
          </w:p>
          <w:p w14:paraId="6903C492" w14:textId="77777777" w:rsidR="00DE4EF1" w:rsidRPr="009C21C1" w:rsidRDefault="003313EE" w:rsidP="003313EE">
            <w:pPr>
              <w:spacing w:after="120" w:line="240" w:lineRule="auto"/>
              <w:jc w:val="both"/>
              <w:rPr>
                <w:rFonts w:ascii="Times New Roman" w:hAnsi="Times New Roman"/>
                <w:b/>
                <w:bCs/>
                <w:lang w:val="ro-RO"/>
              </w:rPr>
            </w:pPr>
            <w:r w:rsidRPr="00780F1C">
              <w:rPr>
                <w:rFonts w:ascii="Times New Roman" w:hAnsi="Times New Roman"/>
                <w:i/>
                <w:iCs/>
                <w:sz w:val="23"/>
                <w:szCs w:val="23"/>
              </w:rPr>
              <w:t xml:space="preserve">MAE </w:t>
            </w:r>
            <w:r>
              <w:rPr>
                <w:rFonts w:ascii="Times New Roman" w:hAnsi="Times New Roman"/>
                <w:i/>
                <w:iCs/>
                <w:sz w:val="23"/>
                <w:szCs w:val="23"/>
              </w:rPr>
              <w:t xml:space="preserve">va </w:t>
            </w:r>
            <w:r w:rsidRPr="00780F1C">
              <w:rPr>
                <w:rFonts w:ascii="Times New Roman" w:hAnsi="Times New Roman"/>
                <w:i/>
                <w:iCs/>
                <w:sz w:val="23"/>
                <w:szCs w:val="23"/>
              </w:rPr>
              <w:t>ține cont de această recomandare la revizuirea planificată a hotărârii</w:t>
            </w:r>
            <w:r>
              <w:rPr>
                <w:rFonts w:ascii="Times New Roman" w:hAnsi="Times New Roman"/>
                <w:i/>
                <w:iCs/>
                <w:sz w:val="23"/>
                <w:szCs w:val="23"/>
              </w:rPr>
              <w:t xml:space="preserve">, inițiată prin scr. </w:t>
            </w:r>
            <w:r w:rsidRPr="002675B6">
              <w:rPr>
                <w:rFonts w:ascii="Times New Roman" w:hAnsi="Times New Roman"/>
                <w:i/>
                <w:iCs/>
                <w:sz w:val="23"/>
                <w:szCs w:val="23"/>
              </w:rPr>
              <w:t>DI/3/041/12918 din 9 decembrie 2024</w:t>
            </w:r>
            <w:r>
              <w:rPr>
                <w:rFonts w:ascii="Times New Roman" w:hAnsi="Times New Roman"/>
                <w:i/>
                <w:iCs/>
                <w:sz w:val="23"/>
                <w:szCs w:val="23"/>
              </w:rPr>
              <w:t>, cu armonizarea tuturor anexelor</w:t>
            </w:r>
          </w:p>
        </w:tc>
      </w:tr>
      <w:tr w:rsidR="00DE4EF1" w:rsidRPr="009C21C1" w14:paraId="26EBB4F8" w14:textId="77777777" w:rsidTr="009E7209">
        <w:trPr>
          <w:trHeight w:val="315"/>
        </w:trPr>
        <w:tc>
          <w:tcPr>
            <w:tcW w:w="2517" w:type="dxa"/>
            <w:vMerge/>
            <w:tcBorders>
              <w:top w:val="nil"/>
              <w:bottom w:val="single" w:sz="4" w:space="0" w:color="auto"/>
            </w:tcBorders>
            <w:shd w:val="clear" w:color="auto" w:fill="auto"/>
          </w:tcPr>
          <w:p w14:paraId="1B5AE280" w14:textId="77777777" w:rsidR="00DE4EF1" w:rsidRPr="009C21C1" w:rsidRDefault="00DE4EF1" w:rsidP="009C21C1">
            <w:pPr>
              <w:spacing w:after="0" w:line="240" w:lineRule="auto"/>
              <w:jc w:val="center"/>
              <w:rPr>
                <w:rFonts w:ascii="Times New Roman" w:hAnsi="Times New Roman"/>
                <w:b/>
                <w:bCs/>
              </w:rPr>
            </w:pPr>
          </w:p>
        </w:tc>
        <w:tc>
          <w:tcPr>
            <w:tcW w:w="710" w:type="dxa"/>
            <w:tcBorders>
              <w:bottom w:val="single" w:sz="4" w:space="0" w:color="auto"/>
            </w:tcBorders>
          </w:tcPr>
          <w:p w14:paraId="08B00B0A" w14:textId="77777777" w:rsidR="00DE4EF1" w:rsidRPr="009C21C1" w:rsidRDefault="004840EC" w:rsidP="009E7209">
            <w:pPr>
              <w:spacing w:after="120" w:line="240" w:lineRule="auto"/>
              <w:jc w:val="center"/>
              <w:rPr>
                <w:rFonts w:ascii="Times New Roman" w:hAnsi="Times New Roman"/>
              </w:rPr>
            </w:pPr>
            <w:r>
              <w:rPr>
                <w:rFonts w:ascii="Times New Roman" w:hAnsi="Times New Roman"/>
              </w:rPr>
              <w:t>4.</w:t>
            </w:r>
          </w:p>
        </w:tc>
        <w:tc>
          <w:tcPr>
            <w:tcW w:w="5812" w:type="dxa"/>
            <w:tcBorders>
              <w:bottom w:val="single" w:sz="4" w:space="0" w:color="auto"/>
            </w:tcBorders>
            <w:shd w:val="clear" w:color="auto" w:fill="auto"/>
          </w:tcPr>
          <w:p w14:paraId="64A43D7F" w14:textId="77777777" w:rsidR="00DE4EF1" w:rsidRPr="009C21C1" w:rsidRDefault="00DE4EF1" w:rsidP="00CA6A3B">
            <w:pPr>
              <w:spacing w:after="120" w:line="240" w:lineRule="auto"/>
              <w:jc w:val="both"/>
              <w:rPr>
                <w:rFonts w:ascii="Times New Roman" w:hAnsi="Times New Roman"/>
              </w:rPr>
            </w:pPr>
            <w:r w:rsidRPr="009C21C1">
              <w:rPr>
                <w:rFonts w:ascii="Times New Roman" w:hAnsi="Times New Roman"/>
              </w:rPr>
              <w:t>La pct.</w:t>
            </w:r>
            <w:r w:rsidR="003313EE">
              <w:rPr>
                <w:rFonts w:ascii="Times New Roman" w:hAnsi="Times New Roman"/>
              </w:rPr>
              <w:t xml:space="preserve"> </w:t>
            </w:r>
            <w:r w:rsidRPr="009C21C1">
              <w:rPr>
                <w:rFonts w:ascii="Times New Roman" w:hAnsi="Times New Roman"/>
              </w:rPr>
              <w:t>4 subpct.</w:t>
            </w:r>
            <w:r w:rsidR="003313EE">
              <w:rPr>
                <w:rFonts w:ascii="Times New Roman" w:hAnsi="Times New Roman"/>
              </w:rPr>
              <w:t xml:space="preserve"> </w:t>
            </w:r>
            <w:r w:rsidRPr="009C21C1">
              <w:rPr>
                <w:rFonts w:ascii="Times New Roman" w:hAnsi="Times New Roman"/>
              </w:rPr>
              <w:t>4.3 din cadrul proiectului prin care se aprobă Anexa nr.</w:t>
            </w:r>
            <w:r w:rsidR="00313E17">
              <w:rPr>
                <w:rFonts w:ascii="Times New Roman" w:hAnsi="Times New Roman"/>
              </w:rPr>
              <w:t xml:space="preserve"> </w:t>
            </w:r>
            <w:r w:rsidRPr="009C21C1">
              <w:rPr>
                <w:rFonts w:ascii="Times New Roman" w:hAnsi="Times New Roman"/>
              </w:rPr>
              <w:t>51, se va revizui și ajusta denumirea funcției publice de execuție „specialist principal, contabil-șef”, or potrivit Clasificatorului unic al funcțiilor publice, aprobat prin Legea nr.</w:t>
            </w:r>
            <w:r w:rsidR="00313E17">
              <w:rPr>
                <w:rFonts w:ascii="Times New Roman" w:hAnsi="Times New Roman"/>
              </w:rPr>
              <w:t xml:space="preserve"> </w:t>
            </w:r>
            <w:r w:rsidRPr="009C21C1">
              <w:rPr>
                <w:rFonts w:ascii="Times New Roman" w:hAnsi="Times New Roman"/>
              </w:rPr>
              <w:t xml:space="preserve">155/2011, funcțiile vizate reprezintă 2 funcții publice de execuție distincte. În acest sens, se va indica denumirea funcției publice în conformitate cu sarcinile de bază ale funcției stabilite prin statul de personal și fișa postului, și se va institui, fie funcția de „specialist principal”, fie „contabil-șef”. </w:t>
            </w:r>
          </w:p>
        </w:tc>
        <w:tc>
          <w:tcPr>
            <w:tcW w:w="5135" w:type="dxa"/>
            <w:tcBorders>
              <w:bottom w:val="single" w:sz="4" w:space="0" w:color="auto"/>
            </w:tcBorders>
            <w:shd w:val="clear" w:color="auto" w:fill="auto"/>
          </w:tcPr>
          <w:p w14:paraId="0BD81A31" w14:textId="77777777" w:rsidR="00DE4EF1" w:rsidRDefault="00DE4EF1" w:rsidP="009C21C1">
            <w:pPr>
              <w:spacing w:after="120" w:line="240" w:lineRule="auto"/>
              <w:jc w:val="both"/>
              <w:rPr>
                <w:rFonts w:ascii="Times New Roman" w:hAnsi="Times New Roman"/>
                <w:b/>
                <w:bCs/>
              </w:rPr>
            </w:pPr>
            <w:r w:rsidRPr="009C21C1">
              <w:rPr>
                <w:rFonts w:ascii="Times New Roman" w:hAnsi="Times New Roman"/>
                <w:b/>
                <w:bCs/>
              </w:rPr>
              <w:t>Se acceptă</w:t>
            </w:r>
          </w:p>
          <w:p w14:paraId="7C71703C" w14:textId="77777777" w:rsidR="00170920" w:rsidRPr="009C21C1" w:rsidRDefault="00170920" w:rsidP="00170920">
            <w:pPr>
              <w:spacing w:after="120" w:line="240" w:lineRule="auto"/>
              <w:jc w:val="both"/>
              <w:rPr>
                <w:rFonts w:ascii="Times New Roman" w:hAnsi="Times New Roman"/>
                <w:b/>
                <w:bCs/>
                <w:lang w:val="ro-RO"/>
              </w:rPr>
            </w:pPr>
            <w:r w:rsidRPr="00780F1C">
              <w:rPr>
                <w:rFonts w:ascii="Times New Roman" w:hAnsi="Times New Roman"/>
                <w:i/>
                <w:iCs/>
                <w:sz w:val="23"/>
                <w:szCs w:val="23"/>
              </w:rPr>
              <w:t xml:space="preserve">MAE </w:t>
            </w:r>
            <w:r>
              <w:rPr>
                <w:rFonts w:ascii="Times New Roman" w:hAnsi="Times New Roman"/>
                <w:i/>
                <w:iCs/>
                <w:sz w:val="23"/>
                <w:szCs w:val="23"/>
              </w:rPr>
              <w:t xml:space="preserve">va </w:t>
            </w:r>
            <w:r w:rsidRPr="00780F1C">
              <w:rPr>
                <w:rFonts w:ascii="Times New Roman" w:hAnsi="Times New Roman"/>
                <w:i/>
                <w:iCs/>
                <w:sz w:val="23"/>
                <w:szCs w:val="23"/>
              </w:rPr>
              <w:t>ține cont de această recomandare la revizuirea planificată a hotărârii</w:t>
            </w:r>
            <w:r>
              <w:rPr>
                <w:rFonts w:ascii="Times New Roman" w:hAnsi="Times New Roman"/>
                <w:i/>
                <w:iCs/>
                <w:sz w:val="23"/>
                <w:szCs w:val="23"/>
              </w:rPr>
              <w:t xml:space="preserve">, inițiată prin scr. </w:t>
            </w:r>
            <w:r w:rsidRPr="002675B6">
              <w:rPr>
                <w:rFonts w:ascii="Times New Roman" w:hAnsi="Times New Roman"/>
                <w:i/>
                <w:iCs/>
                <w:sz w:val="23"/>
                <w:szCs w:val="23"/>
              </w:rPr>
              <w:t>DI/3/041/12918 din 9 decembrie 2024</w:t>
            </w:r>
            <w:r>
              <w:rPr>
                <w:rFonts w:ascii="Times New Roman" w:hAnsi="Times New Roman"/>
                <w:i/>
                <w:iCs/>
                <w:sz w:val="23"/>
                <w:szCs w:val="23"/>
              </w:rPr>
              <w:t>, cu armonizarea tuturor anexelor</w:t>
            </w:r>
            <w:r w:rsidR="0079560B">
              <w:rPr>
                <w:rFonts w:ascii="Times New Roman" w:hAnsi="Times New Roman"/>
                <w:i/>
                <w:iCs/>
                <w:sz w:val="23"/>
                <w:szCs w:val="23"/>
              </w:rPr>
              <w:t>, optând pentru poziția de contabil sef</w:t>
            </w:r>
          </w:p>
        </w:tc>
      </w:tr>
      <w:tr w:rsidR="006A16F5" w:rsidRPr="009C21C1" w14:paraId="12C0D49D" w14:textId="77777777" w:rsidTr="00112B79">
        <w:trPr>
          <w:trHeight w:val="315"/>
        </w:trPr>
        <w:tc>
          <w:tcPr>
            <w:tcW w:w="2517" w:type="dxa"/>
            <w:tcBorders>
              <w:top w:val="nil"/>
              <w:bottom w:val="single" w:sz="4" w:space="0" w:color="auto"/>
            </w:tcBorders>
            <w:shd w:val="clear" w:color="auto" w:fill="auto"/>
          </w:tcPr>
          <w:p w14:paraId="3B8A5BA5" w14:textId="77777777" w:rsidR="006A16F5" w:rsidRPr="009C21C1" w:rsidRDefault="006A16F5" w:rsidP="009C21C1">
            <w:pPr>
              <w:spacing w:after="0" w:line="240" w:lineRule="auto"/>
              <w:jc w:val="center"/>
              <w:rPr>
                <w:rFonts w:ascii="Times New Roman" w:hAnsi="Times New Roman"/>
                <w:b/>
                <w:bCs/>
              </w:rPr>
            </w:pPr>
          </w:p>
        </w:tc>
        <w:tc>
          <w:tcPr>
            <w:tcW w:w="710" w:type="dxa"/>
            <w:tcBorders>
              <w:bottom w:val="single" w:sz="4" w:space="0" w:color="auto"/>
            </w:tcBorders>
          </w:tcPr>
          <w:p w14:paraId="45EAA2B5" w14:textId="77777777" w:rsidR="006A16F5" w:rsidRDefault="006A16F5" w:rsidP="004840EC">
            <w:pPr>
              <w:spacing w:after="120" w:line="240" w:lineRule="auto"/>
              <w:jc w:val="center"/>
              <w:rPr>
                <w:rFonts w:ascii="Times New Roman" w:hAnsi="Times New Roman"/>
              </w:rPr>
            </w:pPr>
            <w:r>
              <w:rPr>
                <w:rFonts w:ascii="Times New Roman" w:hAnsi="Times New Roman"/>
              </w:rPr>
              <w:t>5.</w:t>
            </w:r>
          </w:p>
        </w:tc>
        <w:tc>
          <w:tcPr>
            <w:tcW w:w="5812" w:type="dxa"/>
            <w:tcBorders>
              <w:bottom w:val="single" w:sz="4" w:space="0" w:color="auto"/>
            </w:tcBorders>
            <w:shd w:val="clear" w:color="auto" w:fill="auto"/>
          </w:tcPr>
          <w:p w14:paraId="5570C475" w14:textId="77777777" w:rsidR="006A16F5" w:rsidRPr="009C21C1" w:rsidDel="003313EE" w:rsidRDefault="006A16F5" w:rsidP="009C21C1">
            <w:pPr>
              <w:spacing w:after="120" w:line="240" w:lineRule="auto"/>
              <w:jc w:val="both"/>
              <w:rPr>
                <w:rFonts w:ascii="Times New Roman" w:hAnsi="Times New Roman"/>
              </w:rPr>
            </w:pPr>
            <w:r w:rsidRPr="009C21C1">
              <w:rPr>
                <w:rFonts w:ascii="Times New Roman" w:hAnsi="Times New Roman"/>
              </w:rPr>
              <w:t>Totodată, în temeiul prevederilor art.</w:t>
            </w:r>
            <w:r>
              <w:rPr>
                <w:rFonts w:ascii="Times New Roman" w:hAnsi="Times New Roman"/>
              </w:rPr>
              <w:t xml:space="preserve"> </w:t>
            </w:r>
            <w:r w:rsidRPr="009C21C1">
              <w:rPr>
                <w:rFonts w:ascii="Times New Roman" w:hAnsi="Times New Roman"/>
              </w:rPr>
              <w:t>56 alin.</w:t>
            </w:r>
            <w:r>
              <w:rPr>
                <w:rFonts w:ascii="Times New Roman" w:hAnsi="Times New Roman"/>
              </w:rPr>
              <w:t xml:space="preserve"> </w:t>
            </w:r>
            <w:r w:rsidRPr="009C21C1">
              <w:rPr>
                <w:rFonts w:ascii="Times New Roman" w:hAnsi="Times New Roman"/>
              </w:rPr>
              <w:t>(1) al Legii nr.</w:t>
            </w:r>
            <w:r>
              <w:rPr>
                <w:rFonts w:ascii="Times New Roman" w:hAnsi="Times New Roman"/>
              </w:rPr>
              <w:t xml:space="preserve"> </w:t>
            </w:r>
            <w:r w:rsidRPr="009C21C1">
              <w:rPr>
                <w:rFonts w:ascii="Times New Roman" w:hAnsi="Times New Roman"/>
              </w:rPr>
              <w:t>100/2017, în condițiile în care actul normativ se află abia în procedura de avizare se recomandă a fi revăzută data intrării în vigoare a hotărârii de Guvern.</w:t>
            </w:r>
          </w:p>
        </w:tc>
        <w:tc>
          <w:tcPr>
            <w:tcW w:w="5135" w:type="dxa"/>
            <w:tcBorders>
              <w:bottom w:val="single" w:sz="4" w:space="0" w:color="auto"/>
            </w:tcBorders>
            <w:shd w:val="clear" w:color="auto" w:fill="auto"/>
          </w:tcPr>
          <w:p w14:paraId="622D9A03" w14:textId="77777777" w:rsidR="0079560B" w:rsidRDefault="0079560B" w:rsidP="0079560B">
            <w:pPr>
              <w:spacing w:after="120" w:line="240" w:lineRule="auto"/>
              <w:jc w:val="both"/>
              <w:rPr>
                <w:rFonts w:ascii="Times New Roman" w:hAnsi="Times New Roman"/>
                <w:b/>
                <w:bCs/>
              </w:rPr>
            </w:pPr>
            <w:r w:rsidRPr="009C21C1">
              <w:rPr>
                <w:rFonts w:ascii="Times New Roman" w:hAnsi="Times New Roman"/>
                <w:b/>
                <w:bCs/>
              </w:rPr>
              <w:t>Se acceptă</w:t>
            </w:r>
          </w:p>
          <w:p w14:paraId="0A7A594F" w14:textId="77777777" w:rsidR="006A16F5" w:rsidRPr="009C21C1" w:rsidRDefault="0079560B" w:rsidP="0079560B">
            <w:pPr>
              <w:spacing w:after="120" w:line="240" w:lineRule="auto"/>
              <w:jc w:val="both"/>
              <w:rPr>
                <w:rFonts w:ascii="Times New Roman" w:hAnsi="Times New Roman"/>
                <w:b/>
                <w:bCs/>
              </w:rPr>
            </w:pPr>
            <w:r w:rsidRPr="00780F1C">
              <w:rPr>
                <w:rFonts w:ascii="Times New Roman" w:hAnsi="Times New Roman"/>
                <w:i/>
                <w:iCs/>
              </w:rPr>
              <w:t xml:space="preserve">(proiectul a fost ajustat </w:t>
            </w:r>
            <w:r>
              <w:rPr>
                <w:rFonts w:ascii="Times New Roman" w:hAnsi="Times New Roman"/>
                <w:i/>
                <w:iCs/>
              </w:rPr>
              <w:t xml:space="preserve"> cu indicarea datei de 1 februarie 2025</w:t>
            </w:r>
            <w:r w:rsidRPr="00780F1C">
              <w:rPr>
                <w:rFonts w:ascii="Times New Roman" w:hAnsi="Times New Roman"/>
                <w:i/>
                <w:iCs/>
              </w:rPr>
              <w:t>)</w:t>
            </w:r>
          </w:p>
        </w:tc>
      </w:tr>
      <w:tr w:rsidR="00DE4EF1" w:rsidRPr="009C21C1" w14:paraId="6D39921E" w14:textId="77777777" w:rsidTr="009E7209">
        <w:trPr>
          <w:trHeight w:val="3443"/>
        </w:trPr>
        <w:tc>
          <w:tcPr>
            <w:tcW w:w="2517" w:type="dxa"/>
            <w:tcBorders>
              <w:top w:val="single" w:sz="4" w:space="0" w:color="auto"/>
              <w:bottom w:val="single" w:sz="4" w:space="0" w:color="auto"/>
            </w:tcBorders>
            <w:shd w:val="clear" w:color="auto" w:fill="auto"/>
            <w:hideMark/>
          </w:tcPr>
          <w:p w14:paraId="0AA94542" w14:textId="77777777" w:rsidR="00DE4EF1" w:rsidRPr="009C21C1" w:rsidRDefault="00DE4EF1" w:rsidP="009C21C1">
            <w:pPr>
              <w:spacing w:after="0" w:line="240" w:lineRule="auto"/>
              <w:jc w:val="center"/>
              <w:rPr>
                <w:rFonts w:ascii="Times New Roman" w:hAnsi="Times New Roman"/>
                <w:b/>
                <w:bCs/>
              </w:rPr>
            </w:pPr>
            <w:r w:rsidRPr="009C21C1">
              <w:rPr>
                <w:rFonts w:ascii="Times New Roman" w:hAnsi="Times New Roman"/>
                <w:b/>
                <w:bCs/>
              </w:rPr>
              <w:lastRenderedPageBreak/>
              <w:t xml:space="preserve">Ministerul Finanțelor </w:t>
            </w:r>
          </w:p>
          <w:p w14:paraId="1AD2ADA0" w14:textId="77777777" w:rsidR="00DE4EF1" w:rsidRPr="009C21C1" w:rsidRDefault="00DE4EF1" w:rsidP="009C21C1">
            <w:pPr>
              <w:spacing w:after="0" w:line="240" w:lineRule="auto"/>
              <w:jc w:val="center"/>
              <w:rPr>
                <w:rFonts w:ascii="Times New Roman" w:hAnsi="Times New Roman"/>
              </w:rPr>
            </w:pPr>
            <w:r w:rsidRPr="009C21C1">
              <w:rPr>
                <w:rFonts w:ascii="Times New Roman" w:hAnsi="Times New Roman"/>
              </w:rPr>
              <w:t>(</w:t>
            </w:r>
            <w:r w:rsidR="002538F2">
              <w:rPr>
                <w:rFonts w:ascii="Times New Roman" w:hAnsi="Times New Roman"/>
              </w:rPr>
              <w:t xml:space="preserve">aviz </w:t>
            </w:r>
            <w:r w:rsidRPr="009C21C1">
              <w:rPr>
                <w:rFonts w:ascii="Times New Roman" w:hAnsi="Times New Roman"/>
              </w:rPr>
              <w:t>nr. 08-06-750</w:t>
            </w:r>
          </w:p>
          <w:p w14:paraId="1F5B92E4" w14:textId="77777777" w:rsidR="00DE4EF1" w:rsidRPr="009C21C1" w:rsidRDefault="00DE4EF1" w:rsidP="009C21C1">
            <w:pPr>
              <w:spacing w:after="0" w:line="240" w:lineRule="auto"/>
              <w:jc w:val="center"/>
              <w:rPr>
                <w:rFonts w:ascii="Times New Roman" w:hAnsi="Times New Roman"/>
                <w:highlight w:val="yellow"/>
              </w:rPr>
            </w:pPr>
            <w:r w:rsidRPr="009C21C1">
              <w:rPr>
                <w:rFonts w:ascii="Times New Roman" w:hAnsi="Times New Roman"/>
              </w:rPr>
              <w:t>din 26 decembrie 2024)</w:t>
            </w:r>
          </w:p>
        </w:tc>
        <w:tc>
          <w:tcPr>
            <w:tcW w:w="710" w:type="dxa"/>
          </w:tcPr>
          <w:p w14:paraId="171EFE69" w14:textId="77777777" w:rsidR="00DE4EF1" w:rsidRPr="009C21C1" w:rsidRDefault="00C304F5" w:rsidP="009E7209">
            <w:pPr>
              <w:spacing w:after="120" w:line="240" w:lineRule="auto"/>
              <w:jc w:val="center"/>
              <w:rPr>
                <w:rFonts w:ascii="Times New Roman" w:hAnsi="Times New Roman"/>
              </w:rPr>
            </w:pPr>
            <w:r>
              <w:rPr>
                <w:rFonts w:ascii="Times New Roman" w:hAnsi="Times New Roman"/>
              </w:rPr>
              <w:t>6.</w:t>
            </w:r>
          </w:p>
        </w:tc>
        <w:tc>
          <w:tcPr>
            <w:tcW w:w="5812" w:type="dxa"/>
            <w:shd w:val="clear" w:color="auto" w:fill="auto"/>
          </w:tcPr>
          <w:p w14:paraId="1B12C3DC" w14:textId="77777777" w:rsidR="00DE4EF1" w:rsidRPr="009C21C1" w:rsidRDefault="00DE4EF1" w:rsidP="009C21C1">
            <w:pPr>
              <w:spacing w:after="0" w:line="240" w:lineRule="auto"/>
              <w:jc w:val="both"/>
              <w:rPr>
                <w:rFonts w:ascii="Times New Roman" w:hAnsi="Times New Roman"/>
                <w:lang w:val="pt-PT"/>
              </w:rPr>
            </w:pPr>
            <w:r w:rsidRPr="009C21C1">
              <w:rPr>
                <w:rFonts w:ascii="Times New Roman" w:hAnsi="Times New Roman"/>
                <w:lang w:val="pt-PT"/>
              </w:rPr>
              <w:t xml:space="preserve">Potrivit Notei de fundamentare (compartimentul 4.2), autorul estimează costul de implementare a proiectului în sumă de cca 1,6 mil lei anual, inclusiv cheltuieli de personal în sumă de 290,2 mii lei. Cheltuielile sunt destinate întreținerii funcției de Consul general, funcție nouă care se propune a fi instituită în cadrul Consulatului general al RM în Padova, și anume: servicii de locațiune, indemnizații, asigurarea medicală etc. Însă, autorul nu indică sursa de acoperire a acestor costuri, respectiv, conform art.17 alin.(2) din Legea finanțelor publice și responsabilității bugetar-fiscale nr.181/2014 pe parcursul anului bugetar nu pot fi puse în aplicare deciziile care conduc la majorarea cheltuielilor bugetare, dacă impactul financiar al acestora nu este prevăzut în buget. </w:t>
            </w:r>
          </w:p>
        </w:tc>
        <w:tc>
          <w:tcPr>
            <w:tcW w:w="5135" w:type="dxa"/>
            <w:shd w:val="clear" w:color="auto" w:fill="auto"/>
          </w:tcPr>
          <w:p w14:paraId="39F08DDD" w14:textId="77777777" w:rsidR="00DE4EF1" w:rsidRPr="009C21C1" w:rsidRDefault="00DE4EF1" w:rsidP="009C21C1">
            <w:pPr>
              <w:tabs>
                <w:tab w:val="left" w:pos="173"/>
              </w:tabs>
              <w:spacing w:after="120" w:line="240" w:lineRule="auto"/>
              <w:jc w:val="both"/>
              <w:rPr>
                <w:rFonts w:ascii="Times New Roman" w:hAnsi="Times New Roman"/>
                <w:b/>
                <w:bCs/>
              </w:rPr>
            </w:pPr>
            <w:r w:rsidRPr="009C21C1">
              <w:rPr>
                <w:rFonts w:ascii="Times New Roman" w:hAnsi="Times New Roman"/>
                <w:b/>
                <w:bCs/>
              </w:rPr>
              <w:t xml:space="preserve">Se acceptă parțial. </w:t>
            </w:r>
          </w:p>
          <w:p w14:paraId="5C7F20F0" w14:textId="77777777" w:rsidR="00DE4EF1" w:rsidRPr="009C21C1" w:rsidRDefault="00DE4EF1" w:rsidP="009C21C1">
            <w:pPr>
              <w:spacing w:after="120" w:line="240" w:lineRule="auto"/>
              <w:jc w:val="both"/>
              <w:rPr>
                <w:rStyle w:val="ui-provider"/>
                <w:rFonts w:ascii="Times New Roman" w:eastAsia="MS Mincho" w:hAnsi="Times New Roman"/>
              </w:rPr>
            </w:pPr>
            <w:r w:rsidRPr="009C21C1">
              <w:rPr>
                <w:rStyle w:val="ui-provider"/>
                <w:rFonts w:ascii="Times New Roman" w:eastAsia="MS Mincho" w:hAnsi="Times New Roman"/>
              </w:rPr>
              <w:t xml:space="preserve">În nota de fundamentare inițiatorul proiectului a indicat expres că, modificările  </w:t>
            </w:r>
            <w:r w:rsidRPr="009C21C1">
              <w:rPr>
                <w:rStyle w:val="ui-provider"/>
                <w:rFonts w:ascii="Times New Roman" w:eastAsia="MS Mincho" w:hAnsi="Times New Roman"/>
                <w:u w:val="single"/>
              </w:rPr>
              <w:t>nu necesită alocarea suplimentară de mijloace financiare la bugetul aprobat pentru Ministerul Afacerilor Externe</w:t>
            </w:r>
            <w:r w:rsidRPr="009C21C1">
              <w:rPr>
                <w:rStyle w:val="ui-provider"/>
                <w:rFonts w:ascii="Times New Roman" w:eastAsia="MS Mincho" w:hAnsi="Times New Roman"/>
              </w:rPr>
              <w:t xml:space="preserve">, or </w:t>
            </w:r>
            <w:r w:rsidRPr="009C21C1">
              <w:rPr>
                <w:rStyle w:val="ui-provider"/>
                <w:rFonts w:ascii="Times New Roman" w:eastAsia="MS Mincho" w:hAnsi="Times New Roman"/>
                <w:u w:val="single"/>
              </w:rPr>
              <w:t>toate cheltuielile vor fi executate în limita bugetului alocat Ministerului pentru activitatea misiunilor sau, eventual, din contul economiilor formate de MAE</w:t>
            </w:r>
            <w:r w:rsidRPr="009C21C1">
              <w:rPr>
                <w:rStyle w:val="ui-provider"/>
                <w:rFonts w:ascii="Times New Roman" w:eastAsia="MS Mincho" w:hAnsi="Times New Roman"/>
                <w:color w:val="FF0000"/>
                <w:u w:val="single"/>
              </w:rPr>
              <w:t xml:space="preserve"> </w:t>
            </w:r>
            <w:r w:rsidRPr="009C21C1">
              <w:rPr>
                <w:rStyle w:val="ui-provider"/>
                <w:rFonts w:ascii="Times New Roman" w:eastAsia="MS Mincho" w:hAnsi="Times New Roman"/>
                <w:u w:val="single"/>
              </w:rPr>
              <w:t>pe parcursul perioadei de gestiune</w:t>
            </w:r>
            <w:r w:rsidRPr="009C21C1">
              <w:rPr>
                <w:rStyle w:val="ui-provider"/>
                <w:rFonts w:ascii="Times New Roman" w:eastAsia="MS Mincho" w:hAnsi="Times New Roman"/>
              </w:rPr>
              <w:t>.</w:t>
            </w:r>
          </w:p>
          <w:p w14:paraId="141F863C" w14:textId="77777777" w:rsidR="00DE4EF1" w:rsidRPr="009C21C1" w:rsidRDefault="00DE4EF1" w:rsidP="009C21C1">
            <w:pPr>
              <w:spacing w:after="120" w:line="240" w:lineRule="auto"/>
              <w:jc w:val="both"/>
              <w:rPr>
                <w:rFonts w:ascii="Times New Roman" w:hAnsi="Times New Roman"/>
                <w:color w:val="000000"/>
                <w:shd w:val="clear" w:color="auto" w:fill="FFFFFF"/>
                <w:lang w:val="ro-RO"/>
              </w:rPr>
            </w:pPr>
            <w:r w:rsidRPr="009C21C1">
              <w:rPr>
                <w:rFonts w:ascii="Times New Roman" w:hAnsi="Times New Roman"/>
                <w:lang w:val="ro-RO"/>
              </w:rPr>
              <w:t>Suplimentar informăm că,</w:t>
            </w:r>
            <w:r w:rsidRPr="009C21C1">
              <w:rPr>
                <w:rFonts w:ascii="Times New Roman" w:hAnsi="Times New Roman"/>
                <w:color w:val="FF0000"/>
                <w:lang w:val="ro-RO"/>
              </w:rPr>
              <w:t xml:space="preserve"> </w:t>
            </w:r>
            <w:r w:rsidRPr="009C21C1">
              <w:rPr>
                <w:rFonts w:ascii="Times New Roman" w:hAnsi="Times New Roman"/>
                <w:lang w:val="ro-RO"/>
              </w:rPr>
              <w:t xml:space="preserve">numărul serviciilor consulare prestate anual de către oficiul consular la Padova este în continuă creștere. </w:t>
            </w:r>
            <w:r w:rsidRPr="009C21C1">
              <w:rPr>
                <w:rFonts w:ascii="Times New Roman" w:hAnsi="Times New Roman"/>
                <w:color w:val="000000"/>
                <w:shd w:val="clear" w:color="auto" w:fill="FFFFFF"/>
                <w:lang w:val="ro-RO"/>
              </w:rPr>
              <w:t xml:space="preserve">Astfel, începând cu anul 2018 Consulatul de la Padova a fost misiunea cu cele mai multe acțiuni consulare prestate </w:t>
            </w:r>
            <w:r w:rsidRPr="009C21C1">
              <w:rPr>
                <w:rFonts w:ascii="Times New Roman" w:hAnsi="Times New Roman"/>
                <w:i/>
                <w:iCs/>
                <w:color w:val="000000"/>
                <w:shd w:val="clear" w:color="auto" w:fill="FFFFFF"/>
                <w:lang w:val="ro-RO"/>
              </w:rPr>
              <w:t xml:space="preserve">per an </w:t>
            </w:r>
            <w:r w:rsidRPr="009C21C1">
              <w:rPr>
                <w:rFonts w:ascii="Times New Roman" w:hAnsi="Times New Roman"/>
                <w:color w:val="000000"/>
                <w:shd w:val="clear" w:color="auto" w:fill="FFFFFF"/>
                <w:lang w:val="ro-RO"/>
              </w:rPr>
              <w:t>dintre cele mai solicitate MDOC ale Republicii Moldova</w:t>
            </w:r>
            <w:r w:rsidRPr="009C21C1">
              <w:rPr>
                <w:rFonts w:ascii="Times New Roman" w:hAnsi="Times New Roman"/>
                <w:i/>
                <w:iCs/>
                <w:color w:val="000000"/>
                <w:shd w:val="clear" w:color="auto" w:fill="FFFFFF"/>
                <w:lang w:val="ro-RO"/>
              </w:rPr>
              <w:t xml:space="preserve"> (</w:t>
            </w:r>
            <w:r w:rsidRPr="009C21C1">
              <w:rPr>
                <w:rFonts w:ascii="Times New Roman" w:hAnsi="Times New Roman"/>
                <w:i/>
                <w:iCs/>
                <w:color w:val="000000"/>
                <w:shd w:val="clear" w:color="auto" w:fill="FFFFFF"/>
              </w:rPr>
              <w:t>ex.: 2018-2023: Padova – 123.523, Milano – 93.479, Paris – 56.378, Roma – 48.186, Lisabona – 29.655, Frankfurt pe Main – 35.406, Berlin – 21.484 și Londra – 17.704 ș. a.</w:t>
            </w:r>
            <w:r w:rsidRPr="009C21C1">
              <w:rPr>
                <w:rFonts w:ascii="Times New Roman" w:hAnsi="Times New Roman"/>
                <w:i/>
                <w:iCs/>
                <w:color w:val="000000"/>
                <w:shd w:val="clear" w:color="auto" w:fill="FFFFFF"/>
                <w:lang w:val="ro-RO"/>
              </w:rPr>
              <w:t>)</w:t>
            </w:r>
            <w:r w:rsidRPr="009C21C1">
              <w:rPr>
                <w:rFonts w:ascii="Times New Roman" w:hAnsi="Times New Roman"/>
                <w:color w:val="000000"/>
                <w:shd w:val="clear" w:color="auto" w:fill="FFFFFF"/>
                <w:lang w:val="ro-RO"/>
              </w:rPr>
              <w:t>.</w:t>
            </w:r>
          </w:p>
          <w:p w14:paraId="186D669E" w14:textId="77777777" w:rsidR="00DE4EF1" w:rsidRPr="009C21C1" w:rsidRDefault="00DE4EF1" w:rsidP="009C21C1">
            <w:pPr>
              <w:spacing w:after="120" w:line="240" w:lineRule="auto"/>
              <w:jc w:val="both"/>
              <w:rPr>
                <w:rFonts w:ascii="Times New Roman" w:hAnsi="Times New Roman"/>
                <w:lang w:val="ro-RO"/>
              </w:rPr>
            </w:pPr>
            <w:r w:rsidRPr="009C21C1">
              <w:rPr>
                <w:rFonts w:ascii="Times New Roman" w:hAnsi="Times New Roman"/>
                <w:color w:val="000000"/>
                <w:shd w:val="clear" w:color="auto" w:fill="FFFFFF"/>
                <w:lang w:val="ro-RO"/>
              </w:rPr>
              <w:t xml:space="preserve">În 2023 - de către oficiul consular au fost acordate 24 158 de servicii consulare, cifră ce constituie 13% din totalul acțiunilor consulare prestate de cele 42 de oficii consulare ale Republicii Moldova. </w:t>
            </w:r>
            <w:r w:rsidRPr="009C21C1">
              <w:rPr>
                <w:rFonts w:ascii="Times New Roman" w:hAnsi="Times New Roman"/>
                <w:lang w:val="ro-RO"/>
              </w:rPr>
              <w:t xml:space="preserve">Pentru anul 2024, numărul total al serviciilor consulare se va situa în jurul valorii de 26 000. </w:t>
            </w:r>
          </w:p>
          <w:p w14:paraId="3806856E" w14:textId="77777777" w:rsidR="00DE4EF1" w:rsidRPr="009C21C1" w:rsidRDefault="00DE4EF1" w:rsidP="009C21C1">
            <w:pPr>
              <w:spacing w:after="0" w:line="240" w:lineRule="auto"/>
              <w:jc w:val="both"/>
              <w:rPr>
                <w:rFonts w:ascii="Times New Roman" w:hAnsi="Times New Roman"/>
                <w:lang w:val="ro-RO"/>
              </w:rPr>
            </w:pPr>
            <w:r w:rsidRPr="009C21C1">
              <w:rPr>
                <w:rFonts w:ascii="Times New Roman" w:hAnsi="Times New Roman"/>
                <w:lang w:val="ro-RO"/>
              </w:rPr>
              <w:t>În context, MAE estimează că datorită aprobării modificărilor menționate va crește numărul de acțiuni consulare (cca. 15-20 %), respectiv și a încasărilor la bugetul de stat, iar ultimele vor acoperi cheltuielile care vor apărea cu instituirea noii poziții.</w:t>
            </w:r>
          </w:p>
        </w:tc>
      </w:tr>
      <w:tr w:rsidR="00DE4EF1" w:rsidRPr="009C21C1" w14:paraId="46506375" w14:textId="77777777" w:rsidTr="009E7209">
        <w:trPr>
          <w:trHeight w:val="274"/>
        </w:trPr>
        <w:tc>
          <w:tcPr>
            <w:tcW w:w="2517" w:type="dxa"/>
            <w:tcBorders>
              <w:top w:val="nil"/>
              <w:bottom w:val="single" w:sz="4" w:space="0" w:color="auto"/>
            </w:tcBorders>
            <w:shd w:val="clear" w:color="auto" w:fill="auto"/>
          </w:tcPr>
          <w:p w14:paraId="54A77BD6" w14:textId="77777777" w:rsidR="00DE4EF1" w:rsidRPr="009C21C1" w:rsidRDefault="00DE4EF1" w:rsidP="009C21C1">
            <w:pPr>
              <w:spacing w:after="0" w:line="240" w:lineRule="auto"/>
              <w:jc w:val="center"/>
              <w:rPr>
                <w:rFonts w:ascii="Times New Roman" w:hAnsi="Times New Roman"/>
                <w:b/>
                <w:bCs/>
              </w:rPr>
            </w:pPr>
          </w:p>
        </w:tc>
        <w:tc>
          <w:tcPr>
            <w:tcW w:w="710" w:type="dxa"/>
          </w:tcPr>
          <w:p w14:paraId="3846B329" w14:textId="77777777" w:rsidR="00DE4EF1" w:rsidRPr="009C21C1" w:rsidRDefault="0070133A" w:rsidP="009E7209">
            <w:pPr>
              <w:spacing w:after="120" w:line="240" w:lineRule="auto"/>
              <w:jc w:val="center"/>
              <w:rPr>
                <w:rFonts w:ascii="Times New Roman" w:hAnsi="Times New Roman"/>
              </w:rPr>
            </w:pPr>
            <w:r>
              <w:rPr>
                <w:rFonts w:ascii="Times New Roman" w:hAnsi="Times New Roman"/>
              </w:rPr>
              <w:t>7.</w:t>
            </w:r>
          </w:p>
        </w:tc>
        <w:tc>
          <w:tcPr>
            <w:tcW w:w="5812" w:type="dxa"/>
            <w:shd w:val="clear" w:color="auto" w:fill="auto"/>
          </w:tcPr>
          <w:p w14:paraId="0B53ED63" w14:textId="77777777" w:rsidR="00DE4EF1" w:rsidRPr="009C21C1" w:rsidRDefault="00DE4EF1" w:rsidP="009C21C1">
            <w:pPr>
              <w:spacing w:after="120" w:line="240" w:lineRule="auto"/>
              <w:jc w:val="both"/>
              <w:rPr>
                <w:rFonts w:ascii="Times New Roman" w:hAnsi="Times New Roman"/>
              </w:rPr>
            </w:pPr>
            <w:r w:rsidRPr="009C21C1">
              <w:rPr>
                <w:rFonts w:ascii="Times New Roman" w:hAnsi="Times New Roman"/>
              </w:rPr>
              <w:t xml:space="preserve">Reieșind din cele relatate, precum și ținând cont de numărul funcțiilor vacante înregistrate în cadrul instituțiilor serviciilor </w:t>
            </w:r>
            <w:r w:rsidRPr="009C21C1">
              <w:rPr>
                <w:rFonts w:ascii="Times New Roman" w:hAnsi="Times New Roman"/>
              </w:rPr>
              <w:lastRenderedPageBreak/>
              <w:t xml:space="preserve">diplomatice, se propune examinarea de către MAE a posibilității de instituire a funcției de Consul general la Padova ținând cont de efectivului-limită aprobat, prin redistribuirea funcțiilor diplomatice de la alte misiuni diplomatice și oficii consulare ale RM peste hotarele țării. Subiectul dat urmează a fi considerat inclusiv prin prisma înființării/creării Centrelor Unificate de Prestare a Serviciilor Publice în cadrul proiectului Modernizarea serviciilor guvernamentale, precum și digitalizarea serviciilor consulare. </w:t>
            </w:r>
          </w:p>
          <w:p w14:paraId="2DC69900" w14:textId="77777777" w:rsidR="00DE4EF1" w:rsidRPr="009C21C1" w:rsidRDefault="00DE4EF1" w:rsidP="009C21C1">
            <w:pPr>
              <w:spacing w:after="0" w:line="240" w:lineRule="auto"/>
              <w:jc w:val="both"/>
              <w:rPr>
                <w:rFonts w:ascii="Times New Roman" w:hAnsi="Times New Roman"/>
              </w:rPr>
            </w:pPr>
            <w:r w:rsidRPr="009C21C1">
              <w:rPr>
                <w:rFonts w:ascii="Times New Roman" w:hAnsi="Times New Roman"/>
              </w:rPr>
              <w:t>În acest sens se menționează că conform raportului lunar, la situația din 30.11.2024 în cadrul MAE, activitatea misiunilor diplomatice și oficiilor consulare, din totalul de 252 unități aprobate real încadrate fiind 223 unități, respectiv 29 vacante. Astfel, conform celor menționate supra, se recomandă MAE analiza posibilității instituirii funcției de Consul general la Padova ținând cont de unitățile vacante existente, inclusiv cu posibilitatea deblocării, la solicitare, a funcțiilor aflate sub moratoriu.</w:t>
            </w:r>
          </w:p>
        </w:tc>
        <w:tc>
          <w:tcPr>
            <w:tcW w:w="5135" w:type="dxa"/>
            <w:shd w:val="clear" w:color="auto" w:fill="auto"/>
          </w:tcPr>
          <w:p w14:paraId="36E86B05" w14:textId="77777777" w:rsidR="00DE4EF1" w:rsidRPr="009C21C1" w:rsidRDefault="00DE4EF1" w:rsidP="009C21C1">
            <w:pPr>
              <w:tabs>
                <w:tab w:val="left" w:pos="173"/>
              </w:tabs>
              <w:spacing w:after="120" w:line="240" w:lineRule="auto"/>
              <w:jc w:val="both"/>
              <w:rPr>
                <w:rFonts w:ascii="Times New Roman" w:hAnsi="Times New Roman"/>
                <w:b/>
                <w:bCs/>
              </w:rPr>
            </w:pPr>
            <w:r w:rsidRPr="009C21C1">
              <w:rPr>
                <w:rFonts w:ascii="Times New Roman" w:hAnsi="Times New Roman"/>
                <w:b/>
                <w:bCs/>
              </w:rPr>
              <w:lastRenderedPageBreak/>
              <w:t>Se acceptă parțial.</w:t>
            </w:r>
          </w:p>
          <w:p w14:paraId="0D5E6660" w14:textId="77777777" w:rsidR="00DE4EF1" w:rsidRPr="009C21C1" w:rsidRDefault="00DE4EF1" w:rsidP="009C21C1">
            <w:pPr>
              <w:tabs>
                <w:tab w:val="left" w:pos="173"/>
              </w:tabs>
              <w:spacing w:after="120" w:line="240" w:lineRule="auto"/>
              <w:jc w:val="both"/>
              <w:rPr>
                <w:rFonts w:ascii="Times New Roman" w:hAnsi="Times New Roman"/>
              </w:rPr>
            </w:pPr>
            <w:r w:rsidRPr="009C21C1">
              <w:rPr>
                <w:rFonts w:ascii="Times New Roman" w:hAnsi="Times New Roman"/>
              </w:rPr>
              <w:t>MAE</w:t>
            </w:r>
            <w:r w:rsidRPr="009C21C1">
              <w:rPr>
                <w:rFonts w:ascii="Times New Roman" w:hAnsi="Times New Roman"/>
                <w:b/>
                <w:bCs/>
              </w:rPr>
              <w:t xml:space="preserve"> </w:t>
            </w:r>
            <w:r w:rsidRPr="009C21C1">
              <w:rPr>
                <w:rFonts w:ascii="Times New Roman" w:hAnsi="Times New Roman"/>
                <w:b/>
                <w:bCs/>
                <w:i/>
                <w:iCs/>
              </w:rPr>
              <w:t xml:space="preserve">va aplica moratoriu </w:t>
            </w:r>
            <w:r w:rsidRPr="009C21C1">
              <w:rPr>
                <w:rFonts w:ascii="Times New Roman" w:hAnsi="Times New Roman"/>
              </w:rPr>
              <w:t xml:space="preserve">pe </w:t>
            </w:r>
            <w:r w:rsidR="00AF1B73">
              <w:rPr>
                <w:rFonts w:ascii="Times New Roman" w:hAnsi="Times New Roman"/>
              </w:rPr>
              <w:t xml:space="preserve">posturi </w:t>
            </w:r>
            <w:r w:rsidR="00E666A8">
              <w:rPr>
                <w:rFonts w:ascii="Times New Roman" w:hAnsi="Times New Roman"/>
              </w:rPr>
              <w:t xml:space="preserve">vacante, în </w:t>
            </w:r>
            <w:r w:rsidR="00E666A8">
              <w:rPr>
                <w:rFonts w:ascii="Times New Roman" w:hAnsi="Times New Roman"/>
              </w:rPr>
              <w:lastRenderedPageBreak/>
              <w:t>funcție de prioritățile la fiecare etapă temporală în parte.</w:t>
            </w:r>
            <w:r w:rsidR="006043E1">
              <w:rPr>
                <w:rFonts w:ascii="Times New Roman" w:hAnsi="Times New Roman"/>
              </w:rPr>
              <w:t xml:space="preserve"> Însă </w:t>
            </w:r>
            <w:r w:rsidR="00B578F7">
              <w:rPr>
                <w:rFonts w:ascii="Times New Roman" w:hAnsi="Times New Roman"/>
              </w:rPr>
              <w:t>stabilirea structurii fiecărei misiuni diplomatice sau consulare nu depinde și nu trebuie să depindă de structura, posturile vacante din alte misiuni sau moratoriul temporar din sistemul diplomatic. S</w:t>
            </w:r>
            <w:r w:rsidR="00937C1B">
              <w:rPr>
                <w:rFonts w:ascii="Times New Roman" w:hAnsi="Times New Roman"/>
              </w:rPr>
              <w:t xml:space="preserve">tabilirea structurii unei misiuni și completarea posturilor conform structurii stabilite sunt acțiuni succesive și nu ar trebui să fie comasate la o singură etapă. </w:t>
            </w:r>
            <w:r w:rsidR="006D13F6">
              <w:rPr>
                <w:rFonts w:ascii="Times New Roman" w:hAnsi="Times New Roman"/>
              </w:rPr>
              <w:t xml:space="preserve">MAE acceptă abordarea MF că finanțarea activității consulului general ar putea fi asigurată din contul funcțiilor vacante, fără a spori povara financiară de întreținere a acestuia. </w:t>
            </w:r>
          </w:p>
          <w:p w14:paraId="798A3641" w14:textId="77777777" w:rsidR="00DE4EF1" w:rsidRPr="008C6B55" w:rsidRDefault="00DE4EF1" w:rsidP="008C6B55">
            <w:pPr>
              <w:spacing w:after="0" w:line="240" w:lineRule="auto"/>
              <w:jc w:val="both"/>
              <w:rPr>
                <w:rFonts w:ascii="Times New Roman" w:hAnsi="Times New Roman"/>
                <w:color w:val="333333"/>
              </w:rPr>
            </w:pPr>
            <w:r w:rsidRPr="009C21C1">
              <w:rPr>
                <w:rFonts w:ascii="Times New Roman" w:hAnsi="Times New Roman"/>
              </w:rPr>
              <w:t xml:space="preserve">La fel, MAE informează că, potrivit HG nr. 322/2021 - Consulatul Republicii Moldova la Padova deja se regăsește printre </w:t>
            </w:r>
            <w:r w:rsidRPr="009C21C1">
              <w:rPr>
                <w:rStyle w:val="Strong"/>
                <w:rFonts w:ascii="Times New Roman" w:hAnsi="Times New Roman"/>
                <w:b w:val="0"/>
                <w:bCs w:val="0"/>
                <w:color w:val="262626"/>
              </w:rPr>
              <w:t>misiunil</w:t>
            </w:r>
            <w:r w:rsidRPr="009C21C1">
              <w:rPr>
                <w:rStyle w:val="Strong"/>
                <w:rFonts w:ascii="Times New Roman" w:eastAsia="Times New Roman" w:hAnsi="Times New Roman"/>
                <w:b w:val="0"/>
                <w:bCs w:val="0"/>
                <w:color w:val="262626"/>
              </w:rPr>
              <w:t xml:space="preserve">e </w:t>
            </w:r>
            <w:r w:rsidRPr="009C21C1">
              <w:rPr>
                <w:rStyle w:val="Strong"/>
                <w:rFonts w:ascii="Times New Roman" w:hAnsi="Times New Roman"/>
                <w:b w:val="0"/>
                <w:bCs w:val="0"/>
                <w:color w:val="262626"/>
              </w:rPr>
              <w:t>diplomatice și oficiil</w:t>
            </w:r>
            <w:r w:rsidRPr="009C21C1">
              <w:rPr>
                <w:rStyle w:val="Strong"/>
                <w:rFonts w:ascii="Times New Roman" w:eastAsia="Times New Roman" w:hAnsi="Times New Roman"/>
                <w:b w:val="0"/>
                <w:bCs w:val="0"/>
                <w:color w:val="262626"/>
              </w:rPr>
              <w:t>e</w:t>
            </w:r>
            <w:r w:rsidRPr="009C21C1">
              <w:rPr>
                <w:rStyle w:val="Strong"/>
                <w:rFonts w:ascii="Times New Roman" w:hAnsi="Times New Roman"/>
                <w:b w:val="0"/>
                <w:bCs w:val="0"/>
                <w:color w:val="262626"/>
              </w:rPr>
              <w:t xml:space="preserve"> consulare ale Republicii Moldova peste hotare, în cadrul cărora se pilotează centrele unificate de prestare a serviciilor publice.</w:t>
            </w:r>
          </w:p>
        </w:tc>
      </w:tr>
      <w:tr w:rsidR="002538F2" w:rsidRPr="009C21C1" w14:paraId="519BF151" w14:textId="77777777" w:rsidTr="0027606C">
        <w:trPr>
          <w:trHeight w:val="274"/>
        </w:trPr>
        <w:tc>
          <w:tcPr>
            <w:tcW w:w="2517" w:type="dxa"/>
            <w:tcBorders>
              <w:top w:val="single" w:sz="4" w:space="0" w:color="auto"/>
              <w:bottom w:val="single" w:sz="4" w:space="0" w:color="auto"/>
            </w:tcBorders>
            <w:shd w:val="clear" w:color="auto" w:fill="auto"/>
          </w:tcPr>
          <w:p w14:paraId="1504657C" w14:textId="77777777" w:rsidR="002538F2" w:rsidRPr="009E7209" w:rsidRDefault="002538F2" w:rsidP="002538F2">
            <w:pPr>
              <w:spacing w:after="0" w:line="240" w:lineRule="auto"/>
              <w:jc w:val="center"/>
              <w:rPr>
                <w:rFonts w:ascii="Times New Roman" w:hAnsi="Times New Roman"/>
                <w:b/>
                <w:bCs/>
                <w:sz w:val="23"/>
                <w:szCs w:val="23"/>
              </w:rPr>
            </w:pPr>
            <w:r w:rsidRPr="009E7209">
              <w:rPr>
                <w:rFonts w:ascii="Times New Roman" w:hAnsi="Times New Roman"/>
                <w:b/>
                <w:bCs/>
                <w:sz w:val="23"/>
                <w:szCs w:val="23"/>
              </w:rPr>
              <w:lastRenderedPageBreak/>
              <w:t>Comentarii consulare publică</w:t>
            </w:r>
            <w:r w:rsidRPr="009E7209">
              <w:rPr>
                <w:rStyle w:val="FootnoteReference"/>
                <w:rFonts w:ascii="Times New Roman" w:hAnsi="Times New Roman"/>
                <w:b/>
                <w:bCs/>
                <w:sz w:val="23"/>
                <w:szCs w:val="23"/>
              </w:rPr>
              <w:footnoteReference w:id="1"/>
            </w:r>
          </w:p>
        </w:tc>
        <w:tc>
          <w:tcPr>
            <w:tcW w:w="710" w:type="dxa"/>
          </w:tcPr>
          <w:p w14:paraId="64B601B0" w14:textId="77777777" w:rsidR="002538F2" w:rsidRPr="009E7209" w:rsidRDefault="0027606C" w:rsidP="002538F2">
            <w:pPr>
              <w:spacing w:after="120" w:line="240" w:lineRule="auto"/>
              <w:jc w:val="both"/>
              <w:rPr>
                <w:rFonts w:ascii="Times New Roman" w:hAnsi="Times New Roman"/>
                <w:sz w:val="23"/>
                <w:szCs w:val="23"/>
              </w:rPr>
            </w:pPr>
            <w:r>
              <w:rPr>
                <w:rFonts w:ascii="Times New Roman" w:hAnsi="Times New Roman"/>
                <w:sz w:val="23"/>
                <w:szCs w:val="23"/>
              </w:rPr>
              <w:t>8.</w:t>
            </w:r>
          </w:p>
        </w:tc>
        <w:tc>
          <w:tcPr>
            <w:tcW w:w="5812" w:type="dxa"/>
            <w:shd w:val="clear" w:color="auto" w:fill="auto"/>
          </w:tcPr>
          <w:p w14:paraId="356BAD42" w14:textId="77777777" w:rsidR="002538F2" w:rsidRPr="009E7209" w:rsidRDefault="002538F2" w:rsidP="002538F2">
            <w:pPr>
              <w:spacing w:after="120" w:line="240" w:lineRule="auto"/>
              <w:jc w:val="both"/>
              <w:rPr>
                <w:rFonts w:ascii="Times New Roman" w:hAnsi="Times New Roman"/>
                <w:sz w:val="23"/>
                <w:szCs w:val="23"/>
              </w:rPr>
            </w:pPr>
            <w:r w:rsidRPr="009E7209">
              <w:rPr>
                <w:rFonts w:ascii="Times New Roman" w:hAnsi="Times New Roman"/>
                <w:i/>
                <w:iCs/>
                <w:sz w:val="23"/>
                <w:szCs w:val="23"/>
              </w:rPr>
              <w:t>nu au parvenit</w:t>
            </w:r>
          </w:p>
        </w:tc>
        <w:tc>
          <w:tcPr>
            <w:tcW w:w="5135" w:type="dxa"/>
            <w:shd w:val="clear" w:color="auto" w:fill="auto"/>
          </w:tcPr>
          <w:p w14:paraId="7EE27B2A" w14:textId="77777777" w:rsidR="002538F2" w:rsidRPr="009E7209" w:rsidRDefault="002538F2" w:rsidP="002538F2">
            <w:pPr>
              <w:tabs>
                <w:tab w:val="left" w:pos="173"/>
              </w:tabs>
              <w:spacing w:after="120" w:line="240" w:lineRule="auto"/>
              <w:jc w:val="both"/>
              <w:rPr>
                <w:rFonts w:ascii="Times New Roman" w:hAnsi="Times New Roman"/>
                <w:b/>
                <w:bCs/>
                <w:sz w:val="23"/>
                <w:szCs w:val="23"/>
              </w:rPr>
            </w:pPr>
            <w:r w:rsidRPr="009E7209">
              <w:rPr>
                <w:rFonts w:ascii="Times New Roman" w:hAnsi="Times New Roman"/>
                <w:i/>
                <w:iCs/>
                <w:sz w:val="23"/>
                <w:szCs w:val="23"/>
              </w:rPr>
              <w:t>nu necesită intervenție</w:t>
            </w:r>
          </w:p>
        </w:tc>
      </w:tr>
      <w:tr w:rsidR="00B4581E" w:rsidRPr="009C21C1" w14:paraId="2FB3BABC" w14:textId="77777777" w:rsidTr="000C1BF9">
        <w:trPr>
          <w:trHeight w:val="274"/>
        </w:trPr>
        <w:tc>
          <w:tcPr>
            <w:tcW w:w="14174" w:type="dxa"/>
            <w:gridSpan w:val="4"/>
            <w:tcBorders>
              <w:top w:val="single" w:sz="4" w:space="0" w:color="auto"/>
              <w:bottom w:val="single" w:sz="4" w:space="0" w:color="auto"/>
            </w:tcBorders>
            <w:shd w:val="clear" w:color="auto" w:fill="auto"/>
          </w:tcPr>
          <w:p w14:paraId="6685A264" w14:textId="77777777" w:rsidR="00B4581E" w:rsidRPr="00B4581E" w:rsidRDefault="00B4581E" w:rsidP="00B4581E">
            <w:pPr>
              <w:tabs>
                <w:tab w:val="left" w:pos="173"/>
              </w:tabs>
              <w:spacing w:after="120" w:line="240" w:lineRule="auto"/>
              <w:jc w:val="center"/>
              <w:rPr>
                <w:rFonts w:ascii="Times New Roman" w:hAnsi="Times New Roman"/>
                <w:sz w:val="23"/>
                <w:szCs w:val="23"/>
              </w:rPr>
            </w:pPr>
            <w:r>
              <w:rPr>
                <w:rFonts w:ascii="Times New Roman" w:hAnsi="Times New Roman"/>
                <w:sz w:val="23"/>
                <w:szCs w:val="23"/>
              </w:rPr>
              <w:t>Reconfirmarea avizului</w:t>
            </w:r>
          </w:p>
        </w:tc>
      </w:tr>
      <w:tr w:rsidR="007C0DA2" w:rsidRPr="009C21C1" w14:paraId="706F4054" w14:textId="77777777" w:rsidTr="000C1BF9">
        <w:trPr>
          <w:trHeight w:val="274"/>
        </w:trPr>
        <w:tc>
          <w:tcPr>
            <w:tcW w:w="2517" w:type="dxa"/>
            <w:vMerge w:val="restart"/>
            <w:tcBorders>
              <w:top w:val="single" w:sz="4" w:space="0" w:color="auto"/>
            </w:tcBorders>
            <w:shd w:val="clear" w:color="auto" w:fill="auto"/>
          </w:tcPr>
          <w:p w14:paraId="1D0F810F" w14:textId="77777777" w:rsidR="007C0DA2" w:rsidRPr="00C175A3" w:rsidRDefault="007C0DA2" w:rsidP="00B4581E">
            <w:pPr>
              <w:spacing w:after="0" w:line="240" w:lineRule="auto"/>
              <w:jc w:val="center"/>
              <w:rPr>
                <w:rFonts w:ascii="Times New Roman" w:hAnsi="Times New Roman"/>
              </w:rPr>
            </w:pPr>
            <w:r w:rsidRPr="00C175A3">
              <w:rPr>
                <w:rFonts w:ascii="Times New Roman" w:hAnsi="Times New Roman"/>
                <w:b/>
                <w:bCs/>
              </w:rPr>
              <w:t>Cancelaria de Stat</w:t>
            </w:r>
          </w:p>
          <w:p w14:paraId="76D6F037" w14:textId="77777777" w:rsidR="007C0DA2" w:rsidRPr="00C175A3" w:rsidRDefault="007C0DA2" w:rsidP="00B4581E">
            <w:pPr>
              <w:spacing w:after="0" w:line="240" w:lineRule="auto"/>
              <w:jc w:val="center"/>
              <w:rPr>
                <w:rFonts w:ascii="Times New Roman" w:hAnsi="Times New Roman"/>
              </w:rPr>
            </w:pPr>
            <w:r w:rsidRPr="00C175A3">
              <w:rPr>
                <w:rFonts w:ascii="Times New Roman" w:hAnsi="Times New Roman"/>
              </w:rPr>
              <w:t xml:space="preserve">(aviz nr. 22-69-138 </w:t>
            </w:r>
          </w:p>
          <w:p w14:paraId="2ECA7108" w14:textId="77777777" w:rsidR="007C0DA2" w:rsidRDefault="007C0DA2" w:rsidP="00B4581E">
            <w:pPr>
              <w:spacing w:after="0" w:line="240" w:lineRule="auto"/>
              <w:jc w:val="center"/>
              <w:rPr>
                <w:rFonts w:ascii="Times New Roman" w:hAnsi="Times New Roman"/>
                <w:b/>
                <w:bCs/>
              </w:rPr>
            </w:pPr>
            <w:r w:rsidRPr="00C175A3">
              <w:rPr>
                <w:rFonts w:ascii="Times New Roman" w:hAnsi="Times New Roman"/>
              </w:rPr>
              <w:t>din 9 ianuarie 2025)</w:t>
            </w:r>
          </w:p>
        </w:tc>
        <w:tc>
          <w:tcPr>
            <w:tcW w:w="710" w:type="dxa"/>
          </w:tcPr>
          <w:p w14:paraId="275F0DE9" w14:textId="77777777" w:rsidR="007C0DA2" w:rsidRDefault="007C0DA2" w:rsidP="00B4581E">
            <w:pPr>
              <w:spacing w:after="120" w:line="240" w:lineRule="auto"/>
              <w:jc w:val="both"/>
              <w:rPr>
                <w:rFonts w:ascii="Times New Roman" w:hAnsi="Times New Roman"/>
              </w:rPr>
            </w:pPr>
            <w:r>
              <w:rPr>
                <w:rFonts w:ascii="Times New Roman" w:hAnsi="Times New Roman"/>
              </w:rPr>
              <w:t>9.</w:t>
            </w:r>
          </w:p>
        </w:tc>
        <w:tc>
          <w:tcPr>
            <w:tcW w:w="5812" w:type="dxa"/>
            <w:shd w:val="clear" w:color="auto" w:fill="auto"/>
          </w:tcPr>
          <w:p w14:paraId="04A55A7F" w14:textId="77777777" w:rsidR="007C0DA2" w:rsidRPr="00E111E4" w:rsidRDefault="007C0DA2" w:rsidP="00B4581E">
            <w:pPr>
              <w:spacing w:after="120" w:line="240" w:lineRule="auto"/>
              <w:jc w:val="both"/>
              <w:rPr>
                <w:rFonts w:ascii="Times New Roman" w:hAnsi="Times New Roman"/>
              </w:rPr>
            </w:pPr>
            <w:r w:rsidRPr="00E111E4">
              <w:rPr>
                <w:rFonts w:ascii="Times New Roman" w:hAnsi="Times New Roman"/>
              </w:rPr>
              <w:t>La pct.4 subpct.4.1 și subpct.4.2 din proiectul hotărârii Guvernului, menținem recomandările expuse prin avizul nr.22-69-14110 din 23 decembrie 2024.</w:t>
            </w:r>
          </w:p>
        </w:tc>
        <w:tc>
          <w:tcPr>
            <w:tcW w:w="5135" w:type="dxa"/>
            <w:shd w:val="clear" w:color="auto" w:fill="auto"/>
          </w:tcPr>
          <w:p w14:paraId="568D6C1D" w14:textId="77777777" w:rsidR="007C0DA2" w:rsidRPr="00B4581E" w:rsidRDefault="007C0DA2" w:rsidP="00B4581E">
            <w:pPr>
              <w:spacing w:line="240" w:lineRule="auto"/>
              <w:ind w:firstLine="42"/>
              <w:rPr>
                <w:rFonts w:ascii="Times New Roman" w:hAnsi="Times New Roman"/>
                <w:b/>
                <w:bCs/>
              </w:rPr>
            </w:pPr>
            <w:r w:rsidRPr="00B4581E">
              <w:rPr>
                <w:rFonts w:ascii="Times New Roman" w:hAnsi="Times New Roman"/>
                <w:b/>
                <w:bCs/>
              </w:rPr>
              <w:t>Se acceptă</w:t>
            </w:r>
          </w:p>
          <w:p w14:paraId="0A79744C" w14:textId="1913B6D4" w:rsidR="007C0DA2" w:rsidRPr="008D25C0" w:rsidRDefault="008D25C0" w:rsidP="00B4581E">
            <w:pPr>
              <w:spacing w:after="120" w:line="240" w:lineRule="auto"/>
              <w:jc w:val="both"/>
              <w:rPr>
                <w:rFonts w:ascii="Times New Roman" w:hAnsi="Times New Roman"/>
                <w:b/>
                <w:bCs/>
                <w:color w:val="FF0000"/>
                <w:sz w:val="23"/>
                <w:szCs w:val="23"/>
              </w:rPr>
            </w:pPr>
            <w:r w:rsidRPr="009E7209">
              <w:rPr>
                <w:rFonts w:ascii="Times New Roman" w:hAnsi="Times New Roman"/>
                <w:i/>
                <w:iCs/>
                <w:sz w:val="23"/>
                <w:szCs w:val="23"/>
              </w:rPr>
              <w:t xml:space="preserve">MAE </w:t>
            </w:r>
            <w:r>
              <w:rPr>
                <w:rFonts w:ascii="Times New Roman" w:hAnsi="Times New Roman"/>
                <w:i/>
                <w:iCs/>
                <w:sz w:val="23"/>
                <w:szCs w:val="23"/>
              </w:rPr>
              <w:t xml:space="preserve">va </w:t>
            </w:r>
            <w:r w:rsidRPr="009E7209">
              <w:rPr>
                <w:rFonts w:ascii="Times New Roman" w:hAnsi="Times New Roman"/>
                <w:i/>
                <w:iCs/>
                <w:sz w:val="23"/>
                <w:szCs w:val="23"/>
              </w:rPr>
              <w:t>ține cont de această recomandare la revizuirea planificată a hotărârii</w:t>
            </w:r>
            <w:r>
              <w:rPr>
                <w:rFonts w:ascii="Times New Roman" w:hAnsi="Times New Roman"/>
                <w:i/>
                <w:iCs/>
                <w:sz w:val="23"/>
                <w:szCs w:val="23"/>
              </w:rPr>
              <w:t xml:space="preserve">, inițiată prin scr. </w:t>
            </w:r>
            <w:r w:rsidRPr="002675B6">
              <w:rPr>
                <w:rFonts w:ascii="Times New Roman" w:hAnsi="Times New Roman"/>
                <w:i/>
                <w:iCs/>
                <w:sz w:val="23"/>
                <w:szCs w:val="23"/>
              </w:rPr>
              <w:t>DI/3/041/12918 din 9 decembrie 2024</w:t>
            </w:r>
            <w:r>
              <w:rPr>
                <w:rFonts w:ascii="Times New Roman" w:hAnsi="Times New Roman"/>
                <w:i/>
                <w:iCs/>
                <w:sz w:val="23"/>
                <w:szCs w:val="23"/>
              </w:rPr>
              <w:t xml:space="preserve">, cu armonizarea tuturor anexelor și ținând cont de opinia CS expusă prin scr. nr. </w:t>
            </w:r>
            <w:r w:rsidR="00B70EE5">
              <w:rPr>
                <w:rFonts w:ascii="Times New Roman" w:hAnsi="Times New Roman"/>
                <w:i/>
                <w:iCs/>
                <w:sz w:val="23"/>
                <w:szCs w:val="23"/>
              </w:rPr>
              <w:t>22-78-152 din 10 ia</w:t>
            </w:r>
            <w:r w:rsidR="001F136E">
              <w:rPr>
                <w:rFonts w:ascii="Times New Roman" w:hAnsi="Times New Roman"/>
                <w:i/>
                <w:iCs/>
                <w:sz w:val="23"/>
                <w:szCs w:val="23"/>
              </w:rPr>
              <w:t>nuarie 2025.</w:t>
            </w:r>
          </w:p>
        </w:tc>
      </w:tr>
      <w:tr w:rsidR="00E111E4" w:rsidRPr="009C21C1" w14:paraId="1CEA85B7" w14:textId="77777777" w:rsidTr="00E111E4">
        <w:trPr>
          <w:trHeight w:val="4245"/>
        </w:trPr>
        <w:tc>
          <w:tcPr>
            <w:tcW w:w="2517" w:type="dxa"/>
            <w:vMerge/>
            <w:shd w:val="clear" w:color="auto" w:fill="auto"/>
          </w:tcPr>
          <w:p w14:paraId="7703C39C" w14:textId="77777777" w:rsidR="00E111E4" w:rsidRPr="00C175A3" w:rsidRDefault="00E111E4" w:rsidP="00B4581E">
            <w:pPr>
              <w:spacing w:after="0" w:line="240" w:lineRule="auto"/>
              <w:jc w:val="center"/>
              <w:rPr>
                <w:rFonts w:ascii="Times New Roman" w:hAnsi="Times New Roman"/>
                <w:b/>
                <w:bCs/>
              </w:rPr>
            </w:pPr>
          </w:p>
        </w:tc>
        <w:tc>
          <w:tcPr>
            <w:tcW w:w="710" w:type="dxa"/>
          </w:tcPr>
          <w:p w14:paraId="6674237E" w14:textId="5C0B5349" w:rsidR="00E111E4" w:rsidRDefault="00E111E4" w:rsidP="00B4581E">
            <w:pPr>
              <w:spacing w:after="120" w:line="240" w:lineRule="auto"/>
              <w:jc w:val="both"/>
              <w:rPr>
                <w:rFonts w:ascii="Times New Roman" w:hAnsi="Times New Roman"/>
              </w:rPr>
            </w:pPr>
            <w:r>
              <w:rPr>
                <w:rFonts w:ascii="Times New Roman" w:hAnsi="Times New Roman"/>
              </w:rPr>
              <w:t>10.</w:t>
            </w:r>
          </w:p>
        </w:tc>
        <w:tc>
          <w:tcPr>
            <w:tcW w:w="5812" w:type="dxa"/>
            <w:shd w:val="clear" w:color="auto" w:fill="auto"/>
          </w:tcPr>
          <w:p w14:paraId="3776F89C" w14:textId="6C46A696" w:rsidR="00E111E4" w:rsidRDefault="00E111E4" w:rsidP="00B4581E">
            <w:pPr>
              <w:spacing w:after="120" w:line="240" w:lineRule="auto"/>
              <w:jc w:val="both"/>
              <w:rPr>
                <w:rFonts w:ascii="Times New Roman" w:hAnsi="Times New Roman"/>
              </w:rPr>
            </w:pPr>
            <w:r w:rsidRPr="007C0DA2">
              <w:rPr>
                <w:rFonts w:ascii="Times New Roman" w:hAnsi="Times New Roman"/>
              </w:rPr>
              <w:t>Suplimentar, în contextul scrisorii nr.</w:t>
            </w:r>
            <w:r>
              <w:rPr>
                <w:rFonts w:ascii="Times New Roman" w:hAnsi="Times New Roman"/>
              </w:rPr>
              <w:t xml:space="preserve"> </w:t>
            </w:r>
            <w:r w:rsidRPr="007C0DA2">
              <w:rPr>
                <w:rFonts w:ascii="Times New Roman" w:hAnsi="Times New Roman"/>
              </w:rPr>
              <w:t>DI/3/041/12918 din 9 decembrie 2024, susținem inițierea procedurii de modificare a Hotărârii Guvernului nr.959/2018 cu privire la aprobarea Nomenclatorului funcțiilor și coeficienților de ierarhizare pentru stabilirea indemnizațiilor de funcției pentru personalul instituțiilor serviciului diplomatic al Republicii Moldova peste hotare, a bazei de calcul pentru stabilirea indemnizațiilor de funcție, precum și a structurilor și efectivelor de personal ale acestora (în continuare - Hotărârea Guvernului nr.959/2018).</w:t>
            </w:r>
          </w:p>
          <w:p w14:paraId="0E40E404" w14:textId="77777777" w:rsidR="00E111E4" w:rsidRDefault="00E111E4" w:rsidP="00B4581E">
            <w:pPr>
              <w:spacing w:after="120" w:line="240" w:lineRule="auto"/>
              <w:jc w:val="both"/>
              <w:rPr>
                <w:rFonts w:ascii="Times New Roman" w:hAnsi="Times New Roman"/>
              </w:rPr>
            </w:pPr>
            <w:r w:rsidRPr="007C0DA2">
              <w:rPr>
                <w:rFonts w:ascii="Times New Roman" w:hAnsi="Times New Roman"/>
              </w:rPr>
              <w:t>Totodată, menționăm că prin scrisoarea vizată a fost inițiată procedura de modificare și ajustare doar a Anexelor nr.1, nr.14, nr.20, nr.26 și nr.47.</w:t>
            </w:r>
          </w:p>
          <w:p w14:paraId="1082814D" w14:textId="6A781444" w:rsidR="00E111E4" w:rsidRPr="00B4581E" w:rsidRDefault="00E111E4" w:rsidP="00B4581E">
            <w:pPr>
              <w:spacing w:after="120" w:line="240" w:lineRule="auto"/>
              <w:jc w:val="both"/>
              <w:rPr>
                <w:rFonts w:ascii="Times New Roman" w:hAnsi="Times New Roman"/>
              </w:rPr>
            </w:pPr>
            <w:r w:rsidRPr="0088191B">
              <w:rPr>
                <w:rFonts w:ascii="Times New Roman" w:hAnsi="Times New Roman"/>
              </w:rPr>
              <w:t>În acest sens, în temeiul Procesului-verbal nr.34 al ședinței de lucru a membrilor Guvernului din 23 august 2024, subliniem necesitatea modificării și ajustării tuturor anexelor Hotărârii Guvernului nr.959/2018.</w:t>
            </w:r>
          </w:p>
        </w:tc>
        <w:tc>
          <w:tcPr>
            <w:tcW w:w="5135" w:type="dxa"/>
            <w:shd w:val="clear" w:color="auto" w:fill="auto"/>
          </w:tcPr>
          <w:p w14:paraId="759D0BF3" w14:textId="77777777" w:rsidR="00E111E4" w:rsidRPr="00B4581E" w:rsidRDefault="00E111E4" w:rsidP="0088191B">
            <w:pPr>
              <w:spacing w:after="0" w:line="240" w:lineRule="auto"/>
              <w:jc w:val="both"/>
              <w:rPr>
                <w:rFonts w:ascii="Times New Roman" w:hAnsi="Times New Roman"/>
                <w:b/>
                <w:bCs/>
                <w:sz w:val="23"/>
                <w:szCs w:val="23"/>
              </w:rPr>
            </w:pPr>
            <w:r w:rsidRPr="00B4581E">
              <w:rPr>
                <w:rFonts w:ascii="Times New Roman" w:hAnsi="Times New Roman"/>
                <w:b/>
                <w:bCs/>
                <w:sz w:val="23"/>
                <w:szCs w:val="23"/>
              </w:rPr>
              <w:t xml:space="preserve">Se acceptă </w:t>
            </w:r>
          </w:p>
          <w:p w14:paraId="57348881" w14:textId="77777777" w:rsidR="001F136E" w:rsidRDefault="001F136E" w:rsidP="00E35CD1">
            <w:pPr>
              <w:spacing w:after="0" w:line="240" w:lineRule="auto"/>
              <w:ind w:firstLine="42"/>
              <w:jc w:val="both"/>
              <w:rPr>
                <w:rFonts w:ascii="Times New Roman" w:hAnsi="Times New Roman"/>
                <w:i/>
                <w:iCs/>
                <w:sz w:val="23"/>
                <w:szCs w:val="23"/>
              </w:rPr>
            </w:pPr>
          </w:p>
          <w:p w14:paraId="79A7295B" w14:textId="6867C3A4" w:rsidR="00E111E4" w:rsidRPr="00B4581E" w:rsidRDefault="00E35CD1" w:rsidP="001F136E">
            <w:pPr>
              <w:spacing w:line="240" w:lineRule="auto"/>
              <w:ind w:firstLine="42"/>
              <w:jc w:val="both"/>
              <w:rPr>
                <w:rFonts w:ascii="Times New Roman" w:hAnsi="Times New Roman"/>
                <w:b/>
                <w:bCs/>
              </w:rPr>
            </w:pPr>
            <w:r>
              <w:rPr>
                <w:rFonts w:ascii="Times New Roman" w:hAnsi="Times New Roman"/>
                <w:i/>
                <w:iCs/>
                <w:sz w:val="23"/>
                <w:szCs w:val="23"/>
              </w:rPr>
              <w:t xml:space="preserve">Prin scrisoarea </w:t>
            </w:r>
            <w:r w:rsidRPr="00E35CD1">
              <w:rPr>
                <w:rFonts w:ascii="Times New Roman" w:hAnsi="Times New Roman"/>
                <w:i/>
                <w:iCs/>
                <w:sz w:val="23"/>
                <w:szCs w:val="23"/>
              </w:rPr>
              <w:t>nr.</w:t>
            </w:r>
            <w:r w:rsidRPr="00E35CD1">
              <w:rPr>
                <w:i/>
                <w:iCs/>
              </w:rPr>
              <w:t xml:space="preserve"> </w:t>
            </w:r>
            <w:r w:rsidRPr="00E35CD1">
              <w:rPr>
                <w:rFonts w:ascii="Times New Roman" w:hAnsi="Times New Roman"/>
                <w:i/>
                <w:iCs/>
                <w:sz w:val="23"/>
                <w:szCs w:val="23"/>
              </w:rPr>
              <w:t>DI/3/041/12918 din 9 decembrie 2024</w:t>
            </w:r>
            <w:r w:rsidRPr="00E35CD1">
              <w:rPr>
                <w:rFonts w:ascii="Times New Roman" w:hAnsi="Times New Roman"/>
                <w:i/>
                <w:iCs/>
                <w:sz w:val="23"/>
                <w:szCs w:val="23"/>
              </w:rPr>
              <w:t xml:space="preserve"> MAE a transmis </w:t>
            </w:r>
            <w:r w:rsidRPr="00E35CD1">
              <w:rPr>
                <w:rFonts w:ascii="Times New Roman" w:hAnsi="Times New Roman"/>
                <w:i/>
                <w:iCs/>
                <w:sz w:val="23"/>
                <w:szCs w:val="23"/>
              </w:rPr>
              <w:t>versiunea inițială a proiectelor unor anexe</w:t>
            </w:r>
            <w:r w:rsidRPr="00E35CD1">
              <w:rPr>
                <w:rFonts w:ascii="Times New Roman" w:hAnsi="Times New Roman"/>
                <w:i/>
                <w:iCs/>
                <w:sz w:val="23"/>
                <w:szCs w:val="23"/>
              </w:rPr>
              <w:t xml:space="preserve">. </w:t>
            </w:r>
            <w:r w:rsidR="001F136E" w:rsidRPr="00E35CD1">
              <w:rPr>
                <w:rFonts w:ascii="Times New Roman" w:hAnsi="Times New Roman"/>
                <w:i/>
                <w:iCs/>
                <w:sz w:val="23"/>
                <w:szCs w:val="23"/>
              </w:rPr>
              <w:t xml:space="preserve">Ținând cont de opinia CS </w:t>
            </w:r>
            <w:r w:rsidR="001F136E" w:rsidRPr="00E35CD1">
              <w:rPr>
                <w:rFonts w:ascii="Times New Roman" w:hAnsi="Times New Roman"/>
                <w:i/>
                <w:iCs/>
                <w:sz w:val="23"/>
                <w:szCs w:val="23"/>
              </w:rPr>
              <w:t>expusă prin scr. nr. 22-78-152 din 10 ianuarie</w:t>
            </w:r>
            <w:r w:rsidR="001F136E" w:rsidRPr="00E35CD1">
              <w:rPr>
                <w:rFonts w:ascii="Times New Roman" w:hAnsi="Times New Roman"/>
                <w:i/>
                <w:iCs/>
                <w:sz w:val="23"/>
                <w:szCs w:val="23"/>
              </w:rPr>
              <w:t xml:space="preserve"> 2025, în procesul de revizuire a prevederilor Hotărârii Guvernului nr. 959/2018 MAE va modifica și ajusta</w:t>
            </w:r>
            <w:r w:rsidR="001F136E">
              <w:rPr>
                <w:rFonts w:ascii="Times New Roman" w:hAnsi="Times New Roman"/>
                <w:i/>
                <w:iCs/>
                <w:sz w:val="23"/>
                <w:szCs w:val="23"/>
              </w:rPr>
              <w:t xml:space="preserve"> </w:t>
            </w:r>
            <w:r>
              <w:rPr>
                <w:rFonts w:ascii="Times New Roman" w:hAnsi="Times New Roman"/>
                <w:i/>
                <w:iCs/>
                <w:sz w:val="23"/>
                <w:szCs w:val="23"/>
              </w:rPr>
              <w:t xml:space="preserve">și alte </w:t>
            </w:r>
            <w:r w:rsidR="001F136E">
              <w:rPr>
                <w:rFonts w:ascii="Times New Roman" w:hAnsi="Times New Roman"/>
                <w:i/>
                <w:iCs/>
                <w:sz w:val="23"/>
                <w:szCs w:val="23"/>
              </w:rPr>
              <w:t>anexe</w:t>
            </w:r>
            <w:r>
              <w:rPr>
                <w:rFonts w:ascii="Times New Roman" w:hAnsi="Times New Roman"/>
                <w:i/>
                <w:iCs/>
                <w:sz w:val="23"/>
                <w:szCs w:val="23"/>
              </w:rPr>
              <w:t xml:space="preserve"> ale</w:t>
            </w:r>
            <w:r w:rsidR="001F136E">
              <w:rPr>
                <w:rFonts w:ascii="Times New Roman" w:hAnsi="Times New Roman"/>
                <w:i/>
                <w:iCs/>
                <w:sz w:val="23"/>
                <w:szCs w:val="23"/>
              </w:rPr>
              <w:t xml:space="preserve"> hotărârii menționate</w:t>
            </w:r>
            <w:r>
              <w:rPr>
                <w:rFonts w:ascii="Times New Roman" w:hAnsi="Times New Roman"/>
                <w:i/>
                <w:iCs/>
                <w:sz w:val="23"/>
                <w:szCs w:val="23"/>
              </w:rPr>
              <w:t>.</w:t>
            </w:r>
          </w:p>
        </w:tc>
      </w:tr>
      <w:tr w:rsidR="00B4581E" w:rsidRPr="009C21C1" w14:paraId="78B9D0AB" w14:textId="77777777" w:rsidTr="000C1BF9">
        <w:trPr>
          <w:trHeight w:val="274"/>
        </w:trPr>
        <w:tc>
          <w:tcPr>
            <w:tcW w:w="14174" w:type="dxa"/>
            <w:gridSpan w:val="4"/>
            <w:tcBorders>
              <w:top w:val="single" w:sz="4" w:space="0" w:color="auto"/>
              <w:bottom w:val="single" w:sz="4" w:space="0" w:color="auto"/>
            </w:tcBorders>
            <w:shd w:val="clear" w:color="auto" w:fill="auto"/>
          </w:tcPr>
          <w:p w14:paraId="2BE48472" w14:textId="77777777" w:rsidR="00B4581E" w:rsidRPr="00B4581E" w:rsidRDefault="00B4581E" w:rsidP="00B4581E">
            <w:pPr>
              <w:spacing w:line="240" w:lineRule="auto"/>
              <w:ind w:firstLine="42"/>
              <w:jc w:val="center"/>
              <w:rPr>
                <w:rFonts w:ascii="Times New Roman" w:hAnsi="Times New Roman"/>
              </w:rPr>
            </w:pPr>
            <w:r w:rsidRPr="00B4581E">
              <w:rPr>
                <w:rFonts w:ascii="Times New Roman" w:hAnsi="Times New Roman"/>
              </w:rPr>
              <w:t>Expertizare</w:t>
            </w:r>
          </w:p>
        </w:tc>
      </w:tr>
      <w:tr w:rsidR="00B4581E" w:rsidRPr="009C21C1" w14:paraId="6F784A9E" w14:textId="77777777" w:rsidTr="000C1BF9">
        <w:trPr>
          <w:trHeight w:val="274"/>
        </w:trPr>
        <w:tc>
          <w:tcPr>
            <w:tcW w:w="2517" w:type="dxa"/>
            <w:vMerge w:val="restart"/>
            <w:tcBorders>
              <w:top w:val="single" w:sz="4" w:space="0" w:color="auto"/>
            </w:tcBorders>
            <w:shd w:val="clear" w:color="auto" w:fill="auto"/>
          </w:tcPr>
          <w:p w14:paraId="0B87265D" w14:textId="77777777" w:rsidR="00B4581E" w:rsidRPr="009C21C1" w:rsidRDefault="00B4581E" w:rsidP="00B4581E">
            <w:pPr>
              <w:spacing w:after="0" w:line="240" w:lineRule="auto"/>
              <w:jc w:val="center"/>
              <w:rPr>
                <w:rFonts w:ascii="Times New Roman" w:hAnsi="Times New Roman"/>
              </w:rPr>
            </w:pPr>
            <w:r>
              <w:rPr>
                <w:rFonts w:ascii="Times New Roman" w:hAnsi="Times New Roman"/>
                <w:b/>
                <w:bCs/>
              </w:rPr>
              <w:t>Centrul Național Anticorupție</w:t>
            </w:r>
          </w:p>
          <w:p w14:paraId="5AD7632C" w14:textId="77777777" w:rsidR="00B4581E" w:rsidRPr="009C21C1" w:rsidRDefault="00B4581E" w:rsidP="00B4581E">
            <w:pPr>
              <w:spacing w:after="0" w:line="240" w:lineRule="auto"/>
              <w:jc w:val="center"/>
              <w:rPr>
                <w:rFonts w:ascii="Times New Roman" w:hAnsi="Times New Roman"/>
              </w:rPr>
            </w:pPr>
            <w:r w:rsidRPr="009C21C1">
              <w:rPr>
                <w:rFonts w:ascii="Times New Roman" w:hAnsi="Times New Roman"/>
              </w:rPr>
              <w:t>(</w:t>
            </w:r>
            <w:r>
              <w:rPr>
                <w:rFonts w:ascii="Times New Roman" w:hAnsi="Times New Roman"/>
              </w:rPr>
              <w:t xml:space="preserve">aviz </w:t>
            </w:r>
            <w:r w:rsidRPr="009C21C1">
              <w:rPr>
                <w:rFonts w:ascii="Times New Roman" w:hAnsi="Times New Roman"/>
              </w:rPr>
              <w:t xml:space="preserve">nr. </w:t>
            </w:r>
            <w:r>
              <w:rPr>
                <w:rFonts w:ascii="Times New Roman" w:hAnsi="Times New Roman"/>
              </w:rPr>
              <w:t>06/2/222</w:t>
            </w:r>
            <w:r w:rsidRPr="009C21C1">
              <w:rPr>
                <w:rFonts w:ascii="Times New Roman" w:hAnsi="Times New Roman"/>
              </w:rPr>
              <w:t xml:space="preserve"> </w:t>
            </w:r>
          </w:p>
          <w:p w14:paraId="14048154" w14:textId="77777777" w:rsidR="00B4581E" w:rsidRPr="009E7209" w:rsidRDefault="00B4581E" w:rsidP="00B4581E">
            <w:pPr>
              <w:spacing w:after="0" w:line="240" w:lineRule="auto"/>
              <w:jc w:val="center"/>
              <w:rPr>
                <w:rFonts w:ascii="Times New Roman" w:hAnsi="Times New Roman"/>
                <w:b/>
                <w:bCs/>
                <w:sz w:val="23"/>
                <w:szCs w:val="23"/>
              </w:rPr>
            </w:pPr>
            <w:r w:rsidRPr="009C21C1">
              <w:rPr>
                <w:rFonts w:ascii="Times New Roman" w:hAnsi="Times New Roman"/>
              </w:rPr>
              <w:t xml:space="preserve">din </w:t>
            </w:r>
            <w:r>
              <w:rPr>
                <w:rFonts w:ascii="Times New Roman" w:hAnsi="Times New Roman"/>
              </w:rPr>
              <w:t>9</w:t>
            </w:r>
            <w:r w:rsidRPr="009C21C1">
              <w:rPr>
                <w:rFonts w:ascii="Times New Roman" w:hAnsi="Times New Roman"/>
              </w:rPr>
              <w:t xml:space="preserve"> </w:t>
            </w:r>
            <w:r>
              <w:rPr>
                <w:rFonts w:ascii="Times New Roman" w:hAnsi="Times New Roman"/>
              </w:rPr>
              <w:t>ianuarie</w:t>
            </w:r>
            <w:r w:rsidRPr="009C21C1">
              <w:rPr>
                <w:rFonts w:ascii="Times New Roman" w:hAnsi="Times New Roman"/>
              </w:rPr>
              <w:t xml:space="preserve"> 202</w:t>
            </w:r>
            <w:r>
              <w:rPr>
                <w:rFonts w:ascii="Times New Roman" w:hAnsi="Times New Roman"/>
              </w:rPr>
              <w:t>5</w:t>
            </w:r>
            <w:r w:rsidRPr="009C21C1">
              <w:rPr>
                <w:rFonts w:ascii="Times New Roman" w:hAnsi="Times New Roman"/>
              </w:rPr>
              <w:t>)</w:t>
            </w:r>
          </w:p>
        </w:tc>
        <w:tc>
          <w:tcPr>
            <w:tcW w:w="710" w:type="dxa"/>
          </w:tcPr>
          <w:p w14:paraId="0BE22E0A" w14:textId="463FF290" w:rsidR="00B4581E" w:rsidRPr="009E7209" w:rsidRDefault="00B4581E" w:rsidP="00B4581E">
            <w:pPr>
              <w:spacing w:after="120" w:line="240" w:lineRule="auto"/>
              <w:jc w:val="both"/>
              <w:rPr>
                <w:rFonts w:ascii="Times New Roman" w:hAnsi="Times New Roman"/>
                <w:sz w:val="23"/>
                <w:szCs w:val="23"/>
              </w:rPr>
            </w:pPr>
            <w:r>
              <w:rPr>
                <w:rFonts w:ascii="Times New Roman" w:hAnsi="Times New Roman"/>
              </w:rPr>
              <w:t>1</w:t>
            </w:r>
            <w:r w:rsidR="00E111E4">
              <w:rPr>
                <w:rFonts w:ascii="Times New Roman" w:hAnsi="Times New Roman"/>
              </w:rPr>
              <w:t>1</w:t>
            </w:r>
            <w:r>
              <w:rPr>
                <w:rFonts w:ascii="Times New Roman" w:hAnsi="Times New Roman"/>
              </w:rPr>
              <w:t>.</w:t>
            </w:r>
          </w:p>
        </w:tc>
        <w:tc>
          <w:tcPr>
            <w:tcW w:w="5812" w:type="dxa"/>
            <w:shd w:val="clear" w:color="auto" w:fill="auto"/>
          </w:tcPr>
          <w:p w14:paraId="7F0CE3C9" w14:textId="77777777" w:rsidR="00B4581E" w:rsidRPr="00B4581E" w:rsidRDefault="00B4581E" w:rsidP="00B4581E">
            <w:pPr>
              <w:spacing w:after="120" w:line="240" w:lineRule="auto"/>
              <w:jc w:val="both"/>
              <w:rPr>
                <w:rFonts w:ascii="Times New Roman" w:hAnsi="Times New Roman"/>
              </w:rPr>
            </w:pPr>
            <w:r w:rsidRPr="00B4581E">
              <w:rPr>
                <w:rFonts w:ascii="Times New Roman" w:hAnsi="Times New Roman"/>
              </w:rPr>
              <w:t xml:space="preserve">În procesul de promovare a proiectului, au fost respectate rigorile de asigurare a transparenței decizionale statuate de prevederile art.8 lit. a)-d) al Legii nr. 239-XVI din 13 noiembrie 2008 privind transparența în procesul decizional. </w:t>
            </w:r>
          </w:p>
        </w:tc>
        <w:tc>
          <w:tcPr>
            <w:tcW w:w="5135" w:type="dxa"/>
            <w:shd w:val="clear" w:color="auto" w:fill="auto"/>
          </w:tcPr>
          <w:p w14:paraId="2C8B9207" w14:textId="77777777" w:rsidR="00B4581E" w:rsidRPr="00B4581E" w:rsidRDefault="00B4581E" w:rsidP="00B4581E">
            <w:pPr>
              <w:spacing w:after="0" w:line="240" w:lineRule="auto"/>
              <w:jc w:val="both"/>
              <w:rPr>
                <w:rFonts w:ascii="Times New Roman" w:hAnsi="Times New Roman"/>
                <w:b/>
                <w:bCs/>
                <w:sz w:val="23"/>
                <w:szCs w:val="23"/>
              </w:rPr>
            </w:pPr>
            <w:r w:rsidRPr="00B4581E">
              <w:rPr>
                <w:rFonts w:ascii="Times New Roman" w:hAnsi="Times New Roman"/>
                <w:b/>
                <w:bCs/>
                <w:sz w:val="23"/>
                <w:szCs w:val="23"/>
              </w:rPr>
              <w:t xml:space="preserve">Se acceptă </w:t>
            </w:r>
          </w:p>
          <w:p w14:paraId="016DE1B3" w14:textId="77777777" w:rsidR="00B4581E" w:rsidRPr="00B4581E" w:rsidRDefault="00B4581E" w:rsidP="00B4581E">
            <w:pPr>
              <w:spacing w:after="120" w:line="240" w:lineRule="auto"/>
              <w:jc w:val="both"/>
              <w:rPr>
                <w:rFonts w:ascii="Times New Roman" w:hAnsi="Times New Roman"/>
                <w:i/>
                <w:iCs/>
                <w:color w:val="FF0000"/>
              </w:rPr>
            </w:pPr>
            <w:r w:rsidRPr="00B4581E">
              <w:rPr>
                <w:rFonts w:ascii="Times New Roman" w:hAnsi="Times New Roman"/>
                <w:i/>
                <w:iCs/>
                <w:sz w:val="23"/>
                <w:szCs w:val="23"/>
              </w:rPr>
              <w:t>(nu necesită intervenție)</w:t>
            </w:r>
          </w:p>
        </w:tc>
      </w:tr>
      <w:tr w:rsidR="00B4581E" w:rsidRPr="009C21C1" w14:paraId="4517DECE" w14:textId="77777777" w:rsidTr="000C1BF9">
        <w:trPr>
          <w:trHeight w:val="274"/>
        </w:trPr>
        <w:tc>
          <w:tcPr>
            <w:tcW w:w="2517" w:type="dxa"/>
            <w:vMerge/>
            <w:shd w:val="clear" w:color="auto" w:fill="auto"/>
          </w:tcPr>
          <w:p w14:paraId="74D3913F" w14:textId="77777777" w:rsidR="00B4581E" w:rsidRDefault="00B4581E" w:rsidP="00B4581E">
            <w:pPr>
              <w:spacing w:after="0" w:line="240" w:lineRule="auto"/>
              <w:jc w:val="center"/>
              <w:rPr>
                <w:rFonts w:ascii="Times New Roman" w:hAnsi="Times New Roman"/>
                <w:b/>
                <w:bCs/>
              </w:rPr>
            </w:pPr>
          </w:p>
        </w:tc>
        <w:tc>
          <w:tcPr>
            <w:tcW w:w="710" w:type="dxa"/>
          </w:tcPr>
          <w:p w14:paraId="73782162" w14:textId="7C18A0BF" w:rsidR="00B4581E" w:rsidRDefault="00B4581E" w:rsidP="00B4581E">
            <w:pPr>
              <w:spacing w:after="120" w:line="240" w:lineRule="auto"/>
              <w:jc w:val="both"/>
              <w:rPr>
                <w:rFonts w:ascii="Times New Roman" w:hAnsi="Times New Roman"/>
              </w:rPr>
            </w:pPr>
            <w:r>
              <w:rPr>
                <w:rFonts w:ascii="Times New Roman" w:hAnsi="Times New Roman"/>
              </w:rPr>
              <w:t>1</w:t>
            </w:r>
            <w:r w:rsidR="00E111E4">
              <w:rPr>
                <w:rFonts w:ascii="Times New Roman" w:hAnsi="Times New Roman"/>
              </w:rPr>
              <w:t>2</w:t>
            </w:r>
            <w:r>
              <w:rPr>
                <w:rFonts w:ascii="Times New Roman" w:hAnsi="Times New Roman"/>
              </w:rPr>
              <w:t>.</w:t>
            </w:r>
          </w:p>
        </w:tc>
        <w:tc>
          <w:tcPr>
            <w:tcW w:w="5812" w:type="dxa"/>
            <w:shd w:val="clear" w:color="auto" w:fill="auto"/>
          </w:tcPr>
          <w:p w14:paraId="62A5A469" w14:textId="77777777" w:rsidR="00B4581E" w:rsidRPr="00B4581E" w:rsidRDefault="00B4581E" w:rsidP="00B4581E">
            <w:pPr>
              <w:spacing w:after="120" w:line="240" w:lineRule="auto"/>
              <w:jc w:val="both"/>
              <w:rPr>
                <w:rFonts w:ascii="Times New Roman" w:hAnsi="Times New Roman"/>
              </w:rPr>
            </w:pPr>
            <w:r w:rsidRPr="00B4581E">
              <w:rPr>
                <w:rFonts w:ascii="Times New Roman" w:hAnsi="Times New Roman"/>
              </w:rPr>
              <w:t>Nota informativă a proiectului a fost structurată, potrivit exigențelor de tehnică legislativă statuate de prevederile art.30 lit. a)-f) al Legii cu privire la actele normative nr.100 din 22 decembrie 2017.</w:t>
            </w:r>
          </w:p>
        </w:tc>
        <w:tc>
          <w:tcPr>
            <w:tcW w:w="5135" w:type="dxa"/>
            <w:shd w:val="clear" w:color="auto" w:fill="auto"/>
          </w:tcPr>
          <w:p w14:paraId="07A13B12" w14:textId="77777777" w:rsidR="00B4581E" w:rsidRPr="00B4581E" w:rsidRDefault="00B4581E" w:rsidP="00B4581E">
            <w:pPr>
              <w:spacing w:after="0" w:line="240" w:lineRule="auto"/>
              <w:jc w:val="both"/>
              <w:rPr>
                <w:rFonts w:ascii="Times New Roman" w:hAnsi="Times New Roman"/>
                <w:b/>
                <w:bCs/>
                <w:sz w:val="23"/>
                <w:szCs w:val="23"/>
              </w:rPr>
            </w:pPr>
            <w:r w:rsidRPr="00B4581E">
              <w:rPr>
                <w:rFonts w:ascii="Times New Roman" w:hAnsi="Times New Roman"/>
                <w:b/>
                <w:bCs/>
                <w:sz w:val="23"/>
                <w:szCs w:val="23"/>
              </w:rPr>
              <w:t xml:space="preserve">Se acceptă </w:t>
            </w:r>
          </w:p>
          <w:p w14:paraId="4F63DCBB" w14:textId="77777777" w:rsidR="00B4581E" w:rsidRPr="00B4581E" w:rsidRDefault="00B4581E" w:rsidP="00B4581E">
            <w:pPr>
              <w:spacing w:after="120" w:line="240" w:lineRule="auto"/>
              <w:jc w:val="both"/>
              <w:rPr>
                <w:rFonts w:ascii="Times New Roman" w:hAnsi="Times New Roman"/>
                <w:b/>
                <w:bCs/>
                <w:sz w:val="23"/>
                <w:szCs w:val="23"/>
              </w:rPr>
            </w:pPr>
            <w:r w:rsidRPr="00B4581E">
              <w:rPr>
                <w:rFonts w:ascii="Times New Roman" w:hAnsi="Times New Roman"/>
                <w:i/>
                <w:iCs/>
                <w:sz w:val="23"/>
                <w:szCs w:val="23"/>
              </w:rPr>
              <w:t>(nu necesită intervenție)</w:t>
            </w:r>
          </w:p>
        </w:tc>
      </w:tr>
      <w:tr w:rsidR="00B4581E" w:rsidRPr="009C21C1" w14:paraId="61B84998" w14:textId="77777777" w:rsidTr="000C1BF9">
        <w:trPr>
          <w:trHeight w:val="274"/>
        </w:trPr>
        <w:tc>
          <w:tcPr>
            <w:tcW w:w="2517" w:type="dxa"/>
            <w:vMerge/>
            <w:tcBorders>
              <w:bottom w:val="single" w:sz="4" w:space="0" w:color="auto"/>
            </w:tcBorders>
            <w:shd w:val="clear" w:color="auto" w:fill="auto"/>
          </w:tcPr>
          <w:p w14:paraId="3FCB5BC1" w14:textId="77777777" w:rsidR="00B4581E" w:rsidRDefault="00B4581E" w:rsidP="00B4581E">
            <w:pPr>
              <w:spacing w:after="0" w:line="240" w:lineRule="auto"/>
              <w:jc w:val="center"/>
              <w:rPr>
                <w:rFonts w:ascii="Times New Roman" w:hAnsi="Times New Roman"/>
                <w:b/>
                <w:bCs/>
              </w:rPr>
            </w:pPr>
          </w:p>
        </w:tc>
        <w:tc>
          <w:tcPr>
            <w:tcW w:w="710" w:type="dxa"/>
          </w:tcPr>
          <w:p w14:paraId="778BC98F" w14:textId="22608C0D" w:rsidR="00B4581E" w:rsidRDefault="00B4581E" w:rsidP="00B4581E">
            <w:pPr>
              <w:spacing w:after="120" w:line="240" w:lineRule="auto"/>
              <w:jc w:val="both"/>
              <w:rPr>
                <w:rFonts w:ascii="Times New Roman" w:hAnsi="Times New Roman"/>
              </w:rPr>
            </w:pPr>
            <w:r>
              <w:rPr>
                <w:rFonts w:ascii="Times New Roman" w:hAnsi="Times New Roman"/>
              </w:rPr>
              <w:t>1</w:t>
            </w:r>
            <w:r w:rsidR="00E111E4">
              <w:rPr>
                <w:rFonts w:ascii="Times New Roman" w:hAnsi="Times New Roman"/>
              </w:rPr>
              <w:t>3</w:t>
            </w:r>
            <w:r>
              <w:rPr>
                <w:rFonts w:ascii="Times New Roman" w:hAnsi="Times New Roman"/>
              </w:rPr>
              <w:t>.</w:t>
            </w:r>
          </w:p>
        </w:tc>
        <w:tc>
          <w:tcPr>
            <w:tcW w:w="5812" w:type="dxa"/>
            <w:shd w:val="clear" w:color="auto" w:fill="auto"/>
          </w:tcPr>
          <w:p w14:paraId="48C079F8" w14:textId="77777777" w:rsidR="00B4581E" w:rsidRPr="00B4581E" w:rsidRDefault="00B4581E" w:rsidP="00B4581E">
            <w:pPr>
              <w:spacing w:after="120" w:line="240" w:lineRule="auto"/>
              <w:jc w:val="both"/>
              <w:rPr>
                <w:rFonts w:ascii="Times New Roman" w:hAnsi="Times New Roman"/>
              </w:rPr>
            </w:pPr>
            <w:r w:rsidRPr="00B4581E">
              <w:rPr>
                <w:rFonts w:ascii="Times New Roman" w:hAnsi="Times New Roman"/>
              </w:rPr>
              <w:t>Implementarea prevederilor propuse, poate contribui la realizarea interesului public vizat de proiect, fapt care nu este detrimentul interesului public general (în sensul prevăzut de prevederile Legii integrității nr.82 din 25 mai 2017).</w:t>
            </w:r>
          </w:p>
        </w:tc>
        <w:tc>
          <w:tcPr>
            <w:tcW w:w="5135" w:type="dxa"/>
            <w:shd w:val="clear" w:color="auto" w:fill="auto"/>
          </w:tcPr>
          <w:p w14:paraId="1B140539" w14:textId="77777777" w:rsidR="00B4581E" w:rsidRPr="00B4581E" w:rsidRDefault="00B4581E" w:rsidP="00B4581E">
            <w:pPr>
              <w:spacing w:after="0" w:line="240" w:lineRule="auto"/>
              <w:jc w:val="both"/>
              <w:rPr>
                <w:rFonts w:ascii="Times New Roman" w:hAnsi="Times New Roman"/>
                <w:b/>
                <w:bCs/>
                <w:sz w:val="23"/>
                <w:szCs w:val="23"/>
              </w:rPr>
            </w:pPr>
            <w:r w:rsidRPr="00B4581E">
              <w:rPr>
                <w:rFonts w:ascii="Times New Roman" w:hAnsi="Times New Roman"/>
                <w:b/>
                <w:bCs/>
                <w:sz w:val="23"/>
                <w:szCs w:val="23"/>
              </w:rPr>
              <w:t xml:space="preserve">Se acceptă </w:t>
            </w:r>
          </w:p>
          <w:p w14:paraId="6A192549" w14:textId="77777777" w:rsidR="00B4581E" w:rsidRPr="00B4581E" w:rsidRDefault="00B4581E" w:rsidP="00B4581E">
            <w:pPr>
              <w:spacing w:after="120" w:line="240" w:lineRule="auto"/>
              <w:jc w:val="both"/>
              <w:rPr>
                <w:rFonts w:ascii="Times New Roman" w:hAnsi="Times New Roman"/>
                <w:b/>
                <w:bCs/>
                <w:sz w:val="23"/>
                <w:szCs w:val="23"/>
              </w:rPr>
            </w:pPr>
            <w:r w:rsidRPr="00B4581E">
              <w:rPr>
                <w:rFonts w:ascii="Times New Roman" w:hAnsi="Times New Roman"/>
                <w:i/>
                <w:iCs/>
                <w:sz w:val="23"/>
                <w:szCs w:val="23"/>
              </w:rPr>
              <w:t>(nu necesită intervenție)</w:t>
            </w:r>
          </w:p>
        </w:tc>
      </w:tr>
      <w:tr w:rsidR="00B73126" w:rsidRPr="009C21C1" w14:paraId="71F158BE" w14:textId="77777777" w:rsidTr="00575C0B">
        <w:trPr>
          <w:trHeight w:val="274"/>
        </w:trPr>
        <w:tc>
          <w:tcPr>
            <w:tcW w:w="2517" w:type="dxa"/>
            <w:vMerge w:val="restart"/>
            <w:tcBorders>
              <w:top w:val="single" w:sz="4" w:space="0" w:color="auto"/>
            </w:tcBorders>
            <w:shd w:val="clear" w:color="auto" w:fill="auto"/>
          </w:tcPr>
          <w:p w14:paraId="75EC3185" w14:textId="77777777" w:rsidR="00B73126" w:rsidRPr="009C21C1" w:rsidRDefault="00B73126" w:rsidP="00B4581E">
            <w:pPr>
              <w:spacing w:after="0" w:line="240" w:lineRule="auto"/>
              <w:jc w:val="center"/>
              <w:rPr>
                <w:rFonts w:ascii="Times New Roman" w:hAnsi="Times New Roman"/>
              </w:rPr>
            </w:pPr>
            <w:r>
              <w:rPr>
                <w:rFonts w:ascii="Times New Roman" w:hAnsi="Times New Roman"/>
                <w:b/>
                <w:bCs/>
              </w:rPr>
              <w:t>Ministerul Justiției</w:t>
            </w:r>
          </w:p>
          <w:p w14:paraId="0134AB57" w14:textId="77777777" w:rsidR="00B73126" w:rsidRPr="009C21C1" w:rsidRDefault="00B73126" w:rsidP="00B4581E">
            <w:pPr>
              <w:spacing w:after="0" w:line="240" w:lineRule="auto"/>
              <w:jc w:val="center"/>
              <w:rPr>
                <w:rFonts w:ascii="Times New Roman" w:hAnsi="Times New Roman"/>
              </w:rPr>
            </w:pPr>
            <w:r w:rsidRPr="009C21C1">
              <w:rPr>
                <w:rFonts w:ascii="Times New Roman" w:hAnsi="Times New Roman"/>
              </w:rPr>
              <w:t>(</w:t>
            </w:r>
            <w:r>
              <w:rPr>
                <w:rFonts w:ascii="Times New Roman" w:hAnsi="Times New Roman"/>
              </w:rPr>
              <w:t xml:space="preserve">aviz </w:t>
            </w:r>
            <w:r w:rsidRPr="009C21C1">
              <w:rPr>
                <w:rFonts w:ascii="Times New Roman" w:hAnsi="Times New Roman"/>
              </w:rPr>
              <w:t xml:space="preserve">nr. </w:t>
            </w:r>
            <w:r>
              <w:rPr>
                <w:rFonts w:ascii="Times New Roman" w:hAnsi="Times New Roman"/>
              </w:rPr>
              <w:t>04/1-354</w:t>
            </w:r>
            <w:r w:rsidRPr="009C21C1">
              <w:rPr>
                <w:rFonts w:ascii="Times New Roman" w:hAnsi="Times New Roman"/>
              </w:rPr>
              <w:t xml:space="preserve"> </w:t>
            </w:r>
          </w:p>
          <w:p w14:paraId="5C9DCAFF" w14:textId="77777777" w:rsidR="00B73126" w:rsidRPr="009E7209" w:rsidRDefault="00B73126" w:rsidP="00B4581E">
            <w:pPr>
              <w:spacing w:after="0" w:line="240" w:lineRule="auto"/>
              <w:jc w:val="center"/>
              <w:rPr>
                <w:rFonts w:ascii="Times New Roman" w:hAnsi="Times New Roman"/>
                <w:b/>
                <w:bCs/>
                <w:sz w:val="23"/>
                <w:szCs w:val="23"/>
              </w:rPr>
            </w:pPr>
            <w:r w:rsidRPr="009C21C1">
              <w:rPr>
                <w:rFonts w:ascii="Times New Roman" w:hAnsi="Times New Roman"/>
              </w:rPr>
              <w:lastRenderedPageBreak/>
              <w:t xml:space="preserve">din </w:t>
            </w:r>
            <w:r>
              <w:rPr>
                <w:rFonts w:ascii="Times New Roman" w:hAnsi="Times New Roman"/>
              </w:rPr>
              <w:t>13</w:t>
            </w:r>
            <w:r w:rsidRPr="009C21C1">
              <w:rPr>
                <w:rFonts w:ascii="Times New Roman" w:hAnsi="Times New Roman"/>
              </w:rPr>
              <w:t xml:space="preserve"> </w:t>
            </w:r>
            <w:r>
              <w:rPr>
                <w:rFonts w:ascii="Times New Roman" w:hAnsi="Times New Roman"/>
              </w:rPr>
              <w:t>ianuarie</w:t>
            </w:r>
            <w:r w:rsidRPr="009C21C1">
              <w:rPr>
                <w:rFonts w:ascii="Times New Roman" w:hAnsi="Times New Roman"/>
              </w:rPr>
              <w:t xml:space="preserve"> 202</w:t>
            </w:r>
            <w:r>
              <w:rPr>
                <w:rFonts w:ascii="Times New Roman" w:hAnsi="Times New Roman"/>
              </w:rPr>
              <w:t>5</w:t>
            </w:r>
            <w:r w:rsidRPr="009C21C1">
              <w:rPr>
                <w:rFonts w:ascii="Times New Roman" w:hAnsi="Times New Roman"/>
              </w:rPr>
              <w:t>)</w:t>
            </w:r>
          </w:p>
        </w:tc>
        <w:tc>
          <w:tcPr>
            <w:tcW w:w="710" w:type="dxa"/>
          </w:tcPr>
          <w:p w14:paraId="2C8180CA" w14:textId="5A959240" w:rsidR="00B73126" w:rsidRPr="009E7209" w:rsidRDefault="00B73126" w:rsidP="00B4581E">
            <w:pPr>
              <w:spacing w:after="120" w:line="240" w:lineRule="auto"/>
              <w:jc w:val="both"/>
              <w:rPr>
                <w:rFonts w:ascii="Times New Roman" w:hAnsi="Times New Roman"/>
                <w:sz w:val="23"/>
                <w:szCs w:val="23"/>
              </w:rPr>
            </w:pPr>
            <w:r>
              <w:rPr>
                <w:rFonts w:ascii="Times New Roman" w:hAnsi="Times New Roman"/>
                <w:sz w:val="23"/>
                <w:szCs w:val="23"/>
              </w:rPr>
              <w:lastRenderedPageBreak/>
              <w:t>1</w:t>
            </w:r>
            <w:r w:rsidR="00E111E4">
              <w:rPr>
                <w:rFonts w:ascii="Times New Roman" w:hAnsi="Times New Roman"/>
                <w:sz w:val="23"/>
                <w:szCs w:val="23"/>
              </w:rPr>
              <w:t>4</w:t>
            </w:r>
            <w:r>
              <w:rPr>
                <w:rFonts w:ascii="Times New Roman" w:hAnsi="Times New Roman"/>
                <w:sz w:val="23"/>
                <w:szCs w:val="23"/>
              </w:rPr>
              <w:t>.</w:t>
            </w:r>
          </w:p>
        </w:tc>
        <w:tc>
          <w:tcPr>
            <w:tcW w:w="5812" w:type="dxa"/>
            <w:shd w:val="clear" w:color="auto" w:fill="auto"/>
          </w:tcPr>
          <w:p w14:paraId="4A1CC82C" w14:textId="77777777" w:rsidR="00B73126" w:rsidRDefault="00B73126" w:rsidP="00B4581E">
            <w:pPr>
              <w:spacing w:after="120" w:line="240" w:lineRule="auto"/>
              <w:jc w:val="both"/>
              <w:rPr>
                <w:rFonts w:ascii="Times New Roman" w:hAnsi="Times New Roman"/>
              </w:rPr>
            </w:pPr>
            <w:r w:rsidRPr="00B73126">
              <w:rPr>
                <w:rFonts w:ascii="Times New Roman" w:hAnsi="Times New Roman"/>
              </w:rPr>
              <w:t xml:space="preserve">Cu referire la proiectul Hotărârii Guvernului cu privire la schimbarea clasei Consulatului Republicii Moldova în orașul </w:t>
            </w:r>
            <w:r w:rsidRPr="00B73126">
              <w:rPr>
                <w:rFonts w:ascii="Times New Roman" w:hAnsi="Times New Roman"/>
              </w:rPr>
              <w:lastRenderedPageBreak/>
              <w:t xml:space="preserve">Padova, Republica Italiană și modificarea unor hotărâri ale Guvernului (număr unic 1083/MAE/2024), comunicăm următoarele. </w:t>
            </w:r>
          </w:p>
          <w:p w14:paraId="7F3696C0" w14:textId="3EA13937" w:rsidR="00B73126" w:rsidRPr="00B4581E" w:rsidRDefault="00B73126" w:rsidP="00B4581E">
            <w:pPr>
              <w:spacing w:after="120" w:line="240" w:lineRule="auto"/>
              <w:jc w:val="both"/>
              <w:rPr>
                <w:rFonts w:ascii="Times New Roman" w:hAnsi="Times New Roman"/>
              </w:rPr>
            </w:pPr>
            <w:r w:rsidRPr="00B73126">
              <w:rPr>
                <w:rFonts w:ascii="Times New Roman" w:hAnsi="Times New Roman"/>
              </w:rPr>
              <w:t>Potrivit notei de fundamentare, proiectul hotărârii a fost elaborat în vederea implementării Planului Național de Dezvoltare pentru anii 2024-2026 (acțiunea nr. 74 Extinderea rețelei consulare) și (acțiunea nr. 76 Creșterea accesului la servicii consulare pentru cetățenii Republicii Moldova din străinătate), aprobat prin Hotărârea Guvernului nr. 1031/2023.</w:t>
            </w:r>
          </w:p>
        </w:tc>
        <w:tc>
          <w:tcPr>
            <w:tcW w:w="5135" w:type="dxa"/>
            <w:shd w:val="clear" w:color="auto" w:fill="auto"/>
          </w:tcPr>
          <w:p w14:paraId="6C424DFE" w14:textId="77777777" w:rsidR="00B73126" w:rsidRPr="00B4581E" w:rsidRDefault="00B73126" w:rsidP="00B4581E">
            <w:pPr>
              <w:spacing w:after="0" w:line="240" w:lineRule="auto"/>
              <w:jc w:val="both"/>
              <w:rPr>
                <w:rFonts w:ascii="Times New Roman" w:hAnsi="Times New Roman"/>
                <w:b/>
                <w:bCs/>
                <w:sz w:val="23"/>
                <w:szCs w:val="23"/>
              </w:rPr>
            </w:pPr>
            <w:r w:rsidRPr="00B4581E">
              <w:rPr>
                <w:rFonts w:ascii="Times New Roman" w:hAnsi="Times New Roman"/>
                <w:b/>
                <w:bCs/>
                <w:sz w:val="23"/>
                <w:szCs w:val="23"/>
              </w:rPr>
              <w:lastRenderedPageBreak/>
              <w:t xml:space="preserve">Se acceptă </w:t>
            </w:r>
          </w:p>
          <w:p w14:paraId="46B6E80F" w14:textId="77777777" w:rsidR="00B73126" w:rsidRPr="002D7AB1" w:rsidRDefault="00B73126" w:rsidP="00B4581E">
            <w:pPr>
              <w:spacing w:after="120" w:line="240" w:lineRule="auto"/>
              <w:jc w:val="both"/>
              <w:rPr>
                <w:rFonts w:ascii="Times New Roman" w:hAnsi="Times New Roman"/>
                <w:b/>
                <w:bCs/>
                <w:color w:val="FF0000"/>
              </w:rPr>
            </w:pPr>
            <w:r w:rsidRPr="00B4581E">
              <w:rPr>
                <w:rFonts w:ascii="Times New Roman" w:hAnsi="Times New Roman"/>
                <w:i/>
                <w:iCs/>
                <w:sz w:val="23"/>
                <w:szCs w:val="23"/>
              </w:rPr>
              <w:lastRenderedPageBreak/>
              <w:t>(nu necesită intervenție)</w:t>
            </w:r>
          </w:p>
        </w:tc>
      </w:tr>
      <w:tr w:rsidR="00B73126" w:rsidRPr="009C21C1" w14:paraId="34A304E7" w14:textId="77777777" w:rsidTr="00575C0B">
        <w:trPr>
          <w:trHeight w:val="274"/>
        </w:trPr>
        <w:tc>
          <w:tcPr>
            <w:tcW w:w="2517" w:type="dxa"/>
            <w:vMerge/>
            <w:tcBorders>
              <w:top w:val="single" w:sz="4" w:space="0" w:color="auto"/>
            </w:tcBorders>
            <w:shd w:val="clear" w:color="auto" w:fill="auto"/>
          </w:tcPr>
          <w:p w14:paraId="176C8344" w14:textId="77777777" w:rsidR="00B73126" w:rsidRDefault="00B73126" w:rsidP="00B4581E">
            <w:pPr>
              <w:spacing w:after="0" w:line="240" w:lineRule="auto"/>
              <w:jc w:val="center"/>
              <w:rPr>
                <w:rFonts w:ascii="Times New Roman" w:hAnsi="Times New Roman"/>
                <w:b/>
                <w:bCs/>
              </w:rPr>
            </w:pPr>
          </w:p>
        </w:tc>
        <w:tc>
          <w:tcPr>
            <w:tcW w:w="710" w:type="dxa"/>
          </w:tcPr>
          <w:p w14:paraId="38F475C9" w14:textId="444A8F98" w:rsidR="00B73126" w:rsidRDefault="00B73126" w:rsidP="00B4581E">
            <w:pPr>
              <w:spacing w:after="120" w:line="240" w:lineRule="auto"/>
              <w:jc w:val="both"/>
              <w:rPr>
                <w:rFonts w:ascii="Times New Roman" w:hAnsi="Times New Roman"/>
                <w:sz w:val="23"/>
                <w:szCs w:val="23"/>
              </w:rPr>
            </w:pPr>
            <w:r>
              <w:rPr>
                <w:rFonts w:ascii="Times New Roman" w:hAnsi="Times New Roman"/>
                <w:sz w:val="23"/>
                <w:szCs w:val="23"/>
              </w:rPr>
              <w:t>1</w:t>
            </w:r>
            <w:r w:rsidR="00E111E4">
              <w:rPr>
                <w:rFonts w:ascii="Times New Roman" w:hAnsi="Times New Roman"/>
                <w:sz w:val="23"/>
                <w:szCs w:val="23"/>
              </w:rPr>
              <w:t>5</w:t>
            </w:r>
            <w:r>
              <w:rPr>
                <w:rFonts w:ascii="Times New Roman" w:hAnsi="Times New Roman"/>
                <w:sz w:val="23"/>
                <w:szCs w:val="23"/>
              </w:rPr>
              <w:t>.</w:t>
            </w:r>
          </w:p>
        </w:tc>
        <w:tc>
          <w:tcPr>
            <w:tcW w:w="5812" w:type="dxa"/>
            <w:shd w:val="clear" w:color="auto" w:fill="auto"/>
          </w:tcPr>
          <w:p w14:paraId="7F48C288" w14:textId="77777777" w:rsidR="00B73126" w:rsidRDefault="00B73126" w:rsidP="00B4581E">
            <w:pPr>
              <w:spacing w:after="120" w:line="240" w:lineRule="auto"/>
              <w:jc w:val="both"/>
              <w:rPr>
                <w:rFonts w:ascii="Times New Roman" w:hAnsi="Times New Roman"/>
              </w:rPr>
            </w:pPr>
            <w:r w:rsidRPr="00B73126">
              <w:rPr>
                <w:rFonts w:ascii="Times New Roman" w:hAnsi="Times New Roman"/>
              </w:rPr>
              <w:t xml:space="preserve">Prin proiect se propune „modificarea clasei Consulatului Republicii Moldova cu sediul în orașul Padova, Republica Italiană, în Consulat General al Republicii Moldova în orașul Padova, Republica Italiană, urmare creșterii considerabile a numărului conaționalilor care s-au stabilit în circumscripția funcțională a consulatului de la Padova, precum și în proximitatea ei, deoarece Republica Italiană rămâne o destinație prioritară pentru migranţii moldoveni, determinată de o serie de motivații (posibilitatea de angajare în câmpul muncii, limba vorbită, reîntregirea familiei, studii, religie, politica migrațională flexibilă etc.)”. </w:t>
            </w:r>
          </w:p>
          <w:p w14:paraId="508BDB6A" w14:textId="77777777" w:rsidR="00B73126" w:rsidRDefault="00B73126" w:rsidP="00B4581E">
            <w:pPr>
              <w:spacing w:after="120" w:line="240" w:lineRule="auto"/>
              <w:jc w:val="both"/>
              <w:rPr>
                <w:rFonts w:ascii="Times New Roman" w:hAnsi="Times New Roman"/>
              </w:rPr>
            </w:pPr>
            <w:r w:rsidRPr="00B73126">
              <w:rPr>
                <w:rFonts w:ascii="Times New Roman" w:hAnsi="Times New Roman"/>
              </w:rPr>
              <w:t xml:space="preserve">Totodată, se propune: - modificarea denumirii Consulatului în Anexa nr. 4 la Hotărârea de Guvern nr. 697/2017 cu privire la organizarea și funcționarea Ministerului Afacerilor Externe și Integrării Europene; </w:t>
            </w:r>
          </w:p>
          <w:p w14:paraId="15576EB2" w14:textId="05425C30" w:rsidR="00B73126" w:rsidRPr="00B4581E" w:rsidRDefault="00B73126" w:rsidP="00B4581E">
            <w:pPr>
              <w:spacing w:after="120" w:line="240" w:lineRule="auto"/>
              <w:jc w:val="both"/>
              <w:rPr>
                <w:rFonts w:ascii="Times New Roman" w:hAnsi="Times New Roman"/>
              </w:rPr>
            </w:pPr>
            <w:r w:rsidRPr="00B73126">
              <w:rPr>
                <w:rFonts w:ascii="Times New Roman" w:hAnsi="Times New Roman"/>
              </w:rPr>
              <w:t xml:space="preserve">- modificarea Hotărârii Guvernului nr. 959/2018 cu privire la aprobarea Nomenclatorului funcțiilor și coeficienților de ierarhizare pentru stabilirea indemnizațiilor de funcție pentru personalul instituțiilor serviciului diplomatic al Republicii Moldova peste hotare, a bazei de calcul pentru stabilirea indemnizaţiilor de funcție, precum și a structurilor și efectivelor de personal ale acestora, ce vizează transferul funcțiilor de consul, viceconsul și specialist principal din </w:t>
            </w:r>
            <w:r w:rsidRPr="00B73126">
              <w:rPr>
                <w:rFonts w:ascii="Times New Roman" w:hAnsi="Times New Roman"/>
              </w:rPr>
              <w:lastRenderedPageBreak/>
              <w:t>serviciul financiar-administrativ din Consulatului General al Republicii Moldova în orașul Milano (Republica Italiană) în cadrul Consulatului General al Republicii Moldova în orașul Padova, Republica Italiană, cu suplinirea structurii cu postul de consul general.</w:t>
            </w:r>
          </w:p>
        </w:tc>
        <w:tc>
          <w:tcPr>
            <w:tcW w:w="5135" w:type="dxa"/>
            <w:shd w:val="clear" w:color="auto" w:fill="auto"/>
          </w:tcPr>
          <w:p w14:paraId="359E0D13" w14:textId="77777777" w:rsidR="00B73126" w:rsidRPr="00B4581E" w:rsidRDefault="00B73126" w:rsidP="00B73126">
            <w:pPr>
              <w:spacing w:after="0" w:line="240" w:lineRule="auto"/>
              <w:jc w:val="both"/>
              <w:rPr>
                <w:rFonts w:ascii="Times New Roman" w:hAnsi="Times New Roman"/>
                <w:b/>
                <w:bCs/>
                <w:sz w:val="23"/>
                <w:szCs w:val="23"/>
              </w:rPr>
            </w:pPr>
            <w:r w:rsidRPr="00B4581E">
              <w:rPr>
                <w:rFonts w:ascii="Times New Roman" w:hAnsi="Times New Roman"/>
                <w:b/>
                <w:bCs/>
                <w:sz w:val="23"/>
                <w:szCs w:val="23"/>
              </w:rPr>
              <w:lastRenderedPageBreak/>
              <w:t xml:space="preserve">Se acceptă </w:t>
            </w:r>
          </w:p>
          <w:p w14:paraId="563E71DD" w14:textId="0B6862C1" w:rsidR="00B73126" w:rsidRPr="00B4581E" w:rsidRDefault="00B73126" w:rsidP="00B73126">
            <w:pPr>
              <w:spacing w:after="0" w:line="240" w:lineRule="auto"/>
              <w:jc w:val="both"/>
              <w:rPr>
                <w:rFonts w:ascii="Times New Roman" w:hAnsi="Times New Roman"/>
                <w:b/>
                <w:bCs/>
                <w:sz w:val="23"/>
                <w:szCs w:val="23"/>
              </w:rPr>
            </w:pPr>
            <w:r w:rsidRPr="00B4581E">
              <w:rPr>
                <w:rFonts w:ascii="Times New Roman" w:hAnsi="Times New Roman"/>
                <w:i/>
                <w:iCs/>
                <w:sz w:val="23"/>
                <w:szCs w:val="23"/>
              </w:rPr>
              <w:t>(nu necesită intervenție)</w:t>
            </w:r>
          </w:p>
        </w:tc>
      </w:tr>
      <w:tr w:rsidR="00B73126" w:rsidRPr="009C21C1" w14:paraId="67B9072F" w14:textId="77777777" w:rsidTr="00575C0B">
        <w:trPr>
          <w:trHeight w:val="274"/>
        </w:trPr>
        <w:tc>
          <w:tcPr>
            <w:tcW w:w="2517" w:type="dxa"/>
            <w:vMerge/>
            <w:tcBorders>
              <w:top w:val="single" w:sz="4" w:space="0" w:color="auto"/>
            </w:tcBorders>
            <w:shd w:val="clear" w:color="auto" w:fill="auto"/>
          </w:tcPr>
          <w:p w14:paraId="6F253EB0" w14:textId="77777777" w:rsidR="00B73126" w:rsidRDefault="00B73126" w:rsidP="00B73126">
            <w:pPr>
              <w:spacing w:after="0" w:line="240" w:lineRule="auto"/>
              <w:jc w:val="center"/>
              <w:rPr>
                <w:rFonts w:ascii="Times New Roman" w:hAnsi="Times New Roman"/>
                <w:b/>
                <w:bCs/>
              </w:rPr>
            </w:pPr>
          </w:p>
        </w:tc>
        <w:tc>
          <w:tcPr>
            <w:tcW w:w="710" w:type="dxa"/>
          </w:tcPr>
          <w:p w14:paraId="02E2E851" w14:textId="1974729C" w:rsidR="00B73126" w:rsidRDefault="00B73126" w:rsidP="00B73126">
            <w:pPr>
              <w:spacing w:after="120" w:line="240" w:lineRule="auto"/>
              <w:jc w:val="both"/>
              <w:rPr>
                <w:rFonts w:ascii="Times New Roman" w:hAnsi="Times New Roman"/>
                <w:sz w:val="23"/>
                <w:szCs w:val="23"/>
              </w:rPr>
            </w:pPr>
            <w:r>
              <w:rPr>
                <w:rFonts w:ascii="Times New Roman" w:hAnsi="Times New Roman"/>
                <w:sz w:val="23"/>
                <w:szCs w:val="23"/>
              </w:rPr>
              <w:t>1</w:t>
            </w:r>
            <w:r w:rsidR="00E111E4">
              <w:rPr>
                <w:rFonts w:ascii="Times New Roman" w:hAnsi="Times New Roman"/>
                <w:sz w:val="23"/>
                <w:szCs w:val="23"/>
              </w:rPr>
              <w:t>6</w:t>
            </w:r>
            <w:r>
              <w:rPr>
                <w:rFonts w:ascii="Times New Roman" w:hAnsi="Times New Roman"/>
                <w:sz w:val="23"/>
                <w:szCs w:val="23"/>
              </w:rPr>
              <w:t>.</w:t>
            </w:r>
          </w:p>
        </w:tc>
        <w:tc>
          <w:tcPr>
            <w:tcW w:w="5812" w:type="dxa"/>
            <w:shd w:val="clear" w:color="auto" w:fill="auto"/>
          </w:tcPr>
          <w:p w14:paraId="55F72100" w14:textId="490C0DE6" w:rsidR="00B73126" w:rsidRPr="00B4581E" w:rsidRDefault="00B73126" w:rsidP="00B73126">
            <w:pPr>
              <w:spacing w:after="120" w:line="240" w:lineRule="auto"/>
              <w:jc w:val="both"/>
              <w:rPr>
                <w:rFonts w:ascii="Times New Roman" w:hAnsi="Times New Roman"/>
              </w:rPr>
            </w:pPr>
            <w:r w:rsidRPr="00B4581E">
              <w:rPr>
                <w:rFonts w:ascii="Times New Roman" w:hAnsi="Times New Roman"/>
              </w:rPr>
              <w:t>În context, urmare examinării proiectului, obiecții de ordin conceptual nu avem de formulat.</w:t>
            </w:r>
          </w:p>
        </w:tc>
        <w:tc>
          <w:tcPr>
            <w:tcW w:w="5135" w:type="dxa"/>
            <w:shd w:val="clear" w:color="auto" w:fill="auto"/>
          </w:tcPr>
          <w:p w14:paraId="6E7E05AC" w14:textId="77777777" w:rsidR="00B73126" w:rsidRPr="00B4581E" w:rsidRDefault="00B73126" w:rsidP="00B73126">
            <w:pPr>
              <w:spacing w:after="0" w:line="240" w:lineRule="auto"/>
              <w:jc w:val="both"/>
              <w:rPr>
                <w:rFonts w:ascii="Times New Roman" w:hAnsi="Times New Roman"/>
                <w:b/>
                <w:bCs/>
                <w:sz w:val="23"/>
                <w:szCs w:val="23"/>
              </w:rPr>
            </w:pPr>
            <w:r w:rsidRPr="00B4581E">
              <w:rPr>
                <w:rFonts w:ascii="Times New Roman" w:hAnsi="Times New Roman"/>
                <w:b/>
                <w:bCs/>
                <w:sz w:val="23"/>
                <w:szCs w:val="23"/>
              </w:rPr>
              <w:t xml:space="preserve">Se acceptă </w:t>
            </w:r>
          </w:p>
          <w:p w14:paraId="04B9D1FA" w14:textId="73AC7E82" w:rsidR="00B73126" w:rsidRPr="00B4581E" w:rsidRDefault="00B73126" w:rsidP="00B73126">
            <w:pPr>
              <w:spacing w:after="0" w:line="240" w:lineRule="auto"/>
              <w:jc w:val="both"/>
              <w:rPr>
                <w:rFonts w:ascii="Times New Roman" w:hAnsi="Times New Roman"/>
                <w:b/>
                <w:bCs/>
                <w:sz w:val="23"/>
                <w:szCs w:val="23"/>
              </w:rPr>
            </w:pPr>
            <w:r w:rsidRPr="00B4581E">
              <w:rPr>
                <w:rFonts w:ascii="Times New Roman" w:hAnsi="Times New Roman"/>
                <w:i/>
                <w:iCs/>
                <w:sz w:val="23"/>
                <w:szCs w:val="23"/>
              </w:rPr>
              <w:t>(nu necesită intervenție)</w:t>
            </w:r>
          </w:p>
        </w:tc>
      </w:tr>
      <w:tr w:rsidR="00B73126" w:rsidRPr="009C21C1" w14:paraId="48609DA6" w14:textId="77777777" w:rsidTr="00575C0B">
        <w:trPr>
          <w:trHeight w:val="274"/>
        </w:trPr>
        <w:tc>
          <w:tcPr>
            <w:tcW w:w="2517" w:type="dxa"/>
            <w:vMerge/>
            <w:shd w:val="clear" w:color="auto" w:fill="auto"/>
          </w:tcPr>
          <w:p w14:paraId="52E6744C" w14:textId="77777777" w:rsidR="00B73126" w:rsidRDefault="00B73126" w:rsidP="00B4581E">
            <w:pPr>
              <w:spacing w:after="0" w:line="240" w:lineRule="auto"/>
              <w:jc w:val="center"/>
              <w:rPr>
                <w:rFonts w:ascii="Times New Roman" w:hAnsi="Times New Roman"/>
                <w:b/>
                <w:bCs/>
              </w:rPr>
            </w:pPr>
          </w:p>
        </w:tc>
        <w:tc>
          <w:tcPr>
            <w:tcW w:w="710" w:type="dxa"/>
          </w:tcPr>
          <w:p w14:paraId="6E086A70" w14:textId="57862967" w:rsidR="00B73126" w:rsidRPr="00B4581E" w:rsidRDefault="00B73126" w:rsidP="00B4581E">
            <w:pPr>
              <w:spacing w:after="120" w:line="240" w:lineRule="auto"/>
              <w:jc w:val="both"/>
              <w:rPr>
                <w:rFonts w:ascii="Times New Roman" w:hAnsi="Times New Roman"/>
                <w:sz w:val="23"/>
                <w:szCs w:val="23"/>
              </w:rPr>
            </w:pPr>
            <w:r w:rsidRPr="00B4581E">
              <w:rPr>
                <w:rFonts w:ascii="Times New Roman" w:hAnsi="Times New Roman"/>
                <w:sz w:val="23"/>
                <w:szCs w:val="23"/>
              </w:rPr>
              <w:t>1</w:t>
            </w:r>
            <w:r w:rsidR="00E111E4">
              <w:rPr>
                <w:rFonts w:ascii="Times New Roman" w:hAnsi="Times New Roman"/>
                <w:sz w:val="23"/>
                <w:szCs w:val="23"/>
              </w:rPr>
              <w:t>7</w:t>
            </w:r>
            <w:r w:rsidRPr="00B4581E">
              <w:rPr>
                <w:rFonts w:ascii="Times New Roman" w:hAnsi="Times New Roman"/>
                <w:sz w:val="23"/>
                <w:szCs w:val="23"/>
              </w:rPr>
              <w:t>.</w:t>
            </w:r>
          </w:p>
        </w:tc>
        <w:tc>
          <w:tcPr>
            <w:tcW w:w="5812" w:type="dxa"/>
            <w:shd w:val="clear" w:color="auto" w:fill="auto"/>
          </w:tcPr>
          <w:p w14:paraId="53E83AEE" w14:textId="77777777" w:rsidR="00B73126" w:rsidRPr="00B4581E" w:rsidRDefault="00B73126" w:rsidP="00B4581E">
            <w:pPr>
              <w:spacing w:after="120" w:line="240" w:lineRule="auto"/>
              <w:jc w:val="both"/>
              <w:rPr>
                <w:rFonts w:ascii="Times New Roman" w:hAnsi="Times New Roman"/>
              </w:rPr>
            </w:pPr>
            <w:r w:rsidRPr="00B4581E">
              <w:rPr>
                <w:rFonts w:ascii="Times New Roman" w:hAnsi="Times New Roman"/>
              </w:rPr>
              <w:t xml:space="preserve">Totodată, aferent rigorilor tehnicii legislative, se va ține cont de următoarele aspecte: </w:t>
            </w:r>
          </w:p>
          <w:p w14:paraId="0F299A33" w14:textId="77777777" w:rsidR="00B73126" w:rsidRPr="00B4581E" w:rsidRDefault="00B73126" w:rsidP="00B4581E">
            <w:pPr>
              <w:spacing w:after="0" w:line="240" w:lineRule="auto"/>
              <w:jc w:val="both"/>
              <w:rPr>
                <w:rFonts w:ascii="Times New Roman" w:hAnsi="Times New Roman"/>
              </w:rPr>
            </w:pPr>
            <w:r w:rsidRPr="00B4581E">
              <w:rPr>
                <w:rFonts w:ascii="Times New Roman" w:hAnsi="Times New Roman"/>
              </w:rPr>
              <w:t>Potrivit art. 44 alin. (1) din Legea nr. 100/2017 cu privire la actele normative, clauza de adoptare a actului normativ poate conține, după caz, și temeiul legal de adoptare a actului normativ respectiv. În calitate de temei legal se indică doar prevederile legale ce stabilesc competența autorității să emită actul normativ respectiv, pornind de la limitele de reglementare prevăzute de obiectul juridic al actului normativ. Astfel, din clauza de adoptare se va omite referința la art. 7 lit. b) și o) din Legea nr. 136/2017 cu privire la Guvern.</w:t>
            </w:r>
          </w:p>
        </w:tc>
        <w:tc>
          <w:tcPr>
            <w:tcW w:w="5135" w:type="dxa"/>
            <w:shd w:val="clear" w:color="auto" w:fill="auto"/>
          </w:tcPr>
          <w:p w14:paraId="4A0D52EB" w14:textId="77777777" w:rsidR="00B73126" w:rsidRPr="00B4581E" w:rsidRDefault="00B73126" w:rsidP="00B4581E">
            <w:pPr>
              <w:spacing w:after="0" w:line="240" w:lineRule="auto"/>
              <w:jc w:val="both"/>
              <w:rPr>
                <w:rFonts w:ascii="Times New Roman" w:hAnsi="Times New Roman"/>
                <w:b/>
                <w:bCs/>
                <w:sz w:val="23"/>
                <w:szCs w:val="23"/>
              </w:rPr>
            </w:pPr>
            <w:r w:rsidRPr="00B4581E">
              <w:rPr>
                <w:rFonts w:ascii="Times New Roman" w:hAnsi="Times New Roman"/>
                <w:b/>
                <w:bCs/>
                <w:sz w:val="23"/>
                <w:szCs w:val="23"/>
              </w:rPr>
              <w:t xml:space="preserve">Se acceptă </w:t>
            </w:r>
          </w:p>
          <w:p w14:paraId="7C32EAA4" w14:textId="49BA6F8F" w:rsidR="00B73126" w:rsidRPr="002D7AB1" w:rsidRDefault="00B73126" w:rsidP="00B4581E">
            <w:pPr>
              <w:spacing w:after="120" w:line="240" w:lineRule="auto"/>
              <w:jc w:val="both"/>
              <w:rPr>
                <w:rFonts w:ascii="Times New Roman" w:hAnsi="Times New Roman"/>
                <w:b/>
                <w:bCs/>
                <w:color w:val="FF0000"/>
              </w:rPr>
            </w:pPr>
            <w:r w:rsidRPr="009E7209">
              <w:rPr>
                <w:rFonts w:ascii="Times New Roman" w:hAnsi="Times New Roman"/>
                <w:i/>
                <w:iCs/>
              </w:rPr>
              <w:t>(proiectul a fost ajustat)</w:t>
            </w:r>
          </w:p>
        </w:tc>
      </w:tr>
      <w:tr w:rsidR="00B73126" w:rsidRPr="009C21C1" w14:paraId="635EF8FE" w14:textId="77777777" w:rsidTr="00E95F86">
        <w:trPr>
          <w:trHeight w:val="274"/>
        </w:trPr>
        <w:tc>
          <w:tcPr>
            <w:tcW w:w="2517" w:type="dxa"/>
            <w:vMerge/>
            <w:shd w:val="clear" w:color="auto" w:fill="auto"/>
          </w:tcPr>
          <w:p w14:paraId="3D8CBDC0" w14:textId="77777777" w:rsidR="00B73126" w:rsidRDefault="00B73126" w:rsidP="00B4581E">
            <w:pPr>
              <w:spacing w:after="0" w:line="240" w:lineRule="auto"/>
              <w:jc w:val="both"/>
              <w:rPr>
                <w:rFonts w:ascii="Times New Roman" w:hAnsi="Times New Roman"/>
                <w:b/>
                <w:bCs/>
              </w:rPr>
            </w:pPr>
          </w:p>
        </w:tc>
        <w:tc>
          <w:tcPr>
            <w:tcW w:w="710" w:type="dxa"/>
          </w:tcPr>
          <w:p w14:paraId="5B583D6C" w14:textId="04CE14A2" w:rsidR="00B73126" w:rsidRDefault="00B73126" w:rsidP="00B4581E">
            <w:pPr>
              <w:spacing w:after="0" w:line="240" w:lineRule="auto"/>
              <w:jc w:val="both"/>
              <w:rPr>
                <w:rFonts w:ascii="Times New Roman" w:hAnsi="Times New Roman"/>
                <w:sz w:val="23"/>
                <w:szCs w:val="23"/>
              </w:rPr>
            </w:pPr>
            <w:r>
              <w:rPr>
                <w:rFonts w:ascii="Times New Roman" w:hAnsi="Times New Roman"/>
                <w:sz w:val="23"/>
                <w:szCs w:val="23"/>
              </w:rPr>
              <w:t>1</w:t>
            </w:r>
            <w:r w:rsidR="00E111E4">
              <w:rPr>
                <w:rFonts w:ascii="Times New Roman" w:hAnsi="Times New Roman"/>
                <w:sz w:val="23"/>
                <w:szCs w:val="23"/>
              </w:rPr>
              <w:t>8</w:t>
            </w:r>
            <w:r>
              <w:rPr>
                <w:rFonts w:ascii="Times New Roman" w:hAnsi="Times New Roman"/>
                <w:sz w:val="23"/>
                <w:szCs w:val="23"/>
              </w:rPr>
              <w:t>.</w:t>
            </w:r>
          </w:p>
        </w:tc>
        <w:tc>
          <w:tcPr>
            <w:tcW w:w="5812" w:type="dxa"/>
            <w:shd w:val="clear" w:color="auto" w:fill="auto"/>
          </w:tcPr>
          <w:p w14:paraId="63394DCC" w14:textId="77777777" w:rsidR="00B73126" w:rsidRPr="00B4581E" w:rsidRDefault="00B73126" w:rsidP="00B4581E">
            <w:pPr>
              <w:spacing w:after="0" w:line="240" w:lineRule="auto"/>
              <w:jc w:val="both"/>
              <w:rPr>
                <w:rFonts w:ascii="Times New Roman" w:hAnsi="Times New Roman"/>
              </w:rPr>
            </w:pPr>
            <w:r w:rsidRPr="00B4581E">
              <w:rPr>
                <w:rFonts w:ascii="Times New Roman" w:hAnsi="Times New Roman"/>
              </w:rPr>
              <w:t xml:space="preserve">La pct. 1 se va revizui textul „acordarea clasei I ” ținând cont de prevederile art. 6 alin. (5) din Legea nr. 761/2001 cu privire la serviciul diplomatic, potrivit cărora schimbarea clasei oficiilor consulare ale Republicii Moldova sunt inițiate de Ministerul Afacerilor Externe și Integrării Europene și aprobate de Guvern. </w:t>
            </w:r>
          </w:p>
        </w:tc>
        <w:tc>
          <w:tcPr>
            <w:tcW w:w="5135" w:type="dxa"/>
            <w:shd w:val="clear" w:color="auto" w:fill="auto"/>
          </w:tcPr>
          <w:p w14:paraId="286A64BA" w14:textId="77777777" w:rsidR="00B73126" w:rsidRPr="00B4581E" w:rsidRDefault="00B73126" w:rsidP="00B4581E">
            <w:pPr>
              <w:spacing w:after="0" w:line="240" w:lineRule="auto"/>
              <w:jc w:val="both"/>
              <w:rPr>
                <w:rFonts w:ascii="Times New Roman" w:hAnsi="Times New Roman"/>
                <w:b/>
                <w:bCs/>
                <w:sz w:val="23"/>
                <w:szCs w:val="23"/>
              </w:rPr>
            </w:pPr>
            <w:r w:rsidRPr="00B4581E">
              <w:rPr>
                <w:rFonts w:ascii="Times New Roman" w:hAnsi="Times New Roman"/>
                <w:b/>
                <w:bCs/>
                <w:sz w:val="23"/>
                <w:szCs w:val="23"/>
              </w:rPr>
              <w:t xml:space="preserve">Se acceptă </w:t>
            </w:r>
          </w:p>
          <w:p w14:paraId="14A6F057" w14:textId="6843091C" w:rsidR="00B73126" w:rsidRPr="002D7AB1" w:rsidRDefault="00B73126" w:rsidP="00B4581E">
            <w:pPr>
              <w:spacing w:after="0" w:line="240" w:lineRule="auto"/>
              <w:jc w:val="both"/>
              <w:rPr>
                <w:rFonts w:ascii="Times New Roman" w:hAnsi="Times New Roman"/>
                <w:b/>
                <w:bCs/>
                <w:color w:val="FF0000"/>
              </w:rPr>
            </w:pPr>
            <w:r w:rsidRPr="009E7209">
              <w:rPr>
                <w:rFonts w:ascii="Times New Roman" w:hAnsi="Times New Roman"/>
                <w:i/>
                <w:iCs/>
              </w:rPr>
              <w:t>(proiectul a fost ajustat)</w:t>
            </w:r>
          </w:p>
        </w:tc>
      </w:tr>
      <w:tr w:rsidR="00B73126" w:rsidRPr="009C21C1" w14:paraId="5A8597DB" w14:textId="77777777" w:rsidTr="00E95F86">
        <w:trPr>
          <w:trHeight w:val="274"/>
        </w:trPr>
        <w:tc>
          <w:tcPr>
            <w:tcW w:w="2517" w:type="dxa"/>
            <w:vMerge/>
            <w:shd w:val="clear" w:color="auto" w:fill="auto"/>
          </w:tcPr>
          <w:p w14:paraId="4D831BBD" w14:textId="77777777" w:rsidR="00B73126" w:rsidRDefault="00B73126" w:rsidP="00B4581E">
            <w:pPr>
              <w:spacing w:after="0" w:line="240" w:lineRule="auto"/>
              <w:jc w:val="both"/>
              <w:rPr>
                <w:rFonts w:ascii="Times New Roman" w:hAnsi="Times New Roman"/>
                <w:b/>
                <w:bCs/>
              </w:rPr>
            </w:pPr>
          </w:p>
        </w:tc>
        <w:tc>
          <w:tcPr>
            <w:tcW w:w="710" w:type="dxa"/>
          </w:tcPr>
          <w:p w14:paraId="39CBF7FA" w14:textId="7ABE8531" w:rsidR="00B73126" w:rsidRDefault="00E111E4" w:rsidP="00B4581E">
            <w:pPr>
              <w:spacing w:after="0" w:line="240" w:lineRule="auto"/>
              <w:jc w:val="both"/>
              <w:rPr>
                <w:rFonts w:ascii="Times New Roman" w:hAnsi="Times New Roman"/>
                <w:sz w:val="23"/>
                <w:szCs w:val="23"/>
              </w:rPr>
            </w:pPr>
            <w:r>
              <w:rPr>
                <w:rFonts w:ascii="Times New Roman" w:hAnsi="Times New Roman"/>
                <w:sz w:val="23"/>
                <w:szCs w:val="23"/>
              </w:rPr>
              <w:t>19</w:t>
            </w:r>
            <w:r w:rsidR="00B73126">
              <w:rPr>
                <w:rFonts w:ascii="Times New Roman" w:hAnsi="Times New Roman"/>
                <w:sz w:val="23"/>
                <w:szCs w:val="23"/>
              </w:rPr>
              <w:t>.</w:t>
            </w:r>
          </w:p>
        </w:tc>
        <w:tc>
          <w:tcPr>
            <w:tcW w:w="5812" w:type="dxa"/>
            <w:shd w:val="clear" w:color="auto" w:fill="auto"/>
          </w:tcPr>
          <w:p w14:paraId="60F51540" w14:textId="77777777" w:rsidR="00B73126" w:rsidRPr="00E111E4" w:rsidRDefault="00B73126" w:rsidP="00B4581E">
            <w:pPr>
              <w:spacing w:after="0" w:line="240" w:lineRule="auto"/>
              <w:jc w:val="both"/>
              <w:rPr>
                <w:rFonts w:ascii="Times New Roman" w:hAnsi="Times New Roman"/>
                <w:color w:val="000000" w:themeColor="text1"/>
              </w:rPr>
            </w:pPr>
            <w:r w:rsidRPr="00E111E4">
              <w:rPr>
                <w:rFonts w:ascii="Times New Roman" w:hAnsi="Times New Roman"/>
                <w:color w:val="000000" w:themeColor="text1"/>
              </w:rPr>
              <w:t xml:space="preserve">La sbp. 2.1-2.3, pct. 1 și 2 din Hotărârea Guvernului nr. 945/2013 cu privire la deschiderea Consulatului Republicii Moldova în orașul Padova, Republica Italiană, supuse modificărilor, cuprind norme juridice consumate a căror acțiune a încetat odată cu executarea dispozițiilor prevăzute la pct. 1 și 2 din hotărârea nominalizată. Respectiv, amendarea acestora se consideră a fi inoportună. </w:t>
            </w:r>
          </w:p>
        </w:tc>
        <w:tc>
          <w:tcPr>
            <w:tcW w:w="5135" w:type="dxa"/>
            <w:shd w:val="clear" w:color="auto" w:fill="auto"/>
          </w:tcPr>
          <w:p w14:paraId="353D1383" w14:textId="2EF546C8" w:rsidR="00B73126" w:rsidRPr="00E111E4" w:rsidRDefault="00B73126" w:rsidP="00B4581E">
            <w:pPr>
              <w:spacing w:after="0" w:line="240" w:lineRule="auto"/>
              <w:jc w:val="both"/>
              <w:rPr>
                <w:rFonts w:ascii="Times New Roman" w:hAnsi="Times New Roman"/>
                <w:b/>
                <w:bCs/>
                <w:color w:val="000000" w:themeColor="text1"/>
                <w:sz w:val="23"/>
                <w:szCs w:val="23"/>
              </w:rPr>
            </w:pPr>
            <w:r w:rsidRPr="00E111E4">
              <w:rPr>
                <w:rFonts w:ascii="Times New Roman" w:hAnsi="Times New Roman"/>
                <w:b/>
                <w:bCs/>
                <w:color w:val="000000" w:themeColor="text1"/>
                <w:sz w:val="23"/>
                <w:szCs w:val="23"/>
              </w:rPr>
              <w:t xml:space="preserve">Se acceptă </w:t>
            </w:r>
            <w:r w:rsidR="00E111E4" w:rsidRPr="00E111E4">
              <w:rPr>
                <w:rFonts w:ascii="Times New Roman" w:hAnsi="Times New Roman"/>
                <w:b/>
                <w:bCs/>
                <w:color w:val="000000" w:themeColor="text1"/>
                <w:sz w:val="23"/>
                <w:szCs w:val="23"/>
              </w:rPr>
              <w:t>parțial</w:t>
            </w:r>
          </w:p>
          <w:p w14:paraId="3C36AC33" w14:textId="77777777" w:rsidR="0097161A" w:rsidRDefault="0097161A" w:rsidP="00B4581E">
            <w:pPr>
              <w:spacing w:after="0" w:line="240" w:lineRule="auto"/>
              <w:jc w:val="both"/>
              <w:rPr>
                <w:rFonts w:ascii="Times New Roman" w:hAnsi="Times New Roman"/>
                <w:i/>
                <w:iCs/>
                <w:color w:val="000000" w:themeColor="text1"/>
              </w:rPr>
            </w:pPr>
          </w:p>
          <w:p w14:paraId="03226B93" w14:textId="1878EE02" w:rsidR="00B73126" w:rsidRPr="00E111E4" w:rsidRDefault="00B73126" w:rsidP="00B4581E">
            <w:pPr>
              <w:spacing w:after="0" w:line="240" w:lineRule="auto"/>
              <w:jc w:val="both"/>
              <w:rPr>
                <w:rFonts w:ascii="Times New Roman" w:hAnsi="Times New Roman"/>
                <w:i/>
                <w:iCs/>
                <w:color w:val="000000" w:themeColor="text1"/>
              </w:rPr>
            </w:pPr>
            <w:r w:rsidRPr="00E111E4">
              <w:rPr>
                <w:rFonts w:ascii="Times New Roman" w:hAnsi="Times New Roman"/>
                <w:i/>
                <w:iCs/>
                <w:color w:val="000000" w:themeColor="text1"/>
              </w:rPr>
              <w:t xml:space="preserve">HG nr. 945/2013 urmează să </w:t>
            </w:r>
            <w:r w:rsidR="00E111E4" w:rsidRPr="00E111E4">
              <w:rPr>
                <w:rFonts w:ascii="Times New Roman" w:hAnsi="Times New Roman"/>
                <w:i/>
                <w:iCs/>
                <w:color w:val="000000" w:themeColor="text1"/>
              </w:rPr>
              <w:t xml:space="preserve">continue să </w:t>
            </w:r>
            <w:r w:rsidRPr="00E111E4">
              <w:rPr>
                <w:rFonts w:ascii="Times New Roman" w:hAnsi="Times New Roman"/>
                <w:i/>
                <w:iCs/>
                <w:color w:val="000000" w:themeColor="text1"/>
              </w:rPr>
              <w:t xml:space="preserve">reglementeze </w:t>
            </w:r>
            <w:r w:rsidR="00E111E4" w:rsidRPr="00E111E4">
              <w:rPr>
                <w:rFonts w:ascii="Times New Roman" w:hAnsi="Times New Roman"/>
                <w:i/>
                <w:iCs/>
                <w:color w:val="000000" w:themeColor="text1"/>
              </w:rPr>
              <w:t>funcționalitatea</w:t>
            </w:r>
            <w:r w:rsidRPr="00E111E4">
              <w:rPr>
                <w:rFonts w:ascii="Times New Roman" w:hAnsi="Times New Roman"/>
                <w:i/>
                <w:iCs/>
                <w:color w:val="000000" w:themeColor="text1"/>
              </w:rPr>
              <w:t xml:space="preserve"> oficiului consular din orașul Padova, Republica Italiană, </w:t>
            </w:r>
            <w:r w:rsidR="00E111E4" w:rsidRPr="00E111E4">
              <w:rPr>
                <w:rFonts w:ascii="Times New Roman" w:hAnsi="Times New Roman"/>
                <w:i/>
                <w:iCs/>
                <w:color w:val="000000" w:themeColor="text1"/>
              </w:rPr>
              <w:t xml:space="preserve">chiar și urmare </w:t>
            </w:r>
            <w:r w:rsidRPr="00E111E4">
              <w:rPr>
                <w:rFonts w:ascii="Times New Roman" w:hAnsi="Times New Roman"/>
                <w:i/>
                <w:iCs/>
                <w:color w:val="000000" w:themeColor="text1"/>
              </w:rPr>
              <w:t>schimb</w:t>
            </w:r>
            <w:r w:rsidR="00E111E4" w:rsidRPr="00E111E4">
              <w:rPr>
                <w:rFonts w:ascii="Times New Roman" w:hAnsi="Times New Roman"/>
                <w:i/>
                <w:iCs/>
                <w:color w:val="000000" w:themeColor="text1"/>
              </w:rPr>
              <w:t>ării</w:t>
            </w:r>
            <w:r w:rsidRPr="00E111E4">
              <w:rPr>
                <w:rFonts w:ascii="Times New Roman" w:hAnsi="Times New Roman"/>
                <w:i/>
                <w:iCs/>
                <w:color w:val="000000" w:themeColor="text1"/>
              </w:rPr>
              <w:t xml:space="preserve"> clas</w:t>
            </w:r>
            <w:r w:rsidR="00E111E4" w:rsidRPr="00E111E4">
              <w:rPr>
                <w:rFonts w:ascii="Times New Roman" w:hAnsi="Times New Roman"/>
                <w:i/>
                <w:iCs/>
                <w:color w:val="000000" w:themeColor="text1"/>
              </w:rPr>
              <w:t>ei</w:t>
            </w:r>
            <w:r w:rsidRPr="00E111E4">
              <w:rPr>
                <w:rFonts w:ascii="Times New Roman" w:hAnsi="Times New Roman"/>
                <w:i/>
                <w:iCs/>
                <w:color w:val="000000" w:themeColor="text1"/>
              </w:rPr>
              <w:t xml:space="preserve"> în Consulat General</w:t>
            </w:r>
            <w:r w:rsidR="00E111E4" w:rsidRPr="00E111E4">
              <w:rPr>
                <w:rFonts w:ascii="Times New Roman" w:hAnsi="Times New Roman"/>
                <w:i/>
                <w:iCs/>
                <w:color w:val="000000" w:themeColor="text1"/>
              </w:rPr>
              <w:t xml:space="preserve">. Drept urmare, </w:t>
            </w:r>
            <w:r w:rsidR="00E111E4" w:rsidRPr="00E111E4">
              <w:rPr>
                <w:rFonts w:ascii="Times New Roman" w:hAnsi="Times New Roman"/>
                <w:i/>
                <w:iCs/>
                <w:color w:val="000000" w:themeColor="text1"/>
              </w:rPr>
              <w:t>întru respectarea principiului coerenței actelor normative</w:t>
            </w:r>
            <w:r w:rsidR="00E111E4" w:rsidRPr="00E111E4">
              <w:rPr>
                <w:rFonts w:ascii="Times New Roman" w:hAnsi="Times New Roman"/>
                <w:i/>
                <w:iCs/>
                <w:color w:val="000000" w:themeColor="text1"/>
              </w:rPr>
              <w:t>, statutul Consulatului se va ajusta din data modificării HG nr. 945/2013, prin prisma</w:t>
            </w:r>
            <w:r w:rsidRPr="00E111E4">
              <w:rPr>
                <w:rFonts w:ascii="Times New Roman" w:hAnsi="Times New Roman"/>
                <w:i/>
                <w:iCs/>
                <w:color w:val="000000" w:themeColor="text1"/>
              </w:rPr>
              <w:t xml:space="preserve"> art. 4</w:t>
            </w:r>
            <w:r w:rsidR="00E111E4">
              <w:rPr>
                <w:rFonts w:ascii="Times New Roman" w:hAnsi="Times New Roman"/>
                <w:i/>
                <w:iCs/>
                <w:color w:val="000000" w:themeColor="text1"/>
              </w:rPr>
              <w:t>2</w:t>
            </w:r>
            <w:r w:rsidR="00E111E4" w:rsidRPr="00E111E4">
              <w:rPr>
                <w:rFonts w:ascii="Times New Roman" w:hAnsi="Times New Roman"/>
                <w:i/>
                <w:iCs/>
                <w:color w:val="000000" w:themeColor="text1"/>
              </w:rPr>
              <w:t>, alin. 2</w:t>
            </w:r>
            <w:r w:rsidRPr="00E111E4">
              <w:rPr>
                <w:rFonts w:ascii="Times New Roman" w:hAnsi="Times New Roman"/>
                <w:i/>
                <w:iCs/>
                <w:color w:val="000000" w:themeColor="text1"/>
              </w:rPr>
              <w:t xml:space="preserve"> al Legii </w:t>
            </w:r>
            <w:r w:rsidRPr="00E111E4">
              <w:rPr>
                <w:rFonts w:ascii="Times New Roman" w:hAnsi="Times New Roman"/>
                <w:i/>
                <w:iCs/>
                <w:color w:val="000000" w:themeColor="text1"/>
              </w:rPr>
              <w:lastRenderedPageBreak/>
              <w:t xml:space="preserve">100/2017, </w:t>
            </w:r>
            <w:r w:rsidR="00E111E4" w:rsidRPr="00E111E4">
              <w:rPr>
                <w:rFonts w:ascii="Times New Roman" w:hAnsi="Times New Roman"/>
                <w:i/>
                <w:iCs/>
                <w:color w:val="000000" w:themeColor="text1"/>
              </w:rPr>
              <w:t>potrivit căruia:</w:t>
            </w:r>
            <w:r w:rsidRPr="00E111E4">
              <w:rPr>
                <w:rFonts w:ascii="Times New Roman" w:hAnsi="Times New Roman"/>
                <w:i/>
                <w:iCs/>
                <w:color w:val="000000" w:themeColor="text1"/>
              </w:rPr>
              <w:t xml:space="preserve"> „Denumirea actului normativ trebuie să fie laconică și să exprime cu claritate obiectul reglementării.”</w:t>
            </w:r>
          </w:p>
        </w:tc>
      </w:tr>
      <w:tr w:rsidR="00B73126" w:rsidRPr="009C21C1" w14:paraId="62DD3B37" w14:textId="77777777" w:rsidTr="00E95F86">
        <w:trPr>
          <w:trHeight w:val="274"/>
        </w:trPr>
        <w:tc>
          <w:tcPr>
            <w:tcW w:w="2517" w:type="dxa"/>
            <w:vMerge/>
            <w:shd w:val="clear" w:color="auto" w:fill="auto"/>
          </w:tcPr>
          <w:p w14:paraId="521F81E7" w14:textId="77777777" w:rsidR="00B73126" w:rsidRDefault="00B73126" w:rsidP="00B4581E">
            <w:pPr>
              <w:spacing w:after="0" w:line="240" w:lineRule="auto"/>
              <w:jc w:val="both"/>
              <w:rPr>
                <w:rFonts w:ascii="Times New Roman" w:hAnsi="Times New Roman"/>
                <w:b/>
                <w:bCs/>
              </w:rPr>
            </w:pPr>
          </w:p>
        </w:tc>
        <w:tc>
          <w:tcPr>
            <w:tcW w:w="710" w:type="dxa"/>
          </w:tcPr>
          <w:p w14:paraId="1DC7677E" w14:textId="3754339D" w:rsidR="00B73126" w:rsidRDefault="00B73126" w:rsidP="00B4581E">
            <w:pPr>
              <w:spacing w:after="0" w:line="240" w:lineRule="auto"/>
              <w:jc w:val="both"/>
              <w:rPr>
                <w:rFonts w:ascii="Times New Roman" w:hAnsi="Times New Roman"/>
                <w:sz w:val="23"/>
                <w:szCs w:val="23"/>
              </w:rPr>
            </w:pPr>
            <w:r>
              <w:rPr>
                <w:rFonts w:ascii="Times New Roman" w:hAnsi="Times New Roman"/>
                <w:sz w:val="23"/>
                <w:szCs w:val="23"/>
              </w:rPr>
              <w:t>2</w:t>
            </w:r>
            <w:r w:rsidR="00E111E4">
              <w:rPr>
                <w:rFonts w:ascii="Times New Roman" w:hAnsi="Times New Roman"/>
                <w:sz w:val="23"/>
                <w:szCs w:val="23"/>
              </w:rPr>
              <w:t>0</w:t>
            </w:r>
            <w:r>
              <w:rPr>
                <w:rFonts w:ascii="Times New Roman" w:hAnsi="Times New Roman"/>
                <w:sz w:val="23"/>
                <w:szCs w:val="23"/>
              </w:rPr>
              <w:t>.</w:t>
            </w:r>
          </w:p>
        </w:tc>
        <w:tc>
          <w:tcPr>
            <w:tcW w:w="5812" w:type="dxa"/>
            <w:shd w:val="clear" w:color="auto" w:fill="auto"/>
          </w:tcPr>
          <w:p w14:paraId="05DA07D2" w14:textId="77777777" w:rsidR="00B73126" w:rsidRPr="00B4581E" w:rsidRDefault="00B73126" w:rsidP="00B4581E">
            <w:pPr>
              <w:spacing w:after="0" w:line="240" w:lineRule="auto"/>
              <w:jc w:val="both"/>
              <w:rPr>
                <w:rFonts w:ascii="Times New Roman" w:hAnsi="Times New Roman"/>
              </w:rPr>
            </w:pPr>
            <w:r w:rsidRPr="00B4581E">
              <w:rPr>
                <w:rFonts w:ascii="Times New Roman" w:hAnsi="Times New Roman"/>
              </w:rPr>
              <w:t xml:space="preserve">La pct. 3 cuvintele „la final” urmează a fi excluse ca fiind excedente. </w:t>
            </w:r>
          </w:p>
        </w:tc>
        <w:tc>
          <w:tcPr>
            <w:tcW w:w="5135" w:type="dxa"/>
            <w:shd w:val="clear" w:color="auto" w:fill="auto"/>
          </w:tcPr>
          <w:p w14:paraId="186ABBDD" w14:textId="77777777" w:rsidR="00B73126" w:rsidRPr="00E111E4" w:rsidRDefault="00B73126" w:rsidP="00B4581E">
            <w:pPr>
              <w:spacing w:after="0" w:line="240" w:lineRule="auto"/>
              <w:jc w:val="both"/>
              <w:rPr>
                <w:rFonts w:ascii="Times New Roman" w:hAnsi="Times New Roman"/>
                <w:b/>
                <w:bCs/>
                <w:i/>
                <w:iCs/>
                <w:color w:val="000000" w:themeColor="text1"/>
              </w:rPr>
            </w:pPr>
            <w:r w:rsidRPr="00E111E4">
              <w:rPr>
                <w:rFonts w:ascii="Times New Roman" w:hAnsi="Times New Roman"/>
                <w:b/>
                <w:bCs/>
                <w:i/>
                <w:iCs/>
                <w:color w:val="000000" w:themeColor="text1"/>
              </w:rPr>
              <w:t xml:space="preserve">Se acceptă </w:t>
            </w:r>
          </w:p>
          <w:p w14:paraId="457CE154" w14:textId="2F7FE356" w:rsidR="00B73126" w:rsidRPr="00E111E4" w:rsidRDefault="00B73126" w:rsidP="00B4581E">
            <w:pPr>
              <w:spacing w:after="0" w:line="240" w:lineRule="auto"/>
              <w:jc w:val="both"/>
              <w:rPr>
                <w:rFonts w:ascii="Times New Roman" w:hAnsi="Times New Roman"/>
                <w:b/>
                <w:bCs/>
                <w:i/>
                <w:iCs/>
                <w:color w:val="000000" w:themeColor="text1"/>
              </w:rPr>
            </w:pPr>
            <w:r w:rsidRPr="00E111E4">
              <w:rPr>
                <w:rFonts w:ascii="Times New Roman" w:hAnsi="Times New Roman"/>
                <w:i/>
                <w:iCs/>
                <w:color w:val="000000" w:themeColor="text1"/>
              </w:rPr>
              <w:t>(proiectul a fost ajustat)</w:t>
            </w:r>
          </w:p>
        </w:tc>
      </w:tr>
      <w:tr w:rsidR="00B73126" w:rsidRPr="009C21C1" w14:paraId="0E8C42C9" w14:textId="77777777" w:rsidTr="00E95F86">
        <w:trPr>
          <w:trHeight w:val="274"/>
        </w:trPr>
        <w:tc>
          <w:tcPr>
            <w:tcW w:w="2517" w:type="dxa"/>
            <w:vMerge/>
            <w:tcBorders>
              <w:bottom w:val="single" w:sz="4" w:space="0" w:color="auto"/>
            </w:tcBorders>
            <w:shd w:val="clear" w:color="auto" w:fill="auto"/>
          </w:tcPr>
          <w:p w14:paraId="5C3595CE" w14:textId="77777777" w:rsidR="00B73126" w:rsidRDefault="00B73126" w:rsidP="00B4581E">
            <w:pPr>
              <w:spacing w:after="0" w:line="240" w:lineRule="auto"/>
              <w:jc w:val="both"/>
              <w:rPr>
                <w:rFonts w:ascii="Times New Roman" w:hAnsi="Times New Roman"/>
                <w:b/>
                <w:bCs/>
              </w:rPr>
            </w:pPr>
          </w:p>
        </w:tc>
        <w:tc>
          <w:tcPr>
            <w:tcW w:w="710" w:type="dxa"/>
          </w:tcPr>
          <w:p w14:paraId="0EC0DE19" w14:textId="049F171B" w:rsidR="00B73126" w:rsidRDefault="00B73126" w:rsidP="00B4581E">
            <w:pPr>
              <w:spacing w:after="0" w:line="240" w:lineRule="auto"/>
              <w:jc w:val="both"/>
              <w:rPr>
                <w:rFonts w:ascii="Times New Roman" w:hAnsi="Times New Roman"/>
                <w:sz w:val="23"/>
                <w:szCs w:val="23"/>
              </w:rPr>
            </w:pPr>
            <w:r>
              <w:rPr>
                <w:rFonts w:ascii="Times New Roman" w:hAnsi="Times New Roman"/>
                <w:sz w:val="23"/>
                <w:szCs w:val="23"/>
              </w:rPr>
              <w:t>2</w:t>
            </w:r>
            <w:r w:rsidR="00E111E4">
              <w:rPr>
                <w:rFonts w:ascii="Times New Roman" w:hAnsi="Times New Roman"/>
                <w:sz w:val="23"/>
                <w:szCs w:val="23"/>
              </w:rPr>
              <w:t>1</w:t>
            </w:r>
            <w:r>
              <w:rPr>
                <w:rFonts w:ascii="Times New Roman" w:hAnsi="Times New Roman"/>
                <w:sz w:val="23"/>
                <w:szCs w:val="23"/>
              </w:rPr>
              <w:t>.</w:t>
            </w:r>
          </w:p>
        </w:tc>
        <w:tc>
          <w:tcPr>
            <w:tcW w:w="5812" w:type="dxa"/>
            <w:shd w:val="clear" w:color="auto" w:fill="auto"/>
          </w:tcPr>
          <w:p w14:paraId="18152BE4" w14:textId="77777777" w:rsidR="00B73126" w:rsidRPr="00B4581E" w:rsidRDefault="00B73126" w:rsidP="00B4581E">
            <w:pPr>
              <w:spacing w:after="0" w:line="240" w:lineRule="auto"/>
              <w:jc w:val="both"/>
              <w:rPr>
                <w:rFonts w:ascii="Times New Roman" w:hAnsi="Times New Roman"/>
              </w:rPr>
            </w:pPr>
            <w:r w:rsidRPr="00B4581E">
              <w:rPr>
                <w:rFonts w:ascii="Times New Roman" w:hAnsi="Times New Roman"/>
              </w:rPr>
              <w:t>La pct. 5 după cuvântul „va” se va completa cu verbul „intra”.</w:t>
            </w:r>
          </w:p>
        </w:tc>
        <w:tc>
          <w:tcPr>
            <w:tcW w:w="5135" w:type="dxa"/>
            <w:shd w:val="clear" w:color="auto" w:fill="auto"/>
          </w:tcPr>
          <w:p w14:paraId="7F419640" w14:textId="77777777" w:rsidR="00B73126" w:rsidRPr="00B4581E" w:rsidRDefault="00B73126" w:rsidP="00B4581E">
            <w:pPr>
              <w:spacing w:after="0" w:line="240" w:lineRule="auto"/>
              <w:jc w:val="both"/>
              <w:rPr>
                <w:rFonts w:ascii="Times New Roman" w:hAnsi="Times New Roman"/>
                <w:b/>
                <w:bCs/>
              </w:rPr>
            </w:pPr>
            <w:r w:rsidRPr="00B4581E">
              <w:rPr>
                <w:rFonts w:ascii="Times New Roman" w:hAnsi="Times New Roman"/>
                <w:b/>
                <w:bCs/>
              </w:rPr>
              <w:t xml:space="preserve">Se acceptă </w:t>
            </w:r>
          </w:p>
          <w:p w14:paraId="122E1FF2" w14:textId="77777777" w:rsidR="00B73126" w:rsidRPr="00B4581E" w:rsidRDefault="00B73126" w:rsidP="00B4581E">
            <w:pPr>
              <w:spacing w:after="0" w:line="240" w:lineRule="auto"/>
              <w:jc w:val="both"/>
              <w:rPr>
                <w:rFonts w:ascii="Times New Roman" w:hAnsi="Times New Roman"/>
                <w:b/>
                <w:bCs/>
              </w:rPr>
            </w:pPr>
            <w:r w:rsidRPr="00B4581E">
              <w:rPr>
                <w:rFonts w:ascii="Times New Roman" w:hAnsi="Times New Roman"/>
                <w:i/>
                <w:iCs/>
              </w:rPr>
              <w:t>(proiectul a fost ajustat)</w:t>
            </w:r>
          </w:p>
        </w:tc>
      </w:tr>
    </w:tbl>
    <w:p w14:paraId="35EAD184" w14:textId="77777777" w:rsidR="00395599" w:rsidRPr="00395599" w:rsidRDefault="00395599" w:rsidP="00395599">
      <w:pPr>
        <w:jc w:val="both"/>
        <w:rPr>
          <w:rFonts w:ascii="Times New Roman" w:hAnsi="Times New Roman"/>
          <w:sz w:val="24"/>
          <w:szCs w:val="24"/>
        </w:rPr>
      </w:pPr>
    </w:p>
    <w:sectPr w:rsidR="00395599" w:rsidRPr="00395599" w:rsidSect="00CA6A3B">
      <w:footerReference w:type="default" r:id="rId11"/>
      <w:pgSz w:w="16838" w:h="11906" w:orient="landscape"/>
      <w:pgMar w:top="184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7E4E3" w14:textId="77777777" w:rsidR="000C1BF9" w:rsidRDefault="000C1BF9" w:rsidP="00F04870">
      <w:pPr>
        <w:spacing w:after="0" w:line="240" w:lineRule="auto"/>
      </w:pPr>
      <w:r>
        <w:separator/>
      </w:r>
    </w:p>
  </w:endnote>
  <w:endnote w:type="continuationSeparator" w:id="0">
    <w:p w14:paraId="5358841E" w14:textId="77777777" w:rsidR="000C1BF9" w:rsidRDefault="000C1BF9" w:rsidP="00F04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A35D" w14:textId="77777777" w:rsidR="00F04870" w:rsidRPr="00F04870" w:rsidRDefault="00F04870">
    <w:pPr>
      <w:pStyle w:val="Footer"/>
      <w:jc w:val="right"/>
      <w:rPr>
        <w:rFonts w:ascii="Times New Roman" w:hAnsi="Times New Roman"/>
      </w:rPr>
    </w:pPr>
    <w:r w:rsidRPr="00F04870">
      <w:rPr>
        <w:rFonts w:ascii="Times New Roman" w:hAnsi="Times New Roman"/>
      </w:rPr>
      <w:fldChar w:fldCharType="begin"/>
    </w:r>
    <w:r w:rsidRPr="00F04870">
      <w:rPr>
        <w:rFonts w:ascii="Times New Roman" w:hAnsi="Times New Roman"/>
      </w:rPr>
      <w:instrText xml:space="preserve"> PAGE   \* MERGEFORMAT </w:instrText>
    </w:r>
    <w:r w:rsidRPr="00F04870">
      <w:rPr>
        <w:rFonts w:ascii="Times New Roman" w:hAnsi="Times New Roman"/>
      </w:rPr>
      <w:fldChar w:fldCharType="separate"/>
    </w:r>
    <w:r w:rsidRPr="00F04870">
      <w:rPr>
        <w:rFonts w:ascii="Times New Roman" w:hAnsi="Times New Roman"/>
        <w:noProof/>
      </w:rPr>
      <w:t>2</w:t>
    </w:r>
    <w:r w:rsidRPr="00F04870">
      <w:rPr>
        <w:rFonts w:ascii="Times New Roman" w:hAnsi="Times New Roman"/>
        <w:noProof/>
      </w:rPr>
      <w:fldChar w:fldCharType="end"/>
    </w:r>
  </w:p>
  <w:p w14:paraId="5C70FDC7" w14:textId="77777777" w:rsidR="00F04870" w:rsidRDefault="00F04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79643" w14:textId="77777777" w:rsidR="000C1BF9" w:rsidRDefault="000C1BF9" w:rsidP="00F04870">
      <w:pPr>
        <w:spacing w:after="0" w:line="240" w:lineRule="auto"/>
      </w:pPr>
      <w:r>
        <w:separator/>
      </w:r>
    </w:p>
  </w:footnote>
  <w:footnote w:type="continuationSeparator" w:id="0">
    <w:p w14:paraId="10C4B92F" w14:textId="77777777" w:rsidR="000C1BF9" w:rsidRDefault="000C1BF9" w:rsidP="00F04870">
      <w:pPr>
        <w:spacing w:after="0" w:line="240" w:lineRule="auto"/>
      </w:pPr>
      <w:r>
        <w:continuationSeparator/>
      </w:r>
    </w:p>
  </w:footnote>
  <w:footnote w:id="1">
    <w:p w14:paraId="736B5718" w14:textId="77777777" w:rsidR="002538F2" w:rsidRDefault="002538F2">
      <w:pPr>
        <w:pStyle w:val="FootnoteText"/>
      </w:pPr>
      <w:r>
        <w:rPr>
          <w:rStyle w:val="FootnoteReference"/>
        </w:rPr>
        <w:footnoteRef/>
      </w:r>
      <w:r>
        <w:t xml:space="preserve"> </w:t>
      </w:r>
      <w:hyperlink r:id="rId1" w:anchor="contentAnchor41112" w:history="1">
        <w:r w:rsidR="00C304F5" w:rsidRPr="00C304F5">
          <w:rPr>
            <w:rStyle w:val="Hyperlink"/>
          </w:rPr>
          <w:t>Anunț privind inițierea elaborării proiectului Hotărârii Guvernului cu privire la schimbarea clasei Consulatului Republicii Moldova în orașul Padova, Republica Italiană și modificarea unor acte normative | Particip.gov.md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644A3"/>
    <w:multiLevelType w:val="hybridMultilevel"/>
    <w:tmpl w:val="CAEC409C"/>
    <w:lvl w:ilvl="0" w:tplc="BC127A5E">
      <w:numFmt w:val="bullet"/>
      <w:lvlText w:val="-"/>
      <w:lvlJc w:val="left"/>
      <w:pPr>
        <w:ind w:left="720" w:hanging="360"/>
      </w:pPr>
      <w:rPr>
        <w:rFonts w:ascii="Times New Roman" w:eastAsia="Calibr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619F59CC"/>
    <w:multiLevelType w:val="hybridMultilevel"/>
    <w:tmpl w:val="A8B47554"/>
    <w:lvl w:ilvl="0" w:tplc="8CC26310">
      <w:start w:val="1"/>
      <w:numFmt w:val="decimal"/>
      <w:lvlText w:val="%1."/>
      <w:lvlJc w:val="left"/>
      <w:pPr>
        <w:ind w:left="720" w:hanging="360"/>
      </w:pPr>
      <w:rPr>
        <w:rFonts w:hint="default"/>
        <w:b w:val="0"/>
        <w:bCs w:val="0"/>
        <w:i w:val="0"/>
        <w:i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2082215510">
    <w:abstractNumId w:val="0"/>
  </w:num>
  <w:num w:numId="2" w16cid:durableId="257715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5599"/>
    <w:rsid w:val="00000E36"/>
    <w:rsid w:val="00000E64"/>
    <w:rsid w:val="00001858"/>
    <w:rsid w:val="000103D2"/>
    <w:rsid w:val="00012FB5"/>
    <w:rsid w:val="00013D9F"/>
    <w:rsid w:val="000147F2"/>
    <w:rsid w:val="000157C2"/>
    <w:rsid w:val="000160A5"/>
    <w:rsid w:val="00022785"/>
    <w:rsid w:val="000228E2"/>
    <w:rsid w:val="00023746"/>
    <w:rsid w:val="00024320"/>
    <w:rsid w:val="00024B62"/>
    <w:rsid w:val="0002789F"/>
    <w:rsid w:val="00033647"/>
    <w:rsid w:val="000356D3"/>
    <w:rsid w:val="00036EC7"/>
    <w:rsid w:val="0004247D"/>
    <w:rsid w:val="00043E2A"/>
    <w:rsid w:val="000474EF"/>
    <w:rsid w:val="00051A32"/>
    <w:rsid w:val="0005566B"/>
    <w:rsid w:val="00057E03"/>
    <w:rsid w:val="00062EF9"/>
    <w:rsid w:val="00063F9A"/>
    <w:rsid w:val="00066DE1"/>
    <w:rsid w:val="00070510"/>
    <w:rsid w:val="0007591B"/>
    <w:rsid w:val="000804CB"/>
    <w:rsid w:val="00080567"/>
    <w:rsid w:val="000829E5"/>
    <w:rsid w:val="00085127"/>
    <w:rsid w:val="00096FBC"/>
    <w:rsid w:val="000B27AB"/>
    <w:rsid w:val="000C1BF9"/>
    <w:rsid w:val="000C35D2"/>
    <w:rsid w:val="000C3FD4"/>
    <w:rsid w:val="000C467C"/>
    <w:rsid w:val="000D1E90"/>
    <w:rsid w:val="000E024B"/>
    <w:rsid w:val="000E4675"/>
    <w:rsid w:val="000F2E2B"/>
    <w:rsid w:val="000F40C7"/>
    <w:rsid w:val="000F6226"/>
    <w:rsid w:val="00100357"/>
    <w:rsid w:val="00105502"/>
    <w:rsid w:val="00110AD8"/>
    <w:rsid w:val="00111DB0"/>
    <w:rsid w:val="00112B79"/>
    <w:rsid w:val="00112DA5"/>
    <w:rsid w:val="001131B7"/>
    <w:rsid w:val="001152DF"/>
    <w:rsid w:val="00117098"/>
    <w:rsid w:val="0012073A"/>
    <w:rsid w:val="00120D3D"/>
    <w:rsid w:val="0012190F"/>
    <w:rsid w:val="00121A94"/>
    <w:rsid w:val="00123F58"/>
    <w:rsid w:val="00131274"/>
    <w:rsid w:val="00140978"/>
    <w:rsid w:val="00146740"/>
    <w:rsid w:val="00147009"/>
    <w:rsid w:val="00161E8B"/>
    <w:rsid w:val="0016386F"/>
    <w:rsid w:val="00164D0A"/>
    <w:rsid w:val="00165A3D"/>
    <w:rsid w:val="00170920"/>
    <w:rsid w:val="00174A66"/>
    <w:rsid w:val="00174DD4"/>
    <w:rsid w:val="00175C3C"/>
    <w:rsid w:val="001813D8"/>
    <w:rsid w:val="00182554"/>
    <w:rsid w:val="00182FAF"/>
    <w:rsid w:val="00183663"/>
    <w:rsid w:val="001934BF"/>
    <w:rsid w:val="001A20A6"/>
    <w:rsid w:val="001A5DBF"/>
    <w:rsid w:val="001B3F64"/>
    <w:rsid w:val="001B4F05"/>
    <w:rsid w:val="001B63DB"/>
    <w:rsid w:val="001C0228"/>
    <w:rsid w:val="001C0387"/>
    <w:rsid w:val="001C03D2"/>
    <w:rsid w:val="001C1A59"/>
    <w:rsid w:val="001C1E3E"/>
    <w:rsid w:val="001C31BC"/>
    <w:rsid w:val="001C3590"/>
    <w:rsid w:val="001C5FC7"/>
    <w:rsid w:val="001D28C7"/>
    <w:rsid w:val="001D369C"/>
    <w:rsid w:val="001D60DC"/>
    <w:rsid w:val="001E0A5C"/>
    <w:rsid w:val="001E335B"/>
    <w:rsid w:val="001E63EE"/>
    <w:rsid w:val="001F136E"/>
    <w:rsid w:val="001F7D2E"/>
    <w:rsid w:val="00202123"/>
    <w:rsid w:val="0020359C"/>
    <w:rsid w:val="00211EED"/>
    <w:rsid w:val="002121E6"/>
    <w:rsid w:val="002142DE"/>
    <w:rsid w:val="00216700"/>
    <w:rsid w:val="00221FAD"/>
    <w:rsid w:val="002223D2"/>
    <w:rsid w:val="00223F3F"/>
    <w:rsid w:val="00225C15"/>
    <w:rsid w:val="002274F2"/>
    <w:rsid w:val="00232CB8"/>
    <w:rsid w:val="0023359B"/>
    <w:rsid w:val="002354F5"/>
    <w:rsid w:val="00237A15"/>
    <w:rsid w:val="002402E7"/>
    <w:rsid w:val="00245B0C"/>
    <w:rsid w:val="0025051F"/>
    <w:rsid w:val="002515F3"/>
    <w:rsid w:val="00252D02"/>
    <w:rsid w:val="002538F2"/>
    <w:rsid w:val="00255A29"/>
    <w:rsid w:val="0026071E"/>
    <w:rsid w:val="00261338"/>
    <w:rsid w:val="002628D3"/>
    <w:rsid w:val="00264E5B"/>
    <w:rsid w:val="00264FE7"/>
    <w:rsid w:val="00265CB5"/>
    <w:rsid w:val="00266F81"/>
    <w:rsid w:val="002671C3"/>
    <w:rsid w:val="002675B6"/>
    <w:rsid w:val="00270290"/>
    <w:rsid w:val="00271C07"/>
    <w:rsid w:val="002724D5"/>
    <w:rsid w:val="00273C3E"/>
    <w:rsid w:val="002744AD"/>
    <w:rsid w:val="0027606C"/>
    <w:rsid w:val="00277378"/>
    <w:rsid w:val="00277A66"/>
    <w:rsid w:val="00277ED4"/>
    <w:rsid w:val="00280C3E"/>
    <w:rsid w:val="0028259C"/>
    <w:rsid w:val="00285E3D"/>
    <w:rsid w:val="0029513F"/>
    <w:rsid w:val="00297013"/>
    <w:rsid w:val="002A161E"/>
    <w:rsid w:val="002A310A"/>
    <w:rsid w:val="002A47F6"/>
    <w:rsid w:val="002B1E69"/>
    <w:rsid w:val="002B4CB2"/>
    <w:rsid w:val="002B70B9"/>
    <w:rsid w:val="002C220D"/>
    <w:rsid w:val="002C2A42"/>
    <w:rsid w:val="002C57E6"/>
    <w:rsid w:val="002D3267"/>
    <w:rsid w:val="002D7AB1"/>
    <w:rsid w:val="002E301D"/>
    <w:rsid w:val="002E3594"/>
    <w:rsid w:val="002F6A6B"/>
    <w:rsid w:val="002F720B"/>
    <w:rsid w:val="00303C26"/>
    <w:rsid w:val="003049E7"/>
    <w:rsid w:val="0031034A"/>
    <w:rsid w:val="00312A6A"/>
    <w:rsid w:val="00313E17"/>
    <w:rsid w:val="00313F8D"/>
    <w:rsid w:val="00324B0F"/>
    <w:rsid w:val="003259BE"/>
    <w:rsid w:val="00326062"/>
    <w:rsid w:val="003273F0"/>
    <w:rsid w:val="00327626"/>
    <w:rsid w:val="0033009D"/>
    <w:rsid w:val="003313EE"/>
    <w:rsid w:val="00332F2E"/>
    <w:rsid w:val="0033349F"/>
    <w:rsid w:val="00337EBE"/>
    <w:rsid w:val="00340E36"/>
    <w:rsid w:val="003457C3"/>
    <w:rsid w:val="00347340"/>
    <w:rsid w:val="003510C1"/>
    <w:rsid w:val="00357809"/>
    <w:rsid w:val="00360E88"/>
    <w:rsid w:val="00362942"/>
    <w:rsid w:val="00363F06"/>
    <w:rsid w:val="003661F7"/>
    <w:rsid w:val="00370DD3"/>
    <w:rsid w:val="00376061"/>
    <w:rsid w:val="003808B6"/>
    <w:rsid w:val="00381B4D"/>
    <w:rsid w:val="00384746"/>
    <w:rsid w:val="00395599"/>
    <w:rsid w:val="0039736D"/>
    <w:rsid w:val="003A4C87"/>
    <w:rsid w:val="003B0728"/>
    <w:rsid w:val="003B1CE6"/>
    <w:rsid w:val="003C33AB"/>
    <w:rsid w:val="003C4EC7"/>
    <w:rsid w:val="003C5638"/>
    <w:rsid w:val="003C79F7"/>
    <w:rsid w:val="003D3FF9"/>
    <w:rsid w:val="003D5B26"/>
    <w:rsid w:val="003E0A4B"/>
    <w:rsid w:val="003E22DE"/>
    <w:rsid w:val="003E38C1"/>
    <w:rsid w:val="003E3ED7"/>
    <w:rsid w:val="003F536B"/>
    <w:rsid w:val="004054CF"/>
    <w:rsid w:val="0040583B"/>
    <w:rsid w:val="00416C99"/>
    <w:rsid w:val="0042067E"/>
    <w:rsid w:val="00423C3C"/>
    <w:rsid w:val="00424110"/>
    <w:rsid w:val="00426413"/>
    <w:rsid w:val="0042676F"/>
    <w:rsid w:val="00427FBB"/>
    <w:rsid w:val="00434106"/>
    <w:rsid w:val="0043635A"/>
    <w:rsid w:val="00440364"/>
    <w:rsid w:val="0044571E"/>
    <w:rsid w:val="00445C61"/>
    <w:rsid w:val="004504FC"/>
    <w:rsid w:val="00452BE7"/>
    <w:rsid w:val="00466251"/>
    <w:rsid w:val="00472BAA"/>
    <w:rsid w:val="004840EC"/>
    <w:rsid w:val="004933BE"/>
    <w:rsid w:val="00495DDC"/>
    <w:rsid w:val="0049610C"/>
    <w:rsid w:val="00496C3B"/>
    <w:rsid w:val="004A4298"/>
    <w:rsid w:val="004A682D"/>
    <w:rsid w:val="004A7B22"/>
    <w:rsid w:val="004B0D07"/>
    <w:rsid w:val="004C35A9"/>
    <w:rsid w:val="004C5BD8"/>
    <w:rsid w:val="004C640A"/>
    <w:rsid w:val="004C6C37"/>
    <w:rsid w:val="004D06FA"/>
    <w:rsid w:val="004D0CC4"/>
    <w:rsid w:val="004D2F19"/>
    <w:rsid w:val="004D324E"/>
    <w:rsid w:val="004D6D3D"/>
    <w:rsid w:val="004E2CA1"/>
    <w:rsid w:val="004E2F4B"/>
    <w:rsid w:val="004E53E7"/>
    <w:rsid w:val="004F012B"/>
    <w:rsid w:val="004F2CE4"/>
    <w:rsid w:val="004F53C8"/>
    <w:rsid w:val="004F6349"/>
    <w:rsid w:val="004F6872"/>
    <w:rsid w:val="00500EC7"/>
    <w:rsid w:val="0050460F"/>
    <w:rsid w:val="00504A9B"/>
    <w:rsid w:val="0050500E"/>
    <w:rsid w:val="005053A0"/>
    <w:rsid w:val="0050676D"/>
    <w:rsid w:val="00507F85"/>
    <w:rsid w:val="005206E3"/>
    <w:rsid w:val="00520964"/>
    <w:rsid w:val="005218FE"/>
    <w:rsid w:val="00522463"/>
    <w:rsid w:val="00524584"/>
    <w:rsid w:val="00524F34"/>
    <w:rsid w:val="00527018"/>
    <w:rsid w:val="005278BA"/>
    <w:rsid w:val="0053768D"/>
    <w:rsid w:val="005434BA"/>
    <w:rsid w:val="0054448A"/>
    <w:rsid w:val="00545BED"/>
    <w:rsid w:val="005516A0"/>
    <w:rsid w:val="00554E29"/>
    <w:rsid w:val="005565AC"/>
    <w:rsid w:val="00556872"/>
    <w:rsid w:val="005738A8"/>
    <w:rsid w:val="0057528B"/>
    <w:rsid w:val="005778D9"/>
    <w:rsid w:val="00586B9E"/>
    <w:rsid w:val="00590501"/>
    <w:rsid w:val="0059088D"/>
    <w:rsid w:val="00591459"/>
    <w:rsid w:val="00597F28"/>
    <w:rsid w:val="005A13D6"/>
    <w:rsid w:val="005A49D4"/>
    <w:rsid w:val="005A677E"/>
    <w:rsid w:val="005A6802"/>
    <w:rsid w:val="005A728A"/>
    <w:rsid w:val="005A7DC7"/>
    <w:rsid w:val="005C02B7"/>
    <w:rsid w:val="005C2753"/>
    <w:rsid w:val="005C6B17"/>
    <w:rsid w:val="005C7B30"/>
    <w:rsid w:val="005D096F"/>
    <w:rsid w:val="005D54F5"/>
    <w:rsid w:val="005E06F7"/>
    <w:rsid w:val="005E0808"/>
    <w:rsid w:val="005E178E"/>
    <w:rsid w:val="005E2101"/>
    <w:rsid w:val="005E417C"/>
    <w:rsid w:val="005F6BFE"/>
    <w:rsid w:val="005F73AC"/>
    <w:rsid w:val="006043E1"/>
    <w:rsid w:val="006048AB"/>
    <w:rsid w:val="00605F54"/>
    <w:rsid w:val="00610174"/>
    <w:rsid w:val="00610430"/>
    <w:rsid w:val="006157EA"/>
    <w:rsid w:val="00616292"/>
    <w:rsid w:val="00617AB5"/>
    <w:rsid w:val="00621C22"/>
    <w:rsid w:val="00622C57"/>
    <w:rsid w:val="0062357A"/>
    <w:rsid w:val="00626E47"/>
    <w:rsid w:val="00627AD0"/>
    <w:rsid w:val="00632C5B"/>
    <w:rsid w:val="00632F03"/>
    <w:rsid w:val="006347E6"/>
    <w:rsid w:val="00635F10"/>
    <w:rsid w:val="00646277"/>
    <w:rsid w:val="006476DB"/>
    <w:rsid w:val="00653453"/>
    <w:rsid w:val="00660AB0"/>
    <w:rsid w:val="00665A04"/>
    <w:rsid w:val="00667724"/>
    <w:rsid w:val="00672890"/>
    <w:rsid w:val="00675CB3"/>
    <w:rsid w:val="00676595"/>
    <w:rsid w:val="00697475"/>
    <w:rsid w:val="006A16F5"/>
    <w:rsid w:val="006A2A39"/>
    <w:rsid w:val="006A2DE6"/>
    <w:rsid w:val="006A4AA3"/>
    <w:rsid w:val="006C1929"/>
    <w:rsid w:val="006C2CCF"/>
    <w:rsid w:val="006C7D5E"/>
    <w:rsid w:val="006D13F6"/>
    <w:rsid w:val="006E060F"/>
    <w:rsid w:val="006E3070"/>
    <w:rsid w:val="006E6D7A"/>
    <w:rsid w:val="006E77E3"/>
    <w:rsid w:val="006F3247"/>
    <w:rsid w:val="006F51C3"/>
    <w:rsid w:val="006F6C40"/>
    <w:rsid w:val="00700166"/>
    <w:rsid w:val="0070133A"/>
    <w:rsid w:val="00702D85"/>
    <w:rsid w:val="00704C91"/>
    <w:rsid w:val="00710AB6"/>
    <w:rsid w:val="00711CC4"/>
    <w:rsid w:val="00715AC7"/>
    <w:rsid w:val="00716FD1"/>
    <w:rsid w:val="00724BC2"/>
    <w:rsid w:val="00730DC6"/>
    <w:rsid w:val="00735B6E"/>
    <w:rsid w:val="00741A83"/>
    <w:rsid w:val="00743A8D"/>
    <w:rsid w:val="007469F6"/>
    <w:rsid w:val="007473A0"/>
    <w:rsid w:val="00751A6F"/>
    <w:rsid w:val="0075715D"/>
    <w:rsid w:val="00761E28"/>
    <w:rsid w:val="0076290D"/>
    <w:rsid w:val="00763780"/>
    <w:rsid w:val="007650F5"/>
    <w:rsid w:val="00765C61"/>
    <w:rsid w:val="00773719"/>
    <w:rsid w:val="007746A6"/>
    <w:rsid w:val="00782F03"/>
    <w:rsid w:val="00783301"/>
    <w:rsid w:val="00783E82"/>
    <w:rsid w:val="00785FD8"/>
    <w:rsid w:val="00786D6A"/>
    <w:rsid w:val="00791A41"/>
    <w:rsid w:val="00791F3A"/>
    <w:rsid w:val="00792566"/>
    <w:rsid w:val="00794046"/>
    <w:rsid w:val="00795449"/>
    <w:rsid w:val="0079560B"/>
    <w:rsid w:val="007968C9"/>
    <w:rsid w:val="007A27D4"/>
    <w:rsid w:val="007A593B"/>
    <w:rsid w:val="007A59A6"/>
    <w:rsid w:val="007B0265"/>
    <w:rsid w:val="007B0E97"/>
    <w:rsid w:val="007B1450"/>
    <w:rsid w:val="007B15DA"/>
    <w:rsid w:val="007C0DA2"/>
    <w:rsid w:val="007C1802"/>
    <w:rsid w:val="007C247E"/>
    <w:rsid w:val="007C412B"/>
    <w:rsid w:val="007C4A38"/>
    <w:rsid w:val="007D0CD4"/>
    <w:rsid w:val="007D5313"/>
    <w:rsid w:val="007D5A22"/>
    <w:rsid w:val="007D70EA"/>
    <w:rsid w:val="007E02FB"/>
    <w:rsid w:val="007E062E"/>
    <w:rsid w:val="007E7CE8"/>
    <w:rsid w:val="00806748"/>
    <w:rsid w:val="008130F3"/>
    <w:rsid w:val="0081664B"/>
    <w:rsid w:val="008216C9"/>
    <w:rsid w:val="00821753"/>
    <w:rsid w:val="00825A5B"/>
    <w:rsid w:val="00831CC6"/>
    <w:rsid w:val="0083743F"/>
    <w:rsid w:val="00843FB2"/>
    <w:rsid w:val="0084544F"/>
    <w:rsid w:val="008469CA"/>
    <w:rsid w:val="0085283C"/>
    <w:rsid w:val="00852F9F"/>
    <w:rsid w:val="0085619E"/>
    <w:rsid w:val="008566FD"/>
    <w:rsid w:val="0086067C"/>
    <w:rsid w:val="00861270"/>
    <w:rsid w:val="00862850"/>
    <w:rsid w:val="00867D3F"/>
    <w:rsid w:val="0087029E"/>
    <w:rsid w:val="008711F6"/>
    <w:rsid w:val="0087172D"/>
    <w:rsid w:val="00880CC7"/>
    <w:rsid w:val="0088191B"/>
    <w:rsid w:val="008824C3"/>
    <w:rsid w:val="00885B00"/>
    <w:rsid w:val="00892411"/>
    <w:rsid w:val="00892510"/>
    <w:rsid w:val="008A5E81"/>
    <w:rsid w:val="008A68A6"/>
    <w:rsid w:val="008B0871"/>
    <w:rsid w:val="008B7330"/>
    <w:rsid w:val="008C1048"/>
    <w:rsid w:val="008C1686"/>
    <w:rsid w:val="008C4A2D"/>
    <w:rsid w:val="008C6A4F"/>
    <w:rsid w:val="008C6B55"/>
    <w:rsid w:val="008C7E79"/>
    <w:rsid w:val="008D0722"/>
    <w:rsid w:val="008D25C0"/>
    <w:rsid w:val="008D3072"/>
    <w:rsid w:val="008D5596"/>
    <w:rsid w:val="008D5C5C"/>
    <w:rsid w:val="008D5F23"/>
    <w:rsid w:val="008D7EE5"/>
    <w:rsid w:val="008E0A8F"/>
    <w:rsid w:val="008E6BD7"/>
    <w:rsid w:val="008F225D"/>
    <w:rsid w:val="008F390E"/>
    <w:rsid w:val="008F6457"/>
    <w:rsid w:val="00902408"/>
    <w:rsid w:val="00905A5C"/>
    <w:rsid w:val="0090651E"/>
    <w:rsid w:val="009117C7"/>
    <w:rsid w:val="0091710B"/>
    <w:rsid w:val="00923CBA"/>
    <w:rsid w:val="00927375"/>
    <w:rsid w:val="00934D87"/>
    <w:rsid w:val="00937C1B"/>
    <w:rsid w:val="009523A3"/>
    <w:rsid w:val="009561B4"/>
    <w:rsid w:val="009567F8"/>
    <w:rsid w:val="00962C97"/>
    <w:rsid w:val="00963A18"/>
    <w:rsid w:val="009704EF"/>
    <w:rsid w:val="0097161A"/>
    <w:rsid w:val="00972D67"/>
    <w:rsid w:val="00977079"/>
    <w:rsid w:val="00980CCB"/>
    <w:rsid w:val="00981F89"/>
    <w:rsid w:val="009900D6"/>
    <w:rsid w:val="0099130F"/>
    <w:rsid w:val="009949B4"/>
    <w:rsid w:val="00995827"/>
    <w:rsid w:val="00995CBA"/>
    <w:rsid w:val="009A1243"/>
    <w:rsid w:val="009A4CF0"/>
    <w:rsid w:val="009A66E1"/>
    <w:rsid w:val="009A7A84"/>
    <w:rsid w:val="009B207A"/>
    <w:rsid w:val="009B28FA"/>
    <w:rsid w:val="009B7275"/>
    <w:rsid w:val="009C0544"/>
    <w:rsid w:val="009C21C1"/>
    <w:rsid w:val="009C47D8"/>
    <w:rsid w:val="009D1AE2"/>
    <w:rsid w:val="009D3A35"/>
    <w:rsid w:val="009D7437"/>
    <w:rsid w:val="009E0842"/>
    <w:rsid w:val="009E243D"/>
    <w:rsid w:val="009E3BC6"/>
    <w:rsid w:val="009E45EB"/>
    <w:rsid w:val="009E4FD8"/>
    <w:rsid w:val="009E7209"/>
    <w:rsid w:val="009E7AA8"/>
    <w:rsid w:val="009F53D4"/>
    <w:rsid w:val="009F5435"/>
    <w:rsid w:val="00A00420"/>
    <w:rsid w:val="00A03849"/>
    <w:rsid w:val="00A05C9C"/>
    <w:rsid w:val="00A10AF1"/>
    <w:rsid w:val="00A10B0C"/>
    <w:rsid w:val="00A15D5F"/>
    <w:rsid w:val="00A259E1"/>
    <w:rsid w:val="00A27BCC"/>
    <w:rsid w:val="00A30841"/>
    <w:rsid w:val="00A30959"/>
    <w:rsid w:val="00A31343"/>
    <w:rsid w:val="00A32562"/>
    <w:rsid w:val="00A34954"/>
    <w:rsid w:val="00A3602A"/>
    <w:rsid w:val="00A41B1D"/>
    <w:rsid w:val="00A4359B"/>
    <w:rsid w:val="00A4777B"/>
    <w:rsid w:val="00A55DA4"/>
    <w:rsid w:val="00A56582"/>
    <w:rsid w:val="00A614A0"/>
    <w:rsid w:val="00A62DF3"/>
    <w:rsid w:val="00A6308B"/>
    <w:rsid w:val="00A65BBD"/>
    <w:rsid w:val="00A67BB2"/>
    <w:rsid w:val="00A71C31"/>
    <w:rsid w:val="00A755EA"/>
    <w:rsid w:val="00A80C27"/>
    <w:rsid w:val="00A86237"/>
    <w:rsid w:val="00A86564"/>
    <w:rsid w:val="00A95202"/>
    <w:rsid w:val="00A95A3F"/>
    <w:rsid w:val="00AA4045"/>
    <w:rsid w:val="00AB2EC0"/>
    <w:rsid w:val="00AB5069"/>
    <w:rsid w:val="00AC06C5"/>
    <w:rsid w:val="00AC3C7F"/>
    <w:rsid w:val="00AC4AF7"/>
    <w:rsid w:val="00AC684D"/>
    <w:rsid w:val="00AC71B3"/>
    <w:rsid w:val="00AE0CD9"/>
    <w:rsid w:val="00AE233A"/>
    <w:rsid w:val="00AE3C4B"/>
    <w:rsid w:val="00AE7412"/>
    <w:rsid w:val="00AF091F"/>
    <w:rsid w:val="00AF1B73"/>
    <w:rsid w:val="00AF4387"/>
    <w:rsid w:val="00AF54FD"/>
    <w:rsid w:val="00B03137"/>
    <w:rsid w:val="00B10835"/>
    <w:rsid w:val="00B22037"/>
    <w:rsid w:val="00B22694"/>
    <w:rsid w:val="00B23D9B"/>
    <w:rsid w:val="00B25032"/>
    <w:rsid w:val="00B3564D"/>
    <w:rsid w:val="00B40E0F"/>
    <w:rsid w:val="00B41929"/>
    <w:rsid w:val="00B435B9"/>
    <w:rsid w:val="00B4581E"/>
    <w:rsid w:val="00B46E2A"/>
    <w:rsid w:val="00B472AC"/>
    <w:rsid w:val="00B503BB"/>
    <w:rsid w:val="00B578F7"/>
    <w:rsid w:val="00B6129F"/>
    <w:rsid w:val="00B61946"/>
    <w:rsid w:val="00B62067"/>
    <w:rsid w:val="00B62297"/>
    <w:rsid w:val="00B63AF3"/>
    <w:rsid w:val="00B64C42"/>
    <w:rsid w:val="00B66068"/>
    <w:rsid w:val="00B67D68"/>
    <w:rsid w:val="00B70286"/>
    <w:rsid w:val="00B70EE5"/>
    <w:rsid w:val="00B71308"/>
    <w:rsid w:val="00B71E07"/>
    <w:rsid w:val="00B72527"/>
    <w:rsid w:val="00B73126"/>
    <w:rsid w:val="00B75225"/>
    <w:rsid w:val="00B76474"/>
    <w:rsid w:val="00B77B78"/>
    <w:rsid w:val="00B830A0"/>
    <w:rsid w:val="00B831C4"/>
    <w:rsid w:val="00B84186"/>
    <w:rsid w:val="00B842A4"/>
    <w:rsid w:val="00B84965"/>
    <w:rsid w:val="00B87E7C"/>
    <w:rsid w:val="00B90F38"/>
    <w:rsid w:val="00B91FF6"/>
    <w:rsid w:val="00B944C8"/>
    <w:rsid w:val="00B95AFE"/>
    <w:rsid w:val="00B97B91"/>
    <w:rsid w:val="00BA219B"/>
    <w:rsid w:val="00BA78FE"/>
    <w:rsid w:val="00BA7F88"/>
    <w:rsid w:val="00BB06DF"/>
    <w:rsid w:val="00BB0D1F"/>
    <w:rsid w:val="00BB409D"/>
    <w:rsid w:val="00BB618C"/>
    <w:rsid w:val="00BB6707"/>
    <w:rsid w:val="00BB6A34"/>
    <w:rsid w:val="00BB7319"/>
    <w:rsid w:val="00BB7924"/>
    <w:rsid w:val="00BC02A7"/>
    <w:rsid w:val="00BC156E"/>
    <w:rsid w:val="00BC49E9"/>
    <w:rsid w:val="00BC4E3E"/>
    <w:rsid w:val="00BC614A"/>
    <w:rsid w:val="00BC620B"/>
    <w:rsid w:val="00BD006D"/>
    <w:rsid w:val="00BD796A"/>
    <w:rsid w:val="00BE1AFA"/>
    <w:rsid w:val="00BE1C29"/>
    <w:rsid w:val="00BE1DAF"/>
    <w:rsid w:val="00BE367F"/>
    <w:rsid w:val="00BE54AA"/>
    <w:rsid w:val="00BE6E7D"/>
    <w:rsid w:val="00BF18C6"/>
    <w:rsid w:val="00BF5550"/>
    <w:rsid w:val="00C01B21"/>
    <w:rsid w:val="00C05131"/>
    <w:rsid w:val="00C175A3"/>
    <w:rsid w:val="00C21C0A"/>
    <w:rsid w:val="00C27249"/>
    <w:rsid w:val="00C27AC2"/>
    <w:rsid w:val="00C30319"/>
    <w:rsid w:val="00C304F5"/>
    <w:rsid w:val="00C3075B"/>
    <w:rsid w:val="00C30B6B"/>
    <w:rsid w:val="00C34245"/>
    <w:rsid w:val="00C443C0"/>
    <w:rsid w:val="00C45AD3"/>
    <w:rsid w:val="00C513EF"/>
    <w:rsid w:val="00C52987"/>
    <w:rsid w:val="00C52EF0"/>
    <w:rsid w:val="00C53580"/>
    <w:rsid w:val="00C552D1"/>
    <w:rsid w:val="00C571D1"/>
    <w:rsid w:val="00C6130E"/>
    <w:rsid w:val="00C6238D"/>
    <w:rsid w:val="00C625CA"/>
    <w:rsid w:val="00C63088"/>
    <w:rsid w:val="00C66D97"/>
    <w:rsid w:val="00C67994"/>
    <w:rsid w:val="00C731A0"/>
    <w:rsid w:val="00C74932"/>
    <w:rsid w:val="00C756FD"/>
    <w:rsid w:val="00C80A90"/>
    <w:rsid w:val="00C917C0"/>
    <w:rsid w:val="00C926C5"/>
    <w:rsid w:val="00C960FA"/>
    <w:rsid w:val="00C96B7A"/>
    <w:rsid w:val="00CA0856"/>
    <w:rsid w:val="00CA08BB"/>
    <w:rsid w:val="00CA198F"/>
    <w:rsid w:val="00CA3A9A"/>
    <w:rsid w:val="00CA5758"/>
    <w:rsid w:val="00CA69B3"/>
    <w:rsid w:val="00CA6A3B"/>
    <w:rsid w:val="00CB00AC"/>
    <w:rsid w:val="00CC05CD"/>
    <w:rsid w:val="00CC3AC8"/>
    <w:rsid w:val="00CC42F8"/>
    <w:rsid w:val="00CC6345"/>
    <w:rsid w:val="00CD12EA"/>
    <w:rsid w:val="00CD146E"/>
    <w:rsid w:val="00CD193E"/>
    <w:rsid w:val="00CD384B"/>
    <w:rsid w:val="00CE771C"/>
    <w:rsid w:val="00CF084B"/>
    <w:rsid w:val="00CF0BC4"/>
    <w:rsid w:val="00CF3905"/>
    <w:rsid w:val="00CF53B0"/>
    <w:rsid w:val="00CF6977"/>
    <w:rsid w:val="00D01329"/>
    <w:rsid w:val="00D11EB7"/>
    <w:rsid w:val="00D13B9D"/>
    <w:rsid w:val="00D151E1"/>
    <w:rsid w:val="00D16B8E"/>
    <w:rsid w:val="00D20176"/>
    <w:rsid w:val="00D2180B"/>
    <w:rsid w:val="00D229E5"/>
    <w:rsid w:val="00D24351"/>
    <w:rsid w:val="00D24B41"/>
    <w:rsid w:val="00D2702F"/>
    <w:rsid w:val="00D4105C"/>
    <w:rsid w:val="00D412EA"/>
    <w:rsid w:val="00D430DA"/>
    <w:rsid w:val="00D46190"/>
    <w:rsid w:val="00D50FAB"/>
    <w:rsid w:val="00D5351A"/>
    <w:rsid w:val="00D5380A"/>
    <w:rsid w:val="00D5452C"/>
    <w:rsid w:val="00D5741C"/>
    <w:rsid w:val="00D65E69"/>
    <w:rsid w:val="00D67B99"/>
    <w:rsid w:val="00D72477"/>
    <w:rsid w:val="00D75150"/>
    <w:rsid w:val="00D75478"/>
    <w:rsid w:val="00D764D8"/>
    <w:rsid w:val="00D77AE7"/>
    <w:rsid w:val="00D8141D"/>
    <w:rsid w:val="00D851E1"/>
    <w:rsid w:val="00D854E1"/>
    <w:rsid w:val="00D868F9"/>
    <w:rsid w:val="00D90063"/>
    <w:rsid w:val="00D92A70"/>
    <w:rsid w:val="00D93F08"/>
    <w:rsid w:val="00D954B7"/>
    <w:rsid w:val="00D95697"/>
    <w:rsid w:val="00DA0511"/>
    <w:rsid w:val="00DA0C2D"/>
    <w:rsid w:val="00DA48FD"/>
    <w:rsid w:val="00DA5E50"/>
    <w:rsid w:val="00DB0C75"/>
    <w:rsid w:val="00DB0ED9"/>
    <w:rsid w:val="00DB3221"/>
    <w:rsid w:val="00DB541B"/>
    <w:rsid w:val="00DC279E"/>
    <w:rsid w:val="00DC635A"/>
    <w:rsid w:val="00DC7407"/>
    <w:rsid w:val="00DD1664"/>
    <w:rsid w:val="00DD7CBF"/>
    <w:rsid w:val="00DE301C"/>
    <w:rsid w:val="00DE4EF1"/>
    <w:rsid w:val="00DE657B"/>
    <w:rsid w:val="00DF1947"/>
    <w:rsid w:val="00DF32DE"/>
    <w:rsid w:val="00DF4342"/>
    <w:rsid w:val="00DF7EF1"/>
    <w:rsid w:val="00E01F37"/>
    <w:rsid w:val="00E0481D"/>
    <w:rsid w:val="00E04C67"/>
    <w:rsid w:val="00E07D82"/>
    <w:rsid w:val="00E111E4"/>
    <w:rsid w:val="00E150F4"/>
    <w:rsid w:val="00E168CF"/>
    <w:rsid w:val="00E17C5E"/>
    <w:rsid w:val="00E23B3A"/>
    <w:rsid w:val="00E275F4"/>
    <w:rsid w:val="00E30CFF"/>
    <w:rsid w:val="00E31FE9"/>
    <w:rsid w:val="00E32049"/>
    <w:rsid w:val="00E35CD1"/>
    <w:rsid w:val="00E36F30"/>
    <w:rsid w:val="00E4411F"/>
    <w:rsid w:val="00E50056"/>
    <w:rsid w:val="00E514A3"/>
    <w:rsid w:val="00E53B55"/>
    <w:rsid w:val="00E64F37"/>
    <w:rsid w:val="00E666A8"/>
    <w:rsid w:val="00E80F22"/>
    <w:rsid w:val="00E81F28"/>
    <w:rsid w:val="00E82012"/>
    <w:rsid w:val="00E82B37"/>
    <w:rsid w:val="00E84DF3"/>
    <w:rsid w:val="00E9010E"/>
    <w:rsid w:val="00E901C2"/>
    <w:rsid w:val="00E912F7"/>
    <w:rsid w:val="00E913E8"/>
    <w:rsid w:val="00E93D36"/>
    <w:rsid w:val="00E94A94"/>
    <w:rsid w:val="00E95F86"/>
    <w:rsid w:val="00E966DE"/>
    <w:rsid w:val="00E97719"/>
    <w:rsid w:val="00E977CD"/>
    <w:rsid w:val="00EA04A8"/>
    <w:rsid w:val="00EA0A0C"/>
    <w:rsid w:val="00EA24C7"/>
    <w:rsid w:val="00EA39F6"/>
    <w:rsid w:val="00EA3CE8"/>
    <w:rsid w:val="00EA69D7"/>
    <w:rsid w:val="00EA6A00"/>
    <w:rsid w:val="00EB60B9"/>
    <w:rsid w:val="00EC17A2"/>
    <w:rsid w:val="00EC5CCD"/>
    <w:rsid w:val="00EC61F4"/>
    <w:rsid w:val="00ED1BD5"/>
    <w:rsid w:val="00ED5A92"/>
    <w:rsid w:val="00ED5B1B"/>
    <w:rsid w:val="00EE1AF9"/>
    <w:rsid w:val="00EE1DE7"/>
    <w:rsid w:val="00EE2689"/>
    <w:rsid w:val="00EE2832"/>
    <w:rsid w:val="00EE304D"/>
    <w:rsid w:val="00EF0D06"/>
    <w:rsid w:val="00EF2025"/>
    <w:rsid w:val="00F034B2"/>
    <w:rsid w:val="00F03BA7"/>
    <w:rsid w:val="00F04870"/>
    <w:rsid w:val="00F07CE4"/>
    <w:rsid w:val="00F13712"/>
    <w:rsid w:val="00F14A40"/>
    <w:rsid w:val="00F20E1A"/>
    <w:rsid w:val="00F21F3D"/>
    <w:rsid w:val="00F25122"/>
    <w:rsid w:val="00F25162"/>
    <w:rsid w:val="00F3467A"/>
    <w:rsid w:val="00F410B5"/>
    <w:rsid w:val="00F44C62"/>
    <w:rsid w:val="00F5027D"/>
    <w:rsid w:val="00F512B8"/>
    <w:rsid w:val="00F52E08"/>
    <w:rsid w:val="00F53C51"/>
    <w:rsid w:val="00F6063C"/>
    <w:rsid w:val="00F62E8D"/>
    <w:rsid w:val="00F64DA9"/>
    <w:rsid w:val="00F733A5"/>
    <w:rsid w:val="00F74E03"/>
    <w:rsid w:val="00F75054"/>
    <w:rsid w:val="00F75874"/>
    <w:rsid w:val="00F76096"/>
    <w:rsid w:val="00F8107C"/>
    <w:rsid w:val="00F82156"/>
    <w:rsid w:val="00F83147"/>
    <w:rsid w:val="00F83584"/>
    <w:rsid w:val="00F85A67"/>
    <w:rsid w:val="00F9549F"/>
    <w:rsid w:val="00F95F64"/>
    <w:rsid w:val="00F9686B"/>
    <w:rsid w:val="00FA0010"/>
    <w:rsid w:val="00FA1397"/>
    <w:rsid w:val="00FA267D"/>
    <w:rsid w:val="00FB1F30"/>
    <w:rsid w:val="00FB5925"/>
    <w:rsid w:val="00FB6671"/>
    <w:rsid w:val="00FC242B"/>
    <w:rsid w:val="00FC5165"/>
    <w:rsid w:val="00FC61E8"/>
    <w:rsid w:val="00FC7406"/>
    <w:rsid w:val="00FC74E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BA206"/>
  <w15:chartTrackingRefBased/>
  <w15:docId w15:val="{DE865578-D990-4107-BBC4-C4FC05D0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MD" w:eastAsia="ro-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5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435B9"/>
    <w:rPr>
      <w:color w:val="0563C1"/>
      <w:u w:val="single"/>
    </w:rPr>
  </w:style>
  <w:style w:type="character" w:styleId="UnresolvedMention">
    <w:name w:val="Unresolved Mention"/>
    <w:uiPriority w:val="99"/>
    <w:semiHidden/>
    <w:unhideWhenUsed/>
    <w:rsid w:val="00B435B9"/>
    <w:rPr>
      <w:color w:val="605E5C"/>
      <w:shd w:val="clear" w:color="auto" w:fill="E1DFDD"/>
    </w:rPr>
  </w:style>
  <w:style w:type="paragraph" w:styleId="ListParagraph">
    <w:name w:val="List Paragraph"/>
    <w:basedOn w:val="Normal"/>
    <w:uiPriority w:val="34"/>
    <w:qFormat/>
    <w:rsid w:val="00B62067"/>
    <w:pPr>
      <w:ind w:left="720"/>
      <w:contextualSpacing/>
    </w:pPr>
  </w:style>
  <w:style w:type="paragraph" w:styleId="Header">
    <w:name w:val="header"/>
    <w:basedOn w:val="Normal"/>
    <w:link w:val="HeaderChar"/>
    <w:uiPriority w:val="99"/>
    <w:unhideWhenUsed/>
    <w:rsid w:val="00F04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870"/>
  </w:style>
  <w:style w:type="paragraph" w:styleId="Footer">
    <w:name w:val="footer"/>
    <w:basedOn w:val="Normal"/>
    <w:link w:val="FooterChar"/>
    <w:uiPriority w:val="99"/>
    <w:unhideWhenUsed/>
    <w:rsid w:val="00F04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870"/>
  </w:style>
  <w:style w:type="character" w:customStyle="1" w:styleId="ui-provider">
    <w:name w:val="ui-provider"/>
    <w:basedOn w:val="DefaultParagraphFont"/>
    <w:rsid w:val="00E50056"/>
  </w:style>
  <w:style w:type="character" w:styleId="Strong">
    <w:name w:val="Strong"/>
    <w:uiPriority w:val="22"/>
    <w:qFormat/>
    <w:rsid w:val="003E38C1"/>
    <w:rPr>
      <w:b/>
      <w:bCs/>
    </w:rPr>
  </w:style>
  <w:style w:type="paragraph" w:styleId="Revision">
    <w:name w:val="Revision"/>
    <w:hidden/>
    <w:uiPriority w:val="99"/>
    <w:semiHidden/>
    <w:rsid w:val="0042067E"/>
    <w:rPr>
      <w:sz w:val="22"/>
      <w:szCs w:val="22"/>
      <w:lang w:eastAsia="en-US"/>
    </w:rPr>
  </w:style>
  <w:style w:type="paragraph" w:styleId="FootnoteText">
    <w:name w:val="footnote text"/>
    <w:basedOn w:val="Normal"/>
    <w:link w:val="FootnoteTextChar"/>
    <w:uiPriority w:val="99"/>
    <w:semiHidden/>
    <w:unhideWhenUsed/>
    <w:rsid w:val="002538F2"/>
    <w:pPr>
      <w:spacing w:after="40" w:line="240" w:lineRule="auto"/>
      <w:ind w:firstLine="709"/>
      <w:jc w:val="both"/>
    </w:pPr>
    <w:rPr>
      <w:rFonts w:ascii="Times New Roman" w:eastAsia="Times New Roman" w:hAnsi="Times New Roman"/>
      <w:sz w:val="18"/>
      <w:szCs w:val="20"/>
    </w:rPr>
  </w:style>
  <w:style w:type="character" w:customStyle="1" w:styleId="FootnoteTextChar">
    <w:name w:val="Footnote Text Char"/>
    <w:link w:val="FootnoteText"/>
    <w:uiPriority w:val="99"/>
    <w:semiHidden/>
    <w:rsid w:val="002538F2"/>
    <w:rPr>
      <w:rFonts w:ascii="Times New Roman" w:eastAsia="Times New Roman" w:hAnsi="Times New Roman"/>
      <w:sz w:val="18"/>
      <w:lang w:eastAsia="en-US"/>
    </w:rPr>
  </w:style>
  <w:style w:type="character" w:styleId="FootnoteReference">
    <w:name w:val="footnote reference"/>
    <w:uiPriority w:val="99"/>
    <w:unhideWhenUsed/>
    <w:rsid w:val="002538F2"/>
    <w:rPr>
      <w:vertAlign w:val="superscript"/>
    </w:rPr>
  </w:style>
  <w:style w:type="paragraph" w:styleId="NoSpacing">
    <w:name w:val="No Spacing"/>
    <w:uiPriority w:val="1"/>
    <w:qFormat/>
    <w:rsid w:val="00C175A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01251">
      <w:bodyDiv w:val="1"/>
      <w:marLeft w:val="0"/>
      <w:marRight w:val="0"/>
      <w:marTop w:val="0"/>
      <w:marBottom w:val="0"/>
      <w:divBdr>
        <w:top w:val="none" w:sz="0" w:space="0" w:color="auto"/>
        <w:left w:val="none" w:sz="0" w:space="0" w:color="auto"/>
        <w:bottom w:val="none" w:sz="0" w:space="0" w:color="auto"/>
        <w:right w:val="none" w:sz="0" w:space="0" w:color="auto"/>
      </w:divBdr>
    </w:div>
    <w:div w:id="664746504">
      <w:bodyDiv w:val="1"/>
      <w:marLeft w:val="0"/>
      <w:marRight w:val="0"/>
      <w:marTop w:val="0"/>
      <w:marBottom w:val="0"/>
      <w:divBdr>
        <w:top w:val="none" w:sz="0" w:space="0" w:color="auto"/>
        <w:left w:val="none" w:sz="0" w:space="0" w:color="auto"/>
        <w:bottom w:val="none" w:sz="0" w:space="0" w:color="auto"/>
        <w:right w:val="none" w:sz="0" w:space="0" w:color="auto"/>
      </w:divBdr>
    </w:div>
    <w:div w:id="1221404455">
      <w:bodyDiv w:val="1"/>
      <w:marLeft w:val="0"/>
      <w:marRight w:val="0"/>
      <w:marTop w:val="0"/>
      <w:marBottom w:val="0"/>
      <w:divBdr>
        <w:top w:val="none" w:sz="0" w:space="0" w:color="auto"/>
        <w:left w:val="none" w:sz="0" w:space="0" w:color="auto"/>
        <w:bottom w:val="none" w:sz="0" w:space="0" w:color="auto"/>
        <w:right w:val="none" w:sz="0" w:space="0" w:color="auto"/>
      </w:divBdr>
    </w:div>
    <w:div w:id="16257725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particip.gov.md/ro/document/stages/anunt-privind-initierea-elaborarii-proiectului-hotararii-guvernului-cu-privire-la-schimbarea-clasei-consulatului-republicii-moldova-in-orasul-padova-republica-italiana-si-modificarea-unor-acte-normative/135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074B6CC1727D4C9C1741A275202D66" ma:contentTypeVersion="16" ma:contentTypeDescription="Creați un document nou." ma:contentTypeScope="" ma:versionID="ed61df1bd01a97c7ce24d6a86e178973">
  <xsd:schema xmlns:xsd="http://www.w3.org/2001/XMLSchema" xmlns:xs="http://www.w3.org/2001/XMLSchema" xmlns:p="http://schemas.microsoft.com/office/2006/metadata/properties" xmlns:ns2="48861a81-1b8b-4f8c-bf2c-d3512a3b1b59" xmlns:ns3="d89666b6-eb5f-416f-9481-684ff84b7fbb" targetNamespace="http://schemas.microsoft.com/office/2006/metadata/properties" ma:root="true" ma:fieldsID="43f5e3de5a206f824eae863975f3e158" ns2:_="" ns3:_="">
    <xsd:import namespace="48861a81-1b8b-4f8c-bf2c-d3512a3b1b59"/>
    <xsd:import namespace="d89666b6-eb5f-416f-9481-684ff84b7f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61a81-1b8b-4f8c-bf2c-d3512a3b1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chete imagine" ma:readOnly="false" ma:fieldId="{5cf76f15-5ced-4ddc-b409-7134ff3c332f}" ma:taxonomyMulti="true" ma:sspId="ef18342c-3873-4b17-a030-b3de3da2e17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66b6-eb5f-416f-9481-684ff84b7fbb" elementFormDefault="qualified">
    <xsd:import namespace="http://schemas.microsoft.com/office/2006/documentManagement/types"/>
    <xsd:import namespace="http://schemas.microsoft.com/office/infopath/2007/PartnerControls"/>
    <xsd:element name="SharedWithUsers" ma:index="1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jat cu detalii" ma:internalName="SharedWithDetails" ma:readOnly="true">
      <xsd:simpleType>
        <xsd:restriction base="dms:Note">
          <xsd:maxLength value="255"/>
        </xsd:restriction>
      </xsd:simpleType>
    </xsd:element>
    <xsd:element name="TaxCatchAll" ma:index="22" nillable="true" ma:displayName="Taxonomy Catch All Column" ma:hidden="true" ma:list="{30bef09a-d695-4fe6-ba47-ca3e13302c0a}" ma:internalName="TaxCatchAll" ma:showField="CatchAllData" ma:web="d89666b6-eb5f-416f-9481-684ff84b7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861a81-1b8b-4f8c-bf2c-d3512a3b1b59">
      <Terms xmlns="http://schemas.microsoft.com/office/infopath/2007/PartnerControls"/>
    </lcf76f155ced4ddcb4097134ff3c332f>
    <TaxCatchAll xmlns="d89666b6-eb5f-416f-9481-684ff84b7fb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3CE77-87A3-4455-8E08-776C1D1A4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61a81-1b8b-4f8c-bf2c-d3512a3b1b59"/>
    <ds:schemaRef ds:uri="d89666b6-eb5f-416f-9481-684ff84b7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3B388-8181-4862-BA5C-816108AE5A2F}">
  <ds:schemaRefs>
    <ds:schemaRef ds:uri="http://schemas.openxmlformats.org/officeDocument/2006/bibliography"/>
  </ds:schemaRefs>
</ds:datastoreItem>
</file>

<file path=customXml/itemProps3.xml><?xml version="1.0" encoding="utf-8"?>
<ds:datastoreItem xmlns:ds="http://schemas.openxmlformats.org/officeDocument/2006/customXml" ds:itemID="{EF49FE60-B6D5-4C6B-A017-FC637AD58EC2}">
  <ds:schemaRefs>
    <ds:schemaRef ds:uri="http://schemas.microsoft.com/office/2006/metadata/properties"/>
    <ds:schemaRef ds:uri="http://schemas.microsoft.com/office/infopath/2007/PartnerControls"/>
    <ds:schemaRef ds:uri="48861a81-1b8b-4f8c-bf2c-d3512a3b1b59"/>
    <ds:schemaRef ds:uri="d89666b6-eb5f-416f-9481-684ff84b7fbb"/>
  </ds:schemaRefs>
</ds:datastoreItem>
</file>

<file path=customXml/itemProps4.xml><?xml version="1.0" encoding="utf-8"?>
<ds:datastoreItem xmlns:ds="http://schemas.openxmlformats.org/officeDocument/2006/customXml" ds:itemID="{C3E4CF6B-12F1-4684-A61F-360580B2B9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Pages>
  <Words>2414</Words>
  <Characters>14004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16386</CharactersWithSpaces>
  <SharedDoc>false</SharedDoc>
  <HLinks>
    <vt:vector size="6" baseType="variant">
      <vt:variant>
        <vt:i4>4194310</vt:i4>
      </vt:variant>
      <vt:variant>
        <vt:i4>0</vt:i4>
      </vt:variant>
      <vt:variant>
        <vt:i4>0</vt:i4>
      </vt:variant>
      <vt:variant>
        <vt:i4>5</vt:i4>
      </vt:variant>
      <vt:variant>
        <vt:lpwstr>https://particip.gov.md/ro/document/stages/anunt-privind-initierea-elaborarii-proiectului-hotararii-guvernului-cu-privire-la-schimbarea-clasei-consulatului-republicii-moldova-in-orasul-padova-republica-italiana-si-modificarea-unor-acte-normative/13560</vt:lpwstr>
      </vt:variant>
      <vt:variant>
        <vt:lpwstr>contentAnchor41112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Arghir</dc:creator>
  <cp:keywords/>
  <dc:description/>
  <cp:lastModifiedBy>Lidia Badia</cp:lastModifiedBy>
  <cp:revision>12</cp:revision>
  <dcterms:created xsi:type="dcterms:W3CDTF">2025-01-15T09:00:00Z</dcterms:created>
  <dcterms:modified xsi:type="dcterms:W3CDTF">2025-01-15T10:15:00Z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4e35d5-db9c-4c03-801d-f4783407a705_Enabled">
    <vt:lpwstr>true</vt:lpwstr>
  </property>
  <property fmtid="{D5CDD505-2E9C-101B-9397-08002B2CF9AE}" pid="3" name="MSIP_Label_5c4e35d5-db9c-4c03-801d-f4783407a705_SetDate">
    <vt:lpwstr>2022-06-27T12:09:15Z</vt:lpwstr>
  </property>
  <property fmtid="{D5CDD505-2E9C-101B-9397-08002B2CF9AE}" pid="4" name="MSIP_Label_5c4e35d5-db9c-4c03-801d-f4783407a705_Method">
    <vt:lpwstr>Standard</vt:lpwstr>
  </property>
  <property fmtid="{D5CDD505-2E9C-101B-9397-08002B2CF9AE}" pid="5" name="MSIP_Label_5c4e35d5-db9c-4c03-801d-f4783407a705_Name">
    <vt:lpwstr>[MFA] Default</vt:lpwstr>
  </property>
  <property fmtid="{D5CDD505-2E9C-101B-9397-08002B2CF9AE}" pid="6" name="MSIP_Label_5c4e35d5-db9c-4c03-801d-f4783407a705_SiteId">
    <vt:lpwstr>8e0fb675-40bd-4ab4-adce-8720cfc45ba7</vt:lpwstr>
  </property>
  <property fmtid="{D5CDD505-2E9C-101B-9397-08002B2CF9AE}" pid="7" name="MSIP_Label_5c4e35d5-db9c-4c03-801d-f4783407a705_ActionId">
    <vt:lpwstr>fc13fca1-8ae5-4cc8-8a4e-31ebe4e99f78</vt:lpwstr>
  </property>
  <property fmtid="{D5CDD505-2E9C-101B-9397-08002B2CF9AE}" pid="8" name="MSIP_Label_5c4e35d5-db9c-4c03-801d-f4783407a705_ContentBits">
    <vt:lpwstr>0</vt:lpwstr>
  </property>
  <property fmtid="{D5CDD505-2E9C-101B-9397-08002B2CF9AE}" pid="9" name="ContentTypeId">
    <vt:lpwstr>0x0101006E074B6CC1727D4C9C1741A275202D66</vt:lpwstr>
  </property>
  <property fmtid="{D5CDD505-2E9C-101B-9397-08002B2CF9AE}" pid="10" name="MediaServiceImageTags">
    <vt:lpwstr/>
  </property>
</Properties>
</file>