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86164" w14:textId="77777777" w:rsidR="004E793B" w:rsidRPr="0033001C" w:rsidRDefault="004E793B" w:rsidP="000330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33001C">
        <w:rPr>
          <w:rFonts w:ascii="Times New Roman" w:hAnsi="Times New Roman" w:cs="Times New Roman"/>
          <w:b/>
          <w:sz w:val="24"/>
          <w:szCs w:val="24"/>
          <w:lang w:val="ro-MD"/>
        </w:rPr>
        <w:t>NOTĂ DE FUNDAMENTARE</w:t>
      </w:r>
    </w:p>
    <w:p w14:paraId="4506811D" w14:textId="0DF0A6FE" w:rsidR="00AF7487" w:rsidRPr="0033001C" w:rsidRDefault="005A6977" w:rsidP="00033017">
      <w:pPr>
        <w:tabs>
          <w:tab w:val="left" w:pos="426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3300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la </w:t>
      </w:r>
      <w:r w:rsidR="00DF710D" w:rsidRPr="003300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proiectul </w:t>
      </w:r>
      <w:r w:rsidR="00AA2F83" w:rsidRPr="003300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ordinului de modificare a </w:t>
      </w:r>
      <w:r w:rsidR="00AF7487" w:rsidRPr="003300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Regulamentului cu privire la selectarea și achiziția manualelor școlare</w:t>
      </w:r>
    </w:p>
    <w:p w14:paraId="395BB4DF" w14:textId="1BDF60D3" w:rsidR="005A6977" w:rsidRPr="0033001C" w:rsidRDefault="005A6977" w:rsidP="000330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0080"/>
      </w:tblGrid>
      <w:tr w:rsidR="00025894" w:rsidRPr="0033001C" w14:paraId="5F0A469F" w14:textId="77777777" w:rsidTr="00A21405">
        <w:trPr>
          <w:trHeight w:val="20"/>
        </w:trPr>
        <w:tc>
          <w:tcPr>
            <w:tcW w:w="10080" w:type="dxa"/>
            <w:shd w:val="clear" w:color="auto" w:fill="C9C9C9" w:themeFill="accent3" w:themeFillTint="99"/>
          </w:tcPr>
          <w:p w14:paraId="0E36954C" w14:textId="1DF38750" w:rsidR="005A6977" w:rsidRPr="0033001C" w:rsidRDefault="004E793B" w:rsidP="00033017">
            <w:pPr>
              <w:pStyle w:val="ListParagraph"/>
              <w:numPr>
                <w:ilvl w:val="0"/>
                <w:numId w:val="1"/>
              </w:numPr>
              <w:ind w:left="45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Denumirea sau numele autorului și, după caz, a/al participanților la elaborarea proiectului actului normativ</w:t>
            </w:r>
          </w:p>
        </w:tc>
      </w:tr>
      <w:tr w:rsidR="00025894" w:rsidRPr="0033001C" w14:paraId="580912EF" w14:textId="77777777" w:rsidTr="00A21405">
        <w:trPr>
          <w:trHeight w:val="20"/>
        </w:trPr>
        <w:tc>
          <w:tcPr>
            <w:tcW w:w="10080" w:type="dxa"/>
          </w:tcPr>
          <w:p w14:paraId="28441C94" w14:textId="1754B4FD" w:rsidR="008D75E6" w:rsidRPr="0033001C" w:rsidRDefault="00DF710D" w:rsidP="00033017">
            <w:pPr>
              <w:ind w:firstLine="4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Proiectul </w:t>
            </w:r>
            <w:r w:rsidR="00AA2F83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ordinului de modificare a </w:t>
            </w:r>
            <w:r w:rsidR="00AF7487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Regulamentului cu privire la selectarea și achiziția manualelor școlare</w:t>
            </w:r>
            <w:r w:rsidR="00C13E42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,</w:t>
            </w:r>
            <w:r w:rsidR="00601A4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C13E42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aprobat prin Ordinul </w:t>
            </w:r>
            <w:r w:rsidR="00C575F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Mi</w:t>
            </w:r>
            <w:r w:rsidR="00C13E42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nistrului </w:t>
            </w:r>
            <w:r w:rsidR="00C575F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</w:t>
            </w:r>
            <w:r w:rsidR="00C13E42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ducației și </w:t>
            </w:r>
            <w:r w:rsidR="00C575F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C</w:t>
            </w:r>
            <w:r w:rsidR="00C13E42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ercetării nr. 300/2022, cu modificările ulterioare</w:t>
            </w:r>
            <w:r w:rsidR="002D1EBF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, </w:t>
            </w:r>
            <w:r w:rsidR="005A6977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este elaborat de către Ministerul Ed</w:t>
            </w:r>
            <w:r w:rsidR="00866FAE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ucației și Cercetării</w:t>
            </w:r>
            <w:r w:rsidR="00AF7487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E793B" w:rsidRPr="0033001C" w14:paraId="77E0283E" w14:textId="77777777" w:rsidTr="00A21405">
        <w:trPr>
          <w:trHeight w:val="20"/>
        </w:trPr>
        <w:tc>
          <w:tcPr>
            <w:tcW w:w="10080" w:type="dxa"/>
            <w:shd w:val="clear" w:color="auto" w:fill="C9C9C9" w:themeFill="accent3" w:themeFillTint="99"/>
          </w:tcPr>
          <w:p w14:paraId="6F284B5D" w14:textId="5F17399C" w:rsidR="004E793B" w:rsidRPr="0033001C" w:rsidRDefault="004E793B" w:rsidP="00033017">
            <w:pPr>
              <w:pStyle w:val="ListParagraph"/>
              <w:numPr>
                <w:ilvl w:val="0"/>
                <w:numId w:val="1"/>
              </w:numPr>
              <w:ind w:left="596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Condițiile ce au impus elaborarea proiectului actului normativ</w:t>
            </w:r>
          </w:p>
        </w:tc>
      </w:tr>
      <w:tr w:rsidR="004E793B" w:rsidRPr="0033001C" w14:paraId="0602485E" w14:textId="77777777" w:rsidTr="00A21405">
        <w:trPr>
          <w:trHeight w:val="20"/>
        </w:trPr>
        <w:tc>
          <w:tcPr>
            <w:tcW w:w="10080" w:type="dxa"/>
            <w:shd w:val="clear" w:color="auto" w:fill="E7E6E6" w:themeFill="background2"/>
          </w:tcPr>
          <w:p w14:paraId="2FD12842" w14:textId="788E89E1" w:rsidR="004E793B" w:rsidRPr="0033001C" w:rsidRDefault="004E793B" w:rsidP="000330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2.1 Temeiul legal sau, după caz, sursa proiectului actului normativ</w:t>
            </w:r>
          </w:p>
        </w:tc>
      </w:tr>
      <w:tr w:rsidR="004E793B" w:rsidRPr="0033001C" w14:paraId="47ED2A83" w14:textId="77777777" w:rsidTr="00A21405">
        <w:trPr>
          <w:trHeight w:val="20"/>
        </w:trPr>
        <w:tc>
          <w:tcPr>
            <w:tcW w:w="10080" w:type="dxa"/>
          </w:tcPr>
          <w:p w14:paraId="195E0B88" w14:textId="51C7FA51" w:rsidR="004E793B" w:rsidRPr="0033001C" w:rsidRDefault="004E793B" w:rsidP="00033017">
            <w:pPr>
              <w:pStyle w:val="BodyText"/>
              <w:tabs>
                <w:tab w:val="left" w:pos="397"/>
                <w:tab w:val="left" w:pos="426"/>
              </w:tabs>
              <w:ind w:left="28" w:right="170" w:firstLine="284"/>
              <w:jc w:val="both"/>
              <w:rPr>
                <w:rFonts w:cs="Times New Roman"/>
                <w:spacing w:val="-1"/>
                <w:sz w:val="24"/>
                <w:szCs w:val="24"/>
                <w:lang w:val="ro-MD"/>
              </w:rPr>
            </w:pPr>
            <w:r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 xml:space="preserve">Regulamentul </w:t>
            </w:r>
            <w:r w:rsidRPr="0033001C">
              <w:rPr>
                <w:rFonts w:cs="Times New Roman"/>
                <w:color w:val="000000" w:themeColor="text1"/>
                <w:sz w:val="24"/>
                <w:szCs w:val="24"/>
                <w:lang w:val="ro-MD"/>
              </w:rPr>
              <w:t>cu privire la selectarea și achiziția manualelor școlare</w:t>
            </w:r>
            <w:r w:rsidRPr="0033001C">
              <w:rPr>
                <w:rFonts w:cs="Times New Roman"/>
                <w:spacing w:val="29"/>
                <w:sz w:val="24"/>
                <w:szCs w:val="24"/>
                <w:lang w:val="ro-MD"/>
              </w:rPr>
              <w:t xml:space="preserve"> </w:t>
            </w:r>
            <w:r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>este</w:t>
            </w:r>
            <w:r w:rsidRPr="0033001C">
              <w:rPr>
                <w:rFonts w:cs="Times New Roman"/>
                <w:spacing w:val="28"/>
                <w:sz w:val="24"/>
                <w:szCs w:val="24"/>
                <w:lang w:val="ro-MD"/>
              </w:rPr>
              <w:t xml:space="preserve"> </w:t>
            </w:r>
            <w:r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>elaborat</w:t>
            </w:r>
            <w:r w:rsidRPr="0033001C">
              <w:rPr>
                <w:rFonts w:cs="Times New Roman"/>
                <w:spacing w:val="29"/>
                <w:sz w:val="24"/>
                <w:szCs w:val="24"/>
                <w:lang w:val="ro-MD"/>
              </w:rPr>
              <w:t xml:space="preserve"> </w:t>
            </w:r>
            <w:r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>în baza prevederilor art. 41 alin. (1) al Codului Educației, pct. 8 al Hotărârii Guvernului nr. 876/2015 „Cu privire la asigurarea cu manuale a elevilor” și</w:t>
            </w:r>
            <w:r w:rsidR="004323DA"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>,</w:t>
            </w:r>
            <w:r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 xml:space="preserve"> stabilește și garantează realizarea cadrului general de evaluare, selectare și achiziție a manualelor școlare. Regulamentul a fost </w:t>
            </w:r>
            <w:r w:rsidRPr="0033001C">
              <w:rPr>
                <w:rFonts w:eastAsiaTheme="minorEastAsia" w:cs="Times New Roman"/>
                <w:color w:val="000000"/>
                <w:sz w:val="24"/>
                <w:szCs w:val="24"/>
                <w:lang w:val="ro-MD" w:eastAsia="ru-RU"/>
              </w:rPr>
              <w:t>aprobat prin Ordinul MEC nr. 300/2022 și al MJ nr. 1714/2023 (publicat în Monitorul Oficial Nr. 135-140 din 06.05.2022, art.514).</w:t>
            </w:r>
          </w:p>
        </w:tc>
      </w:tr>
      <w:tr w:rsidR="004E793B" w:rsidRPr="0033001C" w14:paraId="5D9D8377" w14:textId="77777777" w:rsidTr="00A21405">
        <w:trPr>
          <w:trHeight w:val="20"/>
        </w:trPr>
        <w:tc>
          <w:tcPr>
            <w:tcW w:w="10080" w:type="dxa"/>
            <w:shd w:val="clear" w:color="auto" w:fill="EDEDED" w:themeFill="accent3" w:themeFillTint="33"/>
          </w:tcPr>
          <w:p w14:paraId="7A1047C0" w14:textId="4939B5E8" w:rsidR="004E793B" w:rsidRPr="0033001C" w:rsidRDefault="004E793B" w:rsidP="00033017">
            <w:pPr>
              <w:pStyle w:val="BodyText"/>
              <w:tabs>
                <w:tab w:val="left" w:pos="397"/>
                <w:tab w:val="left" w:pos="426"/>
              </w:tabs>
              <w:ind w:left="28" w:right="170" w:firstLine="284"/>
              <w:jc w:val="both"/>
              <w:rPr>
                <w:rFonts w:cs="Times New Roman"/>
                <w:b/>
                <w:bCs/>
                <w:spacing w:val="-1"/>
                <w:sz w:val="24"/>
                <w:szCs w:val="24"/>
                <w:lang w:val="ro-MD"/>
              </w:rPr>
            </w:pPr>
            <w:r w:rsidRPr="0033001C">
              <w:rPr>
                <w:rFonts w:cs="Times New Roman"/>
                <w:b/>
                <w:bCs/>
                <w:sz w:val="24"/>
                <w:szCs w:val="24"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4E793B" w:rsidRPr="0033001C" w14:paraId="75167167" w14:textId="77777777" w:rsidTr="00A21405">
        <w:trPr>
          <w:trHeight w:val="20"/>
        </w:trPr>
        <w:tc>
          <w:tcPr>
            <w:tcW w:w="10080" w:type="dxa"/>
          </w:tcPr>
          <w:p w14:paraId="0524EFF6" w14:textId="316E6230" w:rsidR="004E793B" w:rsidRPr="0033001C" w:rsidRDefault="004E793B" w:rsidP="00033017">
            <w:pPr>
              <w:pStyle w:val="BodyText"/>
              <w:tabs>
                <w:tab w:val="left" w:pos="397"/>
                <w:tab w:val="left" w:pos="426"/>
              </w:tabs>
              <w:ind w:left="28" w:right="170" w:firstLine="284"/>
              <w:jc w:val="both"/>
              <w:rPr>
                <w:rFonts w:cs="Times New Roman"/>
                <w:spacing w:val="-1"/>
                <w:sz w:val="24"/>
                <w:szCs w:val="24"/>
                <w:lang w:val="ro-MD"/>
              </w:rPr>
            </w:pPr>
            <w:r w:rsidRPr="0033001C">
              <w:rPr>
                <w:rFonts w:cs="Times New Roman"/>
                <w:sz w:val="24"/>
                <w:szCs w:val="24"/>
                <w:shd w:val="clear" w:color="auto" w:fill="FFFFFF"/>
                <w:lang w:val="ro-MD"/>
              </w:rPr>
              <w:t>Urmare a organizării a trei proceduri de achiziții publice privind achiziționarea manualelor școlare pentru învățământul primar, gimnazial și liceal conform prevederilor Regulamentului</w:t>
            </w:r>
            <w:r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>, s-a consta</w:t>
            </w:r>
            <w:r w:rsid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>tat că capacitatea editurilor din</w:t>
            </w:r>
            <w:r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 xml:space="preserve"> R</w:t>
            </w:r>
            <w:r w:rsidR="00580BC7"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 xml:space="preserve">epublica </w:t>
            </w:r>
            <w:r w:rsid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>Mol</w:t>
            </w:r>
            <w:r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>d</w:t>
            </w:r>
            <w:r w:rsid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>o</w:t>
            </w:r>
            <w:r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 xml:space="preserve">va este joasă. Ca rezultat, asigurarea elevilor cu manuale școlare durează mulți ani. Nu a existat nici un proces de achiziție la care să fie ofertate toate titlurile înaintate la concurs. </w:t>
            </w:r>
            <w:r w:rsidR="00010BE9"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 xml:space="preserve">Modificările propuse urmăresc optimizarea și </w:t>
            </w:r>
            <w:r w:rsidR="00EA3627"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>eficientizarea</w:t>
            </w:r>
            <w:r w:rsidR="00010BE9" w:rsidRPr="0033001C">
              <w:rPr>
                <w:rFonts w:cs="Times New Roman"/>
                <w:spacing w:val="-1"/>
                <w:sz w:val="24"/>
                <w:szCs w:val="24"/>
                <w:lang w:val="ro-MD"/>
              </w:rPr>
              <w:t xml:space="preserve"> procesului de achiziție, asigurând transparență și eficiență.</w:t>
            </w:r>
          </w:p>
        </w:tc>
      </w:tr>
      <w:tr w:rsidR="004E793B" w:rsidRPr="0033001C" w14:paraId="33C533CC" w14:textId="77777777" w:rsidTr="00A21405">
        <w:trPr>
          <w:trHeight w:val="20"/>
        </w:trPr>
        <w:tc>
          <w:tcPr>
            <w:tcW w:w="10080" w:type="dxa"/>
            <w:shd w:val="clear" w:color="auto" w:fill="C9C9C9" w:themeFill="accent3" w:themeFillTint="99"/>
          </w:tcPr>
          <w:p w14:paraId="3B11C527" w14:textId="3D5C432A" w:rsidR="004E793B" w:rsidRPr="0033001C" w:rsidRDefault="004E793B" w:rsidP="00033017">
            <w:pPr>
              <w:pStyle w:val="ListParagraph"/>
              <w:numPr>
                <w:ilvl w:val="0"/>
                <w:numId w:val="1"/>
              </w:numPr>
              <w:ind w:left="3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Obiectivele urmărite și soluțiile propuse</w:t>
            </w:r>
          </w:p>
        </w:tc>
      </w:tr>
      <w:tr w:rsidR="004E793B" w:rsidRPr="0033001C" w14:paraId="77235EEE" w14:textId="77777777" w:rsidTr="00A21405">
        <w:trPr>
          <w:trHeight w:val="20"/>
        </w:trPr>
        <w:tc>
          <w:tcPr>
            <w:tcW w:w="10080" w:type="dxa"/>
            <w:shd w:val="clear" w:color="auto" w:fill="EDEDED" w:themeFill="accent3" w:themeFillTint="33"/>
          </w:tcPr>
          <w:p w14:paraId="0E37361B" w14:textId="0E1A7005" w:rsidR="004E793B" w:rsidRPr="0033001C" w:rsidRDefault="004E793B" w:rsidP="00033017">
            <w:pPr>
              <w:pStyle w:val="ListParagraph"/>
              <w:ind w:left="313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3.1. Principalele prevederi ale proiectului și evidențierea elementelor noi</w:t>
            </w:r>
          </w:p>
        </w:tc>
      </w:tr>
      <w:tr w:rsidR="004E793B" w:rsidRPr="0033001C" w14:paraId="7C329674" w14:textId="77777777" w:rsidTr="00A21405">
        <w:trPr>
          <w:trHeight w:val="20"/>
        </w:trPr>
        <w:tc>
          <w:tcPr>
            <w:tcW w:w="10080" w:type="dxa"/>
          </w:tcPr>
          <w:p w14:paraId="6D7B124E" w14:textId="0E78BD2D" w:rsidR="00522C5C" w:rsidRPr="0033001C" w:rsidRDefault="00FE63D7" w:rsidP="00033017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Prin r</w:t>
            </w:r>
            <w:r w:rsidR="00522C5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evizuirea punctului 4)</w:t>
            </w: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se </w:t>
            </w:r>
            <w:r w:rsidR="0031389A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urmărește d</w:t>
            </w:r>
            <w:r w:rsidR="00522C5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etalierea etapelor procedurii de achiziție publică a manualelor, </w:t>
            </w:r>
            <w:r w:rsidR="0031389A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asigurând</w:t>
            </w:r>
            <w:r w:rsidR="00867635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o d</w:t>
            </w:r>
            <w:r w:rsidR="00522C5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efinire precisă a fiecărei etape</w:t>
            </w:r>
            <w:r w:rsidR="00420BDE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,</w:t>
            </w:r>
            <w:r w:rsidR="00522C5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reduc</w:t>
            </w:r>
            <w:r w:rsidR="00420BDE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ând</w:t>
            </w:r>
            <w:r w:rsidR="00522C5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ambiguitățile și facilit</w:t>
            </w:r>
            <w:r w:rsidR="00420BDE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ând</w:t>
            </w:r>
            <w:r w:rsidR="00522C5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înțelegerea procesului de către toți actorii implicați.</w:t>
            </w:r>
            <w:r w:rsidR="00C10B4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522C5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Informarea promptă a operatorilor economici și gestionarea clară a contestațiilor </w:t>
            </w:r>
            <w:r w:rsidR="00C10B4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va </w:t>
            </w:r>
            <w:r w:rsidR="00522C5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contribui la </w:t>
            </w:r>
            <w:r w:rsidR="00C10B4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o</w:t>
            </w:r>
            <w:r w:rsidR="00522C5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concurenț</w:t>
            </w:r>
            <w:r w:rsidR="00C10B4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ă</w:t>
            </w:r>
            <w:r w:rsidR="00522C5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echita</w:t>
            </w:r>
            <w:r w:rsidR="00FB48D6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bilă. Iar s</w:t>
            </w:r>
            <w:r w:rsidR="00522C5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tabilirea unor termene clare pentru fiecare etapă asigură respectarea calendarului și livrarea la timp a manualelor.</w:t>
            </w:r>
            <w:r w:rsidR="00E72C04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Clarificarea etapelor procesului de achiziție publică și stabilirea unor termene fixe pentru evaluare oferă operatorilor economici un mediu de concurență mai predictibil și transparent.</w:t>
            </w:r>
          </w:p>
          <w:p w14:paraId="4F61EE4D" w14:textId="3B7A4AC1" w:rsidR="00CB627A" w:rsidRPr="0033001C" w:rsidRDefault="00494AEA" w:rsidP="00033017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Abrogarea punctului 51 va înlătura prevederile redundante</w:t>
            </w:r>
            <w:r w:rsidR="00976B09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, obținute în urma modificărilor operate la p</w:t>
            </w:r>
            <w:r w:rsidR="008C43A8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unctul </w:t>
            </w:r>
            <w:r w:rsidR="00976B09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4, </w:t>
            </w: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contribui</w:t>
            </w:r>
            <w:r w:rsidR="00976B09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nd</w:t>
            </w: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la un cadru normativ mai coerent și ușor de aplicat.</w:t>
            </w:r>
          </w:p>
          <w:p w14:paraId="3CCACBAE" w14:textId="58C61E7A" w:rsidR="00CB627A" w:rsidRPr="0033001C" w:rsidRDefault="00CB627A" w:rsidP="00033017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O altă prevedere ține de modificarea punctului 69</w:t>
            </w:r>
            <w:bookmarkStart w:id="0" w:name="_GoBack"/>
            <w:bookmarkEnd w:id="0"/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. </w:t>
            </w:r>
            <w:r w:rsidR="00500C6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În contextul modificărilor la pct. 4</w:t>
            </w:r>
            <w:r w:rsidR="00924C0C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, modificare va asigura inițierea</w:t>
            </w: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evaluării calității proiectelor de manuale după prezentarea tuturor proiectelor sau la expirarea a 210 zile de la deschiderea ofertelor.</w:t>
            </w:r>
          </w:p>
          <w:p w14:paraId="1EEBF16B" w14:textId="77777777" w:rsidR="00313744" w:rsidRPr="0033001C" w:rsidRDefault="00313744" w:rsidP="00033017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Modificările propuse la Ordinul nr. 300/2022 au un impact pozitiv asupra procesului de achiziție a manualelor școlare, prin:</w:t>
            </w:r>
          </w:p>
          <w:p w14:paraId="5C9956C2" w14:textId="77777777" w:rsidR="00313744" w:rsidRPr="0033001C" w:rsidRDefault="00313744" w:rsidP="00033017">
            <w:pPr>
              <w:numPr>
                <w:ilvl w:val="0"/>
                <w:numId w:val="20"/>
              </w:num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Îmbunătățirea clarității și transparenței procedurale;</w:t>
            </w:r>
          </w:p>
          <w:p w14:paraId="50D3A795" w14:textId="77777777" w:rsidR="000B0D90" w:rsidRPr="0033001C" w:rsidRDefault="00313744" w:rsidP="00033017">
            <w:pPr>
              <w:numPr>
                <w:ilvl w:val="0"/>
                <w:numId w:val="20"/>
              </w:num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Optimizarea termenelor și etapelor procesului</w:t>
            </w:r>
            <w:r w:rsidR="000B0D90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;</w:t>
            </w:r>
          </w:p>
          <w:p w14:paraId="63C79F2E" w14:textId="157B7861" w:rsidR="000B0D90" w:rsidRPr="0033001C" w:rsidRDefault="000B0D90" w:rsidP="00033017">
            <w:pPr>
              <w:numPr>
                <w:ilvl w:val="0"/>
                <w:numId w:val="20"/>
              </w:num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Eficientizarea procesului de achiziție a manualelor școlare.</w:t>
            </w:r>
          </w:p>
        </w:tc>
      </w:tr>
      <w:tr w:rsidR="004E793B" w:rsidRPr="0033001C" w14:paraId="39C2E488" w14:textId="77777777" w:rsidTr="00A21405">
        <w:trPr>
          <w:trHeight w:val="20"/>
        </w:trPr>
        <w:tc>
          <w:tcPr>
            <w:tcW w:w="10080" w:type="dxa"/>
            <w:shd w:val="clear" w:color="auto" w:fill="EDEDED" w:themeFill="accent3" w:themeFillTint="33"/>
          </w:tcPr>
          <w:p w14:paraId="148E7FA0" w14:textId="049A1656" w:rsidR="004E793B" w:rsidRPr="0033001C" w:rsidRDefault="004E793B" w:rsidP="0003301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3.2. Opțiunile alternative analizate și motivele pentru care acestea nu au fost luate în considerare</w:t>
            </w:r>
          </w:p>
        </w:tc>
      </w:tr>
      <w:tr w:rsidR="004E793B" w:rsidRPr="0033001C" w14:paraId="4DC973B8" w14:textId="77777777" w:rsidTr="00A21405">
        <w:trPr>
          <w:trHeight w:val="20"/>
        </w:trPr>
        <w:tc>
          <w:tcPr>
            <w:tcW w:w="10080" w:type="dxa"/>
          </w:tcPr>
          <w:p w14:paraId="518A9D82" w14:textId="1BA5398B" w:rsidR="004E793B" w:rsidRPr="0033001C" w:rsidRDefault="00E064D8" w:rsidP="000330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Până în pre</w:t>
            </w:r>
            <w:r w:rsidR="009A48C6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z</w:t>
            </w: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ent, achiziția manualelor școlare se realiza în conformitate cu prevederile</w:t>
            </w:r>
            <w:r w:rsidR="009A48C6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Regulamentului, care prevedea procedurile</w:t>
            </w: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standard </w:t>
            </w:r>
            <w:r w:rsidR="00A0017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Legea nr. 131/2015 privind achizițiile pub</w:t>
            </w:r>
            <w:r w:rsid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l</w:t>
            </w:r>
            <w:r w:rsidR="00A0017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ice. </w:t>
            </w:r>
            <w:r w:rsidR="00CD58E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Pentru a spori eficiența procesului de achiziție a manualelor școlare, </w:t>
            </w:r>
            <w:r w:rsidR="00173FB4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a asigura într-un</w:t>
            </w:r>
            <w:r w:rsid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termen optim elevii cu manuale ș</w:t>
            </w:r>
            <w:r w:rsidR="00173FB4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colare, </w:t>
            </w:r>
            <w:r w:rsidR="00CD58E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în beneficiul sistemului educațional din Republica Moldova</w:t>
            </w:r>
            <w:r w:rsidR="00884930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, a fost </w:t>
            </w:r>
            <w:r w:rsidR="0045500B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identificată soluția propusă prin modificările promovate.</w:t>
            </w:r>
          </w:p>
        </w:tc>
      </w:tr>
      <w:tr w:rsidR="004E793B" w:rsidRPr="0033001C" w14:paraId="2D55EE4D" w14:textId="77777777" w:rsidTr="00A21405">
        <w:trPr>
          <w:trHeight w:val="20"/>
        </w:trPr>
        <w:tc>
          <w:tcPr>
            <w:tcW w:w="10080" w:type="dxa"/>
            <w:shd w:val="clear" w:color="auto" w:fill="C9C9C9" w:themeFill="accent3" w:themeFillTint="99"/>
          </w:tcPr>
          <w:p w14:paraId="7084AFB7" w14:textId="36FD1035" w:rsidR="004E793B" w:rsidRPr="0033001C" w:rsidRDefault="004E793B" w:rsidP="00033017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171" w:right="170" w:hanging="142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Analiza impactului de reglementare</w:t>
            </w:r>
          </w:p>
        </w:tc>
      </w:tr>
      <w:tr w:rsidR="004E793B" w:rsidRPr="0033001C" w14:paraId="2102258A" w14:textId="77777777" w:rsidTr="00A21405">
        <w:trPr>
          <w:trHeight w:val="20"/>
        </w:trPr>
        <w:tc>
          <w:tcPr>
            <w:tcW w:w="10080" w:type="dxa"/>
            <w:shd w:val="clear" w:color="auto" w:fill="EDEDED" w:themeFill="accent3" w:themeFillTint="33"/>
          </w:tcPr>
          <w:p w14:paraId="76B536BF" w14:textId="2678C100" w:rsidR="004E793B" w:rsidRPr="0033001C" w:rsidRDefault="004E793B" w:rsidP="00033017">
            <w:pPr>
              <w:tabs>
                <w:tab w:val="left" w:pos="313"/>
              </w:tabs>
              <w:ind w:right="1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4.1. Impactul asupra sectorului public</w:t>
            </w:r>
          </w:p>
        </w:tc>
      </w:tr>
      <w:tr w:rsidR="00173FB4" w:rsidRPr="0033001C" w14:paraId="647DC8C7" w14:textId="77777777" w:rsidTr="00A21405">
        <w:trPr>
          <w:trHeight w:val="20"/>
        </w:trPr>
        <w:tc>
          <w:tcPr>
            <w:tcW w:w="10080" w:type="dxa"/>
            <w:shd w:val="clear" w:color="auto" w:fill="FFFFFF" w:themeFill="background1"/>
          </w:tcPr>
          <w:p w14:paraId="3F54D8B3" w14:textId="3BF17E1A" w:rsidR="00173FB4" w:rsidRPr="0033001C" w:rsidRDefault="00A64269" w:rsidP="00033017">
            <w:pPr>
              <w:tabs>
                <w:tab w:val="left" w:pos="313"/>
              </w:tabs>
              <w:ind w:right="17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Informarea promptă a operatorilor economici și gestionarea contestărilor asigură un mediu transparent. Acest lucru contribuie la reducerea numărului de reclamații și litigii</w:t>
            </w:r>
            <w:r w:rsidR="003B2A31"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E29CBD7" w14:textId="3C68BFCF" w:rsidR="00A64269" w:rsidRPr="0033001C" w:rsidRDefault="004F3610" w:rsidP="00033017">
            <w:pPr>
              <w:tabs>
                <w:tab w:val="left" w:pos="313"/>
              </w:tabs>
              <w:ind w:right="17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Modificările contribuie la profesionalizarea și eficientizarea procesului de achiziție publică a manualelor, asigurând un sistem educațional mai performant și un sector public mai bine organizat.</w:t>
            </w:r>
          </w:p>
        </w:tc>
      </w:tr>
      <w:tr w:rsidR="004E793B" w:rsidRPr="0033001C" w14:paraId="18FD34DE" w14:textId="77777777" w:rsidTr="00A21405">
        <w:trPr>
          <w:trHeight w:val="20"/>
        </w:trPr>
        <w:tc>
          <w:tcPr>
            <w:tcW w:w="10080" w:type="dxa"/>
            <w:shd w:val="clear" w:color="auto" w:fill="EDEDED" w:themeFill="accent3" w:themeFillTint="33"/>
          </w:tcPr>
          <w:p w14:paraId="67F7657C" w14:textId="56FBBBEC" w:rsidR="004E793B" w:rsidRPr="0033001C" w:rsidRDefault="004E793B" w:rsidP="00033017">
            <w:pPr>
              <w:ind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4.2. Impactul financiar și argumentarea costurilor estimative</w:t>
            </w:r>
          </w:p>
        </w:tc>
      </w:tr>
      <w:tr w:rsidR="004E793B" w:rsidRPr="0033001C" w14:paraId="5A14C0A9" w14:textId="77777777" w:rsidTr="00A21405">
        <w:trPr>
          <w:trHeight w:val="20"/>
        </w:trPr>
        <w:tc>
          <w:tcPr>
            <w:tcW w:w="10080" w:type="dxa"/>
          </w:tcPr>
          <w:p w14:paraId="62405BF5" w14:textId="50E53838" w:rsidR="004E793B" w:rsidRPr="0033001C" w:rsidRDefault="001C1F31" w:rsidP="00033017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4E793B" w:rsidRPr="0033001C" w14:paraId="0872F371" w14:textId="77777777" w:rsidTr="00A21405">
        <w:trPr>
          <w:trHeight w:val="20"/>
        </w:trPr>
        <w:tc>
          <w:tcPr>
            <w:tcW w:w="10080" w:type="dxa"/>
            <w:shd w:val="clear" w:color="auto" w:fill="EDEDED" w:themeFill="accent3" w:themeFillTint="33"/>
          </w:tcPr>
          <w:p w14:paraId="3031FAE5" w14:textId="0238CEA0" w:rsidR="004E793B" w:rsidRPr="0033001C" w:rsidRDefault="004E793B" w:rsidP="00033017">
            <w:pPr>
              <w:ind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4.3. Impactul asupra sectorului privat</w:t>
            </w:r>
          </w:p>
        </w:tc>
      </w:tr>
      <w:tr w:rsidR="004E793B" w:rsidRPr="0033001C" w14:paraId="48D06CE9" w14:textId="77777777" w:rsidTr="00A21405">
        <w:trPr>
          <w:trHeight w:val="20"/>
        </w:trPr>
        <w:tc>
          <w:tcPr>
            <w:tcW w:w="10080" w:type="dxa"/>
          </w:tcPr>
          <w:p w14:paraId="46410E5A" w14:textId="41951FB3" w:rsidR="004E793B" w:rsidRPr="0033001C" w:rsidRDefault="00DB65E8" w:rsidP="00033017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Modificările aduse Ordinului nr. 300/2022 au un impact general pozitiv asupra sectorului privat, prin crearea unui mediu de achiziții publice transparent și predictibil. </w:t>
            </w:r>
          </w:p>
        </w:tc>
      </w:tr>
      <w:tr w:rsidR="004E793B" w:rsidRPr="0033001C" w14:paraId="3C41AE01" w14:textId="77777777" w:rsidTr="00A21405">
        <w:trPr>
          <w:trHeight w:val="20"/>
        </w:trPr>
        <w:tc>
          <w:tcPr>
            <w:tcW w:w="10080" w:type="dxa"/>
            <w:shd w:val="clear" w:color="auto" w:fill="EDEDED" w:themeFill="accent3" w:themeFillTint="33"/>
          </w:tcPr>
          <w:p w14:paraId="27E94D28" w14:textId="3EBD383A" w:rsidR="004E793B" w:rsidRPr="0033001C" w:rsidRDefault="004E793B" w:rsidP="00033017">
            <w:pPr>
              <w:ind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4.4. Impactul social</w:t>
            </w:r>
          </w:p>
        </w:tc>
      </w:tr>
      <w:tr w:rsidR="004E793B" w:rsidRPr="0033001C" w14:paraId="391B169F" w14:textId="77777777" w:rsidTr="00A21405">
        <w:trPr>
          <w:trHeight w:val="20"/>
        </w:trPr>
        <w:tc>
          <w:tcPr>
            <w:tcW w:w="10080" w:type="dxa"/>
            <w:shd w:val="clear" w:color="auto" w:fill="EDEDED" w:themeFill="accent3" w:themeFillTint="33"/>
          </w:tcPr>
          <w:p w14:paraId="39EC4B8C" w14:textId="29E08913" w:rsidR="004E793B" w:rsidRPr="0033001C" w:rsidRDefault="004E793B" w:rsidP="00033017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4.4.1. Impactul asupra datelor cu caracter personal</w:t>
            </w:r>
          </w:p>
        </w:tc>
      </w:tr>
      <w:tr w:rsidR="004E793B" w:rsidRPr="0033001C" w14:paraId="79950107" w14:textId="77777777" w:rsidTr="00A21405">
        <w:trPr>
          <w:trHeight w:val="20"/>
        </w:trPr>
        <w:tc>
          <w:tcPr>
            <w:tcW w:w="10080" w:type="dxa"/>
          </w:tcPr>
          <w:p w14:paraId="26071A9F" w14:textId="5ADF7780" w:rsidR="004E793B" w:rsidRPr="0033001C" w:rsidRDefault="00751B12" w:rsidP="00033017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4E793B" w:rsidRPr="0033001C" w14:paraId="1C90BEFE" w14:textId="77777777" w:rsidTr="00A21405">
        <w:trPr>
          <w:trHeight w:val="20"/>
        </w:trPr>
        <w:tc>
          <w:tcPr>
            <w:tcW w:w="10080" w:type="dxa"/>
            <w:shd w:val="clear" w:color="auto" w:fill="EDEDED" w:themeFill="accent3" w:themeFillTint="33"/>
          </w:tcPr>
          <w:p w14:paraId="068AF975" w14:textId="521576E8" w:rsidR="004E793B" w:rsidRPr="0033001C" w:rsidRDefault="004E793B" w:rsidP="00033017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4.4.2. Impactul asupra echității și egalității de gen</w:t>
            </w:r>
          </w:p>
        </w:tc>
      </w:tr>
      <w:tr w:rsidR="004E793B" w:rsidRPr="0033001C" w14:paraId="5A58BDE8" w14:textId="77777777" w:rsidTr="00A21405">
        <w:trPr>
          <w:trHeight w:val="20"/>
        </w:trPr>
        <w:tc>
          <w:tcPr>
            <w:tcW w:w="10080" w:type="dxa"/>
          </w:tcPr>
          <w:p w14:paraId="04981B37" w14:textId="17FF65F2" w:rsidR="004E793B" w:rsidRPr="0033001C" w:rsidRDefault="00751B12" w:rsidP="00033017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4E793B" w:rsidRPr="0033001C" w14:paraId="376F6B89" w14:textId="77777777" w:rsidTr="00A21405">
        <w:trPr>
          <w:trHeight w:val="20"/>
        </w:trPr>
        <w:tc>
          <w:tcPr>
            <w:tcW w:w="10080" w:type="dxa"/>
            <w:shd w:val="clear" w:color="auto" w:fill="EDEDED" w:themeFill="accent3" w:themeFillTint="33"/>
          </w:tcPr>
          <w:p w14:paraId="737A572E" w14:textId="30BDF34F" w:rsidR="004E793B" w:rsidRPr="0033001C" w:rsidRDefault="004E793B" w:rsidP="00033017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4.5. Impactul asupra mediului</w:t>
            </w:r>
          </w:p>
        </w:tc>
      </w:tr>
      <w:tr w:rsidR="004E793B" w:rsidRPr="0033001C" w14:paraId="7CC667CA" w14:textId="77777777" w:rsidTr="00A21405">
        <w:trPr>
          <w:trHeight w:val="20"/>
        </w:trPr>
        <w:tc>
          <w:tcPr>
            <w:tcW w:w="10080" w:type="dxa"/>
          </w:tcPr>
          <w:p w14:paraId="11837FB1" w14:textId="3BF6C1F1" w:rsidR="004E793B" w:rsidRPr="0033001C" w:rsidRDefault="00751B12" w:rsidP="00033017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4E793B" w:rsidRPr="0033001C" w14:paraId="78EF74DB" w14:textId="77777777" w:rsidTr="00A21405">
        <w:trPr>
          <w:trHeight w:val="20"/>
        </w:trPr>
        <w:tc>
          <w:tcPr>
            <w:tcW w:w="10080" w:type="dxa"/>
            <w:shd w:val="clear" w:color="auto" w:fill="EDEDED" w:themeFill="accent3" w:themeFillTint="33"/>
          </w:tcPr>
          <w:p w14:paraId="7404D86B" w14:textId="2DFA1E20" w:rsidR="004E793B" w:rsidRPr="0033001C" w:rsidRDefault="004E793B" w:rsidP="00033017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4.6. Alte impacturi și informații relevante</w:t>
            </w:r>
          </w:p>
        </w:tc>
      </w:tr>
      <w:tr w:rsidR="004E793B" w:rsidRPr="0033001C" w14:paraId="0794597B" w14:textId="77777777" w:rsidTr="00A21405">
        <w:trPr>
          <w:trHeight w:val="20"/>
        </w:trPr>
        <w:tc>
          <w:tcPr>
            <w:tcW w:w="10080" w:type="dxa"/>
          </w:tcPr>
          <w:p w14:paraId="0F4C9247" w14:textId="6CCB82B4" w:rsidR="004E793B" w:rsidRPr="0033001C" w:rsidRDefault="003E168D" w:rsidP="00033017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Impactul asupra beneficiarilor </w:t>
            </w:r>
            <w:r w:rsidR="00DB5128"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(elevi, profesori, părinți) </w:t>
            </w: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este în principal pozitiv, asigurând accesul </w:t>
            </w:r>
            <w:r w:rsidR="00DB5128"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într-un termen mai scurt </w:t>
            </w: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manuale școlare de calitate, </w:t>
            </w:r>
            <w:r w:rsidR="00DB5128"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corespundere cu </w:t>
            </w:r>
            <w:proofErr w:type="spellStart"/>
            <w:r w:rsidR="00DB5128"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curricula</w:t>
            </w:r>
            <w:proofErr w:type="spellEnd"/>
            <w:r w:rsidR="00DB5128"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școlară, </w:t>
            </w: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adaptate standardelor educaționale moderne. Acest lucru contribuie la îmbunătățirea actului educațional și la creșterea încrederii în sistemul de învățământ, cu beneficii pe termen lung pentru întreaga societate. </w:t>
            </w:r>
          </w:p>
        </w:tc>
      </w:tr>
      <w:tr w:rsidR="004E793B" w:rsidRPr="0033001C" w14:paraId="1FA46318" w14:textId="77777777" w:rsidTr="00A21405">
        <w:trPr>
          <w:trHeight w:val="20"/>
        </w:trPr>
        <w:tc>
          <w:tcPr>
            <w:tcW w:w="10080" w:type="dxa"/>
            <w:shd w:val="clear" w:color="auto" w:fill="C9C9C9" w:themeFill="accent3" w:themeFillTint="99"/>
          </w:tcPr>
          <w:p w14:paraId="74529829" w14:textId="4CBA1C49" w:rsidR="004E793B" w:rsidRPr="0033001C" w:rsidRDefault="004E793B" w:rsidP="00033017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29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Compatibilitatea proiectului actului normativ cu legislația UE </w:t>
            </w:r>
          </w:p>
        </w:tc>
      </w:tr>
      <w:tr w:rsidR="004E793B" w:rsidRPr="0033001C" w14:paraId="787BE054" w14:textId="77777777" w:rsidTr="00A21405">
        <w:trPr>
          <w:trHeight w:val="20"/>
        </w:trPr>
        <w:tc>
          <w:tcPr>
            <w:tcW w:w="10080" w:type="dxa"/>
            <w:shd w:val="clear" w:color="auto" w:fill="EDEDED" w:themeFill="accent3" w:themeFillTint="33"/>
          </w:tcPr>
          <w:p w14:paraId="00F95699" w14:textId="3105F120" w:rsidR="004E793B" w:rsidRPr="0033001C" w:rsidRDefault="004E793B" w:rsidP="000330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4E793B" w:rsidRPr="0033001C" w14:paraId="3AD90F34" w14:textId="77777777" w:rsidTr="00A21405">
        <w:trPr>
          <w:trHeight w:val="237"/>
        </w:trPr>
        <w:tc>
          <w:tcPr>
            <w:tcW w:w="10080" w:type="dxa"/>
          </w:tcPr>
          <w:p w14:paraId="6F4811A0" w14:textId="0DD93AAB" w:rsidR="004E793B" w:rsidRPr="0033001C" w:rsidRDefault="00E418AB" w:rsidP="000330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4E793B" w:rsidRPr="0033001C" w14:paraId="3C4F5818" w14:textId="77777777" w:rsidTr="00A21405">
        <w:trPr>
          <w:trHeight w:val="491"/>
        </w:trPr>
        <w:tc>
          <w:tcPr>
            <w:tcW w:w="10080" w:type="dxa"/>
            <w:shd w:val="clear" w:color="auto" w:fill="EDEDED" w:themeFill="accent3" w:themeFillTint="33"/>
          </w:tcPr>
          <w:p w14:paraId="2DCD6959" w14:textId="4A5EEE04" w:rsidR="004E793B" w:rsidRPr="0033001C" w:rsidRDefault="004E793B" w:rsidP="000330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4E793B" w:rsidRPr="0033001C" w14:paraId="6E9AF4CA" w14:textId="77777777" w:rsidTr="00A21405">
        <w:trPr>
          <w:trHeight w:val="246"/>
        </w:trPr>
        <w:tc>
          <w:tcPr>
            <w:tcW w:w="10080" w:type="dxa"/>
          </w:tcPr>
          <w:p w14:paraId="39F106B4" w14:textId="36DDF402" w:rsidR="004E793B" w:rsidRPr="0033001C" w:rsidRDefault="004E793B" w:rsidP="0003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Nu este aplicabil</w:t>
            </w:r>
          </w:p>
        </w:tc>
      </w:tr>
      <w:tr w:rsidR="004E793B" w:rsidRPr="0033001C" w14:paraId="2535CCFD" w14:textId="77777777" w:rsidTr="00A21405">
        <w:trPr>
          <w:trHeight w:val="20"/>
        </w:trPr>
        <w:tc>
          <w:tcPr>
            <w:tcW w:w="10080" w:type="dxa"/>
            <w:shd w:val="clear" w:color="auto" w:fill="C9C9C9" w:themeFill="accent3" w:themeFillTint="99"/>
          </w:tcPr>
          <w:p w14:paraId="34290872" w14:textId="09516116" w:rsidR="004E793B" w:rsidRPr="0033001C" w:rsidRDefault="004E793B" w:rsidP="0003301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313" w:hanging="28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Avizarea și consultarea publică a proiectului actului normativ</w:t>
            </w:r>
          </w:p>
        </w:tc>
      </w:tr>
      <w:tr w:rsidR="004E793B" w:rsidRPr="0033001C" w14:paraId="4FA4086F" w14:textId="77777777" w:rsidTr="00A21405">
        <w:trPr>
          <w:trHeight w:val="20"/>
        </w:trPr>
        <w:tc>
          <w:tcPr>
            <w:tcW w:w="10080" w:type="dxa"/>
          </w:tcPr>
          <w:p w14:paraId="602729B6" w14:textId="77777777" w:rsidR="00054655" w:rsidRPr="0033001C" w:rsidRDefault="004E793B" w:rsidP="000330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În scopul respectării prevederilor Legii nr. 239/2008 privind transparența în procesul decizional, proiectul a fost plasat pe pagina web oficială a Ministerului Educației și Cercetării </w:t>
            </w:r>
            <w:hyperlink r:id="rId7" w:history="1">
              <w:r w:rsidRPr="0033001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www.mec.gov.md</w:t>
              </w:r>
            </w:hyperlink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, compartimentul Transparență, directoriul Transparență decizională, secțiunea Modul de participare. </w:t>
            </w:r>
            <w:hyperlink r:id="rId8" w:history="1">
              <w:r w:rsidR="00054655" w:rsidRPr="0033001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particip.gov.md/ro/document/stages/ministerul-educatiei-si-cercetarii-propune-pentru-consultare-publica-modificarile-la-regulamentul-cu-privire-la-selectarea-si-achizitia-manualelor-scolare-aprobat-prin-ordinul-mec-nr-3002022-cu-modificarile-ulterioare-monitorul-oficial-al-republicii-moldova-2022-nr-135-140-art-514/13812</w:t>
              </w:r>
            </w:hyperlink>
            <w:r w:rsidR="00054655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</w:p>
          <w:p w14:paraId="6ABC29FF" w14:textId="72B100B2" w:rsidR="004E793B" w:rsidRPr="0033001C" w:rsidRDefault="004E793B" w:rsidP="000330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Totodată Ministerul a consultat</w:t>
            </w:r>
            <w:r w:rsidR="008E79A5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modificările promovate</w:t>
            </w: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cu operatorii economici participanți </w:t>
            </w:r>
            <w:r w:rsidR="00664796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la</w:t>
            </w:r>
            <w:r w:rsid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achiz</w:t>
            </w: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iții</w:t>
            </w:r>
            <w:r w:rsidR="008E79A5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le</w:t>
            </w:r>
            <w:r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de manuale școlare</w:t>
            </w:r>
            <w:r w:rsidR="00664796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4E793B" w:rsidRPr="0033001C" w14:paraId="6098736F" w14:textId="77777777" w:rsidTr="00A21405">
        <w:trPr>
          <w:trHeight w:val="20"/>
        </w:trPr>
        <w:tc>
          <w:tcPr>
            <w:tcW w:w="10080" w:type="dxa"/>
            <w:shd w:val="clear" w:color="auto" w:fill="C9C9C9" w:themeFill="accent3" w:themeFillTint="99"/>
          </w:tcPr>
          <w:p w14:paraId="6AF553B0" w14:textId="4A2B661A" w:rsidR="004E793B" w:rsidRPr="0033001C" w:rsidRDefault="004E793B" w:rsidP="0003301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7. Concluziile expertizelor</w:t>
            </w:r>
          </w:p>
        </w:tc>
      </w:tr>
      <w:tr w:rsidR="004E793B" w:rsidRPr="0033001C" w14:paraId="7BE81223" w14:textId="77777777" w:rsidTr="00A21405">
        <w:trPr>
          <w:trHeight w:val="282"/>
        </w:trPr>
        <w:tc>
          <w:tcPr>
            <w:tcW w:w="10080" w:type="dxa"/>
          </w:tcPr>
          <w:p w14:paraId="6B38C4F0" w14:textId="706C5C9E" w:rsidR="004E793B" w:rsidRPr="0033001C" w:rsidRDefault="004E793B" w:rsidP="0003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Proiectul urmează a fi supus expertizării </w:t>
            </w:r>
            <w:r w:rsidR="00664796" w:rsidRPr="0033001C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la Ministerul Justiției </w:t>
            </w:r>
            <w:r w:rsidR="00A21405" w:rsidRPr="0033001C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ș</w:t>
            </w:r>
            <w:r w:rsidR="00664796" w:rsidRPr="0033001C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i </w:t>
            </w:r>
            <w:r w:rsidR="00394277" w:rsidRPr="0033001C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Centrul Național Anticorupție. </w:t>
            </w:r>
          </w:p>
        </w:tc>
      </w:tr>
      <w:tr w:rsidR="004E793B" w:rsidRPr="0033001C" w14:paraId="6ED705F8" w14:textId="77777777" w:rsidTr="00A21405">
        <w:trPr>
          <w:trHeight w:val="20"/>
        </w:trPr>
        <w:tc>
          <w:tcPr>
            <w:tcW w:w="10080" w:type="dxa"/>
            <w:shd w:val="clear" w:color="auto" w:fill="C9C9C9" w:themeFill="accent3" w:themeFillTint="99"/>
          </w:tcPr>
          <w:p w14:paraId="3B5CB6A1" w14:textId="12E5E8C2" w:rsidR="004E793B" w:rsidRPr="0033001C" w:rsidRDefault="004E793B" w:rsidP="0003301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8. Modul de încorporare a actului în cadrul normativ existent</w:t>
            </w:r>
          </w:p>
        </w:tc>
      </w:tr>
      <w:tr w:rsidR="004E793B" w:rsidRPr="0033001C" w14:paraId="3573ECA8" w14:textId="77777777" w:rsidTr="00A21405">
        <w:trPr>
          <w:trHeight w:val="369"/>
        </w:trPr>
        <w:tc>
          <w:tcPr>
            <w:tcW w:w="10080" w:type="dxa"/>
          </w:tcPr>
          <w:p w14:paraId="17F88E33" w14:textId="1FF1BBBA" w:rsidR="004E793B" w:rsidRPr="0033001C" w:rsidRDefault="004E793B" w:rsidP="000330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Proiectul se încorporează în cadrul normativ în vigoare și nu necesită modificarea/abrogarea unor acte normative.</w:t>
            </w:r>
          </w:p>
        </w:tc>
      </w:tr>
      <w:tr w:rsidR="004E793B" w:rsidRPr="0033001C" w14:paraId="7BFC30CE" w14:textId="77777777" w:rsidTr="00A21405">
        <w:trPr>
          <w:trHeight w:val="20"/>
        </w:trPr>
        <w:tc>
          <w:tcPr>
            <w:tcW w:w="10080" w:type="dxa"/>
            <w:shd w:val="clear" w:color="auto" w:fill="C9C9C9" w:themeFill="accent3" w:themeFillTint="99"/>
          </w:tcPr>
          <w:p w14:paraId="70580672" w14:textId="54DDF203" w:rsidR="004E793B" w:rsidRPr="0033001C" w:rsidRDefault="004E793B" w:rsidP="0003301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9. Măsurile necesare pentru implementarea prevederilor proiectului actului normativ</w:t>
            </w:r>
          </w:p>
        </w:tc>
      </w:tr>
      <w:tr w:rsidR="004E793B" w:rsidRPr="0033001C" w14:paraId="34D0EE24" w14:textId="77777777" w:rsidTr="00A21405">
        <w:trPr>
          <w:trHeight w:val="507"/>
        </w:trPr>
        <w:tc>
          <w:tcPr>
            <w:tcW w:w="10080" w:type="dxa"/>
          </w:tcPr>
          <w:p w14:paraId="37117C0E" w14:textId="015981BC" w:rsidR="004E793B" w:rsidRPr="0033001C" w:rsidRDefault="004E793B" w:rsidP="001924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394277" w:rsidRPr="003300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Ordinul de modificare </w:t>
            </w:r>
            <w:r w:rsidR="00394277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a Regulamentului cu privire la selectarea și achiziția manualelor școlare, aprobat prin Ordinul Ministrului Educației și Cercetării nr. 300/2022, cu modificările ulterioare, urmează a fi publica</w:t>
            </w:r>
            <w:r w:rsidR="001725AD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</w:t>
            </w:r>
            <w:r w:rsidR="00394277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în </w:t>
            </w:r>
            <w:r w:rsidR="00192432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M</w:t>
            </w:r>
            <w:r w:rsidR="00394277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onitorul </w:t>
            </w:r>
            <w:r w:rsidR="00192432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O</w:t>
            </w:r>
            <w:r w:rsidR="00394277" w:rsidRPr="00330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ficial.</w:t>
            </w:r>
          </w:p>
        </w:tc>
      </w:tr>
    </w:tbl>
    <w:p w14:paraId="601C4A25" w14:textId="77777777" w:rsidR="00D86CFD" w:rsidRPr="0033001C" w:rsidRDefault="008D75E6" w:rsidP="000330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3300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br/>
      </w:r>
    </w:p>
    <w:p w14:paraId="2F5AE9FD" w14:textId="171355A7" w:rsidR="00D86CFD" w:rsidRPr="0033001C" w:rsidRDefault="00025894" w:rsidP="000330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3300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M</w:t>
      </w:r>
      <w:r w:rsidR="00F44BB2" w:rsidRPr="003300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inistru </w:t>
      </w:r>
      <w:r w:rsidR="005A6977" w:rsidRPr="003300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                           </w:t>
      </w:r>
      <w:r w:rsidR="008A4B05" w:rsidRPr="003300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ab/>
      </w:r>
      <w:r w:rsidR="008A4B05" w:rsidRPr="003300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ab/>
      </w:r>
      <w:r w:rsidR="005A6977" w:rsidRPr="003300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      </w:t>
      </w:r>
      <w:r w:rsidR="007300E6" w:rsidRPr="003300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Dan PERCIUN</w:t>
      </w:r>
    </w:p>
    <w:p w14:paraId="5D20A72C" w14:textId="77777777" w:rsidR="00D06899" w:rsidRPr="0033001C" w:rsidRDefault="00D06899" w:rsidP="0003301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</w:pPr>
    </w:p>
    <w:p w14:paraId="789636A2" w14:textId="48BA324A" w:rsidR="00E63660" w:rsidRPr="0033001C" w:rsidRDefault="00A21405" w:rsidP="0003301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</w:pPr>
      <w:r w:rsidRPr="0033001C"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  <w:t>E</w:t>
      </w:r>
      <w:r w:rsidR="00E63660" w:rsidRPr="0033001C"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  <w:t>x</w:t>
      </w:r>
      <w:r w:rsidRPr="0033001C"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  <w:t>.</w:t>
      </w:r>
      <w:r w:rsidR="00AC1A88" w:rsidRPr="0033001C"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  <w:t>:</w:t>
      </w:r>
      <w:r w:rsidR="00E63660" w:rsidRPr="0033001C"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  <w:t xml:space="preserve"> </w:t>
      </w:r>
      <w:proofErr w:type="spellStart"/>
      <w:r w:rsidR="008B6CC2" w:rsidRPr="0033001C"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  <w:t>A.Pris</w:t>
      </w:r>
      <w:r w:rsidRPr="0033001C"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  <w:t>ă</w:t>
      </w:r>
      <w:r w:rsidR="008B6CC2" w:rsidRPr="0033001C"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  <w:t>caru</w:t>
      </w:r>
      <w:proofErr w:type="spellEnd"/>
      <w:r w:rsidR="0099364C" w:rsidRPr="0033001C"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  <w:t>, t</w:t>
      </w:r>
      <w:r w:rsidR="00E63660" w:rsidRPr="0033001C"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  <w:t>el. 0 22 </w:t>
      </w:r>
      <w:r w:rsidR="008B6CC2" w:rsidRPr="0033001C"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  <w:t>232785</w:t>
      </w:r>
      <w:r w:rsidR="00E63660" w:rsidRPr="0033001C">
        <w:rPr>
          <w:rFonts w:ascii="Times New Roman" w:hAnsi="Times New Roman" w:cs="Times New Roman"/>
          <w:color w:val="000000" w:themeColor="text1"/>
          <w:sz w:val="20"/>
          <w:szCs w:val="20"/>
          <w:lang w:val="ro-MD"/>
        </w:rPr>
        <w:t xml:space="preserve"> </w:t>
      </w:r>
    </w:p>
    <w:sectPr w:rsidR="00E63660" w:rsidRPr="0033001C" w:rsidSect="00CE6ADA">
      <w:footerReference w:type="default" r:id="rId9"/>
      <w:pgSz w:w="11906" w:h="16838" w:code="9"/>
      <w:pgMar w:top="851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7CB83" w14:textId="77777777" w:rsidR="007F6010" w:rsidRDefault="007F6010" w:rsidP="009139A1">
      <w:pPr>
        <w:spacing w:after="0" w:line="240" w:lineRule="auto"/>
      </w:pPr>
      <w:r>
        <w:separator/>
      </w:r>
    </w:p>
  </w:endnote>
  <w:endnote w:type="continuationSeparator" w:id="0">
    <w:p w14:paraId="4FA432F9" w14:textId="77777777" w:rsidR="007F6010" w:rsidRDefault="007F6010" w:rsidP="0091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421FD" w14:textId="77777777" w:rsidR="009139A1" w:rsidRDefault="009139A1">
    <w:pPr>
      <w:pStyle w:val="Footer"/>
      <w:jc w:val="right"/>
    </w:pPr>
  </w:p>
  <w:p w14:paraId="3458B3CA" w14:textId="77777777" w:rsidR="009139A1" w:rsidRDefault="00913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D5432" w14:textId="77777777" w:rsidR="007F6010" w:rsidRDefault="007F6010" w:rsidP="009139A1">
      <w:pPr>
        <w:spacing w:after="0" w:line="240" w:lineRule="auto"/>
      </w:pPr>
      <w:r>
        <w:separator/>
      </w:r>
    </w:p>
  </w:footnote>
  <w:footnote w:type="continuationSeparator" w:id="0">
    <w:p w14:paraId="70592545" w14:textId="77777777" w:rsidR="007F6010" w:rsidRDefault="007F6010" w:rsidP="0091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0F4"/>
    <w:multiLevelType w:val="hybridMultilevel"/>
    <w:tmpl w:val="5240CBB6"/>
    <w:lvl w:ilvl="0" w:tplc="A92ECB50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0E28571D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2" w15:restartNumberingAfterBreak="0">
    <w:nsid w:val="14D3201E"/>
    <w:multiLevelType w:val="hybridMultilevel"/>
    <w:tmpl w:val="A8B4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1261"/>
    <w:multiLevelType w:val="hybridMultilevel"/>
    <w:tmpl w:val="A0CA0C48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C952DC12">
      <w:start w:val="1"/>
      <w:numFmt w:val="bullet"/>
      <w:lvlText w:val="•"/>
      <w:lvlJc w:val="left"/>
      <w:pPr>
        <w:ind w:left="203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" w15:restartNumberingAfterBreak="0">
    <w:nsid w:val="24E80B1A"/>
    <w:multiLevelType w:val="multilevel"/>
    <w:tmpl w:val="32ECD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52793"/>
    <w:multiLevelType w:val="hybridMultilevel"/>
    <w:tmpl w:val="B6D485BC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C952DC12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6" w15:restartNumberingAfterBreak="0">
    <w:nsid w:val="2E7F0B89"/>
    <w:multiLevelType w:val="multilevel"/>
    <w:tmpl w:val="50F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36CF5"/>
    <w:multiLevelType w:val="multilevel"/>
    <w:tmpl w:val="8C1C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440BF"/>
    <w:multiLevelType w:val="hybridMultilevel"/>
    <w:tmpl w:val="57A2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F3CF9"/>
    <w:multiLevelType w:val="hybridMultilevel"/>
    <w:tmpl w:val="BF20CB4C"/>
    <w:lvl w:ilvl="0" w:tplc="97F61C4E">
      <w:start w:val="1"/>
      <w:numFmt w:val="upperLetter"/>
      <w:lvlText w:val="%1."/>
      <w:lvlJc w:val="left"/>
      <w:pPr>
        <w:ind w:left="862" w:hanging="29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C86639C">
      <w:start w:val="1"/>
      <w:numFmt w:val="bullet"/>
      <w:lvlText w:val=""/>
      <w:lvlJc w:val="left"/>
      <w:pPr>
        <w:ind w:left="710" w:hanging="284"/>
      </w:pPr>
      <w:rPr>
        <w:rFonts w:ascii="Symbol" w:eastAsia="Symbol" w:hAnsi="Symbol" w:hint="default"/>
        <w:sz w:val="24"/>
        <w:szCs w:val="24"/>
      </w:rPr>
    </w:lvl>
    <w:lvl w:ilvl="2" w:tplc="F33E326E">
      <w:start w:val="1"/>
      <w:numFmt w:val="bullet"/>
      <w:lvlText w:val="•"/>
      <w:lvlJc w:val="left"/>
      <w:pPr>
        <w:ind w:left="2172" w:hanging="284"/>
      </w:pPr>
    </w:lvl>
    <w:lvl w:ilvl="3" w:tplc="3110AB94">
      <w:start w:val="1"/>
      <w:numFmt w:val="bullet"/>
      <w:lvlText w:val="•"/>
      <w:lvlJc w:val="left"/>
      <w:pPr>
        <w:ind w:left="3208" w:hanging="284"/>
      </w:pPr>
    </w:lvl>
    <w:lvl w:ilvl="4" w:tplc="D23260DC">
      <w:start w:val="1"/>
      <w:numFmt w:val="bullet"/>
      <w:lvlText w:val="•"/>
      <w:lvlJc w:val="left"/>
      <w:pPr>
        <w:ind w:left="4244" w:hanging="284"/>
      </w:pPr>
    </w:lvl>
    <w:lvl w:ilvl="5" w:tplc="655CE728">
      <w:start w:val="1"/>
      <w:numFmt w:val="bullet"/>
      <w:lvlText w:val="•"/>
      <w:lvlJc w:val="left"/>
      <w:pPr>
        <w:ind w:left="5280" w:hanging="284"/>
      </w:pPr>
    </w:lvl>
    <w:lvl w:ilvl="6" w:tplc="A482C11A">
      <w:start w:val="1"/>
      <w:numFmt w:val="bullet"/>
      <w:lvlText w:val="•"/>
      <w:lvlJc w:val="left"/>
      <w:pPr>
        <w:ind w:left="6317" w:hanging="284"/>
      </w:pPr>
    </w:lvl>
    <w:lvl w:ilvl="7" w:tplc="8CF650E6">
      <w:start w:val="1"/>
      <w:numFmt w:val="bullet"/>
      <w:lvlText w:val="•"/>
      <w:lvlJc w:val="left"/>
      <w:pPr>
        <w:ind w:left="7353" w:hanging="284"/>
      </w:pPr>
    </w:lvl>
    <w:lvl w:ilvl="8" w:tplc="1728D96A">
      <w:start w:val="1"/>
      <w:numFmt w:val="bullet"/>
      <w:lvlText w:val="•"/>
      <w:lvlJc w:val="left"/>
      <w:pPr>
        <w:ind w:left="8389" w:hanging="284"/>
      </w:pPr>
    </w:lvl>
  </w:abstractNum>
  <w:abstractNum w:abstractNumId="10" w15:restartNumberingAfterBreak="0">
    <w:nsid w:val="3AE65967"/>
    <w:multiLevelType w:val="hybridMultilevel"/>
    <w:tmpl w:val="06FC495C"/>
    <w:lvl w:ilvl="0" w:tplc="675A6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7F04"/>
    <w:multiLevelType w:val="hybridMultilevel"/>
    <w:tmpl w:val="2112F94C"/>
    <w:lvl w:ilvl="0" w:tplc="84F88218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/>
        <w:strike w:val="0"/>
        <w:dstrike w:val="0"/>
        <w:color w:val="auto"/>
        <w:w w:val="87"/>
        <w:sz w:val="24"/>
        <w:szCs w:val="24"/>
        <w:u w:val="none"/>
        <w:effect w:val="none"/>
      </w:rPr>
    </w:lvl>
    <w:lvl w:ilvl="1" w:tplc="4426D900">
      <w:start w:val="1"/>
      <w:numFmt w:val="lowerLetter"/>
      <w:lvlText w:val="%2)"/>
      <w:lvlJc w:val="left"/>
      <w:pPr>
        <w:ind w:left="540" w:hanging="286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2" w:tplc="7E40F268">
      <w:start w:val="1"/>
      <w:numFmt w:val="bullet"/>
      <w:lvlText w:val="•"/>
      <w:lvlJc w:val="left"/>
      <w:pPr>
        <w:ind w:left="679" w:hanging="286"/>
      </w:pPr>
    </w:lvl>
    <w:lvl w:ilvl="3" w:tplc="0E809BEA">
      <w:start w:val="1"/>
      <w:numFmt w:val="bullet"/>
      <w:lvlText w:val="•"/>
      <w:lvlJc w:val="left"/>
      <w:pPr>
        <w:ind w:left="779" w:hanging="286"/>
      </w:pPr>
    </w:lvl>
    <w:lvl w:ilvl="4" w:tplc="0B08A856">
      <w:start w:val="1"/>
      <w:numFmt w:val="bullet"/>
      <w:lvlText w:val="•"/>
      <w:lvlJc w:val="left"/>
      <w:pPr>
        <w:ind w:left="2072" w:hanging="286"/>
      </w:pPr>
    </w:lvl>
    <w:lvl w:ilvl="5" w:tplc="717E8208">
      <w:start w:val="1"/>
      <w:numFmt w:val="bullet"/>
      <w:lvlText w:val="•"/>
      <w:lvlJc w:val="left"/>
      <w:pPr>
        <w:ind w:left="3364" w:hanging="286"/>
      </w:pPr>
    </w:lvl>
    <w:lvl w:ilvl="6" w:tplc="0EE496FA">
      <w:start w:val="1"/>
      <w:numFmt w:val="bullet"/>
      <w:lvlText w:val="•"/>
      <w:lvlJc w:val="left"/>
      <w:pPr>
        <w:ind w:left="4656" w:hanging="286"/>
      </w:pPr>
    </w:lvl>
    <w:lvl w:ilvl="7" w:tplc="8AA0AC86">
      <w:start w:val="1"/>
      <w:numFmt w:val="bullet"/>
      <w:lvlText w:val="•"/>
      <w:lvlJc w:val="left"/>
      <w:pPr>
        <w:ind w:left="5949" w:hanging="286"/>
      </w:pPr>
    </w:lvl>
    <w:lvl w:ilvl="8" w:tplc="3AECC812">
      <w:start w:val="1"/>
      <w:numFmt w:val="bullet"/>
      <w:lvlText w:val="•"/>
      <w:lvlJc w:val="left"/>
      <w:pPr>
        <w:ind w:left="7241" w:hanging="286"/>
      </w:pPr>
    </w:lvl>
  </w:abstractNum>
  <w:abstractNum w:abstractNumId="12" w15:restartNumberingAfterBreak="0">
    <w:nsid w:val="3EC54595"/>
    <w:multiLevelType w:val="hybridMultilevel"/>
    <w:tmpl w:val="412EF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73376"/>
    <w:multiLevelType w:val="hybridMultilevel"/>
    <w:tmpl w:val="C2D88E92"/>
    <w:lvl w:ilvl="0" w:tplc="C952DC1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A5599"/>
    <w:multiLevelType w:val="multilevel"/>
    <w:tmpl w:val="20C6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A70829"/>
    <w:multiLevelType w:val="multilevel"/>
    <w:tmpl w:val="666E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CC1426"/>
    <w:multiLevelType w:val="hybridMultilevel"/>
    <w:tmpl w:val="3F9CC134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09BEF906">
      <w:start w:val="1"/>
      <w:numFmt w:val="bullet"/>
      <w:lvlText w:val="-"/>
      <w:lvlJc w:val="left"/>
      <w:pPr>
        <w:ind w:left="2035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7" w15:restartNumberingAfterBreak="0">
    <w:nsid w:val="607B1037"/>
    <w:multiLevelType w:val="hybridMultilevel"/>
    <w:tmpl w:val="9AC2B338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7DE08356">
      <w:start w:val="2"/>
      <w:numFmt w:val="bullet"/>
      <w:lvlText w:val="-"/>
      <w:lvlJc w:val="left"/>
      <w:pPr>
        <w:ind w:left="203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8" w15:restartNumberingAfterBreak="0">
    <w:nsid w:val="7804732E"/>
    <w:multiLevelType w:val="hybridMultilevel"/>
    <w:tmpl w:val="EA58BA34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9" w15:restartNumberingAfterBreak="0">
    <w:nsid w:val="7AA1435B"/>
    <w:multiLevelType w:val="hybridMultilevel"/>
    <w:tmpl w:val="7A381C70"/>
    <w:lvl w:ilvl="0" w:tplc="9BA8E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</w:num>
  <w:num w:numId="7">
    <w:abstractNumId w:val="0"/>
  </w:num>
  <w:num w:numId="8">
    <w:abstractNumId w:val="16"/>
  </w:num>
  <w:num w:numId="9">
    <w:abstractNumId w:val="17"/>
  </w:num>
  <w:num w:numId="10">
    <w:abstractNumId w:val="5"/>
  </w:num>
  <w:num w:numId="11">
    <w:abstractNumId w:val="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3"/>
  </w:num>
  <w:num w:numId="15">
    <w:abstractNumId w:val="19"/>
  </w:num>
  <w:num w:numId="16">
    <w:abstractNumId w:val="4"/>
  </w:num>
  <w:num w:numId="17">
    <w:abstractNumId w:val="7"/>
  </w:num>
  <w:num w:numId="18">
    <w:abstractNumId w:val="15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7"/>
    <w:rsid w:val="00002647"/>
    <w:rsid w:val="00010BE9"/>
    <w:rsid w:val="0002060C"/>
    <w:rsid w:val="00021EC8"/>
    <w:rsid w:val="00025894"/>
    <w:rsid w:val="00027F81"/>
    <w:rsid w:val="00033017"/>
    <w:rsid w:val="00033721"/>
    <w:rsid w:val="00035FAE"/>
    <w:rsid w:val="00050127"/>
    <w:rsid w:val="00054655"/>
    <w:rsid w:val="000659EE"/>
    <w:rsid w:val="000A0A76"/>
    <w:rsid w:val="000A3872"/>
    <w:rsid w:val="000A572E"/>
    <w:rsid w:val="000B0D90"/>
    <w:rsid w:val="000C2123"/>
    <w:rsid w:val="000C36C6"/>
    <w:rsid w:val="000C6E54"/>
    <w:rsid w:val="000D612E"/>
    <w:rsid w:val="000D6487"/>
    <w:rsid w:val="000E7F0D"/>
    <w:rsid w:val="001011EA"/>
    <w:rsid w:val="00110AAC"/>
    <w:rsid w:val="0011736A"/>
    <w:rsid w:val="001232D9"/>
    <w:rsid w:val="00131A27"/>
    <w:rsid w:val="0013229A"/>
    <w:rsid w:val="00132EEC"/>
    <w:rsid w:val="0013332C"/>
    <w:rsid w:val="00133A5A"/>
    <w:rsid w:val="001353D4"/>
    <w:rsid w:val="00136656"/>
    <w:rsid w:val="00156E01"/>
    <w:rsid w:val="001622D3"/>
    <w:rsid w:val="00170882"/>
    <w:rsid w:val="001725AD"/>
    <w:rsid w:val="00173FB4"/>
    <w:rsid w:val="00192432"/>
    <w:rsid w:val="001B2E3E"/>
    <w:rsid w:val="001C1F31"/>
    <w:rsid w:val="001D2277"/>
    <w:rsid w:val="001D2594"/>
    <w:rsid w:val="0020403C"/>
    <w:rsid w:val="00221FC0"/>
    <w:rsid w:val="0022364D"/>
    <w:rsid w:val="00226E3E"/>
    <w:rsid w:val="00234428"/>
    <w:rsid w:val="00235670"/>
    <w:rsid w:val="002657AF"/>
    <w:rsid w:val="00287EB6"/>
    <w:rsid w:val="002B1D1E"/>
    <w:rsid w:val="002D1EBF"/>
    <w:rsid w:val="002F35D5"/>
    <w:rsid w:val="003124C9"/>
    <w:rsid w:val="00312841"/>
    <w:rsid w:val="00313744"/>
    <w:rsid w:val="0031389A"/>
    <w:rsid w:val="00320339"/>
    <w:rsid w:val="0033001C"/>
    <w:rsid w:val="0034421F"/>
    <w:rsid w:val="00345E5E"/>
    <w:rsid w:val="003575BD"/>
    <w:rsid w:val="00357B05"/>
    <w:rsid w:val="00363308"/>
    <w:rsid w:val="00366EDA"/>
    <w:rsid w:val="003729F1"/>
    <w:rsid w:val="00380EBC"/>
    <w:rsid w:val="003914EE"/>
    <w:rsid w:val="00394277"/>
    <w:rsid w:val="003B2A31"/>
    <w:rsid w:val="003B77C3"/>
    <w:rsid w:val="003D34AA"/>
    <w:rsid w:val="003E168D"/>
    <w:rsid w:val="00401EE2"/>
    <w:rsid w:val="004075EB"/>
    <w:rsid w:val="004112EE"/>
    <w:rsid w:val="00411F9F"/>
    <w:rsid w:val="00414277"/>
    <w:rsid w:val="004168B3"/>
    <w:rsid w:val="00420BDE"/>
    <w:rsid w:val="00423886"/>
    <w:rsid w:val="004323DA"/>
    <w:rsid w:val="00437449"/>
    <w:rsid w:val="00451A97"/>
    <w:rsid w:val="004543A5"/>
    <w:rsid w:val="0045500B"/>
    <w:rsid w:val="00461D5B"/>
    <w:rsid w:val="004676BE"/>
    <w:rsid w:val="004726B7"/>
    <w:rsid w:val="004855E8"/>
    <w:rsid w:val="00490D36"/>
    <w:rsid w:val="0049427E"/>
    <w:rsid w:val="00494AEA"/>
    <w:rsid w:val="004B0060"/>
    <w:rsid w:val="004D1B32"/>
    <w:rsid w:val="004E793B"/>
    <w:rsid w:val="004F131E"/>
    <w:rsid w:val="004F3610"/>
    <w:rsid w:val="00500C6B"/>
    <w:rsid w:val="005057A9"/>
    <w:rsid w:val="00512467"/>
    <w:rsid w:val="00522383"/>
    <w:rsid w:val="00522C5C"/>
    <w:rsid w:val="00535966"/>
    <w:rsid w:val="005409CC"/>
    <w:rsid w:val="00562191"/>
    <w:rsid w:val="0056548B"/>
    <w:rsid w:val="00570E39"/>
    <w:rsid w:val="00580777"/>
    <w:rsid w:val="00580BC7"/>
    <w:rsid w:val="005A2701"/>
    <w:rsid w:val="005A6977"/>
    <w:rsid w:val="005A7FC7"/>
    <w:rsid w:val="005B1AB2"/>
    <w:rsid w:val="005B215D"/>
    <w:rsid w:val="005B3F02"/>
    <w:rsid w:val="005C3D40"/>
    <w:rsid w:val="005E6079"/>
    <w:rsid w:val="00601A4C"/>
    <w:rsid w:val="0061106C"/>
    <w:rsid w:val="006163DA"/>
    <w:rsid w:val="00621FC5"/>
    <w:rsid w:val="00646F55"/>
    <w:rsid w:val="00664796"/>
    <w:rsid w:val="00664D70"/>
    <w:rsid w:val="0068133C"/>
    <w:rsid w:val="006839EE"/>
    <w:rsid w:val="00687323"/>
    <w:rsid w:val="00692AB4"/>
    <w:rsid w:val="00695CE2"/>
    <w:rsid w:val="006A55C7"/>
    <w:rsid w:val="006B110B"/>
    <w:rsid w:val="006B6FD1"/>
    <w:rsid w:val="006B76C6"/>
    <w:rsid w:val="006C6ABA"/>
    <w:rsid w:val="006E26BA"/>
    <w:rsid w:val="006E7AD5"/>
    <w:rsid w:val="007042B5"/>
    <w:rsid w:val="007077E5"/>
    <w:rsid w:val="00711450"/>
    <w:rsid w:val="007300E6"/>
    <w:rsid w:val="00751B12"/>
    <w:rsid w:val="00760219"/>
    <w:rsid w:val="00784C46"/>
    <w:rsid w:val="0079279F"/>
    <w:rsid w:val="00792A8F"/>
    <w:rsid w:val="007A5BC2"/>
    <w:rsid w:val="007D1514"/>
    <w:rsid w:val="007F32D8"/>
    <w:rsid w:val="007F5A3F"/>
    <w:rsid w:val="007F6010"/>
    <w:rsid w:val="007F78BF"/>
    <w:rsid w:val="00804BBF"/>
    <w:rsid w:val="00834A40"/>
    <w:rsid w:val="00855940"/>
    <w:rsid w:val="008660C1"/>
    <w:rsid w:val="00866FAE"/>
    <w:rsid w:val="00867635"/>
    <w:rsid w:val="00872A6F"/>
    <w:rsid w:val="00874D9B"/>
    <w:rsid w:val="00877E15"/>
    <w:rsid w:val="00884930"/>
    <w:rsid w:val="00884B4C"/>
    <w:rsid w:val="00885F88"/>
    <w:rsid w:val="00892F89"/>
    <w:rsid w:val="008A4B05"/>
    <w:rsid w:val="008A5902"/>
    <w:rsid w:val="008B2A84"/>
    <w:rsid w:val="008B2D82"/>
    <w:rsid w:val="008B6CC2"/>
    <w:rsid w:val="008C106E"/>
    <w:rsid w:val="008C1F30"/>
    <w:rsid w:val="008C43A8"/>
    <w:rsid w:val="008C6510"/>
    <w:rsid w:val="008D5BE6"/>
    <w:rsid w:val="008D66A9"/>
    <w:rsid w:val="008D75E6"/>
    <w:rsid w:val="008E00D8"/>
    <w:rsid w:val="008E56AB"/>
    <w:rsid w:val="008E79A5"/>
    <w:rsid w:val="008E7B6F"/>
    <w:rsid w:val="008F2AA6"/>
    <w:rsid w:val="008F7C16"/>
    <w:rsid w:val="009139A1"/>
    <w:rsid w:val="00924C0C"/>
    <w:rsid w:val="00931476"/>
    <w:rsid w:val="00942F3C"/>
    <w:rsid w:val="00951BFD"/>
    <w:rsid w:val="009545B3"/>
    <w:rsid w:val="00956471"/>
    <w:rsid w:val="00961B0D"/>
    <w:rsid w:val="009621C9"/>
    <w:rsid w:val="00972644"/>
    <w:rsid w:val="00973AA7"/>
    <w:rsid w:val="00976B09"/>
    <w:rsid w:val="00985306"/>
    <w:rsid w:val="0099364C"/>
    <w:rsid w:val="009A48C6"/>
    <w:rsid w:val="009B0E8F"/>
    <w:rsid w:val="009C7602"/>
    <w:rsid w:val="009D2B5A"/>
    <w:rsid w:val="009F238F"/>
    <w:rsid w:val="009F271B"/>
    <w:rsid w:val="00A0017B"/>
    <w:rsid w:val="00A038E0"/>
    <w:rsid w:val="00A0637F"/>
    <w:rsid w:val="00A06896"/>
    <w:rsid w:val="00A101A3"/>
    <w:rsid w:val="00A161C2"/>
    <w:rsid w:val="00A20B67"/>
    <w:rsid w:val="00A21405"/>
    <w:rsid w:val="00A2190A"/>
    <w:rsid w:val="00A25C06"/>
    <w:rsid w:val="00A34618"/>
    <w:rsid w:val="00A40967"/>
    <w:rsid w:val="00A43EEC"/>
    <w:rsid w:val="00A61877"/>
    <w:rsid w:val="00A64269"/>
    <w:rsid w:val="00A66131"/>
    <w:rsid w:val="00A6677E"/>
    <w:rsid w:val="00A7202F"/>
    <w:rsid w:val="00A76AC3"/>
    <w:rsid w:val="00A83C5A"/>
    <w:rsid w:val="00A86E22"/>
    <w:rsid w:val="00A878E3"/>
    <w:rsid w:val="00A94BEB"/>
    <w:rsid w:val="00A94E35"/>
    <w:rsid w:val="00AA2F83"/>
    <w:rsid w:val="00AA6005"/>
    <w:rsid w:val="00AC1A88"/>
    <w:rsid w:val="00AE4657"/>
    <w:rsid w:val="00AF3D2F"/>
    <w:rsid w:val="00AF7487"/>
    <w:rsid w:val="00B031EB"/>
    <w:rsid w:val="00B15710"/>
    <w:rsid w:val="00B20E78"/>
    <w:rsid w:val="00B27E33"/>
    <w:rsid w:val="00B301FA"/>
    <w:rsid w:val="00B32205"/>
    <w:rsid w:val="00B35E9F"/>
    <w:rsid w:val="00B47CF3"/>
    <w:rsid w:val="00B533B5"/>
    <w:rsid w:val="00B545D8"/>
    <w:rsid w:val="00B740A1"/>
    <w:rsid w:val="00B83A0C"/>
    <w:rsid w:val="00BA2C89"/>
    <w:rsid w:val="00BB0B72"/>
    <w:rsid w:val="00BB0D73"/>
    <w:rsid w:val="00BC48A4"/>
    <w:rsid w:val="00BE41DB"/>
    <w:rsid w:val="00BE79B8"/>
    <w:rsid w:val="00BF5302"/>
    <w:rsid w:val="00BF6DD8"/>
    <w:rsid w:val="00C10B4B"/>
    <w:rsid w:val="00C11C6A"/>
    <w:rsid w:val="00C13E42"/>
    <w:rsid w:val="00C15397"/>
    <w:rsid w:val="00C34A73"/>
    <w:rsid w:val="00C467A5"/>
    <w:rsid w:val="00C46B25"/>
    <w:rsid w:val="00C52558"/>
    <w:rsid w:val="00C56696"/>
    <w:rsid w:val="00C575FB"/>
    <w:rsid w:val="00C611FA"/>
    <w:rsid w:val="00C620A7"/>
    <w:rsid w:val="00C71421"/>
    <w:rsid w:val="00C77F89"/>
    <w:rsid w:val="00C816BF"/>
    <w:rsid w:val="00C828A2"/>
    <w:rsid w:val="00C836E6"/>
    <w:rsid w:val="00C8790D"/>
    <w:rsid w:val="00C911F2"/>
    <w:rsid w:val="00C954D8"/>
    <w:rsid w:val="00CA607B"/>
    <w:rsid w:val="00CB4ED6"/>
    <w:rsid w:val="00CB627A"/>
    <w:rsid w:val="00CC3EFF"/>
    <w:rsid w:val="00CC5248"/>
    <w:rsid w:val="00CD1ACB"/>
    <w:rsid w:val="00CD58EB"/>
    <w:rsid w:val="00CD796F"/>
    <w:rsid w:val="00CE1AD4"/>
    <w:rsid w:val="00CE6ADA"/>
    <w:rsid w:val="00CF35CE"/>
    <w:rsid w:val="00D03B1C"/>
    <w:rsid w:val="00D06899"/>
    <w:rsid w:val="00D0774B"/>
    <w:rsid w:val="00D1773E"/>
    <w:rsid w:val="00D341B6"/>
    <w:rsid w:val="00D36043"/>
    <w:rsid w:val="00D61D25"/>
    <w:rsid w:val="00D70E75"/>
    <w:rsid w:val="00D74085"/>
    <w:rsid w:val="00D741F3"/>
    <w:rsid w:val="00D86CFD"/>
    <w:rsid w:val="00D93D2E"/>
    <w:rsid w:val="00DA755E"/>
    <w:rsid w:val="00DB1872"/>
    <w:rsid w:val="00DB5128"/>
    <w:rsid w:val="00DB65E8"/>
    <w:rsid w:val="00DD2CEE"/>
    <w:rsid w:val="00DE1F0D"/>
    <w:rsid w:val="00DE28B9"/>
    <w:rsid w:val="00DE6540"/>
    <w:rsid w:val="00DF710D"/>
    <w:rsid w:val="00E0089A"/>
    <w:rsid w:val="00E064D8"/>
    <w:rsid w:val="00E418AB"/>
    <w:rsid w:val="00E43455"/>
    <w:rsid w:val="00E53469"/>
    <w:rsid w:val="00E5515D"/>
    <w:rsid w:val="00E60755"/>
    <w:rsid w:val="00E63660"/>
    <w:rsid w:val="00E72B15"/>
    <w:rsid w:val="00E72C04"/>
    <w:rsid w:val="00EA3627"/>
    <w:rsid w:val="00EB77AD"/>
    <w:rsid w:val="00EC557F"/>
    <w:rsid w:val="00EC75B5"/>
    <w:rsid w:val="00F0552C"/>
    <w:rsid w:val="00F13C5F"/>
    <w:rsid w:val="00F16D23"/>
    <w:rsid w:val="00F2203B"/>
    <w:rsid w:val="00F22B34"/>
    <w:rsid w:val="00F27F6D"/>
    <w:rsid w:val="00F329B9"/>
    <w:rsid w:val="00F44BB2"/>
    <w:rsid w:val="00F810B7"/>
    <w:rsid w:val="00FA0274"/>
    <w:rsid w:val="00FA57E6"/>
    <w:rsid w:val="00FB1690"/>
    <w:rsid w:val="00FB27AF"/>
    <w:rsid w:val="00FB48D6"/>
    <w:rsid w:val="00FE3643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60B1"/>
  <w15:docId w15:val="{C693B965-4D46-411A-B444-EA20E4A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977"/>
    <w:pPr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49427E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6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E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977"/>
    <w:pPr>
      <w:spacing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34"/>
    <w:qFormat/>
    <w:rsid w:val="005A6977"/>
    <w:pPr>
      <w:ind w:left="720"/>
      <w:contextualSpacing/>
    </w:pPr>
  </w:style>
  <w:style w:type="paragraph" w:customStyle="1" w:styleId="Default">
    <w:name w:val="Default"/>
    <w:rsid w:val="005A6977"/>
    <w:pPr>
      <w:autoSpaceDE w:val="0"/>
      <w:autoSpaceDN w:val="0"/>
      <w:adjustRightInd w:val="0"/>
      <w:spacing w:after="0" w:line="240" w:lineRule="auto"/>
      <w:jc w:val="left"/>
    </w:pPr>
    <w:rPr>
      <w:color w:val="000000"/>
      <w:lang w:val="ru-RU"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basedOn w:val="DefaultParagraphFont"/>
    <w:link w:val="ListParagraph"/>
    <w:uiPriority w:val="34"/>
    <w:locked/>
    <w:rsid w:val="005A6977"/>
    <w:rPr>
      <w:rFonts w:ascii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F2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810B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71421"/>
    <w:pPr>
      <w:widowControl w:val="0"/>
      <w:spacing w:after="0" w:line="240" w:lineRule="auto"/>
      <w:ind w:left="842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71421"/>
    <w:rPr>
      <w:rFonts w:eastAsia="Times New Roman" w:cstheme="minorBidi"/>
      <w:sz w:val="28"/>
      <w:szCs w:val="28"/>
      <w:lang w:val="en-US"/>
    </w:rPr>
  </w:style>
  <w:style w:type="character" w:styleId="Emphasis">
    <w:name w:val="Emphasis"/>
    <w:qFormat/>
    <w:rsid w:val="004676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9"/>
    <w:rsid w:val="0049427E"/>
    <w:rPr>
      <w:rFonts w:eastAsia="Times New Roman" w:cstheme="minorBidi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E0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236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object">
    <w:name w:val="object"/>
    <w:basedOn w:val="DefaultParagraphFont"/>
    <w:rsid w:val="00B740A1"/>
  </w:style>
  <w:style w:type="paragraph" w:styleId="NormalWeb">
    <w:name w:val="Normal (Web)"/>
    <w:basedOn w:val="Normal"/>
    <w:uiPriority w:val="99"/>
    <w:semiHidden/>
    <w:unhideWhenUsed/>
    <w:rsid w:val="00973AA7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4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ministerul-educatiei-si-cercetarii-propune-pentru-consultare-publica-modificarile-la-regulamentul-cu-privire-la-selectarea-si-achizitia-manualelor-scolare-aprobat-prin-ordinul-mec-nr-3002022-cu-modificarile-ulterioare-monitorul-oficial-al-republicii-moldova-2022-nr-135-140-art-514/138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c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1135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Angela Prisacaru</cp:lastModifiedBy>
  <cp:revision>62</cp:revision>
  <cp:lastPrinted>2021-11-04T06:37:00Z</cp:lastPrinted>
  <dcterms:created xsi:type="dcterms:W3CDTF">2025-01-20T18:03:00Z</dcterms:created>
  <dcterms:modified xsi:type="dcterms:W3CDTF">2025-01-21T12:11:00Z</dcterms:modified>
</cp:coreProperties>
</file>