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D4F75" w14:textId="77777777" w:rsidR="00353C8D" w:rsidRPr="00353C8D" w:rsidRDefault="00353C8D" w:rsidP="00353C8D">
      <w:pPr>
        <w:spacing w:after="0" w:line="240" w:lineRule="auto"/>
        <w:jc w:val="center"/>
        <w:rPr>
          <w:rFonts w:ascii="Times New Roman" w:hAnsi="Times New Roman" w:cs="Times New Roman"/>
          <w:b/>
          <w:bCs/>
          <w:sz w:val="20"/>
          <w:szCs w:val="20"/>
          <w:lang w:val="ro-RO"/>
        </w:rPr>
      </w:pPr>
    </w:p>
    <w:p w14:paraId="4314E086" w14:textId="2D212F38" w:rsidR="0069707E" w:rsidRPr="00464498" w:rsidRDefault="002B7619" w:rsidP="00DD4258">
      <w:pPr>
        <w:spacing w:after="0" w:line="276" w:lineRule="auto"/>
        <w:jc w:val="center"/>
        <w:rPr>
          <w:rFonts w:ascii="Times New Roman" w:hAnsi="Times New Roman" w:cs="Times New Roman"/>
          <w:b/>
          <w:bCs/>
          <w:sz w:val="24"/>
          <w:szCs w:val="24"/>
          <w:lang w:val="ro-MD"/>
        </w:rPr>
      </w:pPr>
      <w:r>
        <w:rPr>
          <w:rFonts w:ascii="Times New Roman" w:hAnsi="Times New Roman" w:cs="Times New Roman"/>
          <w:b/>
          <w:bCs/>
          <w:sz w:val="24"/>
          <w:szCs w:val="24"/>
          <w:lang w:val="ro-RO"/>
        </w:rPr>
        <w:t>Tabelul de sinteză</w:t>
      </w:r>
      <w:r w:rsidR="00464498">
        <w:rPr>
          <w:rFonts w:ascii="Times New Roman" w:hAnsi="Times New Roman" w:cs="Times New Roman"/>
          <w:b/>
          <w:bCs/>
          <w:sz w:val="24"/>
          <w:szCs w:val="24"/>
          <w:lang w:val="ro-RO"/>
        </w:rPr>
        <w:t xml:space="preserve"> a obiec</w:t>
      </w:r>
      <w:r w:rsidR="00464498">
        <w:rPr>
          <w:rFonts w:ascii="Times New Roman" w:hAnsi="Times New Roman" w:cs="Times New Roman"/>
          <w:b/>
          <w:bCs/>
          <w:sz w:val="24"/>
          <w:szCs w:val="24"/>
          <w:lang w:val="ro-MD"/>
        </w:rPr>
        <w:t>țiilor, propunerilor, recomandărilor</w:t>
      </w:r>
    </w:p>
    <w:p w14:paraId="450F1201" w14:textId="04D7325B" w:rsidR="005F620C" w:rsidRDefault="00D34E77" w:rsidP="00115276">
      <w:pPr>
        <w:spacing w:after="0" w:line="276" w:lineRule="auto"/>
        <w:jc w:val="center"/>
        <w:rPr>
          <w:rFonts w:ascii="Times New Roman" w:hAnsi="Times New Roman" w:cs="Times New Roman"/>
          <w:b/>
          <w:bCs/>
          <w:i/>
          <w:iCs/>
          <w:lang w:val="en-US"/>
        </w:rPr>
      </w:pPr>
      <w:r w:rsidRPr="007B46EF">
        <w:rPr>
          <w:rFonts w:ascii="Times New Roman" w:hAnsi="Times New Roman" w:cs="Times New Roman"/>
          <w:b/>
          <w:bCs/>
          <w:i/>
          <w:iCs/>
          <w:lang w:val="ro-RO"/>
        </w:rPr>
        <w:t xml:space="preserve">la proiectul de </w:t>
      </w:r>
      <w:proofErr w:type="spellStart"/>
      <w:r w:rsidR="00115276" w:rsidRPr="00115276">
        <w:rPr>
          <w:rFonts w:ascii="Times New Roman" w:hAnsi="Times New Roman" w:cs="Times New Roman"/>
          <w:b/>
          <w:bCs/>
          <w:i/>
          <w:iCs/>
          <w:lang w:val="en-US"/>
        </w:rPr>
        <w:t>hotărâre</w:t>
      </w:r>
      <w:proofErr w:type="spellEnd"/>
      <w:r w:rsidR="00115276" w:rsidRPr="00115276">
        <w:rPr>
          <w:rFonts w:ascii="Times New Roman" w:hAnsi="Times New Roman" w:cs="Times New Roman"/>
          <w:b/>
          <w:bCs/>
          <w:i/>
          <w:iCs/>
          <w:lang w:val="en-US"/>
        </w:rPr>
        <w:t xml:space="preserve"> a </w:t>
      </w:r>
      <w:proofErr w:type="spellStart"/>
      <w:r w:rsidR="00115276" w:rsidRPr="00115276">
        <w:rPr>
          <w:rFonts w:ascii="Times New Roman" w:hAnsi="Times New Roman" w:cs="Times New Roman"/>
          <w:b/>
          <w:bCs/>
          <w:i/>
          <w:iCs/>
          <w:lang w:val="en-US"/>
        </w:rPr>
        <w:t>Guvernului</w:t>
      </w:r>
      <w:proofErr w:type="spellEnd"/>
      <w:r w:rsidR="00115276" w:rsidRPr="00115276">
        <w:rPr>
          <w:rFonts w:ascii="Times New Roman" w:hAnsi="Times New Roman" w:cs="Times New Roman"/>
          <w:b/>
          <w:bCs/>
          <w:i/>
          <w:iCs/>
          <w:lang w:val="en-US"/>
        </w:rPr>
        <w:t xml:space="preserve"> cu </w:t>
      </w:r>
      <w:proofErr w:type="spellStart"/>
      <w:r w:rsidR="00115276" w:rsidRPr="00115276">
        <w:rPr>
          <w:rFonts w:ascii="Times New Roman" w:hAnsi="Times New Roman" w:cs="Times New Roman"/>
          <w:b/>
          <w:bCs/>
          <w:i/>
          <w:iCs/>
          <w:lang w:val="en-US"/>
        </w:rPr>
        <w:t>privire</w:t>
      </w:r>
      <w:proofErr w:type="spellEnd"/>
      <w:r w:rsidR="00115276" w:rsidRPr="00115276">
        <w:rPr>
          <w:rFonts w:ascii="Times New Roman" w:hAnsi="Times New Roman" w:cs="Times New Roman"/>
          <w:b/>
          <w:bCs/>
          <w:i/>
          <w:iCs/>
          <w:lang w:val="en-US"/>
        </w:rPr>
        <w:t xml:space="preserve"> la </w:t>
      </w:r>
      <w:proofErr w:type="spellStart"/>
      <w:r w:rsidR="00115276" w:rsidRPr="00115276">
        <w:rPr>
          <w:rFonts w:ascii="Times New Roman" w:hAnsi="Times New Roman" w:cs="Times New Roman"/>
          <w:b/>
          <w:bCs/>
          <w:i/>
          <w:iCs/>
          <w:lang w:val="en-US"/>
        </w:rPr>
        <w:t>aprobarea</w:t>
      </w:r>
      <w:proofErr w:type="spellEnd"/>
      <w:r w:rsidR="00115276" w:rsidRPr="00115276">
        <w:rPr>
          <w:rFonts w:ascii="Times New Roman" w:hAnsi="Times New Roman" w:cs="Times New Roman"/>
          <w:b/>
          <w:bCs/>
          <w:i/>
          <w:iCs/>
          <w:lang w:val="en-US"/>
        </w:rPr>
        <w:t xml:space="preserve"> </w:t>
      </w:r>
      <w:proofErr w:type="spellStart"/>
      <w:r w:rsidR="00115276" w:rsidRPr="00115276">
        <w:rPr>
          <w:rFonts w:ascii="Times New Roman" w:hAnsi="Times New Roman" w:cs="Times New Roman"/>
          <w:b/>
          <w:bCs/>
          <w:i/>
          <w:iCs/>
          <w:lang w:val="en-US"/>
        </w:rPr>
        <w:t>metodologiei</w:t>
      </w:r>
      <w:proofErr w:type="spellEnd"/>
      <w:r w:rsidR="00115276" w:rsidRPr="00115276">
        <w:rPr>
          <w:rFonts w:ascii="Times New Roman" w:hAnsi="Times New Roman" w:cs="Times New Roman"/>
          <w:b/>
          <w:bCs/>
          <w:i/>
          <w:iCs/>
          <w:lang w:val="en-US"/>
        </w:rPr>
        <w:t xml:space="preserve"> de </w:t>
      </w:r>
      <w:proofErr w:type="spellStart"/>
      <w:r w:rsidR="00115276" w:rsidRPr="00115276">
        <w:rPr>
          <w:rFonts w:ascii="Times New Roman" w:hAnsi="Times New Roman" w:cs="Times New Roman"/>
          <w:b/>
          <w:bCs/>
          <w:i/>
          <w:iCs/>
          <w:lang w:val="en-US"/>
        </w:rPr>
        <w:t>calculare</w:t>
      </w:r>
      <w:proofErr w:type="spellEnd"/>
      <w:r w:rsidR="00115276" w:rsidRPr="00115276">
        <w:rPr>
          <w:rFonts w:ascii="Times New Roman" w:hAnsi="Times New Roman" w:cs="Times New Roman"/>
          <w:b/>
          <w:bCs/>
          <w:i/>
          <w:iCs/>
          <w:lang w:val="en-US"/>
        </w:rPr>
        <w:t xml:space="preserve"> a </w:t>
      </w:r>
      <w:proofErr w:type="spellStart"/>
      <w:r w:rsidR="00115276" w:rsidRPr="00115276">
        <w:rPr>
          <w:rFonts w:ascii="Times New Roman" w:hAnsi="Times New Roman" w:cs="Times New Roman"/>
          <w:b/>
          <w:bCs/>
          <w:i/>
          <w:iCs/>
          <w:lang w:val="en-US"/>
        </w:rPr>
        <w:t>tarifelor</w:t>
      </w:r>
      <w:proofErr w:type="spellEnd"/>
      <w:r w:rsidR="00115276" w:rsidRPr="00115276">
        <w:rPr>
          <w:rFonts w:ascii="Times New Roman" w:hAnsi="Times New Roman" w:cs="Times New Roman"/>
          <w:b/>
          <w:bCs/>
          <w:i/>
          <w:iCs/>
          <w:lang w:val="en-US"/>
        </w:rPr>
        <w:t xml:space="preserve">, </w:t>
      </w:r>
      <w:proofErr w:type="spellStart"/>
      <w:r w:rsidR="00115276" w:rsidRPr="00115276">
        <w:rPr>
          <w:rFonts w:ascii="Times New Roman" w:hAnsi="Times New Roman" w:cs="Times New Roman"/>
          <w:b/>
          <w:bCs/>
          <w:i/>
          <w:iCs/>
          <w:lang w:val="en-US"/>
        </w:rPr>
        <w:t>nomenclatorul</w:t>
      </w:r>
      <w:proofErr w:type="spellEnd"/>
      <w:r w:rsidR="00115276" w:rsidRPr="00115276">
        <w:rPr>
          <w:rFonts w:ascii="Times New Roman" w:hAnsi="Times New Roman" w:cs="Times New Roman"/>
          <w:b/>
          <w:bCs/>
          <w:i/>
          <w:iCs/>
          <w:lang w:val="en-US"/>
        </w:rPr>
        <w:t xml:space="preserve"> </w:t>
      </w:r>
      <w:proofErr w:type="spellStart"/>
      <w:r w:rsidR="00115276" w:rsidRPr="00115276">
        <w:rPr>
          <w:rFonts w:ascii="Times New Roman" w:hAnsi="Times New Roman" w:cs="Times New Roman"/>
          <w:b/>
          <w:bCs/>
          <w:i/>
          <w:iCs/>
          <w:lang w:val="en-US"/>
        </w:rPr>
        <w:t>serviciilor</w:t>
      </w:r>
      <w:proofErr w:type="spellEnd"/>
      <w:r w:rsidR="00115276" w:rsidRPr="00115276">
        <w:rPr>
          <w:rFonts w:ascii="Times New Roman" w:hAnsi="Times New Roman" w:cs="Times New Roman"/>
          <w:b/>
          <w:bCs/>
          <w:i/>
          <w:iCs/>
          <w:lang w:val="en-US"/>
        </w:rPr>
        <w:t xml:space="preserve"> </w:t>
      </w:r>
      <w:proofErr w:type="spellStart"/>
      <w:r w:rsidR="00115276" w:rsidRPr="00115276">
        <w:rPr>
          <w:rFonts w:ascii="Times New Roman" w:hAnsi="Times New Roman" w:cs="Times New Roman"/>
          <w:b/>
          <w:bCs/>
          <w:i/>
          <w:iCs/>
          <w:lang w:val="en-US"/>
        </w:rPr>
        <w:t>și</w:t>
      </w:r>
      <w:proofErr w:type="spellEnd"/>
      <w:r w:rsidR="00115276" w:rsidRPr="00115276">
        <w:rPr>
          <w:rFonts w:ascii="Times New Roman" w:hAnsi="Times New Roman" w:cs="Times New Roman"/>
          <w:b/>
          <w:bCs/>
          <w:i/>
          <w:iCs/>
          <w:lang w:val="en-US"/>
        </w:rPr>
        <w:t xml:space="preserve"> </w:t>
      </w:r>
      <w:proofErr w:type="spellStart"/>
      <w:r w:rsidR="00115276" w:rsidRPr="00115276">
        <w:rPr>
          <w:rFonts w:ascii="Times New Roman" w:hAnsi="Times New Roman" w:cs="Times New Roman"/>
          <w:b/>
          <w:bCs/>
          <w:i/>
          <w:iCs/>
          <w:lang w:val="en-US"/>
        </w:rPr>
        <w:t>cuantumul</w:t>
      </w:r>
      <w:proofErr w:type="spellEnd"/>
      <w:r w:rsidR="00115276" w:rsidRPr="00115276">
        <w:rPr>
          <w:rFonts w:ascii="Times New Roman" w:hAnsi="Times New Roman" w:cs="Times New Roman"/>
          <w:b/>
          <w:bCs/>
          <w:i/>
          <w:iCs/>
          <w:lang w:val="en-US"/>
        </w:rPr>
        <w:t xml:space="preserve"> </w:t>
      </w:r>
      <w:proofErr w:type="spellStart"/>
      <w:r w:rsidR="00115276" w:rsidRPr="00115276">
        <w:rPr>
          <w:rFonts w:ascii="Times New Roman" w:hAnsi="Times New Roman" w:cs="Times New Roman"/>
          <w:b/>
          <w:bCs/>
          <w:i/>
          <w:iCs/>
          <w:lang w:val="en-US"/>
        </w:rPr>
        <w:t>tarifelor</w:t>
      </w:r>
      <w:proofErr w:type="spellEnd"/>
      <w:r w:rsidR="00115276" w:rsidRPr="00115276">
        <w:rPr>
          <w:rFonts w:ascii="Times New Roman" w:hAnsi="Times New Roman" w:cs="Times New Roman"/>
          <w:b/>
          <w:bCs/>
          <w:i/>
          <w:iCs/>
          <w:lang w:val="en-US"/>
        </w:rPr>
        <w:t xml:space="preserve"> </w:t>
      </w:r>
      <w:proofErr w:type="spellStart"/>
      <w:r w:rsidR="00115276" w:rsidRPr="00115276">
        <w:rPr>
          <w:rFonts w:ascii="Times New Roman" w:hAnsi="Times New Roman" w:cs="Times New Roman"/>
          <w:b/>
          <w:bCs/>
          <w:i/>
          <w:iCs/>
          <w:lang w:val="en-US"/>
        </w:rPr>
        <w:t>pentru</w:t>
      </w:r>
      <w:proofErr w:type="spellEnd"/>
      <w:r w:rsidR="00115276" w:rsidRPr="00115276">
        <w:rPr>
          <w:rFonts w:ascii="Times New Roman" w:hAnsi="Times New Roman" w:cs="Times New Roman"/>
          <w:b/>
          <w:bCs/>
          <w:i/>
          <w:iCs/>
          <w:lang w:val="en-US"/>
        </w:rPr>
        <w:t xml:space="preserve"> </w:t>
      </w:r>
      <w:proofErr w:type="spellStart"/>
      <w:r w:rsidR="00115276" w:rsidRPr="00115276">
        <w:rPr>
          <w:rFonts w:ascii="Times New Roman" w:hAnsi="Times New Roman" w:cs="Times New Roman"/>
          <w:b/>
          <w:bCs/>
          <w:i/>
          <w:iCs/>
          <w:lang w:val="en-US"/>
        </w:rPr>
        <w:t>serviciile</w:t>
      </w:r>
      <w:proofErr w:type="spellEnd"/>
      <w:r w:rsidR="00115276" w:rsidRPr="00115276">
        <w:rPr>
          <w:rFonts w:ascii="Times New Roman" w:hAnsi="Times New Roman" w:cs="Times New Roman"/>
          <w:b/>
          <w:bCs/>
          <w:i/>
          <w:iCs/>
          <w:lang w:val="en-US"/>
        </w:rPr>
        <w:t xml:space="preserve"> </w:t>
      </w:r>
      <w:proofErr w:type="spellStart"/>
      <w:r w:rsidR="00115276" w:rsidRPr="00115276">
        <w:rPr>
          <w:rFonts w:ascii="Times New Roman" w:hAnsi="Times New Roman" w:cs="Times New Roman"/>
          <w:b/>
          <w:bCs/>
          <w:i/>
          <w:iCs/>
          <w:lang w:val="en-US"/>
        </w:rPr>
        <w:t>prestate</w:t>
      </w:r>
      <w:proofErr w:type="spellEnd"/>
      <w:r w:rsidR="00115276" w:rsidRPr="00115276">
        <w:rPr>
          <w:rFonts w:ascii="Times New Roman" w:hAnsi="Times New Roman" w:cs="Times New Roman"/>
          <w:b/>
          <w:bCs/>
          <w:i/>
          <w:iCs/>
          <w:lang w:val="en-US"/>
        </w:rPr>
        <w:t xml:space="preserve"> de </w:t>
      </w:r>
      <w:proofErr w:type="spellStart"/>
      <w:r w:rsidR="00115276" w:rsidRPr="00115276">
        <w:rPr>
          <w:rFonts w:ascii="Times New Roman" w:hAnsi="Times New Roman" w:cs="Times New Roman"/>
          <w:b/>
          <w:bCs/>
          <w:i/>
          <w:iCs/>
          <w:lang w:val="en-US"/>
        </w:rPr>
        <w:t>Instituția</w:t>
      </w:r>
      <w:proofErr w:type="spellEnd"/>
      <w:r w:rsidR="00115276" w:rsidRPr="00115276">
        <w:rPr>
          <w:rFonts w:ascii="Times New Roman" w:hAnsi="Times New Roman" w:cs="Times New Roman"/>
          <w:b/>
          <w:bCs/>
          <w:i/>
          <w:iCs/>
          <w:lang w:val="en-US"/>
        </w:rPr>
        <w:t xml:space="preserve"> </w:t>
      </w:r>
      <w:proofErr w:type="spellStart"/>
      <w:r w:rsidR="00115276" w:rsidRPr="00115276">
        <w:rPr>
          <w:rFonts w:ascii="Times New Roman" w:hAnsi="Times New Roman" w:cs="Times New Roman"/>
          <w:b/>
          <w:bCs/>
          <w:i/>
          <w:iCs/>
          <w:lang w:val="en-US"/>
        </w:rPr>
        <w:t>Publică</w:t>
      </w:r>
      <w:proofErr w:type="spellEnd"/>
      <w:r w:rsidR="00115276" w:rsidRPr="00115276">
        <w:rPr>
          <w:rFonts w:ascii="Times New Roman" w:hAnsi="Times New Roman" w:cs="Times New Roman"/>
          <w:b/>
          <w:bCs/>
          <w:i/>
          <w:iCs/>
          <w:lang w:val="en-US"/>
        </w:rPr>
        <w:t xml:space="preserve"> </w:t>
      </w:r>
      <w:proofErr w:type="spellStart"/>
      <w:r w:rsidR="00115276" w:rsidRPr="00115276">
        <w:rPr>
          <w:rFonts w:ascii="Times New Roman" w:hAnsi="Times New Roman" w:cs="Times New Roman"/>
          <w:b/>
          <w:bCs/>
          <w:i/>
          <w:iCs/>
          <w:lang w:val="en-US"/>
        </w:rPr>
        <w:t>Cadastrul</w:t>
      </w:r>
      <w:proofErr w:type="spellEnd"/>
      <w:r w:rsidR="00115276" w:rsidRPr="00115276">
        <w:rPr>
          <w:rFonts w:ascii="Times New Roman" w:hAnsi="Times New Roman" w:cs="Times New Roman"/>
          <w:b/>
          <w:bCs/>
          <w:i/>
          <w:iCs/>
          <w:lang w:val="en-US"/>
        </w:rPr>
        <w:t xml:space="preserve"> </w:t>
      </w:r>
      <w:proofErr w:type="spellStart"/>
      <w:r w:rsidR="00115276" w:rsidRPr="00115276">
        <w:rPr>
          <w:rFonts w:ascii="Times New Roman" w:hAnsi="Times New Roman" w:cs="Times New Roman"/>
          <w:b/>
          <w:bCs/>
          <w:i/>
          <w:iCs/>
          <w:lang w:val="en-US"/>
        </w:rPr>
        <w:t>Bunurilor</w:t>
      </w:r>
      <w:proofErr w:type="spellEnd"/>
      <w:r w:rsidR="00115276" w:rsidRPr="00115276">
        <w:rPr>
          <w:rFonts w:ascii="Times New Roman" w:hAnsi="Times New Roman" w:cs="Times New Roman"/>
          <w:b/>
          <w:bCs/>
          <w:i/>
          <w:iCs/>
          <w:lang w:val="en-US"/>
        </w:rPr>
        <w:t xml:space="preserve"> </w:t>
      </w:r>
      <w:proofErr w:type="spellStart"/>
      <w:r w:rsidR="00115276" w:rsidRPr="00115276">
        <w:rPr>
          <w:rFonts w:ascii="Times New Roman" w:hAnsi="Times New Roman" w:cs="Times New Roman"/>
          <w:b/>
          <w:bCs/>
          <w:i/>
          <w:iCs/>
          <w:lang w:val="en-US"/>
        </w:rPr>
        <w:t>Imobile</w:t>
      </w:r>
      <w:proofErr w:type="spellEnd"/>
      <w:r w:rsidR="00115276" w:rsidRPr="00115276">
        <w:rPr>
          <w:rFonts w:ascii="Times New Roman" w:hAnsi="Times New Roman" w:cs="Times New Roman"/>
          <w:b/>
          <w:bCs/>
          <w:i/>
          <w:iCs/>
          <w:lang w:val="en-US"/>
        </w:rPr>
        <w:t xml:space="preserve"> (</w:t>
      </w:r>
      <w:proofErr w:type="spellStart"/>
      <w:r w:rsidR="00115276" w:rsidRPr="00115276">
        <w:rPr>
          <w:rFonts w:ascii="Times New Roman" w:hAnsi="Times New Roman" w:cs="Times New Roman"/>
          <w:b/>
          <w:bCs/>
          <w:i/>
          <w:iCs/>
          <w:lang w:val="en-US"/>
        </w:rPr>
        <w:t>număr</w:t>
      </w:r>
      <w:proofErr w:type="spellEnd"/>
      <w:r w:rsidR="00115276" w:rsidRPr="00115276">
        <w:rPr>
          <w:rFonts w:ascii="Times New Roman" w:hAnsi="Times New Roman" w:cs="Times New Roman"/>
          <w:b/>
          <w:bCs/>
          <w:i/>
          <w:iCs/>
          <w:lang w:val="en-US"/>
        </w:rPr>
        <w:t xml:space="preserve"> </w:t>
      </w:r>
      <w:proofErr w:type="spellStart"/>
      <w:r w:rsidR="00115276" w:rsidRPr="00115276">
        <w:rPr>
          <w:rFonts w:ascii="Times New Roman" w:hAnsi="Times New Roman" w:cs="Times New Roman"/>
          <w:b/>
          <w:bCs/>
          <w:i/>
          <w:iCs/>
          <w:lang w:val="en-US"/>
        </w:rPr>
        <w:t>unic</w:t>
      </w:r>
      <w:proofErr w:type="spellEnd"/>
      <w:r w:rsidR="00115276" w:rsidRPr="00115276">
        <w:rPr>
          <w:rFonts w:ascii="Times New Roman" w:hAnsi="Times New Roman" w:cs="Times New Roman"/>
          <w:b/>
          <w:bCs/>
          <w:i/>
          <w:iCs/>
          <w:lang w:val="en-US"/>
        </w:rPr>
        <w:t xml:space="preserve"> 1124/AGCC/2024)</w:t>
      </w:r>
    </w:p>
    <w:p w14:paraId="5A25849B" w14:textId="77777777" w:rsidR="00AE0103" w:rsidRPr="00CA5D36" w:rsidRDefault="00AE0103" w:rsidP="00115276">
      <w:pPr>
        <w:spacing w:after="0" w:line="276" w:lineRule="auto"/>
        <w:jc w:val="center"/>
        <w:rPr>
          <w:rFonts w:ascii="Times New Roman" w:hAnsi="Times New Roman" w:cs="Times New Roman"/>
          <w:b/>
          <w:bCs/>
          <w:i/>
          <w:iCs/>
          <w:color w:val="00B0F0"/>
          <w:sz w:val="12"/>
          <w:szCs w:val="12"/>
          <w:lang w:val="en-US"/>
        </w:rPr>
      </w:pPr>
    </w:p>
    <w:tbl>
      <w:tblPr>
        <w:tblStyle w:val="a3"/>
        <w:tblW w:w="14927" w:type="dxa"/>
        <w:tblInd w:w="-601" w:type="dxa"/>
        <w:tblLook w:val="04A0" w:firstRow="1" w:lastRow="0" w:firstColumn="1" w:lastColumn="0" w:noHBand="0" w:noVBand="1"/>
      </w:tblPr>
      <w:tblGrid>
        <w:gridCol w:w="1985"/>
        <w:gridCol w:w="567"/>
        <w:gridCol w:w="7938"/>
        <w:gridCol w:w="4428"/>
        <w:gridCol w:w="9"/>
      </w:tblGrid>
      <w:tr w:rsidR="00C1248A" w:rsidRPr="00C1248A" w14:paraId="780CC0E1" w14:textId="77777777" w:rsidTr="00835F71">
        <w:trPr>
          <w:gridAfter w:val="1"/>
          <w:wAfter w:w="9" w:type="dxa"/>
        </w:trPr>
        <w:tc>
          <w:tcPr>
            <w:tcW w:w="1985" w:type="dxa"/>
            <w:shd w:val="clear" w:color="auto" w:fill="D9D9D9" w:themeFill="background1" w:themeFillShade="D9"/>
          </w:tcPr>
          <w:p w14:paraId="6E327BBD" w14:textId="77777777" w:rsidR="00D34E77" w:rsidRPr="00C1248A" w:rsidRDefault="00D34E77" w:rsidP="00DD4258">
            <w:pPr>
              <w:spacing w:line="276" w:lineRule="auto"/>
              <w:jc w:val="center"/>
              <w:rPr>
                <w:rFonts w:ascii="Times New Roman" w:hAnsi="Times New Roman" w:cs="Times New Roman"/>
                <w:b/>
                <w:bCs/>
                <w:lang w:val="ro-RO"/>
              </w:rPr>
            </w:pPr>
            <w:r w:rsidRPr="00C1248A">
              <w:rPr>
                <w:rFonts w:ascii="Times New Roman" w:hAnsi="Times New Roman" w:cs="Times New Roman"/>
                <w:b/>
                <w:lang w:val="ro-RO"/>
              </w:rPr>
              <w:t xml:space="preserve">Participantul la avizare, consultare publică, expertizare </w:t>
            </w:r>
          </w:p>
        </w:tc>
        <w:tc>
          <w:tcPr>
            <w:tcW w:w="567" w:type="dxa"/>
            <w:shd w:val="clear" w:color="auto" w:fill="D9D9D9" w:themeFill="background1" w:themeFillShade="D9"/>
            <w:vAlign w:val="center"/>
          </w:tcPr>
          <w:p w14:paraId="21C1F786" w14:textId="77777777" w:rsidR="00D34E77" w:rsidRPr="00C1248A" w:rsidRDefault="00D34E77" w:rsidP="00DD4258">
            <w:pPr>
              <w:spacing w:line="276" w:lineRule="auto"/>
              <w:jc w:val="center"/>
              <w:rPr>
                <w:rFonts w:ascii="Times New Roman" w:hAnsi="Times New Roman" w:cs="Times New Roman"/>
                <w:b/>
                <w:bCs/>
                <w:lang w:val="ro-RO"/>
              </w:rPr>
            </w:pPr>
            <w:r w:rsidRPr="00C1248A">
              <w:rPr>
                <w:rFonts w:ascii="Times New Roman" w:hAnsi="Times New Roman" w:cs="Times New Roman"/>
                <w:b/>
                <w:lang w:val="ro-RO"/>
              </w:rPr>
              <w:t>Nr. crt.</w:t>
            </w:r>
          </w:p>
        </w:tc>
        <w:tc>
          <w:tcPr>
            <w:tcW w:w="7938" w:type="dxa"/>
            <w:shd w:val="clear" w:color="auto" w:fill="D9D9D9" w:themeFill="background1" w:themeFillShade="D9"/>
            <w:vAlign w:val="center"/>
          </w:tcPr>
          <w:p w14:paraId="29419EE1" w14:textId="77777777" w:rsidR="00D34E77" w:rsidRPr="00C1248A" w:rsidRDefault="00D34E77" w:rsidP="00DD4258">
            <w:pPr>
              <w:pBdr>
                <w:top w:val="none" w:sz="4" w:space="0" w:color="000000"/>
                <w:left w:val="none" w:sz="4" w:space="0" w:color="000000"/>
                <w:bottom w:val="none" w:sz="4" w:space="0" w:color="000000"/>
                <w:right w:val="none" w:sz="4" w:space="0" w:color="000000"/>
              </w:pBdr>
              <w:tabs>
                <w:tab w:val="left" w:pos="884"/>
                <w:tab w:val="left" w:pos="1196"/>
              </w:tabs>
              <w:spacing w:line="276" w:lineRule="auto"/>
              <w:jc w:val="center"/>
              <w:rPr>
                <w:rFonts w:ascii="Times New Roman" w:hAnsi="Times New Roman" w:cs="Times New Roman"/>
                <w:lang w:val="ro-RO"/>
              </w:rPr>
            </w:pPr>
            <w:r w:rsidRPr="00C1248A">
              <w:rPr>
                <w:rFonts w:ascii="Times New Roman" w:hAnsi="Times New Roman" w:cs="Times New Roman"/>
                <w:b/>
                <w:lang w:val="ro-RO"/>
              </w:rPr>
              <w:t>Conținutul obiecției,</w:t>
            </w:r>
          </w:p>
          <w:p w14:paraId="5578F75A" w14:textId="62D5FDD5" w:rsidR="00D34E77" w:rsidRPr="00C1248A" w:rsidRDefault="00D34E77" w:rsidP="00DD4258">
            <w:pPr>
              <w:spacing w:line="276" w:lineRule="auto"/>
              <w:jc w:val="center"/>
              <w:rPr>
                <w:rFonts w:ascii="Times New Roman" w:hAnsi="Times New Roman" w:cs="Times New Roman"/>
                <w:b/>
                <w:bCs/>
                <w:lang w:val="ro-RO"/>
              </w:rPr>
            </w:pPr>
            <w:r w:rsidRPr="00C1248A">
              <w:rPr>
                <w:rFonts w:ascii="Times New Roman" w:hAnsi="Times New Roman" w:cs="Times New Roman"/>
                <w:b/>
                <w:lang w:val="ro-RO"/>
              </w:rPr>
              <w:t>propunerii, recomandării, concluziei</w:t>
            </w:r>
            <w:r w:rsidR="00464498" w:rsidRPr="00C1248A">
              <w:rPr>
                <w:rFonts w:ascii="Times New Roman" w:hAnsi="Times New Roman" w:cs="Times New Roman"/>
                <w:b/>
                <w:lang w:val="ro-RO"/>
              </w:rPr>
              <w:t xml:space="preserve"> expertizei</w:t>
            </w:r>
          </w:p>
        </w:tc>
        <w:tc>
          <w:tcPr>
            <w:tcW w:w="4428" w:type="dxa"/>
            <w:shd w:val="clear" w:color="auto" w:fill="D9D9D9" w:themeFill="background1" w:themeFillShade="D9"/>
            <w:vAlign w:val="center"/>
          </w:tcPr>
          <w:p w14:paraId="1CB61AD4" w14:textId="77777777" w:rsidR="00D34E77" w:rsidRPr="00C1248A" w:rsidRDefault="00D34E77" w:rsidP="00DD4258">
            <w:pPr>
              <w:pBdr>
                <w:top w:val="none" w:sz="4" w:space="0" w:color="000000"/>
                <w:left w:val="none" w:sz="4" w:space="0" w:color="000000"/>
                <w:bottom w:val="none" w:sz="4" w:space="0" w:color="000000"/>
                <w:right w:val="none" w:sz="4" w:space="0" w:color="000000"/>
              </w:pBdr>
              <w:tabs>
                <w:tab w:val="left" w:pos="884"/>
                <w:tab w:val="left" w:pos="1196"/>
              </w:tabs>
              <w:spacing w:line="276" w:lineRule="auto"/>
              <w:jc w:val="center"/>
              <w:rPr>
                <w:rFonts w:ascii="Times New Roman" w:hAnsi="Times New Roman" w:cs="Times New Roman"/>
                <w:lang w:val="ro-RO"/>
              </w:rPr>
            </w:pPr>
            <w:r w:rsidRPr="00C1248A">
              <w:rPr>
                <w:rFonts w:ascii="Times New Roman" w:hAnsi="Times New Roman" w:cs="Times New Roman"/>
                <w:b/>
                <w:lang w:val="ro-RO"/>
              </w:rPr>
              <w:t>Argumentarea</w:t>
            </w:r>
          </w:p>
          <w:p w14:paraId="112FF668" w14:textId="77777777" w:rsidR="00D34E77" w:rsidRPr="00C1248A" w:rsidRDefault="00D34E77" w:rsidP="00DD4258">
            <w:pPr>
              <w:spacing w:line="276" w:lineRule="auto"/>
              <w:jc w:val="center"/>
              <w:rPr>
                <w:rFonts w:ascii="Times New Roman" w:hAnsi="Times New Roman" w:cs="Times New Roman"/>
                <w:b/>
                <w:bCs/>
                <w:lang w:val="ro-RO"/>
              </w:rPr>
            </w:pPr>
            <w:r w:rsidRPr="00C1248A">
              <w:rPr>
                <w:rFonts w:ascii="Times New Roman" w:hAnsi="Times New Roman" w:cs="Times New Roman"/>
                <w:b/>
                <w:lang w:val="ro-RO"/>
              </w:rPr>
              <w:t>autorului proiectului</w:t>
            </w:r>
          </w:p>
        </w:tc>
      </w:tr>
      <w:tr w:rsidR="00C1248A" w:rsidRPr="00C1248A" w14:paraId="558F104D" w14:textId="77777777" w:rsidTr="00835F71">
        <w:tc>
          <w:tcPr>
            <w:tcW w:w="14927" w:type="dxa"/>
            <w:gridSpan w:val="5"/>
          </w:tcPr>
          <w:p w14:paraId="1C50746C" w14:textId="77777777" w:rsidR="00D34E77" w:rsidRPr="00C1248A" w:rsidRDefault="00D34E77" w:rsidP="00690C1B">
            <w:pPr>
              <w:jc w:val="center"/>
              <w:rPr>
                <w:rFonts w:ascii="Times New Roman" w:hAnsi="Times New Roman" w:cs="Times New Roman"/>
                <w:b/>
                <w:bCs/>
                <w:lang w:val="ro-RO"/>
              </w:rPr>
            </w:pPr>
            <w:r w:rsidRPr="00C1248A">
              <w:rPr>
                <w:rFonts w:ascii="Times New Roman" w:eastAsia="Times New Roman" w:hAnsi="Times New Roman" w:cs="Times New Roman"/>
                <w:b/>
                <w:bCs/>
                <w:lang w:val="ro-RO"/>
              </w:rPr>
              <w:t xml:space="preserve">Avizare </w:t>
            </w:r>
            <w:r w:rsidRPr="00C1248A">
              <w:rPr>
                <w:rFonts w:ascii="Times New Roman" w:hAnsi="Times New Roman" w:cs="Times New Roman"/>
                <w:b/>
                <w:bCs/>
                <w:lang w:val="ro-RO"/>
              </w:rPr>
              <w:t>și consultare publică</w:t>
            </w:r>
          </w:p>
        </w:tc>
      </w:tr>
      <w:tr w:rsidR="00C1248A" w:rsidRPr="00C1248A" w14:paraId="4E78F3FE" w14:textId="77777777" w:rsidTr="00835F71">
        <w:trPr>
          <w:gridAfter w:val="1"/>
          <w:wAfter w:w="9" w:type="dxa"/>
          <w:trHeight w:val="900"/>
        </w:trPr>
        <w:tc>
          <w:tcPr>
            <w:tcW w:w="1985" w:type="dxa"/>
            <w:vMerge w:val="restart"/>
          </w:tcPr>
          <w:p w14:paraId="0F20B34F" w14:textId="77777777" w:rsidR="008607B9" w:rsidRPr="00C1248A" w:rsidRDefault="008607B9" w:rsidP="00100996">
            <w:pPr>
              <w:jc w:val="center"/>
              <w:rPr>
                <w:rFonts w:ascii="Times New Roman" w:hAnsi="Times New Roman" w:cs="Times New Roman"/>
                <w:b/>
                <w:bCs/>
                <w:lang w:val="ro-RO"/>
              </w:rPr>
            </w:pPr>
          </w:p>
          <w:p w14:paraId="08383E0A" w14:textId="4022B904" w:rsidR="00525181" w:rsidRPr="00C1248A" w:rsidRDefault="00525181" w:rsidP="00100996">
            <w:pPr>
              <w:jc w:val="center"/>
              <w:rPr>
                <w:rFonts w:ascii="Times New Roman" w:hAnsi="Times New Roman" w:cs="Times New Roman"/>
                <w:b/>
                <w:bCs/>
                <w:lang w:val="ro-RO"/>
              </w:rPr>
            </w:pPr>
            <w:r w:rsidRPr="00C1248A">
              <w:rPr>
                <w:rFonts w:ascii="Times New Roman" w:hAnsi="Times New Roman" w:cs="Times New Roman"/>
                <w:b/>
                <w:bCs/>
                <w:lang w:val="ro-RO"/>
              </w:rPr>
              <w:t xml:space="preserve">Ministerul Dezvoltării Economice și Digitalizării </w:t>
            </w:r>
          </w:p>
          <w:p w14:paraId="4E1421C7" w14:textId="15CB988E" w:rsidR="00525181" w:rsidRPr="00C1248A" w:rsidRDefault="000731AD" w:rsidP="000731AD">
            <w:pPr>
              <w:jc w:val="center"/>
              <w:rPr>
                <w:rFonts w:ascii="Times New Roman" w:hAnsi="Times New Roman" w:cs="Times New Roman"/>
                <w:b/>
                <w:bCs/>
                <w:lang w:val="en-US"/>
              </w:rPr>
            </w:pPr>
            <w:r w:rsidRPr="00C1248A">
              <w:rPr>
                <w:rFonts w:ascii="Times New Roman" w:hAnsi="Times New Roman" w:cs="Times New Roman"/>
                <w:i/>
                <w:iCs/>
                <w:sz w:val="16"/>
                <w:szCs w:val="16"/>
                <w:lang w:val="en-US"/>
              </w:rPr>
              <w:t>n</w:t>
            </w:r>
            <w:r w:rsidRPr="00C1248A">
              <w:rPr>
                <w:rFonts w:ascii="Times New Roman" w:hAnsi="Times New Roman" w:cs="Times New Roman"/>
                <w:i/>
                <w:iCs/>
                <w:sz w:val="16"/>
                <w:szCs w:val="16"/>
                <w:lang w:val="en-US"/>
              </w:rPr>
              <w:t>r.</w:t>
            </w:r>
            <w:r w:rsidRPr="00C1248A">
              <w:rPr>
                <w:rFonts w:ascii="Times New Roman" w:hAnsi="Times New Roman" w:cs="Times New Roman"/>
                <w:i/>
                <w:iCs/>
                <w:sz w:val="16"/>
                <w:szCs w:val="16"/>
                <w:lang w:val="en-US"/>
              </w:rPr>
              <w:t xml:space="preserve"> </w:t>
            </w:r>
            <w:r w:rsidRPr="00C1248A">
              <w:rPr>
                <w:rFonts w:ascii="Times New Roman" w:hAnsi="Times New Roman" w:cs="Times New Roman"/>
                <w:i/>
                <w:iCs/>
                <w:sz w:val="16"/>
                <w:szCs w:val="16"/>
                <w:lang w:val="en-US"/>
              </w:rPr>
              <w:t>03-83 din 16.01.2025</w:t>
            </w:r>
          </w:p>
        </w:tc>
        <w:tc>
          <w:tcPr>
            <w:tcW w:w="567" w:type="dxa"/>
          </w:tcPr>
          <w:p w14:paraId="6C42C863" w14:textId="77777777" w:rsidR="00525181" w:rsidRPr="00C1248A" w:rsidRDefault="00525181" w:rsidP="00100996">
            <w:pPr>
              <w:jc w:val="center"/>
              <w:rPr>
                <w:rFonts w:ascii="Times New Roman" w:hAnsi="Times New Roman" w:cs="Times New Roman"/>
                <w:b/>
                <w:bCs/>
                <w:lang w:val="ro-RO"/>
              </w:rPr>
            </w:pPr>
          </w:p>
          <w:p w14:paraId="7560A72E" w14:textId="381DDA0C" w:rsidR="00525181" w:rsidRPr="00C1248A" w:rsidRDefault="00525181" w:rsidP="00100996">
            <w:pPr>
              <w:jc w:val="center"/>
              <w:rPr>
                <w:rFonts w:ascii="Times New Roman" w:hAnsi="Times New Roman" w:cs="Times New Roman"/>
                <w:b/>
                <w:bCs/>
                <w:lang w:val="ro-RO"/>
              </w:rPr>
            </w:pPr>
            <w:r w:rsidRPr="00C1248A">
              <w:rPr>
                <w:rFonts w:ascii="Times New Roman" w:hAnsi="Times New Roman" w:cs="Times New Roman"/>
                <w:b/>
                <w:bCs/>
                <w:lang w:val="ro-RO"/>
              </w:rPr>
              <w:t>1</w:t>
            </w:r>
          </w:p>
        </w:tc>
        <w:tc>
          <w:tcPr>
            <w:tcW w:w="7938" w:type="dxa"/>
          </w:tcPr>
          <w:p w14:paraId="09B76FDE" w14:textId="034F7422" w:rsidR="001452A0" w:rsidRPr="001452A0" w:rsidRDefault="001452A0" w:rsidP="001452A0">
            <w:pPr>
              <w:jc w:val="both"/>
              <w:rPr>
                <w:rFonts w:ascii="Times New Roman" w:hAnsi="Times New Roman" w:cs="Times New Roman"/>
                <w:lang w:val="en-US"/>
              </w:rPr>
            </w:pPr>
            <w:proofErr w:type="spellStart"/>
            <w:r w:rsidRPr="001452A0">
              <w:rPr>
                <w:rFonts w:ascii="Times New Roman" w:hAnsi="Times New Roman" w:cs="Times New Roman"/>
                <w:lang w:val="en-US"/>
              </w:rPr>
              <w:t>Referitor</w:t>
            </w:r>
            <w:proofErr w:type="spellEnd"/>
            <w:r w:rsidRPr="001452A0">
              <w:rPr>
                <w:rFonts w:ascii="Times New Roman" w:hAnsi="Times New Roman" w:cs="Times New Roman"/>
                <w:lang w:val="en-US"/>
              </w:rPr>
              <w:t xml:space="preserve"> la </w:t>
            </w:r>
            <w:proofErr w:type="spellStart"/>
            <w:r w:rsidRPr="001452A0">
              <w:rPr>
                <w:rFonts w:ascii="Times New Roman" w:hAnsi="Times New Roman" w:cs="Times New Roman"/>
                <w:lang w:val="en-US"/>
              </w:rPr>
              <w:t>proiectul</w:t>
            </w:r>
            <w:proofErr w:type="spellEnd"/>
            <w:r w:rsidRPr="001452A0">
              <w:rPr>
                <w:rFonts w:ascii="Times New Roman" w:hAnsi="Times New Roman" w:cs="Times New Roman"/>
                <w:lang w:val="en-US"/>
              </w:rPr>
              <w:t xml:space="preserve"> de </w:t>
            </w:r>
            <w:proofErr w:type="spellStart"/>
            <w:r w:rsidRPr="001452A0">
              <w:rPr>
                <w:rFonts w:ascii="Times New Roman" w:hAnsi="Times New Roman" w:cs="Times New Roman"/>
                <w:lang w:val="en-US"/>
              </w:rPr>
              <w:t>hotărâre</w:t>
            </w:r>
            <w:proofErr w:type="spellEnd"/>
            <w:r w:rsidRPr="001452A0">
              <w:rPr>
                <w:rFonts w:ascii="Times New Roman" w:hAnsi="Times New Roman" w:cs="Times New Roman"/>
                <w:lang w:val="en-US"/>
              </w:rPr>
              <w:t xml:space="preserve">: </w:t>
            </w:r>
          </w:p>
          <w:p w14:paraId="5D4B4BDF" w14:textId="5224DB1B" w:rsidR="001452A0" w:rsidRPr="001452A0" w:rsidRDefault="001452A0" w:rsidP="001452A0">
            <w:pPr>
              <w:jc w:val="both"/>
              <w:rPr>
                <w:rFonts w:ascii="Times New Roman" w:hAnsi="Times New Roman" w:cs="Times New Roman"/>
                <w:lang w:val="en-US"/>
              </w:rPr>
            </w:pPr>
            <w:proofErr w:type="spellStart"/>
            <w:r w:rsidRPr="001452A0">
              <w:rPr>
                <w:rFonts w:ascii="Times New Roman" w:hAnsi="Times New Roman" w:cs="Times New Roman"/>
                <w:lang w:val="en-US"/>
              </w:rPr>
              <w:t>Considerăm</w:t>
            </w:r>
            <w:proofErr w:type="spellEnd"/>
            <w:r w:rsidRPr="001452A0">
              <w:rPr>
                <w:rFonts w:ascii="Times New Roman" w:hAnsi="Times New Roman" w:cs="Times New Roman"/>
                <w:lang w:val="en-US"/>
              </w:rPr>
              <w:t xml:space="preserve"> </w:t>
            </w:r>
            <w:proofErr w:type="spellStart"/>
            <w:r w:rsidRPr="001452A0">
              <w:rPr>
                <w:rFonts w:ascii="Times New Roman" w:hAnsi="Times New Roman" w:cs="Times New Roman"/>
                <w:lang w:val="en-US"/>
              </w:rPr>
              <w:t>oportun</w:t>
            </w:r>
            <w:proofErr w:type="spellEnd"/>
            <w:r w:rsidRPr="001452A0">
              <w:rPr>
                <w:rFonts w:ascii="Times New Roman" w:hAnsi="Times New Roman" w:cs="Times New Roman"/>
                <w:lang w:val="en-US"/>
              </w:rPr>
              <w:t xml:space="preserve"> de </w:t>
            </w:r>
            <w:proofErr w:type="spellStart"/>
            <w:r w:rsidRPr="001452A0">
              <w:rPr>
                <w:rFonts w:ascii="Times New Roman" w:hAnsi="Times New Roman" w:cs="Times New Roman"/>
                <w:lang w:val="en-US"/>
              </w:rPr>
              <w:t>completat</w:t>
            </w:r>
            <w:proofErr w:type="spellEnd"/>
            <w:r w:rsidRPr="001452A0">
              <w:rPr>
                <w:rFonts w:ascii="Times New Roman" w:hAnsi="Times New Roman" w:cs="Times New Roman"/>
                <w:lang w:val="en-US"/>
              </w:rPr>
              <w:t xml:space="preserve"> </w:t>
            </w:r>
            <w:proofErr w:type="spellStart"/>
            <w:r w:rsidRPr="001452A0">
              <w:rPr>
                <w:rFonts w:ascii="Times New Roman" w:hAnsi="Times New Roman" w:cs="Times New Roman"/>
                <w:lang w:val="en-US"/>
              </w:rPr>
              <w:t>clauza</w:t>
            </w:r>
            <w:proofErr w:type="spellEnd"/>
            <w:r w:rsidRPr="001452A0">
              <w:rPr>
                <w:rFonts w:ascii="Times New Roman" w:hAnsi="Times New Roman" w:cs="Times New Roman"/>
                <w:lang w:val="en-US"/>
              </w:rPr>
              <w:t xml:space="preserve"> de </w:t>
            </w:r>
            <w:proofErr w:type="spellStart"/>
            <w:r w:rsidRPr="001452A0">
              <w:rPr>
                <w:rFonts w:ascii="Times New Roman" w:hAnsi="Times New Roman" w:cs="Times New Roman"/>
                <w:lang w:val="en-US"/>
              </w:rPr>
              <w:t>adoptare</w:t>
            </w:r>
            <w:proofErr w:type="spellEnd"/>
            <w:r w:rsidRPr="001452A0">
              <w:rPr>
                <w:rFonts w:ascii="Times New Roman" w:hAnsi="Times New Roman" w:cs="Times New Roman"/>
                <w:lang w:val="en-US"/>
              </w:rPr>
              <w:t xml:space="preserve">, </w:t>
            </w:r>
            <w:proofErr w:type="spellStart"/>
            <w:r w:rsidRPr="001452A0">
              <w:rPr>
                <w:rFonts w:ascii="Times New Roman" w:hAnsi="Times New Roman" w:cs="Times New Roman"/>
                <w:lang w:val="en-US"/>
              </w:rPr>
              <w:t>după</w:t>
            </w:r>
            <w:proofErr w:type="spellEnd"/>
            <w:r w:rsidRPr="001452A0">
              <w:rPr>
                <w:rFonts w:ascii="Times New Roman" w:hAnsi="Times New Roman" w:cs="Times New Roman"/>
                <w:lang w:val="en-US"/>
              </w:rPr>
              <w:t xml:space="preserve"> </w:t>
            </w:r>
            <w:proofErr w:type="spellStart"/>
            <w:r w:rsidRPr="001452A0">
              <w:rPr>
                <w:rFonts w:ascii="Times New Roman" w:hAnsi="Times New Roman" w:cs="Times New Roman"/>
                <w:lang w:val="en-US"/>
              </w:rPr>
              <w:t>cuvintele</w:t>
            </w:r>
            <w:proofErr w:type="spellEnd"/>
            <w:r w:rsidRPr="001452A0">
              <w:rPr>
                <w:rFonts w:ascii="Times New Roman" w:hAnsi="Times New Roman" w:cs="Times New Roman"/>
                <w:lang w:val="en-US"/>
              </w:rPr>
              <w:t xml:space="preserve"> „cu </w:t>
            </w:r>
            <w:proofErr w:type="spellStart"/>
            <w:r w:rsidRPr="001452A0">
              <w:rPr>
                <w:rFonts w:ascii="Times New Roman" w:hAnsi="Times New Roman" w:cs="Times New Roman"/>
                <w:lang w:val="en-US"/>
              </w:rPr>
              <w:t>modificările</w:t>
            </w:r>
            <w:proofErr w:type="spellEnd"/>
            <w:r w:rsidRPr="001452A0">
              <w:rPr>
                <w:rFonts w:ascii="Times New Roman" w:hAnsi="Times New Roman" w:cs="Times New Roman"/>
                <w:lang w:val="en-US"/>
              </w:rPr>
              <w:t xml:space="preserve"> </w:t>
            </w:r>
            <w:proofErr w:type="spellStart"/>
            <w:r w:rsidRPr="001452A0">
              <w:rPr>
                <w:rFonts w:ascii="Times New Roman" w:hAnsi="Times New Roman" w:cs="Times New Roman"/>
                <w:lang w:val="en-US"/>
              </w:rPr>
              <w:t>ulterioare</w:t>
            </w:r>
            <w:proofErr w:type="spellEnd"/>
            <w:r w:rsidRPr="001452A0">
              <w:rPr>
                <w:rFonts w:ascii="Times New Roman" w:hAnsi="Times New Roman" w:cs="Times New Roman"/>
                <w:lang w:val="en-US"/>
              </w:rPr>
              <w:t xml:space="preserve">”, cu </w:t>
            </w:r>
            <w:proofErr w:type="spellStart"/>
            <w:r w:rsidRPr="001452A0">
              <w:rPr>
                <w:rFonts w:ascii="Times New Roman" w:hAnsi="Times New Roman" w:cs="Times New Roman"/>
                <w:lang w:val="en-US"/>
              </w:rPr>
              <w:t>textul</w:t>
            </w:r>
            <w:proofErr w:type="spellEnd"/>
            <w:r w:rsidRPr="001452A0">
              <w:rPr>
                <w:rFonts w:ascii="Times New Roman" w:hAnsi="Times New Roman" w:cs="Times New Roman"/>
                <w:lang w:val="en-US"/>
              </w:rPr>
              <w:t xml:space="preserve"> </w:t>
            </w:r>
            <w:r w:rsidRPr="001452A0">
              <w:rPr>
                <w:rFonts w:ascii="Times New Roman" w:hAnsi="Times New Roman" w:cs="Times New Roman"/>
                <w:i/>
                <w:iCs/>
                <w:lang w:val="en-US"/>
              </w:rPr>
              <w:t>„</w:t>
            </w:r>
            <w:bookmarkStart w:id="0" w:name="_Hlk188003821"/>
            <w:r w:rsidRPr="001452A0">
              <w:rPr>
                <w:rFonts w:ascii="Times New Roman" w:hAnsi="Times New Roman" w:cs="Times New Roman"/>
                <w:i/>
                <w:iCs/>
                <w:lang w:val="en-US"/>
              </w:rPr>
              <w:t xml:space="preserve">art.32 </w:t>
            </w:r>
            <w:proofErr w:type="spellStart"/>
            <w:r w:rsidRPr="001452A0">
              <w:rPr>
                <w:rFonts w:ascii="Times New Roman" w:hAnsi="Times New Roman" w:cs="Times New Roman"/>
                <w:i/>
                <w:iCs/>
                <w:lang w:val="en-US"/>
              </w:rPr>
              <w:t>alin</w:t>
            </w:r>
            <w:proofErr w:type="spellEnd"/>
            <w:r w:rsidRPr="001452A0">
              <w:rPr>
                <w:rFonts w:ascii="Times New Roman" w:hAnsi="Times New Roman" w:cs="Times New Roman"/>
                <w:i/>
                <w:iCs/>
                <w:lang w:val="en-US"/>
              </w:rPr>
              <w:t>.</w:t>
            </w:r>
            <w:r w:rsidR="00973512" w:rsidRPr="00C1248A">
              <w:rPr>
                <w:rFonts w:ascii="Times New Roman" w:hAnsi="Times New Roman" w:cs="Times New Roman"/>
                <w:i/>
                <w:iCs/>
                <w:lang w:val="en-US"/>
              </w:rPr>
              <w:t xml:space="preserve"> </w:t>
            </w:r>
            <w:r w:rsidRPr="001452A0">
              <w:rPr>
                <w:rFonts w:ascii="Times New Roman" w:hAnsi="Times New Roman" w:cs="Times New Roman"/>
                <w:i/>
                <w:iCs/>
                <w:lang w:val="en-US"/>
              </w:rPr>
              <w:t xml:space="preserve">(4) din </w:t>
            </w:r>
            <w:proofErr w:type="spellStart"/>
            <w:r w:rsidRPr="001452A0">
              <w:rPr>
                <w:rFonts w:ascii="Times New Roman" w:hAnsi="Times New Roman" w:cs="Times New Roman"/>
                <w:i/>
                <w:iCs/>
                <w:lang w:val="en-US"/>
              </w:rPr>
              <w:t>Legea</w:t>
            </w:r>
            <w:proofErr w:type="spellEnd"/>
            <w:r w:rsidRPr="001452A0">
              <w:rPr>
                <w:rFonts w:ascii="Times New Roman" w:hAnsi="Times New Roman" w:cs="Times New Roman"/>
                <w:i/>
                <w:iCs/>
                <w:lang w:val="en-US"/>
              </w:rPr>
              <w:t xml:space="preserve"> nr.98/2012 </w:t>
            </w:r>
            <w:proofErr w:type="spellStart"/>
            <w:r w:rsidRPr="001452A0">
              <w:rPr>
                <w:rFonts w:ascii="Times New Roman" w:hAnsi="Times New Roman" w:cs="Times New Roman"/>
                <w:i/>
                <w:iCs/>
                <w:lang w:val="en-US"/>
              </w:rPr>
              <w:t>privind</w:t>
            </w:r>
            <w:proofErr w:type="spellEnd"/>
            <w:r w:rsidRPr="001452A0">
              <w:rPr>
                <w:rFonts w:ascii="Times New Roman" w:hAnsi="Times New Roman" w:cs="Times New Roman"/>
                <w:i/>
                <w:iCs/>
                <w:lang w:val="en-US"/>
              </w:rPr>
              <w:t xml:space="preserve"> </w:t>
            </w:r>
            <w:proofErr w:type="spellStart"/>
            <w:r w:rsidRPr="001452A0">
              <w:rPr>
                <w:rFonts w:ascii="Times New Roman" w:hAnsi="Times New Roman" w:cs="Times New Roman"/>
                <w:i/>
                <w:iCs/>
                <w:lang w:val="en-US"/>
              </w:rPr>
              <w:t>administraţia</w:t>
            </w:r>
            <w:proofErr w:type="spellEnd"/>
            <w:r w:rsidRPr="001452A0">
              <w:rPr>
                <w:rFonts w:ascii="Times New Roman" w:hAnsi="Times New Roman" w:cs="Times New Roman"/>
                <w:i/>
                <w:iCs/>
                <w:lang w:val="en-US"/>
              </w:rPr>
              <w:t xml:space="preserve"> </w:t>
            </w:r>
            <w:proofErr w:type="spellStart"/>
            <w:r w:rsidRPr="001452A0">
              <w:rPr>
                <w:rFonts w:ascii="Times New Roman" w:hAnsi="Times New Roman" w:cs="Times New Roman"/>
                <w:i/>
                <w:iCs/>
                <w:lang w:val="en-US"/>
              </w:rPr>
              <w:t>publică</w:t>
            </w:r>
            <w:proofErr w:type="spellEnd"/>
            <w:r w:rsidRPr="001452A0">
              <w:rPr>
                <w:rFonts w:ascii="Times New Roman" w:hAnsi="Times New Roman" w:cs="Times New Roman"/>
                <w:i/>
                <w:iCs/>
                <w:lang w:val="en-US"/>
              </w:rPr>
              <w:t xml:space="preserve"> </w:t>
            </w:r>
            <w:proofErr w:type="spellStart"/>
            <w:r w:rsidRPr="001452A0">
              <w:rPr>
                <w:rFonts w:ascii="Times New Roman" w:hAnsi="Times New Roman" w:cs="Times New Roman"/>
                <w:i/>
                <w:iCs/>
                <w:lang w:val="en-US"/>
              </w:rPr>
              <w:t>centrală</w:t>
            </w:r>
            <w:proofErr w:type="spellEnd"/>
            <w:r w:rsidRPr="001452A0">
              <w:rPr>
                <w:rFonts w:ascii="Times New Roman" w:hAnsi="Times New Roman" w:cs="Times New Roman"/>
                <w:i/>
                <w:iCs/>
                <w:lang w:val="en-US"/>
              </w:rPr>
              <w:t xml:space="preserve"> de </w:t>
            </w:r>
            <w:proofErr w:type="spellStart"/>
            <w:r w:rsidRPr="001452A0">
              <w:rPr>
                <w:rFonts w:ascii="Times New Roman" w:hAnsi="Times New Roman" w:cs="Times New Roman"/>
                <w:i/>
                <w:iCs/>
                <w:lang w:val="en-US"/>
              </w:rPr>
              <w:t>specialitate</w:t>
            </w:r>
            <w:proofErr w:type="spellEnd"/>
            <w:r w:rsidRPr="001452A0">
              <w:rPr>
                <w:rFonts w:ascii="Times New Roman" w:hAnsi="Times New Roman" w:cs="Times New Roman"/>
                <w:i/>
                <w:iCs/>
                <w:lang w:val="en-US"/>
              </w:rPr>
              <w:t xml:space="preserve"> (</w:t>
            </w:r>
            <w:proofErr w:type="spellStart"/>
            <w:r w:rsidRPr="001452A0">
              <w:rPr>
                <w:rFonts w:ascii="Times New Roman" w:hAnsi="Times New Roman" w:cs="Times New Roman"/>
                <w:i/>
                <w:iCs/>
                <w:lang w:val="en-US"/>
              </w:rPr>
              <w:t>Monitorul</w:t>
            </w:r>
            <w:proofErr w:type="spellEnd"/>
            <w:r w:rsidRPr="001452A0">
              <w:rPr>
                <w:rFonts w:ascii="Times New Roman" w:hAnsi="Times New Roman" w:cs="Times New Roman"/>
                <w:i/>
                <w:iCs/>
                <w:lang w:val="en-US"/>
              </w:rPr>
              <w:t xml:space="preserve"> </w:t>
            </w:r>
            <w:proofErr w:type="spellStart"/>
            <w:r w:rsidRPr="001452A0">
              <w:rPr>
                <w:rFonts w:ascii="Times New Roman" w:hAnsi="Times New Roman" w:cs="Times New Roman"/>
                <w:i/>
                <w:iCs/>
                <w:lang w:val="en-US"/>
              </w:rPr>
              <w:t>Oficial</w:t>
            </w:r>
            <w:proofErr w:type="spellEnd"/>
            <w:r w:rsidRPr="001452A0">
              <w:rPr>
                <w:rFonts w:ascii="Times New Roman" w:hAnsi="Times New Roman" w:cs="Times New Roman"/>
                <w:i/>
                <w:iCs/>
                <w:lang w:val="en-US"/>
              </w:rPr>
              <w:t xml:space="preserve"> al </w:t>
            </w:r>
            <w:proofErr w:type="spellStart"/>
            <w:r w:rsidRPr="001452A0">
              <w:rPr>
                <w:rFonts w:ascii="Times New Roman" w:hAnsi="Times New Roman" w:cs="Times New Roman"/>
                <w:i/>
                <w:iCs/>
                <w:lang w:val="en-US"/>
              </w:rPr>
              <w:t>Republicii</w:t>
            </w:r>
            <w:proofErr w:type="spellEnd"/>
            <w:r w:rsidRPr="001452A0">
              <w:rPr>
                <w:rFonts w:ascii="Times New Roman" w:hAnsi="Times New Roman" w:cs="Times New Roman"/>
                <w:i/>
                <w:iCs/>
                <w:lang w:val="en-US"/>
              </w:rPr>
              <w:t xml:space="preserve"> Moldova, 2012, nr.160-164, art.537), cu </w:t>
            </w:r>
            <w:proofErr w:type="spellStart"/>
            <w:r w:rsidRPr="001452A0">
              <w:rPr>
                <w:rFonts w:ascii="Times New Roman" w:hAnsi="Times New Roman" w:cs="Times New Roman"/>
                <w:i/>
                <w:iCs/>
                <w:lang w:val="en-US"/>
              </w:rPr>
              <w:t>modificările</w:t>
            </w:r>
            <w:proofErr w:type="spellEnd"/>
            <w:r w:rsidRPr="001452A0">
              <w:rPr>
                <w:rFonts w:ascii="Times New Roman" w:hAnsi="Times New Roman" w:cs="Times New Roman"/>
                <w:i/>
                <w:iCs/>
                <w:lang w:val="en-US"/>
              </w:rPr>
              <w:t xml:space="preserve"> </w:t>
            </w:r>
            <w:proofErr w:type="spellStart"/>
            <w:r w:rsidRPr="001452A0">
              <w:rPr>
                <w:rFonts w:ascii="Times New Roman" w:hAnsi="Times New Roman" w:cs="Times New Roman"/>
                <w:i/>
                <w:iCs/>
                <w:lang w:val="en-US"/>
              </w:rPr>
              <w:t>ulterioare</w:t>
            </w:r>
            <w:bookmarkEnd w:id="0"/>
            <w:proofErr w:type="spellEnd"/>
            <w:r w:rsidRPr="001452A0">
              <w:rPr>
                <w:rFonts w:ascii="Times New Roman" w:hAnsi="Times New Roman" w:cs="Times New Roman"/>
                <w:i/>
                <w:iCs/>
                <w:lang w:val="en-US"/>
              </w:rPr>
              <w:t>”</w:t>
            </w:r>
            <w:r w:rsidRPr="001452A0">
              <w:rPr>
                <w:rFonts w:ascii="Times New Roman" w:hAnsi="Times New Roman" w:cs="Times New Roman"/>
                <w:lang w:val="en-US"/>
              </w:rPr>
              <w:t xml:space="preserve">. </w:t>
            </w:r>
          </w:p>
          <w:p w14:paraId="2CAA9B01" w14:textId="77777777" w:rsidR="001452A0" w:rsidRPr="001452A0" w:rsidRDefault="001452A0" w:rsidP="001452A0">
            <w:pPr>
              <w:jc w:val="both"/>
              <w:rPr>
                <w:rFonts w:ascii="Times New Roman" w:hAnsi="Times New Roman" w:cs="Times New Roman"/>
                <w:lang w:val="en-US"/>
              </w:rPr>
            </w:pPr>
            <w:proofErr w:type="spellStart"/>
            <w:r w:rsidRPr="001452A0">
              <w:rPr>
                <w:rFonts w:ascii="Times New Roman" w:hAnsi="Times New Roman" w:cs="Times New Roman"/>
                <w:lang w:val="en-US"/>
              </w:rPr>
              <w:t>Referitor</w:t>
            </w:r>
            <w:proofErr w:type="spellEnd"/>
            <w:r w:rsidRPr="001452A0">
              <w:rPr>
                <w:rFonts w:ascii="Times New Roman" w:hAnsi="Times New Roman" w:cs="Times New Roman"/>
                <w:lang w:val="en-US"/>
              </w:rPr>
              <w:t xml:space="preserve"> la </w:t>
            </w:r>
            <w:proofErr w:type="spellStart"/>
            <w:r w:rsidRPr="001452A0">
              <w:rPr>
                <w:rFonts w:ascii="Times New Roman" w:hAnsi="Times New Roman" w:cs="Times New Roman"/>
                <w:lang w:val="en-US"/>
              </w:rPr>
              <w:t>proiectul</w:t>
            </w:r>
            <w:proofErr w:type="spellEnd"/>
            <w:r w:rsidRPr="001452A0">
              <w:rPr>
                <w:rFonts w:ascii="Times New Roman" w:hAnsi="Times New Roman" w:cs="Times New Roman"/>
                <w:lang w:val="en-US"/>
              </w:rPr>
              <w:t xml:space="preserve"> </w:t>
            </w:r>
            <w:proofErr w:type="spellStart"/>
            <w:r w:rsidRPr="001452A0">
              <w:rPr>
                <w:rFonts w:ascii="Times New Roman" w:hAnsi="Times New Roman" w:cs="Times New Roman"/>
                <w:lang w:val="en-US"/>
              </w:rPr>
              <w:t>Metodologiei</w:t>
            </w:r>
            <w:proofErr w:type="spellEnd"/>
            <w:r w:rsidRPr="001452A0">
              <w:rPr>
                <w:rFonts w:ascii="Times New Roman" w:hAnsi="Times New Roman" w:cs="Times New Roman"/>
                <w:lang w:val="en-US"/>
              </w:rPr>
              <w:t xml:space="preserve">: </w:t>
            </w:r>
          </w:p>
          <w:p w14:paraId="28094BE8" w14:textId="77777777" w:rsidR="001452A0" w:rsidRPr="001452A0" w:rsidRDefault="001452A0" w:rsidP="001452A0">
            <w:pPr>
              <w:jc w:val="both"/>
              <w:rPr>
                <w:rFonts w:ascii="Times New Roman" w:hAnsi="Times New Roman" w:cs="Times New Roman"/>
                <w:lang w:val="en-US"/>
              </w:rPr>
            </w:pPr>
            <w:proofErr w:type="spellStart"/>
            <w:r w:rsidRPr="001452A0">
              <w:rPr>
                <w:rFonts w:ascii="Times New Roman" w:hAnsi="Times New Roman" w:cs="Times New Roman"/>
                <w:lang w:val="en-US"/>
              </w:rPr>
              <w:t>În</w:t>
            </w:r>
            <w:proofErr w:type="spellEnd"/>
            <w:r w:rsidRPr="001452A0">
              <w:rPr>
                <w:rFonts w:ascii="Times New Roman" w:hAnsi="Times New Roman" w:cs="Times New Roman"/>
                <w:lang w:val="en-US"/>
              </w:rPr>
              <w:t xml:space="preserve"> </w:t>
            </w:r>
            <w:proofErr w:type="spellStart"/>
            <w:r w:rsidRPr="001452A0">
              <w:rPr>
                <w:rFonts w:ascii="Times New Roman" w:hAnsi="Times New Roman" w:cs="Times New Roman"/>
                <w:lang w:val="en-US"/>
              </w:rPr>
              <w:t>textul</w:t>
            </w:r>
            <w:proofErr w:type="spellEnd"/>
            <w:r w:rsidRPr="001452A0">
              <w:rPr>
                <w:rFonts w:ascii="Times New Roman" w:hAnsi="Times New Roman" w:cs="Times New Roman"/>
                <w:lang w:val="en-US"/>
              </w:rPr>
              <w:t xml:space="preserve"> </w:t>
            </w:r>
            <w:proofErr w:type="spellStart"/>
            <w:r w:rsidRPr="001452A0">
              <w:rPr>
                <w:rFonts w:ascii="Times New Roman" w:hAnsi="Times New Roman" w:cs="Times New Roman"/>
                <w:lang w:val="en-US"/>
              </w:rPr>
              <w:t>proiectului</w:t>
            </w:r>
            <w:proofErr w:type="spellEnd"/>
            <w:r w:rsidRPr="001452A0">
              <w:rPr>
                <w:rFonts w:ascii="Times New Roman" w:hAnsi="Times New Roman" w:cs="Times New Roman"/>
                <w:lang w:val="en-US"/>
              </w:rPr>
              <w:t xml:space="preserve"> au </w:t>
            </w:r>
            <w:proofErr w:type="spellStart"/>
            <w:r w:rsidRPr="001452A0">
              <w:rPr>
                <w:rFonts w:ascii="Times New Roman" w:hAnsi="Times New Roman" w:cs="Times New Roman"/>
                <w:lang w:val="en-US"/>
              </w:rPr>
              <w:t>fost</w:t>
            </w:r>
            <w:proofErr w:type="spellEnd"/>
            <w:r w:rsidRPr="001452A0">
              <w:rPr>
                <w:rFonts w:ascii="Times New Roman" w:hAnsi="Times New Roman" w:cs="Times New Roman"/>
                <w:lang w:val="en-US"/>
              </w:rPr>
              <w:t xml:space="preserve"> </w:t>
            </w:r>
            <w:proofErr w:type="spellStart"/>
            <w:r w:rsidRPr="001452A0">
              <w:rPr>
                <w:rFonts w:ascii="Times New Roman" w:hAnsi="Times New Roman" w:cs="Times New Roman"/>
                <w:lang w:val="en-US"/>
              </w:rPr>
              <w:t>identificate</w:t>
            </w:r>
            <w:proofErr w:type="spellEnd"/>
            <w:r w:rsidRPr="001452A0">
              <w:rPr>
                <w:rFonts w:ascii="Times New Roman" w:hAnsi="Times New Roman" w:cs="Times New Roman"/>
                <w:lang w:val="en-US"/>
              </w:rPr>
              <w:t xml:space="preserve"> </w:t>
            </w:r>
            <w:proofErr w:type="spellStart"/>
            <w:r w:rsidRPr="001452A0">
              <w:rPr>
                <w:rFonts w:ascii="Times New Roman" w:hAnsi="Times New Roman" w:cs="Times New Roman"/>
                <w:lang w:val="en-US"/>
              </w:rPr>
              <w:t>norme</w:t>
            </w:r>
            <w:proofErr w:type="spellEnd"/>
            <w:r w:rsidRPr="001452A0">
              <w:rPr>
                <w:rFonts w:ascii="Times New Roman" w:hAnsi="Times New Roman" w:cs="Times New Roman"/>
                <w:lang w:val="en-US"/>
              </w:rPr>
              <w:t xml:space="preserve"> care </w:t>
            </w:r>
            <w:proofErr w:type="spellStart"/>
            <w:r w:rsidRPr="001452A0">
              <w:rPr>
                <w:rFonts w:ascii="Times New Roman" w:hAnsi="Times New Roman" w:cs="Times New Roman"/>
                <w:lang w:val="en-US"/>
              </w:rPr>
              <w:t>prezintă</w:t>
            </w:r>
            <w:proofErr w:type="spellEnd"/>
            <w:r w:rsidRPr="001452A0">
              <w:rPr>
                <w:rFonts w:ascii="Times New Roman" w:hAnsi="Times New Roman" w:cs="Times New Roman"/>
                <w:lang w:val="en-US"/>
              </w:rPr>
              <w:t xml:space="preserve"> un </w:t>
            </w:r>
            <w:proofErr w:type="spellStart"/>
            <w:r w:rsidRPr="001452A0">
              <w:rPr>
                <w:rFonts w:ascii="Times New Roman" w:hAnsi="Times New Roman" w:cs="Times New Roman"/>
                <w:lang w:val="en-US"/>
              </w:rPr>
              <w:t>caracter</w:t>
            </w:r>
            <w:proofErr w:type="spellEnd"/>
            <w:r w:rsidRPr="001452A0">
              <w:rPr>
                <w:rFonts w:ascii="Times New Roman" w:hAnsi="Times New Roman" w:cs="Times New Roman"/>
                <w:lang w:val="en-US"/>
              </w:rPr>
              <w:t xml:space="preserve"> </w:t>
            </w:r>
            <w:proofErr w:type="spellStart"/>
            <w:r w:rsidRPr="001452A0">
              <w:rPr>
                <w:rFonts w:ascii="Times New Roman" w:hAnsi="Times New Roman" w:cs="Times New Roman"/>
                <w:lang w:val="en-US"/>
              </w:rPr>
              <w:t>netransparent</w:t>
            </w:r>
            <w:proofErr w:type="spellEnd"/>
            <w:r w:rsidRPr="001452A0">
              <w:rPr>
                <w:rFonts w:ascii="Times New Roman" w:hAnsi="Times New Roman" w:cs="Times New Roman"/>
                <w:lang w:val="en-US"/>
              </w:rPr>
              <w:t xml:space="preserve"> </w:t>
            </w:r>
            <w:proofErr w:type="spellStart"/>
            <w:r w:rsidRPr="001452A0">
              <w:rPr>
                <w:rFonts w:ascii="Times New Roman" w:hAnsi="Times New Roman" w:cs="Times New Roman"/>
                <w:lang w:val="en-US"/>
              </w:rPr>
              <w:t>și</w:t>
            </w:r>
            <w:proofErr w:type="spellEnd"/>
            <w:r w:rsidRPr="001452A0">
              <w:rPr>
                <w:rFonts w:ascii="Times New Roman" w:hAnsi="Times New Roman" w:cs="Times New Roman"/>
                <w:lang w:val="en-US"/>
              </w:rPr>
              <w:t xml:space="preserve"> </w:t>
            </w:r>
            <w:proofErr w:type="spellStart"/>
            <w:r w:rsidRPr="001452A0">
              <w:rPr>
                <w:rFonts w:ascii="Times New Roman" w:hAnsi="Times New Roman" w:cs="Times New Roman"/>
                <w:lang w:val="en-US"/>
              </w:rPr>
              <w:t>incert</w:t>
            </w:r>
            <w:proofErr w:type="spellEnd"/>
            <w:r w:rsidRPr="001452A0">
              <w:rPr>
                <w:rFonts w:ascii="Times New Roman" w:hAnsi="Times New Roman" w:cs="Times New Roman"/>
                <w:lang w:val="en-US"/>
              </w:rPr>
              <w:t xml:space="preserve">, </w:t>
            </w:r>
            <w:proofErr w:type="spellStart"/>
            <w:r w:rsidRPr="001452A0">
              <w:rPr>
                <w:rFonts w:ascii="Times New Roman" w:hAnsi="Times New Roman" w:cs="Times New Roman"/>
                <w:lang w:val="en-US"/>
              </w:rPr>
              <w:t>după</w:t>
            </w:r>
            <w:proofErr w:type="spellEnd"/>
            <w:r w:rsidRPr="001452A0">
              <w:rPr>
                <w:rFonts w:ascii="Times New Roman" w:hAnsi="Times New Roman" w:cs="Times New Roman"/>
                <w:lang w:val="en-US"/>
              </w:rPr>
              <w:t xml:space="preserve"> cum </w:t>
            </w:r>
            <w:proofErr w:type="spellStart"/>
            <w:r w:rsidRPr="001452A0">
              <w:rPr>
                <w:rFonts w:ascii="Times New Roman" w:hAnsi="Times New Roman" w:cs="Times New Roman"/>
                <w:lang w:val="en-US"/>
              </w:rPr>
              <w:t>urmează</w:t>
            </w:r>
            <w:proofErr w:type="spellEnd"/>
            <w:r w:rsidRPr="001452A0">
              <w:rPr>
                <w:rFonts w:ascii="Times New Roman" w:hAnsi="Times New Roman" w:cs="Times New Roman"/>
                <w:lang w:val="en-US"/>
              </w:rPr>
              <w:t xml:space="preserve">: </w:t>
            </w:r>
          </w:p>
          <w:p w14:paraId="07B1D542" w14:textId="77777777" w:rsidR="001452A0" w:rsidRPr="001452A0" w:rsidRDefault="001452A0" w:rsidP="001452A0">
            <w:pPr>
              <w:jc w:val="both"/>
              <w:rPr>
                <w:rFonts w:ascii="Times New Roman" w:hAnsi="Times New Roman" w:cs="Times New Roman"/>
                <w:lang w:val="en-US"/>
              </w:rPr>
            </w:pPr>
            <w:r w:rsidRPr="001452A0">
              <w:rPr>
                <w:rFonts w:ascii="Times New Roman" w:hAnsi="Times New Roman" w:cs="Times New Roman"/>
                <w:lang w:val="en-US"/>
              </w:rPr>
              <w:t xml:space="preserve">la pct. 9 </w:t>
            </w:r>
            <w:proofErr w:type="spellStart"/>
            <w:r w:rsidRPr="001452A0">
              <w:rPr>
                <w:rFonts w:ascii="Times New Roman" w:hAnsi="Times New Roman" w:cs="Times New Roman"/>
                <w:lang w:val="en-US"/>
              </w:rPr>
              <w:t>și</w:t>
            </w:r>
            <w:proofErr w:type="spellEnd"/>
            <w:r w:rsidRPr="001452A0">
              <w:rPr>
                <w:rFonts w:ascii="Times New Roman" w:hAnsi="Times New Roman" w:cs="Times New Roman"/>
                <w:lang w:val="en-US"/>
              </w:rPr>
              <w:t xml:space="preserve"> pct. 23 </w:t>
            </w:r>
            <w:proofErr w:type="spellStart"/>
            <w:r w:rsidRPr="001452A0">
              <w:rPr>
                <w:rFonts w:ascii="Times New Roman" w:hAnsi="Times New Roman" w:cs="Times New Roman"/>
                <w:lang w:val="en-US"/>
              </w:rPr>
              <w:t>cuvintele</w:t>
            </w:r>
            <w:proofErr w:type="spellEnd"/>
            <w:r w:rsidRPr="001452A0">
              <w:rPr>
                <w:rFonts w:ascii="Times New Roman" w:hAnsi="Times New Roman" w:cs="Times New Roman"/>
                <w:lang w:val="en-US"/>
              </w:rPr>
              <w:t xml:space="preserve"> </w:t>
            </w:r>
            <w:r w:rsidRPr="001452A0">
              <w:rPr>
                <w:rFonts w:ascii="Times New Roman" w:hAnsi="Times New Roman" w:cs="Times New Roman"/>
                <w:i/>
                <w:iCs/>
                <w:lang w:val="en-US"/>
              </w:rPr>
              <w:t>„</w:t>
            </w:r>
            <w:proofErr w:type="spellStart"/>
            <w:r w:rsidRPr="001452A0">
              <w:rPr>
                <w:rFonts w:ascii="Times New Roman" w:hAnsi="Times New Roman" w:cs="Times New Roman"/>
                <w:b/>
                <w:bCs/>
                <w:i/>
                <w:iCs/>
                <w:lang w:val="en-US"/>
              </w:rPr>
              <w:t>alte</w:t>
            </w:r>
            <w:proofErr w:type="spellEnd"/>
            <w:r w:rsidRPr="001452A0">
              <w:rPr>
                <w:rFonts w:ascii="Times New Roman" w:hAnsi="Times New Roman" w:cs="Times New Roman"/>
                <w:b/>
                <w:bCs/>
                <w:i/>
                <w:iCs/>
                <w:lang w:val="en-US"/>
              </w:rPr>
              <w:t xml:space="preserve"> </w:t>
            </w:r>
            <w:proofErr w:type="spellStart"/>
            <w:r w:rsidRPr="001452A0">
              <w:rPr>
                <w:rFonts w:ascii="Times New Roman" w:hAnsi="Times New Roman" w:cs="Times New Roman"/>
                <w:b/>
                <w:bCs/>
                <w:i/>
                <w:iCs/>
                <w:lang w:val="en-US"/>
              </w:rPr>
              <w:t>cheltuieli</w:t>
            </w:r>
            <w:proofErr w:type="spellEnd"/>
            <w:r w:rsidRPr="001452A0">
              <w:rPr>
                <w:rFonts w:ascii="Times New Roman" w:hAnsi="Times New Roman" w:cs="Times New Roman"/>
                <w:b/>
                <w:bCs/>
                <w:i/>
                <w:iCs/>
                <w:lang w:val="en-US"/>
              </w:rPr>
              <w:t xml:space="preserve"> </w:t>
            </w:r>
            <w:proofErr w:type="spellStart"/>
            <w:r w:rsidRPr="001452A0">
              <w:rPr>
                <w:rFonts w:ascii="Times New Roman" w:hAnsi="Times New Roman" w:cs="Times New Roman"/>
                <w:b/>
                <w:bCs/>
                <w:i/>
                <w:iCs/>
                <w:lang w:val="en-US"/>
              </w:rPr>
              <w:t>operaționale</w:t>
            </w:r>
            <w:proofErr w:type="spellEnd"/>
            <w:r w:rsidRPr="001452A0">
              <w:rPr>
                <w:rFonts w:ascii="Times New Roman" w:hAnsi="Times New Roman" w:cs="Times New Roman"/>
                <w:i/>
                <w:iCs/>
                <w:lang w:val="en-US"/>
              </w:rPr>
              <w:t xml:space="preserve">”; </w:t>
            </w:r>
          </w:p>
          <w:p w14:paraId="4C4EED83" w14:textId="77777777" w:rsidR="001452A0" w:rsidRPr="001452A0" w:rsidRDefault="001452A0" w:rsidP="001452A0">
            <w:pPr>
              <w:jc w:val="both"/>
              <w:rPr>
                <w:rFonts w:ascii="Times New Roman" w:hAnsi="Times New Roman" w:cs="Times New Roman"/>
                <w:lang w:val="en-US"/>
              </w:rPr>
            </w:pPr>
            <w:r w:rsidRPr="001452A0">
              <w:rPr>
                <w:rFonts w:ascii="Times New Roman" w:hAnsi="Times New Roman" w:cs="Times New Roman"/>
                <w:lang w:val="en-US"/>
              </w:rPr>
              <w:t xml:space="preserve">la pct. 19 </w:t>
            </w:r>
            <w:proofErr w:type="spellStart"/>
            <w:r w:rsidRPr="001452A0">
              <w:rPr>
                <w:rFonts w:ascii="Times New Roman" w:hAnsi="Times New Roman" w:cs="Times New Roman"/>
                <w:lang w:val="en-US"/>
              </w:rPr>
              <w:t>cuvintele</w:t>
            </w:r>
            <w:proofErr w:type="spellEnd"/>
            <w:r w:rsidRPr="001452A0">
              <w:rPr>
                <w:rFonts w:ascii="Times New Roman" w:hAnsi="Times New Roman" w:cs="Times New Roman"/>
                <w:lang w:val="en-US"/>
              </w:rPr>
              <w:t xml:space="preserve"> </w:t>
            </w:r>
            <w:r w:rsidRPr="001452A0">
              <w:rPr>
                <w:rFonts w:ascii="Times New Roman" w:hAnsi="Times New Roman" w:cs="Times New Roman"/>
                <w:i/>
                <w:iCs/>
                <w:lang w:val="en-US"/>
              </w:rPr>
              <w:t>„</w:t>
            </w:r>
            <w:proofErr w:type="spellStart"/>
            <w:r w:rsidRPr="001452A0">
              <w:rPr>
                <w:rFonts w:ascii="Times New Roman" w:hAnsi="Times New Roman" w:cs="Times New Roman"/>
                <w:b/>
                <w:bCs/>
                <w:i/>
                <w:iCs/>
                <w:lang w:val="en-US"/>
              </w:rPr>
              <w:t>alte</w:t>
            </w:r>
            <w:proofErr w:type="spellEnd"/>
            <w:r w:rsidRPr="001452A0">
              <w:rPr>
                <w:rFonts w:ascii="Times New Roman" w:hAnsi="Times New Roman" w:cs="Times New Roman"/>
                <w:b/>
                <w:bCs/>
                <w:i/>
                <w:iCs/>
                <w:lang w:val="en-US"/>
              </w:rPr>
              <w:t xml:space="preserve"> </w:t>
            </w:r>
            <w:proofErr w:type="spellStart"/>
            <w:r w:rsidRPr="001452A0">
              <w:rPr>
                <w:rFonts w:ascii="Times New Roman" w:hAnsi="Times New Roman" w:cs="Times New Roman"/>
                <w:b/>
                <w:bCs/>
                <w:i/>
                <w:iCs/>
                <w:lang w:val="en-US"/>
              </w:rPr>
              <w:t>plăți</w:t>
            </w:r>
            <w:proofErr w:type="spellEnd"/>
            <w:r w:rsidRPr="001452A0">
              <w:rPr>
                <w:rFonts w:ascii="Times New Roman" w:hAnsi="Times New Roman" w:cs="Times New Roman"/>
                <w:i/>
                <w:iCs/>
                <w:lang w:val="en-US"/>
              </w:rPr>
              <w:t>”</w:t>
            </w:r>
            <w:r w:rsidRPr="001452A0">
              <w:rPr>
                <w:rFonts w:ascii="Times New Roman" w:hAnsi="Times New Roman" w:cs="Times New Roman"/>
                <w:lang w:val="en-US"/>
              </w:rPr>
              <w:t xml:space="preserve">. </w:t>
            </w:r>
          </w:p>
          <w:p w14:paraId="17FA9263" w14:textId="0AFA9EB3" w:rsidR="00525181" w:rsidRPr="00C1248A" w:rsidRDefault="001452A0" w:rsidP="001452A0">
            <w:pPr>
              <w:jc w:val="both"/>
              <w:rPr>
                <w:rFonts w:ascii="Times New Roman" w:hAnsi="Times New Roman" w:cs="Times New Roman"/>
                <w:b/>
                <w:bCs/>
                <w:lang w:val="ro-RO"/>
              </w:rPr>
            </w:pPr>
            <w:proofErr w:type="spellStart"/>
            <w:r w:rsidRPr="00C1248A">
              <w:rPr>
                <w:rFonts w:ascii="Times New Roman" w:hAnsi="Times New Roman" w:cs="Times New Roman"/>
                <w:lang w:val="en-US"/>
              </w:rPr>
              <w:t>Astfel</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pentru</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asigurarea</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respectării</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principiului</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transparenței</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actului</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normativ</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și</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predictibilității</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normelor</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juridice</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consacrat</w:t>
            </w:r>
            <w:proofErr w:type="spellEnd"/>
            <w:r w:rsidRPr="00C1248A">
              <w:rPr>
                <w:rFonts w:ascii="Times New Roman" w:hAnsi="Times New Roman" w:cs="Times New Roman"/>
                <w:lang w:val="en-US"/>
              </w:rPr>
              <w:t xml:space="preserve"> de art.3 din </w:t>
            </w:r>
            <w:proofErr w:type="spellStart"/>
            <w:r w:rsidRPr="00C1248A">
              <w:rPr>
                <w:rFonts w:ascii="Times New Roman" w:hAnsi="Times New Roman" w:cs="Times New Roman"/>
                <w:lang w:val="en-US"/>
              </w:rPr>
              <w:t>Legea</w:t>
            </w:r>
            <w:proofErr w:type="spellEnd"/>
            <w:r w:rsidRPr="00C1248A">
              <w:rPr>
                <w:rFonts w:ascii="Times New Roman" w:hAnsi="Times New Roman" w:cs="Times New Roman"/>
                <w:lang w:val="en-US"/>
              </w:rPr>
              <w:t xml:space="preserve"> nr.100/2017 cu </w:t>
            </w:r>
            <w:proofErr w:type="spellStart"/>
            <w:r w:rsidRPr="00C1248A">
              <w:rPr>
                <w:rFonts w:ascii="Times New Roman" w:hAnsi="Times New Roman" w:cs="Times New Roman"/>
                <w:lang w:val="en-US"/>
              </w:rPr>
              <w:t>privire</w:t>
            </w:r>
            <w:proofErr w:type="spellEnd"/>
            <w:r w:rsidRPr="00C1248A">
              <w:rPr>
                <w:rFonts w:ascii="Times New Roman" w:hAnsi="Times New Roman" w:cs="Times New Roman"/>
                <w:lang w:val="en-US"/>
              </w:rPr>
              <w:t xml:space="preserve"> la </w:t>
            </w:r>
            <w:proofErr w:type="spellStart"/>
            <w:r w:rsidRPr="00C1248A">
              <w:rPr>
                <w:rFonts w:ascii="Times New Roman" w:hAnsi="Times New Roman" w:cs="Times New Roman"/>
                <w:lang w:val="en-US"/>
              </w:rPr>
              <w:t>actele</w:t>
            </w:r>
            <w:proofErr w:type="spellEnd"/>
            <w:r w:rsidRPr="00C1248A">
              <w:rPr>
                <w:rFonts w:ascii="Times New Roman" w:hAnsi="Times New Roman" w:cs="Times New Roman"/>
                <w:lang w:val="en-US"/>
              </w:rPr>
              <w:t xml:space="preserve"> normative, precum </w:t>
            </w:r>
            <w:proofErr w:type="spellStart"/>
            <w:r w:rsidRPr="00C1248A">
              <w:rPr>
                <w:rFonts w:ascii="Times New Roman" w:hAnsi="Times New Roman" w:cs="Times New Roman"/>
                <w:lang w:val="en-US"/>
              </w:rPr>
              <w:t>și</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întru</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evitarea</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unor</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eventuale</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aplicări</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eronate</w:t>
            </w:r>
            <w:proofErr w:type="spellEnd"/>
            <w:r w:rsidRPr="00C1248A">
              <w:rPr>
                <w:rFonts w:ascii="Times New Roman" w:hAnsi="Times New Roman" w:cs="Times New Roman"/>
                <w:lang w:val="en-US"/>
              </w:rPr>
              <w:t xml:space="preserve"> a </w:t>
            </w:r>
            <w:proofErr w:type="spellStart"/>
            <w:r w:rsidRPr="00C1248A">
              <w:rPr>
                <w:rFonts w:ascii="Times New Roman" w:hAnsi="Times New Roman" w:cs="Times New Roman"/>
                <w:lang w:val="en-US"/>
              </w:rPr>
              <w:t>normelor</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propuse</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considerăm</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necesar</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inserarea</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unor</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prevederi</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certe</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și</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transparente</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sau</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excluderea</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acestor</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norme</w:t>
            </w:r>
            <w:proofErr w:type="spellEnd"/>
            <w:r w:rsidRPr="00C1248A">
              <w:rPr>
                <w:rFonts w:ascii="Times New Roman" w:hAnsi="Times New Roman" w:cs="Times New Roman"/>
                <w:lang w:val="en-US"/>
              </w:rPr>
              <w:t>.</w:t>
            </w:r>
          </w:p>
        </w:tc>
        <w:tc>
          <w:tcPr>
            <w:tcW w:w="4428" w:type="dxa"/>
          </w:tcPr>
          <w:p w14:paraId="5AF9E409" w14:textId="77777777" w:rsidR="00F00928" w:rsidRPr="00C1248A" w:rsidRDefault="00F00928" w:rsidP="00F00928">
            <w:pPr>
              <w:pStyle w:val="Default"/>
              <w:ind w:left="39"/>
              <w:jc w:val="both"/>
              <w:rPr>
                <w:bCs/>
                <w:iCs/>
                <w:color w:val="auto"/>
                <w:sz w:val="22"/>
                <w:szCs w:val="22"/>
                <w:lang w:val="ro-MD"/>
              </w:rPr>
            </w:pPr>
          </w:p>
          <w:p w14:paraId="16642008" w14:textId="5D9C9265" w:rsidR="00F00928" w:rsidRPr="00C1248A" w:rsidRDefault="00741A5B" w:rsidP="00B62A04">
            <w:pPr>
              <w:pStyle w:val="Default"/>
              <w:numPr>
                <w:ilvl w:val="0"/>
                <w:numId w:val="19"/>
              </w:numPr>
              <w:ind w:left="39"/>
              <w:jc w:val="both"/>
              <w:rPr>
                <w:b/>
                <w:iCs/>
                <w:color w:val="auto"/>
                <w:sz w:val="22"/>
                <w:szCs w:val="22"/>
                <w:lang w:val="ro-MD"/>
              </w:rPr>
            </w:pPr>
            <w:r w:rsidRPr="00C1248A">
              <w:rPr>
                <w:b/>
                <w:iCs/>
                <w:color w:val="auto"/>
                <w:sz w:val="22"/>
                <w:szCs w:val="22"/>
                <w:lang w:val="ro-MD"/>
              </w:rPr>
              <w:t>Se acceptă.</w:t>
            </w:r>
          </w:p>
          <w:p w14:paraId="601EA88C" w14:textId="77777777" w:rsidR="00F00928" w:rsidRPr="00C1248A" w:rsidRDefault="00F00928" w:rsidP="00B62A04">
            <w:pPr>
              <w:pStyle w:val="Default"/>
              <w:numPr>
                <w:ilvl w:val="0"/>
                <w:numId w:val="19"/>
              </w:numPr>
              <w:ind w:left="39"/>
              <w:jc w:val="both"/>
              <w:rPr>
                <w:b/>
                <w:i/>
                <w:color w:val="auto"/>
                <w:sz w:val="22"/>
                <w:szCs w:val="22"/>
                <w:lang w:val="ro-MD"/>
              </w:rPr>
            </w:pPr>
          </w:p>
          <w:p w14:paraId="7053B60E" w14:textId="77777777" w:rsidR="00F00928" w:rsidRPr="00C1248A" w:rsidRDefault="00F00928" w:rsidP="00B62A04">
            <w:pPr>
              <w:pStyle w:val="Default"/>
              <w:numPr>
                <w:ilvl w:val="0"/>
                <w:numId w:val="19"/>
              </w:numPr>
              <w:ind w:left="39"/>
              <w:jc w:val="both"/>
              <w:rPr>
                <w:b/>
                <w:i/>
                <w:color w:val="auto"/>
                <w:sz w:val="22"/>
                <w:szCs w:val="22"/>
                <w:lang w:val="ro-MD"/>
              </w:rPr>
            </w:pPr>
          </w:p>
          <w:p w14:paraId="7592ECF0" w14:textId="77777777" w:rsidR="00F00928" w:rsidRPr="00C1248A" w:rsidRDefault="00F00928" w:rsidP="00B62A04">
            <w:pPr>
              <w:pStyle w:val="Default"/>
              <w:numPr>
                <w:ilvl w:val="0"/>
                <w:numId w:val="19"/>
              </w:numPr>
              <w:ind w:left="39"/>
              <w:jc w:val="both"/>
              <w:rPr>
                <w:b/>
                <w:i/>
                <w:color w:val="auto"/>
                <w:sz w:val="22"/>
                <w:szCs w:val="22"/>
                <w:lang w:val="ro-MD"/>
              </w:rPr>
            </w:pPr>
          </w:p>
          <w:p w14:paraId="3EE0D2F6" w14:textId="2098AFB8" w:rsidR="00B62A04" w:rsidRPr="00C1248A" w:rsidRDefault="00B62A04" w:rsidP="00B62A04">
            <w:pPr>
              <w:pStyle w:val="Default"/>
              <w:numPr>
                <w:ilvl w:val="0"/>
                <w:numId w:val="19"/>
              </w:numPr>
              <w:ind w:left="39"/>
              <w:jc w:val="both"/>
              <w:rPr>
                <w:b/>
                <w:i/>
                <w:color w:val="auto"/>
                <w:sz w:val="22"/>
                <w:szCs w:val="22"/>
                <w:lang w:val="ro-MD"/>
              </w:rPr>
            </w:pPr>
            <w:r w:rsidRPr="00C1248A">
              <w:rPr>
                <w:b/>
                <w:color w:val="auto"/>
                <w:sz w:val="22"/>
                <w:szCs w:val="22"/>
                <w:lang w:val="ro-MD"/>
              </w:rPr>
              <w:t>N</w:t>
            </w:r>
            <w:r w:rsidRPr="00C1248A">
              <w:rPr>
                <w:b/>
                <w:color w:val="auto"/>
                <w:sz w:val="22"/>
                <w:szCs w:val="22"/>
                <w:lang w:val="ro-MD"/>
              </w:rPr>
              <w:t>u se acceptă</w:t>
            </w:r>
            <w:r w:rsidRPr="00C1248A">
              <w:rPr>
                <w:b/>
                <w:color w:val="auto"/>
                <w:sz w:val="22"/>
                <w:szCs w:val="22"/>
                <w:lang w:val="ro-MD"/>
              </w:rPr>
              <w:t>.</w:t>
            </w:r>
          </w:p>
          <w:p w14:paraId="5209FEA8" w14:textId="77777777" w:rsidR="00B62A04" w:rsidRPr="00C1248A" w:rsidRDefault="00B62A04" w:rsidP="00B62A04">
            <w:pPr>
              <w:pStyle w:val="Default"/>
              <w:jc w:val="both"/>
              <w:rPr>
                <w:color w:val="auto"/>
                <w:sz w:val="22"/>
                <w:szCs w:val="22"/>
                <w:lang w:val="ro-MD"/>
              </w:rPr>
            </w:pPr>
            <w:r w:rsidRPr="00C1248A">
              <w:rPr>
                <w:color w:val="auto"/>
                <w:sz w:val="22"/>
                <w:szCs w:val="22"/>
                <w:lang w:val="ro-MD"/>
              </w:rPr>
              <w:t xml:space="preserve">     Sintagma “Alte cheltuieli operaţionale” este stipulată în Standardul “Cheltuieli” al Standardelor Naţionale de Contabilitate, aprobate prin ordinul Ministerului Finanţelor nr.118/2013. </w:t>
            </w:r>
          </w:p>
          <w:p w14:paraId="647B6452" w14:textId="77777777" w:rsidR="00B62A04" w:rsidRPr="00C1248A" w:rsidRDefault="00B62A04" w:rsidP="00B62A04">
            <w:pPr>
              <w:pStyle w:val="Default"/>
              <w:jc w:val="both"/>
              <w:rPr>
                <w:color w:val="auto"/>
                <w:sz w:val="22"/>
                <w:szCs w:val="22"/>
                <w:lang w:val="ro-MD"/>
              </w:rPr>
            </w:pPr>
            <w:r w:rsidRPr="00C1248A">
              <w:rPr>
                <w:color w:val="auto"/>
                <w:sz w:val="22"/>
                <w:szCs w:val="22"/>
                <w:lang w:val="ro-MD"/>
              </w:rPr>
              <w:t xml:space="preserve">     Standardul stipulează că “Cheltuielile activităţii operaţionale – cheltuielile determinate de procesul desfăşurării activităţii operaţionale a entităţii şi sunt generate de fabricarea şi comercializarea produselor, prestarea serviciilor, executarea lucrărilor, achiziţionarea şi comercializarea mărfurilor, executarea contractelor de construcţie, transmiterea în folosinţă temporară a activelor proprii în baza contractelor de leasing, etc.” </w:t>
            </w:r>
          </w:p>
          <w:p w14:paraId="6CC49034" w14:textId="77777777" w:rsidR="00B62A04" w:rsidRPr="00C1248A" w:rsidRDefault="00B62A04" w:rsidP="00B62A04">
            <w:pPr>
              <w:pStyle w:val="Default"/>
              <w:jc w:val="both"/>
              <w:rPr>
                <w:color w:val="auto"/>
                <w:sz w:val="22"/>
                <w:szCs w:val="22"/>
                <w:lang w:val="ro-MD"/>
              </w:rPr>
            </w:pPr>
            <w:r w:rsidRPr="00C1248A">
              <w:rPr>
                <w:color w:val="auto"/>
                <w:sz w:val="22"/>
                <w:szCs w:val="22"/>
                <w:lang w:val="ro-MD"/>
              </w:rPr>
              <w:t xml:space="preserve">    Conform prevederilor standardului menţionat, cheltuielile activităţii operaţionale includ:</w:t>
            </w:r>
          </w:p>
          <w:p w14:paraId="4BDD02BE" w14:textId="77777777" w:rsidR="00B62A04" w:rsidRPr="00C1248A" w:rsidRDefault="00B62A04" w:rsidP="00B62A04">
            <w:pPr>
              <w:pStyle w:val="Default"/>
              <w:numPr>
                <w:ilvl w:val="0"/>
                <w:numId w:val="18"/>
              </w:numPr>
              <w:ind w:left="322" w:hanging="283"/>
              <w:jc w:val="both"/>
              <w:rPr>
                <w:color w:val="auto"/>
                <w:sz w:val="22"/>
                <w:szCs w:val="22"/>
                <w:lang w:val="ro-MD"/>
              </w:rPr>
            </w:pPr>
            <w:r w:rsidRPr="00C1248A">
              <w:rPr>
                <w:color w:val="auto"/>
                <w:sz w:val="22"/>
                <w:szCs w:val="22"/>
                <w:lang w:val="ro-MD"/>
              </w:rPr>
              <w:t>Costul vînzărilor;</w:t>
            </w:r>
          </w:p>
          <w:p w14:paraId="78BF0391" w14:textId="77777777" w:rsidR="00B62A04" w:rsidRPr="00C1248A" w:rsidRDefault="00B62A04" w:rsidP="00B62A04">
            <w:pPr>
              <w:pStyle w:val="Default"/>
              <w:numPr>
                <w:ilvl w:val="0"/>
                <w:numId w:val="18"/>
              </w:numPr>
              <w:ind w:left="322" w:hanging="283"/>
              <w:jc w:val="both"/>
              <w:rPr>
                <w:color w:val="auto"/>
                <w:sz w:val="22"/>
                <w:szCs w:val="22"/>
                <w:lang w:val="ro-MD"/>
              </w:rPr>
            </w:pPr>
            <w:r w:rsidRPr="00C1248A">
              <w:rPr>
                <w:color w:val="auto"/>
                <w:sz w:val="22"/>
                <w:szCs w:val="22"/>
                <w:lang w:val="ro-MD"/>
              </w:rPr>
              <w:t>Cheltuielile de distribuire;</w:t>
            </w:r>
          </w:p>
          <w:p w14:paraId="52F8DBFE" w14:textId="77777777" w:rsidR="00B62A04" w:rsidRPr="00C1248A" w:rsidRDefault="00B62A04" w:rsidP="00B62A04">
            <w:pPr>
              <w:pStyle w:val="Default"/>
              <w:numPr>
                <w:ilvl w:val="0"/>
                <w:numId w:val="18"/>
              </w:numPr>
              <w:ind w:left="322" w:hanging="283"/>
              <w:jc w:val="both"/>
              <w:rPr>
                <w:color w:val="auto"/>
                <w:sz w:val="22"/>
                <w:szCs w:val="22"/>
                <w:lang w:val="ro-MD"/>
              </w:rPr>
            </w:pPr>
            <w:r w:rsidRPr="00C1248A">
              <w:rPr>
                <w:color w:val="auto"/>
                <w:sz w:val="22"/>
                <w:szCs w:val="22"/>
                <w:lang w:val="ro-MD"/>
              </w:rPr>
              <w:t>Cheltuielile administrative;</w:t>
            </w:r>
          </w:p>
          <w:p w14:paraId="301C851A" w14:textId="77777777" w:rsidR="00B62A04" w:rsidRPr="00C1248A" w:rsidRDefault="00B62A04" w:rsidP="00B62A04">
            <w:pPr>
              <w:pStyle w:val="Default"/>
              <w:numPr>
                <w:ilvl w:val="0"/>
                <w:numId w:val="18"/>
              </w:numPr>
              <w:ind w:left="322" w:hanging="283"/>
              <w:jc w:val="both"/>
              <w:rPr>
                <w:color w:val="auto"/>
                <w:sz w:val="22"/>
                <w:szCs w:val="22"/>
                <w:lang w:val="ro-MD"/>
              </w:rPr>
            </w:pPr>
            <w:r w:rsidRPr="00C1248A">
              <w:rPr>
                <w:color w:val="auto"/>
                <w:sz w:val="22"/>
                <w:szCs w:val="22"/>
                <w:lang w:val="ro-MD"/>
              </w:rPr>
              <w:t>Alte cheltuieli din activitatea operaţională.</w:t>
            </w:r>
          </w:p>
          <w:p w14:paraId="512B0A84" w14:textId="77777777" w:rsidR="00B62A04" w:rsidRPr="00C1248A" w:rsidRDefault="00B62A04" w:rsidP="00B62A04">
            <w:pPr>
              <w:pStyle w:val="Default"/>
              <w:jc w:val="both"/>
              <w:rPr>
                <w:color w:val="auto"/>
                <w:sz w:val="22"/>
                <w:szCs w:val="22"/>
                <w:lang w:val="ro-MD"/>
              </w:rPr>
            </w:pPr>
            <w:r w:rsidRPr="00C1248A">
              <w:rPr>
                <w:color w:val="auto"/>
                <w:sz w:val="22"/>
                <w:szCs w:val="22"/>
                <w:lang w:val="ro-MD"/>
              </w:rPr>
              <w:t xml:space="preserve">Conform componenţei cheltuielilor grupate după natură (elemente) (anexa nr.1 la SNC “Cheltuieli”), cheltuielile de personal sunt generate din următoarele tipuri de cheltuieli, şi anume: </w:t>
            </w:r>
          </w:p>
          <w:p w14:paraId="02CEB16A" w14:textId="6A76F8F0" w:rsidR="00525181" w:rsidRPr="00C1248A" w:rsidRDefault="00B62A04" w:rsidP="006535C8">
            <w:pPr>
              <w:tabs>
                <w:tab w:val="left" w:pos="993"/>
              </w:tabs>
              <w:jc w:val="both"/>
              <w:rPr>
                <w:rFonts w:ascii="Times New Roman" w:hAnsi="Times New Roman" w:cs="Times New Roman"/>
                <w:lang w:val="ro-MD"/>
              </w:rPr>
            </w:pPr>
            <w:r w:rsidRPr="00C1248A">
              <w:rPr>
                <w:rFonts w:ascii="Times New Roman" w:hAnsi="Times New Roman" w:cs="Times New Roman"/>
                <w:lang w:val="ro-MD"/>
              </w:rPr>
              <w:t xml:space="preserve">Sumele retribuţiilor pentru munca efectiv </w:t>
            </w:r>
            <w:r w:rsidRPr="00C1248A">
              <w:rPr>
                <w:rFonts w:ascii="Times New Roman" w:hAnsi="Times New Roman" w:cs="Times New Roman"/>
                <w:lang w:val="ro-MD"/>
              </w:rPr>
              <w:lastRenderedPageBreak/>
              <w:t xml:space="preserve">prestată, calculate conform formei de retribuire în acord şi/sau în regie (pe unitate de timp), premiilor şi sporurilor la salarii, ajutoarelor materiale, compensaţiilor şi adaosurilor la salarii (în funcţie de regimul şi condiţiile de muncă), indemnizaţiilor pentru concediile de odihnă anuale şi suplimentare plătite, </w:t>
            </w:r>
            <w:r w:rsidRPr="00C1248A">
              <w:rPr>
                <w:rFonts w:ascii="Times New Roman" w:hAnsi="Times New Roman" w:cs="Times New Roman"/>
                <w:i/>
                <w:lang w:val="ro-MD"/>
              </w:rPr>
              <w:t>altor plăţi calculate tuturor categoriilor de personal care activează în cadrul entităţii</w:t>
            </w:r>
            <w:r w:rsidRPr="00C1248A">
              <w:rPr>
                <w:rFonts w:ascii="Times New Roman" w:hAnsi="Times New Roman" w:cs="Times New Roman"/>
                <w:lang w:val="ro-MD"/>
              </w:rPr>
              <w:t>, sumele contribuţiilor de asigurări sociale de stat obligatorii şi primelor de asigurare obligatorie de asistenţă medicală calculate din sumele retribuţiilor aferente tuturor categoriilor de personal al entităţii; Suma cheltuielilor aferente constituirii provizionului pentru plata indemnizaţiilor pentru concediile de odihnă anuale etc.</w:t>
            </w:r>
          </w:p>
        </w:tc>
      </w:tr>
      <w:tr w:rsidR="00C1248A" w:rsidRPr="00C1248A" w14:paraId="41131753" w14:textId="77777777" w:rsidTr="006535C8">
        <w:trPr>
          <w:gridAfter w:val="1"/>
          <w:wAfter w:w="9" w:type="dxa"/>
          <w:trHeight w:val="249"/>
        </w:trPr>
        <w:tc>
          <w:tcPr>
            <w:tcW w:w="1985" w:type="dxa"/>
            <w:vMerge/>
          </w:tcPr>
          <w:p w14:paraId="795FDA49" w14:textId="77777777" w:rsidR="00525181" w:rsidRPr="00C1248A" w:rsidRDefault="00525181" w:rsidP="00100996">
            <w:pPr>
              <w:jc w:val="center"/>
              <w:rPr>
                <w:rFonts w:ascii="Times New Roman" w:hAnsi="Times New Roman" w:cs="Times New Roman"/>
                <w:b/>
                <w:bCs/>
                <w:lang w:val="ro-RO"/>
              </w:rPr>
            </w:pPr>
          </w:p>
        </w:tc>
        <w:tc>
          <w:tcPr>
            <w:tcW w:w="567" w:type="dxa"/>
            <w:shd w:val="clear" w:color="auto" w:fill="D9D9D9" w:themeFill="background1" w:themeFillShade="D9"/>
          </w:tcPr>
          <w:p w14:paraId="6D46215F" w14:textId="45A6533F" w:rsidR="00525181" w:rsidRPr="00C1248A" w:rsidRDefault="00525181" w:rsidP="00100996">
            <w:pPr>
              <w:jc w:val="center"/>
              <w:rPr>
                <w:rFonts w:ascii="Times New Roman" w:hAnsi="Times New Roman" w:cs="Times New Roman"/>
                <w:b/>
                <w:bCs/>
                <w:lang w:val="ro-RO"/>
              </w:rPr>
            </w:pPr>
            <w:r w:rsidRPr="00C1248A">
              <w:rPr>
                <w:rFonts w:ascii="Times New Roman" w:hAnsi="Times New Roman" w:cs="Times New Roman"/>
                <w:b/>
                <w:bCs/>
                <w:lang w:val="ro-RO"/>
              </w:rPr>
              <w:t>2</w:t>
            </w:r>
          </w:p>
        </w:tc>
        <w:tc>
          <w:tcPr>
            <w:tcW w:w="7938" w:type="dxa"/>
            <w:shd w:val="clear" w:color="auto" w:fill="D9D9D9" w:themeFill="background1" w:themeFillShade="D9"/>
          </w:tcPr>
          <w:p w14:paraId="367B2748" w14:textId="77777777" w:rsidR="00525181" w:rsidRPr="00C1248A" w:rsidRDefault="00525181" w:rsidP="00100996">
            <w:pPr>
              <w:jc w:val="both"/>
              <w:rPr>
                <w:rFonts w:ascii="Times New Roman" w:hAnsi="Times New Roman" w:cs="Times New Roman"/>
                <w:b/>
                <w:bCs/>
                <w:lang w:val="ro-RO"/>
              </w:rPr>
            </w:pPr>
          </w:p>
        </w:tc>
        <w:tc>
          <w:tcPr>
            <w:tcW w:w="4428" w:type="dxa"/>
            <w:shd w:val="clear" w:color="auto" w:fill="D9D9D9" w:themeFill="background1" w:themeFillShade="D9"/>
          </w:tcPr>
          <w:p w14:paraId="2D9ED30B" w14:textId="77777777" w:rsidR="00525181" w:rsidRPr="00C1248A" w:rsidRDefault="00525181" w:rsidP="00100996">
            <w:pPr>
              <w:rPr>
                <w:rFonts w:ascii="Times New Roman" w:hAnsi="Times New Roman" w:cs="Times New Roman"/>
                <w:lang w:val="ro-RO"/>
              </w:rPr>
            </w:pPr>
          </w:p>
        </w:tc>
      </w:tr>
      <w:tr w:rsidR="00C1248A" w:rsidRPr="00C1248A" w14:paraId="55E2A6BE" w14:textId="77777777" w:rsidTr="00835F71">
        <w:trPr>
          <w:gridAfter w:val="1"/>
          <w:wAfter w:w="9" w:type="dxa"/>
        </w:trPr>
        <w:tc>
          <w:tcPr>
            <w:tcW w:w="1985" w:type="dxa"/>
            <w:vMerge w:val="restart"/>
          </w:tcPr>
          <w:p w14:paraId="40C6CCEB" w14:textId="77777777" w:rsidR="00C10A05" w:rsidRPr="00C1248A" w:rsidRDefault="002F6A60" w:rsidP="00100996">
            <w:pPr>
              <w:jc w:val="center"/>
              <w:rPr>
                <w:rFonts w:ascii="Times New Roman" w:hAnsi="Times New Roman" w:cs="Times New Roman"/>
                <w:b/>
                <w:bCs/>
                <w:lang w:val="ro-RO"/>
              </w:rPr>
            </w:pPr>
            <w:r w:rsidRPr="00C1248A">
              <w:rPr>
                <w:rFonts w:ascii="Times New Roman" w:hAnsi="Times New Roman" w:cs="Times New Roman"/>
                <w:b/>
                <w:bCs/>
                <w:lang w:val="ro-RO"/>
              </w:rPr>
              <w:t xml:space="preserve">Ministerul Infrastructurii și Dezvoltării </w:t>
            </w:r>
          </w:p>
          <w:p w14:paraId="25B020D9" w14:textId="77777777" w:rsidR="002F6A60" w:rsidRPr="00C1248A" w:rsidRDefault="002F6A60" w:rsidP="00100996">
            <w:pPr>
              <w:jc w:val="center"/>
              <w:rPr>
                <w:rFonts w:ascii="Times New Roman" w:hAnsi="Times New Roman" w:cs="Times New Roman"/>
                <w:b/>
                <w:bCs/>
                <w:lang w:val="ro-RO"/>
              </w:rPr>
            </w:pPr>
            <w:r w:rsidRPr="00C1248A">
              <w:rPr>
                <w:rFonts w:ascii="Times New Roman" w:hAnsi="Times New Roman" w:cs="Times New Roman"/>
                <w:b/>
                <w:bCs/>
                <w:lang w:val="ro-RO"/>
              </w:rPr>
              <w:t>Regionale</w:t>
            </w:r>
          </w:p>
          <w:p w14:paraId="3470AA50" w14:textId="6E6C7EB5" w:rsidR="009025D8" w:rsidRPr="00C1248A" w:rsidRDefault="00C45D7C" w:rsidP="00100996">
            <w:pPr>
              <w:jc w:val="center"/>
              <w:rPr>
                <w:rFonts w:ascii="Times New Roman" w:hAnsi="Times New Roman" w:cs="Times New Roman"/>
                <w:b/>
                <w:bCs/>
                <w:lang w:val="ro-RO"/>
              </w:rPr>
            </w:pPr>
            <w:r w:rsidRPr="00C1248A">
              <w:rPr>
                <w:rFonts w:ascii="Times New Roman" w:hAnsi="Times New Roman" w:cs="Times New Roman"/>
                <w:i/>
                <w:iCs/>
                <w:sz w:val="16"/>
                <w:szCs w:val="16"/>
                <w:lang w:val="ro-MD"/>
              </w:rPr>
              <w:t>n</w:t>
            </w:r>
            <w:r w:rsidRPr="00C1248A">
              <w:rPr>
                <w:rFonts w:ascii="Times New Roman" w:hAnsi="Times New Roman" w:cs="Times New Roman"/>
                <w:i/>
                <w:iCs/>
                <w:sz w:val="16"/>
                <w:szCs w:val="16"/>
                <w:lang w:val="en-US"/>
              </w:rPr>
              <w:t>r.21-84 din 09.01.2025</w:t>
            </w:r>
          </w:p>
        </w:tc>
        <w:tc>
          <w:tcPr>
            <w:tcW w:w="567" w:type="dxa"/>
          </w:tcPr>
          <w:p w14:paraId="536F21E6" w14:textId="5B7C3FCE" w:rsidR="009025D8" w:rsidRPr="00C1248A" w:rsidRDefault="003915C8" w:rsidP="00100996">
            <w:pPr>
              <w:jc w:val="center"/>
              <w:rPr>
                <w:rFonts w:ascii="Times New Roman" w:hAnsi="Times New Roman" w:cs="Times New Roman"/>
                <w:b/>
                <w:bCs/>
                <w:lang w:val="ro-RO"/>
              </w:rPr>
            </w:pPr>
            <w:r w:rsidRPr="00C1248A">
              <w:rPr>
                <w:rFonts w:ascii="Times New Roman" w:hAnsi="Times New Roman" w:cs="Times New Roman"/>
                <w:b/>
                <w:bCs/>
                <w:lang w:val="ro-RO"/>
              </w:rPr>
              <w:t>1</w:t>
            </w:r>
          </w:p>
        </w:tc>
        <w:tc>
          <w:tcPr>
            <w:tcW w:w="7938" w:type="dxa"/>
          </w:tcPr>
          <w:p w14:paraId="2F717909" w14:textId="06CF4F09" w:rsidR="00592FD3" w:rsidRPr="00C1248A" w:rsidRDefault="00C45D7C" w:rsidP="00100996">
            <w:pPr>
              <w:jc w:val="both"/>
              <w:rPr>
                <w:rFonts w:ascii="Times New Roman" w:hAnsi="Times New Roman" w:cs="Times New Roman"/>
                <w:lang w:val="ro-RO"/>
              </w:rPr>
            </w:pPr>
            <w:r w:rsidRPr="00C1248A">
              <w:rPr>
                <w:rFonts w:ascii="Times New Roman" w:hAnsi="Times New Roman" w:cs="Times New Roman"/>
                <w:lang w:val="ro-RO"/>
              </w:rPr>
              <w:t>Comunică lipsa de obiecții și propuneri</w:t>
            </w:r>
          </w:p>
        </w:tc>
        <w:tc>
          <w:tcPr>
            <w:tcW w:w="4428" w:type="dxa"/>
          </w:tcPr>
          <w:p w14:paraId="2F3D1886" w14:textId="1C097872" w:rsidR="00CE16DD" w:rsidRPr="00C1248A" w:rsidRDefault="00C45D7C" w:rsidP="00100996">
            <w:pPr>
              <w:rPr>
                <w:rFonts w:ascii="Times New Roman" w:hAnsi="Times New Roman" w:cs="Times New Roman"/>
                <w:lang w:val="ro-RO"/>
              </w:rPr>
            </w:pPr>
            <w:r w:rsidRPr="00C1248A">
              <w:rPr>
                <w:rFonts w:ascii="Times New Roman" w:hAnsi="Times New Roman" w:cs="Times New Roman"/>
                <w:lang w:val="ro-RO"/>
              </w:rPr>
              <w:t>Se acceptă</w:t>
            </w:r>
          </w:p>
        </w:tc>
      </w:tr>
      <w:tr w:rsidR="00C1248A" w:rsidRPr="00C1248A" w14:paraId="1F1292DB" w14:textId="77777777" w:rsidTr="006535C8">
        <w:trPr>
          <w:gridAfter w:val="1"/>
          <w:wAfter w:w="9" w:type="dxa"/>
          <w:trHeight w:val="1007"/>
        </w:trPr>
        <w:tc>
          <w:tcPr>
            <w:tcW w:w="1985" w:type="dxa"/>
            <w:vMerge/>
          </w:tcPr>
          <w:p w14:paraId="7323AD99" w14:textId="77777777" w:rsidR="00DE47CF" w:rsidRPr="00C1248A" w:rsidRDefault="00DE47CF" w:rsidP="00100996">
            <w:pPr>
              <w:jc w:val="center"/>
              <w:rPr>
                <w:rFonts w:ascii="Times New Roman" w:hAnsi="Times New Roman" w:cs="Times New Roman"/>
                <w:b/>
                <w:bCs/>
                <w:lang w:val="ro-RO"/>
              </w:rPr>
            </w:pPr>
          </w:p>
        </w:tc>
        <w:tc>
          <w:tcPr>
            <w:tcW w:w="567" w:type="dxa"/>
            <w:shd w:val="clear" w:color="auto" w:fill="D9D9D9" w:themeFill="background1" w:themeFillShade="D9"/>
          </w:tcPr>
          <w:p w14:paraId="0CDE3F45" w14:textId="77777777" w:rsidR="00D100CD" w:rsidRPr="00C1248A" w:rsidRDefault="00D100CD" w:rsidP="00100996">
            <w:pPr>
              <w:jc w:val="center"/>
              <w:rPr>
                <w:rFonts w:ascii="Times New Roman" w:hAnsi="Times New Roman" w:cs="Times New Roman"/>
                <w:b/>
                <w:bCs/>
                <w:lang w:val="ro-RO"/>
              </w:rPr>
            </w:pPr>
          </w:p>
          <w:p w14:paraId="3AC7B9F9" w14:textId="5D6528E2" w:rsidR="00DE47CF" w:rsidRPr="00C1248A" w:rsidRDefault="003915C8" w:rsidP="00100996">
            <w:pPr>
              <w:jc w:val="center"/>
              <w:rPr>
                <w:rFonts w:ascii="Times New Roman" w:hAnsi="Times New Roman" w:cs="Times New Roman"/>
                <w:b/>
                <w:bCs/>
                <w:lang w:val="ro-RO"/>
              </w:rPr>
            </w:pPr>
            <w:r w:rsidRPr="00C1248A">
              <w:rPr>
                <w:rFonts w:ascii="Times New Roman" w:hAnsi="Times New Roman" w:cs="Times New Roman"/>
                <w:b/>
                <w:bCs/>
                <w:lang w:val="ro-RO"/>
              </w:rPr>
              <w:t>2</w:t>
            </w:r>
          </w:p>
        </w:tc>
        <w:tc>
          <w:tcPr>
            <w:tcW w:w="7938" w:type="dxa"/>
            <w:shd w:val="clear" w:color="auto" w:fill="D9D9D9" w:themeFill="background1" w:themeFillShade="D9"/>
          </w:tcPr>
          <w:p w14:paraId="1B3654CF" w14:textId="52CB8529" w:rsidR="00DE47CF" w:rsidRPr="00C1248A" w:rsidRDefault="00DE47CF" w:rsidP="00100996">
            <w:pPr>
              <w:jc w:val="both"/>
              <w:rPr>
                <w:rFonts w:ascii="Times New Roman" w:hAnsi="Times New Roman" w:cs="Times New Roman"/>
                <w:lang w:val="en-US"/>
              </w:rPr>
            </w:pPr>
          </w:p>
        </w:tc>
        <w:tc>
          <w:tcPr>
            <w:tcW w:w="4428" w:type="dxa"/>
            <w:shd w:val="clear" w:color="auto" w:fill="D9D9D9" w:themeFill="background1" w:themeFillShade="D9"/>
          </w:tcPr>
          <w:p w14:paraId="0E604A64" w14:textId="359290D8" w:rsidR="00DE47CF" w:rsidRPr="00C1248A" w:rsidRDefault="00DE47CF" w:rsidP="00100996">
            <w:pPr>
              <w:rPr>
                <w:rFonts w:ascii="Times New Roman" w:hAnsi="Times New Roman" w:cs="Times New Roman"/>
                <w:lang w:val="ro-RO"/>
              </w:rPr>
            </w:pPr>
          </w:p>
        </w:tc>
      </w:tr>
      <w:tr w:rsidR="00C1248A" w:rsidRPr="00C1248A" w14:paraId="65F7900C" w14:textId="77777777" w:rsidTr="00835F71">
        <w:trPr>
          <w:gridAfter w:val="1"/>
          <w:wAfter w:w="9" w:type="dxa"/>
          <w:trHeight w:val="274"/>
        </w:trPr>
        <w:tc>
          <w:tcPr>
            <w:tcW w:w="1985" w:type="dxa"/>
            <w:vMerge w:val="restart"/>
          </w:tcPr>
          <w:p w14:paraId="4A6C104E" w14:textId="77777777" w:rsidR="003E15B7" w:rsidRPr="00C1248A" w:rsidRDefault="003E15B7" w:rsidP="00100996">
            <w:pPr>
              <w:jc w:val="center"/>
              <w:rPr>
                <w:rFonts w:ascii="Times New Roman" w:hAnsi="Times New Roman" w:cs="Times New Roman"/>
                <w:b/>
                <w:bCs/>
                <w:lang w:val="ro-RO"/>
              </w:rPr>
            </w:pPr>
          </w:p>
          <w:p w14:paraId="4E43589E" w14:textId="06F043F7" w:rsidR="00525181" w:rsidRPr="00C1248A" w:rsidRDefault="00525181" w:rsidP="00100996">
            <w:pPr>
              <w:jc w:val="center"/>
              <w:rPr>
                <w:rFonts w:ascii="Times New Roman" w:hAnsi="Times New Roman" w:cs="Times New Roman"/>
                <w:b/>
                <w:bCs/>
                <w:lang w:val="ro-RO"/>
              </w:rPr>
            </w:pPr>
            <w:r w:rsidRPr="00C1248A">
              <w:rPr>
                <w:rFonts w:ascii="Times New Roman" w:hAnsi="Times New Roman" w:cs="Times New Roman"/>
                <w:b/>
                <w:bCs/>
                <w:lang w:val="ro-RO"/>
              </w:rPr>
              <w:t xml:space="preserve">Ministerul </w:t>
            </w:r>
          </w:p>
          <w:p w14:paraId="041D2497" w14:textId="77777777" w:rsidR="00525181" w:rsidRPr="00C1248A" w:rsidRDefault="00525181" w:rsidP="00100996">
            <w:pPr>
              <w:jc w:val="center"/>
              <w:rPr>
                <w:rFonts w:ascii="Times New Roman" w:hAnsi="Times New Roman" w:cs="Times New Roman"/>
                <w:b/>
                <w:bCs/>
                <w:lang w:val="ro-RO"/>
              </w:rPr>
            </w:pPr>
            <w:r w:rsidRPr="00C1248A">
              <w:rPr>
                <w:rFonts w:ascii="Times New Roman" w:hAnsi="Times New Roman" w:cs="Times New Roman"/>
                <w:b/>
                <w:bCs/>
                <w:lang w:val="ro-RO"/>
              </w:rPr>
              <w:t>Finanțelor</w:t>
            </w:r>
          </w:p>
          <w:p w14:paraId="4250132E" w14:textId="3F15A6E0" w:rsidR="00EE2BE0" w:rsidRPr="00C1248A" w:rsidRDefault="00525181" w:rsidP="00100996">
            <w:pPr>
              <w:jc w:val="center"/>
              <w:rPr>
                <w:rFonts w:ascii="Times New Roman" w:hAnsi="Times New Roman" w:cs="Times New Roman"/>
                <w:i/>
                <w:iCs/>
                <w:sz w:val="16"/>
                <w:szCs w:val="16"/>
              </w:rPr>
            </w:pPr>
            <w:r w:rsidRPr="00C1248A">
              <w:rPr>
                <w:rFonts w:ascii="Times New Roman" w:hAnsi="Times New Roman" w:cs="Times New Roman"/>
                <w:i/>
                <w:iCs/>
                <w:sz w:val="16"/>
                <w:szCs w:val="16"/>
                <w:lang w:val="ro-RO"/>
              </w:rPr>
              <w:t xml:space="preserve">nr.  </w:t>
            </w:r>
            <w:r w:rsidR="00EE2BE0" w:rsidRPr="00C1248A">
              <w:rPr>
                <w:rFonts w:ascii="Times New Roman" w:hAnsi="Times New Roman" w:cs="Times New Roman"/>
                <w:i/>
                <w:iCs/>
                <w:sz w:val="16"/>
                <w:szCs w:val="16"/>
                <w:lang w:val="ro-RO"/>
              </w:rPr>
              <w:t>07/5-03/14/46</w:t>
            </w:r>
          </w:p>
          <w:p w14:paraId="44B3010B" w14:textId="01BDFC6D" w:rsidR="00525181" w:rsidRPr="00C1248A" w:rsidRDefault="00525181" w:rsidP="00100996">
            <w:pPr>
              <w:jc w:val="center"/>
              <w:rPr>
                <w:rFonts w:ascii="Times New Roman" w:hAnsi="Times New Roman" w:cs="Times New Roman"/>
                <w:b/>
                <w:bCs/>
                <w:lang w:val="ro-RO"/>
              </w:rPr>
            </w:pPr>
            <w:r w:rsidRPr="00C1248A">
              <w:rPr>
                <w:rFonts w:ascii="Times New Roman" w:hAnsi="Times New Roman" w:cs="Times New Roman"/>
                <w:i/>
                <w:iCs/>
                <w:sz w:val="16"/>
                <w:szCs w:val="16"/>
                <w:lang w:val="ro-RO"/>
              </w:rPr>
              <w:t xml:space="preserve">din </w:t>
            </w:r>
            <w:r w:rsidR="00EE2BE0" w:rsidRPr="00C1248A">
              <w:rPr>
                <w:rFonts w:ascii="Times New Roman" w:hAnsi="Times New Roman" w:cs="Times New Roman"/>
                <w:i/>
                <w:iCs/>
                <w:sz w:val="16"/>
                <w:szCs w:val="16"/>
                <w:lang w:val="ro-RO"/>
              </w:rPr>
              <w:t>15.01.2025</w:t>
            </w:r>
          </w:p>
        </w:tc>
        <w:tc>
          <w:tcPr>
            <w:tcW w:w="567" w:type="dxa"/>
          </w:tcPr>
          <w:p w14:paraId="02823AC2" w14:textId="77777777" w:rsidR="00525181" w:rsidRPr="00C1248A" w:rsidRDefault="00D100CD" w:rsidP="00100996">
            <w:pPr>
              <w:jc w:val="center"/>
              <w:rPr>
                <w:rFonts w:ascii="Times New Roman" w:hAnsi="Times New Roman" w:cs="Times New Roman"/>
                <w:b/>
                <w:bCs/>
                <w:lang w:val="ro-RO"/>
              </w:rPr>
            </w:pPr>
            <w:r w:rsidRPr="00C1248A">
              <w:rPr>
                <w:rFonts w:ascii="Times New Roman" w:hAnsi="Times New Roman" w:cs="Times New Roman"/>
                <w:b/>
                <w:bCs/>
                <w:lang w:val="ro-RO"/>
              </w:rPr>
              <w:t>1</w:t>
            </w:r>
          </w:p>
          <w:p w14:paraId="590C6163" w14:textId="77777777" w:rsidR="00D100CD" w:rsidRPr="00C1248A" w:rsidRDefault="00D100CD" w:rsidP="00100996">
            <w:pPr>
              <w:jc w:val="center"/>
              <w:rPr>
                <w:rFonts w:ascii="Times New Roman" w:hAnsi="Times New Roman" w:cs="Times New Roman"/>
                <w:b/>
                <w:bCs/>
                <w:lang w:val="ro-RO"/>
              </w:rPr>
            </w:pPr>
          </w:p>
          <w:p w14:paraId="0894BF2A" w14:textId="452DFEDA" w:rsidR="00D100CD" w:rsidRPr="00C1248A" w:rsidRDefault="00D100CD" w:rsidP="00100996">
            <w:pPr>
              <w:jc w:val="center"/>
              <w:rPr>
                <w:rFonts w:ascii="Times New Roman" w:hAnsi="Times New Roman" w:cs="Times New Roman"/>
                <w:b/>
                <w:bCs/>
                <w:lang w:val="ro-RO"/>
              </w:rPr>
            </w:pPr>
          </w:p>
        </w:tc>
        <w:tc>
          <w:tcPr>
            <w:tcW w:w="7938" w:type="dxa"/>
          </w:tcPr>
          <w:p w14:paraId="6EA2CC17" w14:textId="092C3F57" w:rsidR="00EE2BE0" w:rsidRPr="00C1248A" w:rsidRDefault="00EE2BE0" w:rsidP="00100996">
            <w:pPr>
              <w:tabs>
                <w:tab w:val="right" w:pos="9072"/>
              </w:tabs>
              <w:ind w:right="14"/>
              <w:jc w:val="both"/>
              <w:rPr>
                <w:rFonts w:ascii="Times New Roman" w:hAnsi="Times New Roman" w:cs="Times New Roman"/>
                <w:lang w:val="en-US"/>
              </w:rPr>
            </w:pPr>
            <w:r w:rsidRPr="00C1248A">
              <w:rPr>
                <w:rFonts w:ascii="Times New Roman" w:hAnsi="Times New Roman" w:cs="Times New Roman"/>
                <w:lang w:val="ro-MD"/>
              </w:rPr>
              <w:t>Î</w:t>
            </w:r>
            <w:r w:rsidRPr="00C1248A">
              <w:rPr>
                <w:rFonts w:ascii="Times New Roman" w:hAnsi="Times New Roman" w:cs="Times New Roman"/>
                <w:lang w:val="en-US"/>
              </w:rPr>
              <w:t xml:space="preserve">n </w:t>
            </w:r>
            <w:proofErr w:type="spellStart"/>
            <w:r w:rsidRPr="00C1248A">
              <w:rPr>
                <w:rFonts w:ascii="Times New Roman" w:hAnsi="Times New Roman" w:cs="Times New Roman"/>
                <w:lang w:val="en-US"/>
              </w:rPr>
              <w:t>limita</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atribuțiilor</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funcționale</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comunică</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lipsa</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obiecțiilor</w:t>
            </w:r>
            <w:proofErr w:type="spellEnd"/>
            <w:r w:rsidRPr="00C1248A">
              <w:rPr>
                <w:rFonts w:ascii="Times New Roman" w:hAnsi="Times New Roman" w:cs="Times New Roman"/>
                <w:lang w:val="en-US"/>
              </w:rPr>
              <w:t xml:space="preserve">. </w:t>
            </w:r>
          </w:p>
          <w:p w14:paraId="7F4C513A" w14:textId="767C7A53" w:rsidR="00525181" w:rsidRPr="00C1248A" w:rsidRDefault="00EE2BE0" w:rsidP="00100996">
            <w:pPr>
              <w:tabs>
                <w:tab w:val="right" w:pos="9072"/>
              </w:tabs>
              <w:ind w:right="14"/>
              <w:jc w:val="both"/>
              <w:rPr>
                <w:rFonts w:ascii="Times New Roman" w:hAnsi="Times New Roman" w:cs="Times New Roman"/>
                <w:lang w:val="en-US"/>
              </w:rPr>
            </w:pPr>
            <w:proofErr w:type="spellStart"/>
            <w:r w:rsidRPr="00C1248A">
              <w:rPr>
                <w:rFonts w:ascii="Times New Roman" w:hAnsi="Times New Roman" w:cs="Times New Roman"/>
                <w:lang w:val="en-US"/>
              </w:rPr>
              <w:t>Totodată</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potrivit</w:t>
            </w:r>
            <w:proofErr w:type="spellEnd"/>
            <w:r w:rsidRPr="00C1248A">
              <w:rPr>
                <w:rFonts w:ascii="Times New Roman" w:hAnsi="Times New Roman" w:cs="Times New Roman"/>
                <w:lang w:val="en-US"/>
              </w:rPr>
              <w:t xml:space="preserve"> art. 36 </w:t>
            </w:r>
            <w:proofErr w:type="spellStart"/>
            <w:r w:rsidRPr="00C1248A">
              <w:rPr>
                <w:rFonts w:ascii="Times New Roman" w:hAnsi="Times New Roman" w:cs="Times New Roman"/>
                <w:lang w:val="en-US"/>
              </w:rPr>
              <w:t>alin</w:t>
            </w:r>
            <w:proofErr w:type="spellEnd"/>
            <w:r w:rsidRPr="00C1248A">
              <w:rPr>
                <w:rFonts w:ascii="Times New Roman" w:hAnsi="Times New Roman" w:cs="Times New Roman"/>
                <w:lang w:val="en-US"/>
              </w:rPr>
              <w:t xml:space="preserve">. (2) din </w:t>
            </w:r>
            <w:proofErr w:type="spellStart"/>
            <w:r w:rsidRPr="00C1248A">
              <w:rPr>
                <w:rFonts w:ascii="Times New Roman" w:hAnsi="Times New Roman" w:cs="Times New Roman"/>
                <w:lang w:val="en-US"/>
              </w:rPr>
              <w:t>Legea</w:t>
            </w:r>
            <w:proofErr w:type="spellEnd"/>
            <w:r w:rsidRPr="00C1248A">
              <w:rPr>
                <w:rFonts w:ascii="Times New Roman" w:hAnsi="Times New Roman" w:cs="Times New Roman"/>
                <w:lang w:val="en-US"/>
              </w:rPr>
              <w:t xml:space="preserve"> nr. 136/2017 cu </w:t>
            </w:r>
            <w:proofErr w:type="spellStart"/>
            <w:r w:rsidRPr="00C1248A">
              <w:rPr>
                <w:rFonts w:ascii="Times New Roman" w:hAnsi="Times New Roman" w:cs="Times New Roman"/>
                <w:lang w:val="en-US"/>
              </w:rPr>
              <w:t>privire</w:t>
            </w:r>
            <w:proofErr w:type="spellEnd"/>
            <w:r w:rsidRPr="00C1248A">
              <w:rPr>
                <w:rFonts w:ascii="Times New Roman" w:hAnsi="Times New Roman" w:cs="Times New Roman"/>
                <w:lang w:val="en-US"/>
              </w:rPr>
              <w:t xml:space="preserve"> la </w:t>
            </w:r>
            <w:proofErr w:type="spellStart"/>
            <w:r w:rsidRPr="00C1248A">
              <w:rPr>
                <w:rFonts w:ascii="Times New Roman" w:hAnsi="Times New Roman" w:cs="Times New Roman"/>
                <w:lang w:val="en-US"/>
              </w:rPr>
              <w:t>Guvern</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hotărîrile</w:t>
            </w:r>
            <w:proofErr w:type="spellEnd"/>
            <w:r w:rsidRPr="00C1248A">
              <w:rPr>
                <w:rFonts w:ascii="Times New Roman" w:hAnsi="Times New Roman" w:cs="Times New Roman"/>
                <w:lang w:val="en-US"/>
              </w:rPr>
              <w:t xml:space="preserve"> se </w:t>
            </w:r>
            <w:proofErr w:type="spellStart"/>
            <w:r w:rsidRPr="00C1248A">
              <w:rPr>
                <w:rFonts w:ascii="Times New Roman" w:hAnsi="Times New Roman" w:cs="Times New Roman"/>
                <w:lang w:val="en-US"/>
              </w:rPr>
              <w:t>contrasemnează</w:t>
            </w:r>
            <w:proofErr w:type="spellEnd"/>
            <w:r w:rsidRPr="00C1248A">
              <w:rPr>
                <w:rFonts w:ascii="Times New Roman" w:hAnsi="Times New Roman" w:cs="Times New Roman"/>
                <w:lang w:val="en-US"/>
              </w:rPr>
              <w:t xml:space="preserve"> de </w:t>
            </w:r>
            <w:proofErr w:type="spellStart"/>
            <w:r w:rsidRPr="00C1248A">
              <w:rPr>
                <w:rFonts w:ascii="Times New Roman" w:hAnsi="Times New Roman" w:cs="Times New Roman"/>
                <w:lang w:val="en-US"/>
              </w:rPr>
              <w:t>miniștrii</w:t>
            </w:r>
            <w:proofErr w:type="spellEnd"/>
            <w:r w:rsidRPr="00C1248A">
              <w:rPr>
                <w:rFonts w:ascii="Times New Roman" w:hAnsi="Times New Roman" w:cs="Times New Roman"/>
                <w:lang w:val="en-US"/>
              </w:rPr>
              <w:t xml:space="preserve"> care au </w:t>
            </w:r>
            <w:proofErr w:type="spellStart"/>
            <w:r w:rsidRPr="00C1248A">
              <w:rPr>
                <w:rFonts w:ascii="Times New Roman" w:hAnsi="Times New Roman" w:cs="Times New Roman"/>
                <w:lang w:val="en-US"/>
              </w:rPr>
              <w:t>obligația</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punerii</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în</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aplicare</w:t>
            </w:r>
            <w:proofErr w:type="spellEnd"/>
            <w:r w:rsidRPr="00C1248A">
              <w:rPr>
                <w:rFonts w:ascii="Times New Roman" w:hAnsi="Times New Roman" w:cs="Times New Roman"/>
                <w:lang w:val="en-US"/>
              </w:rPr>
              <w:t xml:space="preserve"> </w:t>
            </w:r>
            <w:proofErr w:type="gramStart"/>
            <w:r w:rsidRPr="00C1248A">
              <w:rPr>
                <w:rFonts w:ascii="Times New Roman" w:hAnsi="Times New Roman" w:cs="Times New Roman"/>
                <w:lang w:val="en-US"/>
              </w:rPr>
              <w:t>a</w:t>
            </w:r>
            <w:proofErr w:type="gram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acestora</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şi</w:t>
            </w:r>
            <w:proofErr w:type="spellEnd"/>
            <w:r w:rsidRPr="00C1248A">
              <w:rPr>
                <w:rFonts w:ascii="Times New Roman" w:hAnsi="Times New Roman" w:cs="Times New Roman"/>
                <w:lang w:val="en-US"/>
              </w:rPr>
              <w:t>/</w:t>
            </w:r>
            <w:proofErr w:type="spellStart"/>
            <w:r w:rsidRPr="00C1248A">
              <w:rPr>
                <w:rFonts w:ascii="Times New Roman" w:hAnsi="Times New Roman" w:cs="Times New Roman"/>
                <w:lang w:val="en-US"/>
              </w:rPr>
              <w:t>sau</w:t>
            </w:r>
            <w:proofErr w:type="spellEnd"/>
            <w:r w:rsidRPr="00C1248A">
              <w:rPr>
                <w:rFonts w:ascii="Times New Roman" w:hAnsi="Times New Roman" w:cs="Times New Roman"/>
                <w:lang w:val="en-US"/>
              </w:rPr>
              <w:t xml:space="preserve"> care sunt </w:t>
            </w:r>
            <w:proofErr w:type="spellStart"/>
            <w:r w:rsidRPr="00C1248A">
              <w:rPr>
                <w:rFonts w:ascii="Times New Roman" w:hAnsi="Times New Roman" w:cs="Times New Roman"/>
                <w:lang w:val="en-US"/>
              </w:rPr>
              <w:t>responsabili</w:t>
            </w:r>
            <w:proofErr w:type="spellEnd"/>
            <w:r w:rsidRPr="00C1248A">
              <w:rPr>
                <w:rFonts w:ascii="Times New Roman" w:hAnsi="Times New Roman" w:cs="Times New Roman"/>
                <w:lang w:val="en-US"/>
              </w:rPr>
              <w:t xml:space="preserve"> de </w:t>
            </w:r>
            <w:proofErr w:type="spellStart"/>
            <w:r w:rsidRPr="00C1248A">
              <w:rPr>
                <w:rFonts w:ascii="Times New Roman" w:hAnsi="Times New Roman" w:cs="Times New Roman"/>
                <w:lang w:val="en-US"/>
              </w:rPr>
              <w:t>domeniile</w:t>
            </w:r>
            <w:proofErr w:type="spellEnd"/>
            <w:r w:rsidRPr="00C1248A">
              <w:rPr>
                <w:rFonts w:ascii="Times New Roman" w:hAnsi="Times New Roman" w:cs="Times New Roman"/>
                <w:lang w:val="en-US"/>
              </w:rPr>
              <w:t xml:space="preserve"> de </w:t>
            </w:r>
            <w:proofErr w:type="spellStart"/>
            <w:r w:rsidRPr="00C1248A">
              <w:rPr>
                <w:rFonts w:ascii="Times New Roman" w:hAnsi="Times New Roman" w:cs="Times New Roman"/>
                <w:lang w:val="en-US"/>
              </w:rPr>
              <w:t>activitate</w:t>
            </w:r>
            <w:proofErr w:type="spellEnd"/>
            <w:r w:rsidRPr="00C1248A">
              <w:rPr>
                <w:rFonts w:ascii="Times New Roman" w:hAnsi="Times New Roman" w:cs="Times New Roman"/>
                <w:lang w:val="en-US"/>
              </w:rPr>
              <w:t xml:space="preserve"> care </w:t>
            </w:r>
            <w:proofErr w:type="spellStart"/>
            <w:r w:rsidRPr="00C1248A">
              <w:rPr>
                <w:rFonts w:ascii="Times New Roman" w:hAnsi="Times New Roman" w:cs="Times New Roman"/>
                <w:lang w:val="en-US"/>
              </w:rPr>
              <w:t>intră</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parțial</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sau</w:t>
            </w:r>
            <w:proofErr w:type="spellEnd"/>
            <w:r w:rsidRPr="00C1248A">
              <w:rPr>
                <w:rFonts w:ascii="Times New Roman" w:hAnsi="Times New Roman" w:cs="Times New Roman"/>
                <w:lang w:val="en-US"/>
              </w:rPr>
              <w:t xml:space="preserve"> integral </w:t>
            </w:r>
            <w:proofErr w:type="spellStart"/>
            <w:r w:rsidRPr="00C1248A">
              <w:rPr>
                <w:rFonts w:ascii="Times New Roman" w:hAnsi="Times New Roman" w:cs="Times New Roman"/>
                <w:lang w:val="en-US"/>
              </w:rPr>
              <w:t>în</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obiectul</w:t>
            </w:r>
            <w:proofErr w:type="spellEnd"/>
            <w:r w:rsidRPr="00C1248A">
              <w:rPr>
                <w:rFonts w:ascii="Times New Roman" w:hAnsi="Times New Roman" w:cs="Times New Roman"/>
                <w:lang w:val="en-US"/>
              </w:rPr>
              <w:t xml:space="preserve"> de </w:t>
            </w:r>
            <w:proofErr w:type="spellStart"/>
            <w:r w:rsidRPr="00C1248A">
              <w:rPr>
                <w:rFonts w:ascii="Times New Roman" w:hAnsi="Times New Roman" w:cs="Times New Roman"/>
                <w:lang w:val="en-US"/>
              </w:rPr>
              <w:t>reglementare</w:t>
            </w:r>
            <w:proofErr w:type="spellEnd"/>
            <w:r w:rsidRPr="00C1248A">
              <w:rPr>
                <w:rFonts w:ascii="Times New Roman" w:hAnsi="Times New Roman" w:cs="Times New Roman"/>
                <w:lang w:val="en-US"/>
              </w:rPr>
              <w:t xml:space="preserve"> al </w:t>
            </w:r>
            <w:proofErr w:type="spellStart"/>
            <w:r w:rsidRPr="00C1248A">
              <w:rPr>
                <w:rFonts w:ascii="Times New Roman" w:hAnsi="Times New Roman" w:cs="Times New Roman"/>
                <w:lang w:val="en-US"/>
              </w:rPr>
              <w:t>actului</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contrasemnat</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În</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acest</w:t>
            </w:r>
            <w:proofErr w:type="spellEnd"/>
            <w:r w:rsidRPr="00C1248A">
              <w:rPr>
                <w:rFonts w:ascii="Times New Roman" w:hAnsi="Times New Roman" w:cs="Times New Roman"/>
                <w:lang w:val="en-US"/>
              </w:rPr>
              <w:t xml:space="preserve"> context, </w:t>
            </w:r>
            <w:proofErr w:type="spellStart"/>
            <w:r w:rsidRPr="00C1248A">
              <w:rPr>
                <w:rFonts w:ascii="Times New Roman" w:hAnsi="Times New Roman" w:cs="Times New Roman"/>
                <w:lang w:val="en-US"/>
              </w:rPr>
              <w:t>Ministrul</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Finanțelor</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urmează</w:t>
            </w:r>
            <w:proofErr w:type="spellEnd"/>
            <w:r w:rsidRPr="00C1248A">
              <w:rPr>
                <w:rFonts w:ascii="Times New Roman" w:hAnsi="Times New Roman" w:cs="Times New Roman"/>
                <w:lang w:val="en-US"/>
              </w:rPr>
              <w:t xml:space="preserve"> a fi </w:t>
            </w:r>
            <w:proofErr w:type="spellStart"/>
            <w:r w:rsidRPr="00C1248A">
              <w:rPr>
                <w:rFonts w:ascii="Times New Roman" w:hAnsi="Times New Roman" w:cs="Times New Roman"/>
                <w:lang w:val="en-US"/>
              </w:rPr>
              <w:t>exclus</w:t>
            </w:r>
            <w:proofErr w:type="spellEnd"/>
            <w:r w:rsidRPr="00C1248A">
              <w:rPr>
                <w:rFonts w:ascii="Times New Roman" w:hAnsi="Times New Roman" w:cs="Times New Roman"/>
                <w:lang w:val="en-US"/>
              </w:rPr>
              <w:t xml:space="preserve"> din </w:t>
            </w:r>
            <w:proofErr w:type="spellStart"/>
            <w:r w:rsidRPr="00C1248A">
              <w:rPr>
                <w:rFonts w:ascii="Times New Roman" w:hAnsi="Times New Roman" w:cs="Times New Roman"/>
                <w:lang w:val="en-US"/>
              </w:rPr>
              <w:t>lista</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contrasemnatarilor</w:t>
            </w:r>
            <w:proofErr w:type="spellEnd"/>
            <w:r w:rsidRPr="00C1248A">
              <w:rPr>
                <w:rFonts w:ascii="Times New Roman" w:hAnsi="Times New Roman" w:cs="Times New Roman"/>
                <w:lang w:val="en-US"/>
              </w:rPr>
              <w:t>.</w:t>
            </w:r>
          </w:p>
        </w:tc>
        <w:tc>
          <w:tcPr>
            <w:tcW w:w="4428" w:type="dxa"/>
          </w:tcPr>
          <w:p w14:paraId="230BCA93" w14:textId="77777777" w:rsidR="00525181" w:rsidRPr="00C1248A" w:rsidRDefault="00525181" w:rsidP="00100996">
            <w:pPr>
              <w:jc w:val="both"/>
              <w:rPr>
                <w:rFonts w:ascii="Times New Roman" w:hAnsi="Times New Roman" w:cs="Times New Roman"/>
                <w:lang w:val="en-US"/>
              </w:rPr>
            </w:pPr>
          </w:p>
          <w:p w14:paraId="04DE79E9" w14:textId="106DA4A1" w:rsidR="00EE2BE0" w:rsidRPr="00C1248A" w:rsidRDefault="00EE2BE0" w:rsidP="00100996">
            <w:pPr>
              <w:jc w:val="both"/>
              <w:rPr>
                <w:rFonts w:ascii="Times New Roman" w:hAnsi="Times New Roman" w:cs="Times New Roman"/>
                <w:lang w:val="en-US"/>
              </w:rPr>
            </w:pPr>
            <w:r w:rsidRPr="00C1248A">
              <w:rPr>
                <w:rFonts w:ascii="Times New Roman" w:hAnsi="Times New Roman" w:cs="Times New Roman"/>
                <w:lang w:val="en-US"/>
              </w:rPr>
              <w:t xml:space="preserve">Se </w:t>
            </w:r>
            <w:proofErr w:type="spellStart"/>
            <w:r w:rsidRPr="00C1248A">
              <w:rPr>
                <w:rFonts w:ascii="Times New Roman" w:hAnsi="Times New Roman" w:cs="Times New Roman"/>
                <w:lang w:val="en-US"/>
              </w:rPr>
              <w:t>acceptă</w:t>
            </w:r>
            <w:proofErr w:type="spellEnd"/>
            <w:r w:rsidRPr="00C1248A">
              <w:rPr>
                <w:rFonts w:ascii="Times New Roman" w:hAnsi="Times New Roman" w:cs="Times New Roman"/>
                <w:lang w:val="en-US"/>
              </w:rPr>
              <w:t>.</w:t>
            </w:r>
          </w:p>
        </w:tc>
      </w:tr>
      <w:tr w:rsidR="00C1248A" w:rsidRPr="00C1248A" w14:paraId="02420053" w14:textId="77777777" w:rsidTr="006535C8">
        <w:trPr>
          <w:gridAfter w:val="1"/>
          <w:wAfter w:w="9" w:type="dxa"/>
          <w:trHeight w:val="257"/>
        </w:trPr>
        <w:tc>
          <w:tcPr>
            <w:tcW w:w="1985" w:type="dxa"/>
            <w:vMerge/>
          </w:tcPr>
          <w:p w14:paraId="35578FAF" w14:textId="01B84892" w:rsidR="00525181" w:rsidRPr="00C1248A" w:rsidRDefault="00525181" w:rsidP="00100996">
            <w:pPr>
              <w:jc w:val="center"/>
              <w:rPr>
                <w:rFonts w:ascii="Times New Roman" w:hAnsi="Times New Roman" w:cs="Times New Roman"/>
                <w:b/>
                <w:bCs/>
                <w:lang w:val="ro-RO"/>
              </w:rPr>
            </w:pPr>
          </w:p>
        </w:tc>
        <w:tc>
          <w:tcPr>
            <w:tcW w:w="567" w:type="dxa"/>
            <w:shd w:val="clear" w:color="auto" w:fill="D9D9D9" w:themeFill="background1" w:themeFillShade="D9"/>
          </w:tcPr>
          <w:p w14:paraId="7B2FF1E1" w14:textId="3E720A4B" w:rsidR="00D100CD" w:rsidRPr="00C1248A" w:rsidRDefault="00D100CD" w:rsidP="006535C8">
            <w:pPr>
              <w:jc w:val="center"/>
              <w:rPr>
                <w:rFonts w:ascii="Times New Roman" w:hAnsi="Times New Roman" w:cs="Times New Roman"/>
                <w:b/>
                <w:bCs/>
                <w:lang w:val="ro-RO"/>
              </w:rPr>
            </w:pPr>
            <w:r w:rsidRPr="00C1248A">
              <w:rPr>
                <w:rFonts w:ascii="Times New Roman" w:hAnsi="Times New Roman" w:cs="Times New Roman"/>
                <w:b/>
                <w:bCs/>
                <w:lang w:val="ro-RO"/>
              </w:rPr>
              <w:t>2</w:t>
            </w:r>
          </w:p>
        </w:tc>
        <w:tc>
          <w:tcPr>
            <w:tcW w:w="7938" w:type="dxa"/>
            <w:shd w:val="clear" w:color="auto" w:fill="D9D9D9" w:themeFill="background1" w:themeFillShade="D9"/>
          </w:tcPr>
          <w:p w14:paraId="56FE820F" w14:textId="4D0779C3" w:rsidR="00525181" w:rsidRPr="00C1248A" w:rsidRDefault="00525181" w:rsidP="00100996">
            <w:pPr>
              <w:tabs>
                <w:tab w:val="right" w:pos="8647"/>
              </w:tabs>
              <w:ind w:right="196" w:firstLine="461"/>
              <w:jc w:val="both"/>
              <w:rPr>
                <w:rFonts w:ascii="Times New Roman" w:hAnsi="Times New Roman" w:cs="Times New Roman"/>
                <w:lang w:val="ro-RO"/>
              </w:rPr>
            </w:pPr>
          </w:p>
        </w:tc>
        <w:tc>
          <w:tcPr>
            <w:tcW w:w="4428" w:type="dxa"/>
            <w:shd w:val="clear" w:color="auto" w:fill="D9D9D9" w:themeFill="background1" w:themeFillShade="D9"/>
          </w:tcPr>
          <w:p w14:paraId="4CE82E38" w14:textId="7DFF7A65" w:rsidR="00525181" w:rsidRPr="00C1248A" w:rsidRDefault="00525181" w:rsidP="00100996">
            <w:pPr>
              <w:rPr>
                <w:rFonts w:ascii="Times New Roman" w:hAnsi="Times New Roman" w:cs="Times New Roman"/>
                <w:bCs/>
                <w:lang w:val="ro-RO"/>
              </w:rPr>
            </w:pPr>
          </w:p>
        </w:tc>
      </w:tr>
      <w:tr w:rsidR="00C1248A" w:rsidRPr="00C1248A" w14:paraId="6AFF0DC1" w14:textId="77777777" w:rsidTr="00835F71">
        <w:trPr>
          <w:gridAfter w:val="1"/>
          <w:wAfter w:w="9" w:type="dxa"/>
          <w:trHeight w:val="274"/>
        </w:trPr>
        <w:tc>
          <w:tcPr>
            <w:tcW w:w="1985" w:type="dxa"/>
            <w:vMerge w:val="restart"/>
          </w:tcPr>
          <w:p w14:paraId="709E60B0" w14:textId="77777777" w:rsidR="003E15B7" w:rsidRPr="00C1248A" w:rsidRDefault="003E15B7" w:rsidP="00100996">
            <w:pPr>
              <w:jc w:val="center"/>
              <w:rPr>
                <w:rFonts w:ascii="Times New Roman" w:hAnsi="Times New Roman" w:cs="Times New Roman"/>
                <w:b/>
                <w:bCs/>
                <w:lang w:val="ro-RO"/>
              </w:rPr>
            </w:pPr>
          </w:p>
          <w:p w14:paraId="77FAD04E" w14:textId="3380D5FF" w:rsidR="00525181" w:rsidRPr="00C1248A" w:rsidRDefault="00525181" w:rsidP="00100996">
            <w:pPr>
              <w:jc w:val="center"/>
              <w:rPr>
                <w:rFonts w:ascii="Times New Roman" w:hAnsi="Times New Roman" w:cs="Times New Roman"/>
                <w:b/>
                <w:bCs/>
                <w:lang w:val="ro-RO"/>
              </w:rPr>
            </w:pPr>
            <w:r w:rsidRPr="00C1248A">
              <w:rPr>
                <w:rFonts w:ascii="Times New Roman" w:hAnsi="Times New Roman" w:cs="Times New Roman"/>
                <w:b/>
                <w:bCs/>
                <w:lang w:val="ro-RO"/>
              </w:rPr>
              <w:t xml:space="preserve">Ministerul </w:t>
            </w:r>
          </w:p>
          <w:p w14:paraId="1188D4BF" w14:textId="77777777" w:rsidR="004E470D" w:rsidRPr="00C1248A" w:rsidRDefault="00525181" w:rsidP="00100996">
            <w:pPr>
              <w:jc w:val="center"/>
              <w:rPr>
                <w:rFonts w:ascii="Times New Roman" w:hAnsi="Times New Roman" w:cs="Times New Roman"/>
                <w:b/>
                <w:bCs/>
                <w:lang w:val="ro-RO"/>
              </w:rPr>
            </w:pPr>
            <w:r w:rsidRPr="00C1248A">
              <w:rPr>
                <w:rFonts w:ascii="Times New Roman" w:hAnsi="Times New Roman" w:cs="Times New Roman"/>
                <w:b/>
                <w:bCs/>
                <w:lang w:val="ro-RO"/>
              </w:rPr>
              <w:t>Mediului</w:t>
            </w:r>
          </w:p>
          <w:p w14:paraId="3DA34093" w14:textId="4F1470BC" w:rsidR="00525181" w:rsidRPr="00C1248A" w:rsidRDefault="00CA5D36" w:rsidP="00100996">
            <w:pPr>
              <w:jc w:val="center"/>
              <w:rPr>
                <w:rFonts w:ascii="Times New Roman" w:hAnsi="Times New Roman" w:cs="Times New Roman"/>
                <w:b/>
                <w:bCs/>
                <w:sz w:val="16"/>
                <w:szCs w:val="16"/>
                <w:lang w:val="en-US"/>
              </w:rPr>
            </w:pPr>
            <w:r w:rsidRPr="00C1248A">
              <w:rPr>
                <w:rFonts w:ascii="Times New Roman" w:hAnsi="Times New Roman" w:cs="Times New Roman"/>
                <w:i/>
                <w:iCs/>
                <w:sz w:val="16"/>
                <w:szCs w:val="16"/>
                <w:lang w:val="ro-MD"/>
              </w:rPr>
              <w:t>n</w:t>
            </w:r>
            <w:r w:rsidRPr="00C1248A">
              <w:rPr>
                <w:rFonts w:ascii="Times New Roman" w:hAnsi="Times New Roman" w:cs="Times New Roman"/>
                <w:i/>
                <w:iCs/>
                <w:sz w:val="16"/>
                <w:szCs w:val="16"/>
              </w:rPr>
              <w:t xml:space="preserve">r.13-05/55 </w:t>
            </w:r>
            <w:proofErr w:type="spellStart"/>
            <w:r w:rsidRPr="00C1248A">
              <w:rPr>
                <w:rFonts w:ascii="Times New Roman" w:hAnsi="Times New Roman" w:cs="Times New Roman"/>
                <w:i/>
                <w:iCs/>
                <w:sz w:val="16"/>
                <w:szCs w:val="16"/>
              </w:rPr>
              <w:t>din</w:t>
            </w:r>
            <w:proofErr w:type="spellEnd"/>
            <w:r w:rsidRPr="00C1248A">
              <w:rPr>
                <w:rFonts w:ascii="Times New Roman" w:hAnsi="Times New Roman" w:cs="Times New Roman"/>
                <w:i/>
                <w:iCs/>
                <w:sz w:val="16"/>
                <w:szCs w:val="16"/>
              </w:rPr>
              <w:t xml:space="preserve"> 10.01.2025</w:t>
            </w:r>
          </w:p>
        </w:tc>
        <w:tc>
          <w:tcPr>
            <w:tcW w:w="567" w:type="dxa"/>
          </w:tcPr>
          <w:p w14:paraId="54738989" w14:textId="77777777" w:rsidR="00ED2116" w:rsidRPr="00C1248A" w:rsidRDefault="00D100CD" w:rsidP="00100996">
            <w:pPr>
              <w:jc w:val="center"/>
              <w:rPr>
                <w:rFonts w:ascii="Times New Roman" w:hAnsi="Times New Roman" w:cs="Times New Roman"/>
                <w:b/>
                <w:bCs/>
                <w:lang w:val="ro-RO"/>
              </w:rPr>
            </w:pPr>
            <w:r w:rsidRPr="00C1248A">
              <w:rPr>
                <w:rFonts w:ascii="Times New Roman" w:hAnsi="Times New Roman" w:cs="Times New Roman"/>
                <w:b/>
                <w:bCs/>
                <w:lang w:val="ro-RO"/>
              </w:rPr>
              <w:t>1</w:t>
            </w:r>
          </w:p>
          <w:p w14:paraId="3FA81344" w14:textId="77777777" w:rsidR="00D100CD" w:rsidRPr="00C1248A" w:rsidRDefault="00D100CD" w:rsidP="00100996">
            <w:pPr>
              <w:jc w:val="center"/>
              <w:rPr>
                <w:rFonts w:ascii="Times New Roman" w:hAnsi="Times New Roman" w:cs="Times New Roman"/>
                <w:b/>
                <w:bCs/>
                <w:lang w:val="ro-RO"/>
              </w:rPr>
            </w:pPr>
          </w:p>
          <w:p w14:paraId="3AF11FBE" w14:textId="4B010A53" w:rsidR="00D100CD" w:rsidRPr="00C1248A" w:rsidRDefault="00D100CD" w:rsidP="00100996">
            <w:pPr>
              <w:jc w:val="center"/>
              <w:rPr>
                <w:rFonts w:ascii="Times New Roman" w:hAnsi="Times New Roman" w:cs="Times New Roman"/>
                <w:b/>
                <w:bCs/>
                <w:lang w:val="ro-RO"/>
              </w:rPr>
            </w:pPr>
          </w:p>
        </w:tc>
        <w:tc>
          <w:tcPr>
            <w:tcW w:w="7938" w:type="dxa"/>
          </w:tcPr>
          <w:p w14:paraId="31B24ED6" w14:textId="77777777" w:rsidR="00CA5D36" w:rsidRPr="00C1248A" w:rsidRDefault="00CA5D36" w:rsidP="007A4103">
            <w:pPr>
              <w:tabs>
                <w:tab w:val="right" w:pos="8647"/>
              </w:tabs>
              <w:ind w:right="196"/>
              <w:jc w:val="both"/>
              <w:rPr>
                <w:rFonts w:ascii="Times New Roman" w:hAnsi="Times New Roman" w:cs="Times New Roman"/>
                <w:lang w:val="en-US"/>
              </w:rPr>
            </w:pPr>
            <w:proofErr w:type="spellStart"/>
            <w:r w:rsidRPr="00C1248A">
              <w:rPr>
                <w:rFonts w:ascii="Times New Roman" w:hAnsi="Times New Roman" w:cs="Times New Roman"/>
                <w:lang w:val="en-US"/>
              </w:rPr>
              <w:t>Comunică</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susținerea</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acestuia</w:t>
            </w:r>
            <w:proofErr w:type="spellEnd"/>
            <w:r w:rsidRPr="00C1248A">
              <w:rPr>
                <w:rFonts w:ascii="Times New Roman" w:hAnsi="Times New Roman" w:cs="Times New Roman"/>
                <w:lang w:val="en-US"/>
              </w:rPr>
              <w:t xml:space="preserve"> cu </w:t>
            </w:r>
            <w:proofErr w:type="spellStart"/>
            <w:r w:rsidRPr="00C1248A">
              <w:rPr>
                <w:rFonts w:ascii="Times New Roman" w:hAnsi="Times New Roman" w:cs="Times New Roman"/>
                <w:lang w:val="en-US"/>
              </w:rPr>
              <w:t>următoarele</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propuneri</w:t>
            </w:r>
            <w:proofErr w:type="spellEnd"/>
            <w:r w:rsidRPr="00C1248A">
              <w:rPr>
                <w:rFonts w:ascii="Times New Roman" w:hAnsi="Times New Roman" w:cs="Times New Roman"/>
                <w:lang w:val="en-US"/>
              </w:rPr>
              <w:t xml:space="preserve">. </w:t>
            </w:r>
          </w:p>
          <w:p w14:paraId="174B4BC0" w14:textId="77777777" w:rsidR="00CA5D36" w:rsidRPr="00C1248A" w:rsidRDefault="00CA5D36" w:rsidP="007A4103">
            <w:pPr>
              <w:tabs>
                <w:tab w:val="right" w:pos="8647"/>
              </w:tabs>
              <w:ind w:right="196"/>
              <w:jc w:val="both"/>
              <w:rPr>
                <w:rFonts w:ascii="Times New Roman" w:hAnsi="Times New Roman" w:cs="Times New Roman"/>
                <w:lang w:val="en-US"/>
              </w:rPr>
            </w:pPr>
            <w:r w:rsidRPr="00C1248A">
              <w:rPr>
                <w:rFonts w:ascii="Times New Roman" w:hAnsi="Times New Roman" w:cs="Times New Roman"/>
                <w:lang w:val="en-US"/>
              </w:rPr>
              <w:t xml:space="preserve">La </w:t>
            </w:r>
            <w:proofErr w:type="spellStart"/>
            <w:r w:rsidRPr="00C1248A">
              <w:rPr>
                <w:rFonts w:ascii="Times New Roman" w:hAnsi="Times New Roman" w:cs="Times New Roman"/>
                <w:lang w:val="en-US"/>
              </w:rPr>
              <w:t>anexa</w:t>
            </w:r>
            <w:proofErr w:type="spellEnd"/>
            <w:r w:rsidRPr="00C1248A">
              <w:rPr>
                <w:rFonts w:ascii="Times New Roman" w:hAnsi="Times New Roman" w:cs="Times New Roman"/>
                <w:lang w:val="en-US"/>
              </w:rPr>
              <w:t xml:space="preserve"> nr.1 la </w:t>
            </w:r>
            <w:proofErr w:type="spellStart"/>
            <w:r w:rsidRPr="00C1248A">
              <w:rPr>
                <w:rFonts w:ascii="Times New Roman" w:hAnsi="Times New Roman" w:cs="Times New Roman"/>
                <w:lang w:val="en-US"/>
              </w:rPr>
              <w:t>Metodologia</w:t>
            </w:r>
            <w:proofErr w:type="spellEnd"/>
            <w:r w:rsidRPr="00C1248A">
              <w:rPr>
                <w:rFonts w:ascii="Times New Roman" w:hAnsi="Times New Roman" w:cs="Times New Roman"/>
                <w:lang w:val="en-US"/>
              </w:rPr>
              <w:t xml:space="preserve"> de </w:t>
            </w:r>
            <w:proofErr w:type="spellStart"/>
            <w:r w:rsidRPr="00C1248A">
              <w:rPr>
                <w:rFonts w:ascii="Times New Roman" w:hAnsi="Times New Roman" w:cs="Times New Roman"/>
                <w:lang w:val="en-US"/>
              </w:rPr>
              <w:t>calculare</w:t>
            </w:r>
            <w:proofErr w:type="spellEnd"/>
            <w:r w:rsidRPr="00C1248A">
              <w:rPr>
                <w:rFonts w:ascii="Times New Roman" w:hAnsi="Times New Roman" w:cs="Times New Roman"/>
                <w:lang w:val="en-US"/>
              </w:rPr>
              <w:t xml:space="preserve"> a </w:t>
            </w:r>
            <w:proofErr w:type="spellStart"/>
            <w:r w:rsidRPr="00C1248A">
              <w:rPr>
                <w:rFonts w:ascii="Times New Roman" w:hAnsi="Times New Roman" w:cs="Times New Roman"/>
                <w:lang w:val="en-US"/>
              </w:rPr>
              <w:t>tarifelor</w:t>
            </w:r>
            <w:proofErr w:type="spellEnd"/>
            <w:r w:rsidRPr="00C1248A">
              <w:rPr>
                <w:rFonts w:ascii="Times New Roman" w:hAnsi="Times New Roman" w:cs="Times New Roman"/>
                <w:lang w:val="en-US"/>
              </w:rPr>
              <w:t xml:space="preserve"> la </w:t>
            </w:r>
            <w:proofErr w:type="spellStart"/>
            <w:r w:rsidRPr="00C1248A">
              <w:rPr>
                <w:rFonts w:ascii="Times New Roman" w:hAnsi="Times New Roman" w:cs="Times New Roman"/>
                <w:lang w:val="en-US"/>
              </w:rPr>
              <w:t>serviciile</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prestate</w:t>
            </w:r>
            <w:proofErr w:type="spellEnd"/>
            <w:r w:rsidRPr="00C1248A">
              <w:rPr>
                <w:rFonts w:ascii="Times New Roman" w:hAnsi="Times New Roman" w:cs="Times New Roman"/>
                <w:lang w:val="en-US"/>
              </w:rPr>
              <w:t xml:space="preserve"> de </w:t>
            </w:r>
            <w:proofErr w:type="spellStart"/>
            <w:r w:rsidRPr="00C1248A">
              <w:rPr>
                <w:rFonts w:ascii="Times New Roman" w:hAnsi="Times New Roman" w:cs="Times New Roman"/>
                <w:lang w:val="en-US"/>
              </w:rPr>
              <w:t>către</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Instituția</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Publică</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Cadastrul</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Bunurilor</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Imobile</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propunem</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completarea</w:t>
            </w:r>
            <w:proofErr w:type="spellEnd"/>
            <w:r w:rsidRPr="00C1248A">
              <w:rPr>
                <w:rFonts w:ascii="Times New Roman" w:hAnsi="Times New Roman" w:cs="Times New Roman"/>
                <w:lang w:val="en-US"/>
              </w:rPr>
              <w:t xml:space="preserve"> cu </w:t>
            </w:r>
            <w:proofErr w:type="spellStart"/>
            <w:r w:rsidRPr="00C1248A">
              <w:rPr>
                <w:rFonts w:ascii="Times New Roman" w:hAnsi="Times New Roman" w:cs="Times New Roman"/>
                <w:lang w:val="en-US"/>
              </w:rPr>
              <w:t>următoarea</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poziție</w:t>
            </w:r>
            <w:proofErr w:type="spellEnd"/>
            <w:r w:rsidRPr="00C1248A">
              <w:rPr>
                <w:rFonts w:ascii="Times New Roman" w:hAnsi="Times New Roman" w:cs="Times New Roman"/>
                <w:lang w:val="en-US"/>
              </w:rPr>
              <w:t xml:space="preserve"> </w:t>
            </w:r>
          </w:p>
          <w:p w14:paraId="77263467" w14:textId="77777777" w:rsidR="00CA5D36" w:rsidRPr="00C1248A" w:rsidRDefault="00CA5D36" w:rsidP="00100996">
            <w:pPr>
              <w:tabs>
                <w:tab w:val="right" w:pos="8647"/>
              </w:tabs>
              <w:ind w:right="196"/>
              <w:jc w:val="both"/>
              <w:rPr>
                <w:rFonts w:ascii="Times New Roman" w:hAnsi="Times New Roman" w:cs="Times New Roman"/>
                <w:i/>
                <w:iCs/>
                <w:lang w:val="en-US"/>
              </w:rPr>
            </w:pPr>
            <w:r w:rsidRPr="00C1248A">
              <w:rPr>
                <w:rFonts w:ascii="Times New Roman" w:hAnsi="Times New Roman" w:cs="Times New Roman"/>
                <w:i/>
                <w:iCs/>
                <w:lang w:val="en-US"/>
              </w:rPr>
              <w:t xml:space="preserve">„11. </w:t>
            </w:r>
            <w:proofErr w:type="spellStart"/>
            <w:r w:rsidRPr="00C1248A">
              <w:rPr>
                <w:rFonts w:ascii="Times New Roman" w:hAnsi="Times New Roman" w:cs="Times New Roman"/>
                <w:i/>
                <w:iCs/>
                <w:lang w:val="en-US"/>
              </w:rPr>
              <w:t>Eliberarea</w:t>
            </w:r>
            <w:proofErr w:type="spellEnd"/>
            <w:r w:rsidRPr="00C1248A">
              <w:rPr>
                <w:rFonts w:ascii="Times New Roman" w:hAnsi="Times New Roman" w:cs="Times New Roman"/>
                <w:i/>
                <w:iCs/>
                <w:lang w:val="en-US"/>
              </w:rPr>
              <w:t xml:space="preserve"> </w:t>
            </w:r>
            <w:proofErr w:type="spellStart"/>
            <w:r w:rsidRPr="00C1248A">
              <w:rPr>
                <w:rFonts w:ascii="Times New Roman" w:hAnsi="Times New Roman" w:cs="Times New Roman"/>
                <w:i/>
                <w:iCs/>
                <w:lang w:val="en-US"/>
              </w:rPr>
              <w:t>informațiilor</w:t>
            </w:r>
            <w:proofErr w:type="spellEnd"/>
            <w:r w:rsidRPr="00C1248A">
              <w:rPr>
                <w:rFonts w:ascii="Times New Roman" w:hAnsi="Times New Roman" w:cs="Times New Roman"/>
                <w:i/>
                <w:iCs/>
                <w:lang w:val="en-US"/>
              </w:rPr>
              <w:t xml:space="preserve"> </w:t>
            </w:r>
            <w:proofErr w:type="spellStart"/>
            <w:r w:rsidRPr="00C1248A">
              <w:rPr>
                <w:rFonts w:ascii="Times New Roman" w:hAnsi="Times New Roman" w:cs="Times New Roman"/>
                <w:i/>
                <w:iCs/>
                <w:lang w:val="en-US"/>
              </w:rPr>
              <w:t>privind</w:t>
            </w:r>
            <w:proofErr w:type="spellEnd"/>
            <w:r w:rsidRPr="00C1248A">
              <w:rPr>
                <w:rFonts w:ascii="Times New Roman" w:hAnsi="Times New Roman" w:cs="Times New Roman"/>
                <w:i/>
                <w:iCs/>
                <w:lang w:val="en-US"/>
              </w:rPr>
              <w:t xml:space="preserve"> </w:t>
            </w:r>
            <w:proofErr w:type="spellStart"/>
            <w:r w:rsidRPr="00C1248A">
              <w:rPr>
                <w:rFonts w:ascii="Times New Roman" w:hAnsi="Times New Roman" w:cs="Times New Roman"/>
                <w:i/>
                <w:iCs/>
                <w:lang w:val="en-US"/>
              </w:rPr>
              <w:t>coordonatele</w:t>
            </w:r>
            <w:proofErr w:type="spellEnd"/>
            <w:r w:rsidRPr="00C1248A">
              <w:rPr>
                <w:rFonts w:ascii="Times New Roman" w:hAnsi="Times New Roman" w:cs="Times New Roman"/>
                <w:i/>
                <w:iCs/>
                <w:lang w:val="en-US"/>
              </w:rPr>
              <w:t xml:space="preserve"> </w:t>
            </w:r>
            <w:proofErr w:type="spellStart"/>
            <w:r w:rsidRPr="00C1248A">
              <w:rPr>
                <w:rFonts w:ascii="Times New Roman" w:hAnsi="Times New Roman" w:cs="Times New Roman"/>
                <w:i/>
                <w:iCs/>
                <w:lang w:val="en-US"/>
              </w:rPr>
              <w:t>geografice</w:t>
            </w:r>
            <w:proofErr w:type="spellEnd"/>
            <w:r w:rsidRPr="00C1248A">
              <w:rPr>
                <w:rFonts w:ascii="Times New Roman" w:hAnsi="Times New Roman" w:cs="Times New Roman"/>
                <w:i/>
                <w:iCs/>
                <w:lang w:val="en-US"/>
              </w:rPr>
              <w:t xml:space="preserve"> </w:t>
            </w:r>
            <w:proofErr w:type="spellStart"/>
            <w:r w:rsidRPr="00C1248A">
              <w:rPr>
                <w:rFonts w:ascii="Times New Roman" w:hAnsi="Times New Roman" w:cs="Times New Roman"/>
                <w:i/>
                <w:iCs/>
                <w:lang w:val="en-US"/>
              </w:rPr>
              <w:t>în</w:t>
            </w:r>
            <w:proofErr w:type="spellEnd"/>
            <w:r w:rsidRPr="00C1248A">
              <w:rPr>
                <w:rFonts w:ascii="Times New Roman" w:hAnsi="Times New Roman" w:cs="Times New Roman"/>
                <w:i/>
                <w:iCs/>
                <w:lang w:val="en-US"/>
              </w:rPr>
              <w:t xml:space="preserve"> </w:t>
            </w:r>
            <w:proofErr w:type="spellStart"/>
            <w:r w:rsidRPr="00C1248A">
              <w:rPr>
                <w:rFonts w:ascii="Times New Roman" w:hAnsi="Times New Roman" w:cs="Times New Roman"/>
                <w:i/>
                <w:iCs/>
                <w:lang w:val="en-US"/>
              </w:rPr>
              <w:t>sistemul</w:t>
            </w:r>
            <w:proofErr w:type="spellEnd"/>
            <w:r w:rsidRPr="00C1248A">
              <w:rPr>
                <w:rFonts w:ascii="Times New Roman" w:hAnsi="Times New Roman" w:cs="Times New Roman"/>
                <w:i/>
                <w:iCs/>
                <w:lang w:val="en-US"/>
              </w:rPr>
              <w:t xml:space="preserve"> MOLREF-99”. </w:t>
            </w:r>
          </w:p>
          <w:p w14:paraId="4F5B9BC8" w14:textId="73A3F822" w:rsidR="00ED2116" w:rsidRPr="00C1248A" w:rsidRDefault="00CA5D36" w:rsidP="00100996">
            <w:pPr>
              <w:tabs>
                <w:tab w:val="right" w:pos="8647"/>
              </w:tabs>
              <w:ind w:right="196" w:firstLine="457"/>
              <w:jc w:val="both"/>
              <w:rPr>
                <w:rFonts w:ascii="Times New Roman" w:hAnsi="Times New Roman" w:cs="Times New Roman"/>
                <w:lang w:val="ro-MD"/>
              </w:rPr>
            </w:pPr>
            <w:proofErr w:type="spellStart"/>
            <w:r w:rsidRPr="00C1248A">
              <w:rPr>
                <w:rFonts w:ascii="Times New Roman" w:hAnsi="Times New Roman" w:cs="Times New Roman"/>
                <w:lang w:val="en-US"/>
              </w:rPr>
              <w:t>Totodată</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venim</w:t>
            </w:r>
            <w:proofErr w:type="spellEnd"/>
            <w:r w:rsidRPr="00C1248A">
              <w:rPr>
                <w:rFonts w:ascii="Times New Roman" w:hAnsi="Times New Roman" w:cs="Times New Roman"/>
                <w:lang w:val="en-US"/>
              </w:rPr>
              <w:t xml:space="preserve"> cu </w:t>
            </w:r>
            <w:proofErr w:type="spellStart"/>
            <w:r w:rsidRPr="00C1248A">
              <w:rPr>
                <w:rFonts w:ascii="Times New Roman" w:hAnsi="Times New Roman" w:cs="Times New Roman"/>
                <w:lang w:val="en-US"/>
              </w:rPr>
              <w:t>recomandarea</w:t>
            </w:r>
            <w:proofErr w:type="spellEnd"/>
            <w:r w:rsidRPr="00C1248A">
              <w:rPr>
                <w:rFonts w:ascii="Times New Roman" w:hAnsi="Times New Roman" w:cs="Times New Roman"/>
                <w:lang w:val="en-US"/>
              </w:rPr>
              <w:t xml:space="preserve"> de </w:t>
            </w:r>
            <w:proofErr w:type="spellStart"/>
            <w:r w:rsidRPr="00C1248A">
              <w:rPr>
                <w:rFonts w:ascii="Times New Roman" w:hAnsi="Times New Roman" w:cs="Times New Roman"/>
                <w:lang w:val="en-US"/>
              </w:rPr>
              <w:t>sistematizare</w:t>
            </w:r>
            <w:proofErr w:type="spellEnd"/>
            <w:r w:rsidRPr="00C1248A">
              <w:rPr>
                <w:rFonts w:ascii="Times New Roman" w:hAnsi="Times New Roman" w:cs="Times New Roman"/>
                <w:lang w:val="en-US"/>
              </w:rPr>
              <w:t xml:space="preserve"> a </w:t>
            </w:r>
            <w:proofErr w:type="spellStart"/>
            <w:r w:rsidRPr="00C1248A">
              <w:rPr>
                <w:rFonts w:ascii="Times New Roman" w:hAnsi="Times New Roman" w:cs="Times New Roman"/>
                <w:lang w:val="en-US"/>
              </w:rPr>
              <w:t>întregului</w:t>
            </w:r>
            <w:proofErr w:type="spellEnd"/>
            <w:r w:rsidRPr="00C1248A">
              <w:rPr>
                <w:rFonts w:ascii="Times New Roman" w:hAnsi="Times New Roman" w:cs="Times New Roman"/>
                <w:lang w:val="en-US"/>
              </w:rPr>
              <w:t xml:space="preserve"> text al </w:t>
            </w:r>
            <w:proofErr w:type="spellStart"/>
            <w:r w:rsidRPr="00C1248A">
              <w:rPr>
                <w:rFonts w:ascii="Times New Roman" w:hAnsi="Times New Roman" w:cs="Times New Roman"/>
                <w:lang w:val="en-US"/>
              </w:rPr>
              <w:t>proiectului</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si</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excluderea</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greșelilor</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ortografice</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drept</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exemplu</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cuvinte</w:t>
            </w:r>
            <w:proofErr w:type="spellEnd"/>
            <w:r w:rsidRPr="00C1248A">
              <w:rPr>
                <w:rFonts w:ascii="Times New Roman" w:hAnsi="Times New Roman" w:cs="Times New Roman"/>
                <w:lang w:val="en-US"/>
              </w:rPr>
              <w:t xml:space="preserve"> cum </w:t>
            </w:r>
            <w:proofErr w:type="spellStart"/>
            <w:r w:rsidRPr="00C1248A">
              <w:rPr>
                <w:rFonts w:ascii="Times New Roman" w:hAnsi="Times New Roman" w:cs="Times New Roman"/>
                <w:lang w:val="en-US"/>
              </w:rPr>
              <w:t>ar</w:t>
            </w:r>
            <w:proofErr w:type="spellEnd"/>
            <w:r w:rsidRPr="00C1248A">
              <w:rPr>
                <w:rFonts w:ascii="Times New Roman" w:hAnsi="Times New Roman" w:cs="Times New Roman"/>
                <w:lang w:val="en-US"/>
              </w:rPr>
              <w:t xml:space="preserve"> fi: „</w:t>
            </w:r>
            <w:proofErr w:type="spellStart"/>
            <w:r w:rsidRPr="00C1248A">
              <w:rPr>
                <w:rFonts w:ascii="Times New Roman" w:hAnsi="Times New Roman" w:cs="Times New Roman"/>
                <w:lang w:val="en-US"/>
              </w:rPr>
              <w:t>indirecte</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și</w:t>
            </w:r>
            <w:proofErr w:type="spellEnd"/>
            <w:r w:rsidRPr="00C1248A">
              <w:rPr>
                <w:rFonts w:ascii="Times New Roman" w:hAnsi="Times New Roman" w:cs="Times New Roman"/>
                <w:lang w:val="en-US"/>
              </w:rPr>
              <w:t xml:space="preserve">”, „juris </w:t>
            </w:r>
            <w:proofErr w:type="spellStart"/>
            <w:r w:rsidRPr="00C1248A">
              <w:rPr>
                <w:rFonts w:ascii="Times New Roman" w:hAnsi="Times New Roman" w:cs="Times New Roman"/>
                <w:lang w:val="en-US"/>
              </w:rPr>
              <w:t>consulți</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și</w:t>
            </w:r>
            <w:proofErr w:type="spellEnd"/>
            <w:r w:rsidRPr="00C1248A">
              <w:rPr>
                <w:rFonts w:ascii="Times New Roman" w:hAnsi="Times New Roman" w:cs="Times New Roman"/>
                <w:lang w:val="en-US"/>
              </w:rPr>
              <w:t xml:space="preserve">”, „immobile </w:t>
            </w:r>
            <w:proofErr w:type="spellStart"/>
            <w:r w:rsidRPr="00C1248A">
              <w:rPr>
                <w:rFonts w:ascii="Times New Roman" w:hAnsi="Times New Roman" w:cs="Times New Roman"/>
                <w:lang w:val="en-US"/>
              </w:rPr>
              <w:t>entităților</w:t>
            </w:r>
            <w:proofErr w:type="spellEnd"/>
            <w:r w:rsidRPr="00C1248A">
              <w:rPr>
                <w:rFonts w:ascii="Times New Roman" w:hAnsi="Times New Roman" w:cs="Times New Roman"/>
                <w:lang w:val="en-US"/>
              </w:rPr>
              <w:t xml:space="preserve">”, „15 </w:t>
            </w:r>
            <w:proofErr w:type="spellStart"/>
            <w:r w:rsidRPr="00C1248A">
              <w:rPr>
                <w:rFonts w:ascii="Times New Roman" w:hAnsi="Times New Roman" w:cs="Times New Roman"/>
                <w:lang w:val="en-US"/>
              </w:rPr>
              <w:t>zile</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lucrătoare</w:t>
            </w:r>
            <w:proofErr w:type="spellEnd"/>
            <w:r w:rsidRPr="00C1248A">
              <w:rPr>
                <w:rFonts w:ascii="Times New Roman" w:hAnsi="Times New Roman" w:cs="Times New Roman"/>
                <w:lang w:val="en-US"/>
              </w:rPr>
              <w:t xml:space="preserve">, 10 </w:t>
            </w:r>
            <w:proofErr w:type="spellStart"/>
            <w:r w:rsidRPr="00C1248A">
              <w:rPr>
                <w:rFonts w:ascii="Times New Roman" w:hAnsi="Times New Roman" w:cs="Times New Roman"/>
                <w:lang w:val="en-US"/>
              </w:rPr>
              <w:t>zile</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lucrătoare</w:t>
            </w:r>
            <w:proofErr w:type="spellEnd"/>
            <w:r w:rsidRPr="00C1248A">
              <w:rPr>
                <w:rFonts w:ascii="Times New Roman" w:hAnsi="Times New Roman" w:cs="Times New Roman"/>
                <w:lang w:val="en-US"/>
              </w:rPr>
              <w:t xml:space="preserve">, 7 </w:t>
            </w:r>
            <w:proofErr w:type="spellStart"/>
            <w:r w:rsidRPr="00C1248A">
              <w:rPr>
                <w:rFonts w:ascii="Times New Roman" w:hAnsi="Times New Roman" w:cs="Times New Roman"/>
                <w:lang w:val="en-US"/>
              </w:rPr>
              <w:t>zile</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lucrătoare</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în</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ziua</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adresării</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etc</w:t>
            </w:r>
            <w:proofErr w:type="spellEnd"/>
            <w:r w:rsidRPr="00C1248A">
              <w:rPr>
                <w:rFonts w:ascii="Times New Roman" w:hAnsi="Times New Roman" w:cs="Times New Roman"/>
                <w:lang w:val="en-US"/>
              </w:rPr>
              <w:t xml:space="preserve">, precum </w:t>
            </w:r>
            <w:proofErr w:type="spellStart"/>
            <w:r w:rsidRPr="00C1248A">
              <w:rPr>
                <w:rFonts w:ascii="Times New Roman" w:hAnsi="Times New Roman" w:cs="Times New Roman"/>
                <w:lang w:val="en-US"/>
              </w:rPr>
              <w:t>si</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coordonarea</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cuvintelor</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în</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sintaxă</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drept</w:t>
            </w:r>
            <w:proofErr w:type="spellEnd"/>
            <w:r w:rsidRPr="00C1248A">
              <w:rPr>
                <w:rFonts w:ascii="Times New Roman" w:hAnsi="Times New Roman" w:cs="Times New Roman"/>
                <w:lang w:val="en-US"/>
              </w:rPr>
              <w:t xml:space="preserve"> </w:t>
            </w:r>
            <w:proofErr w:type="spellStart"/>
            <w:r w:rsidRPr="00C1248A">
              <w:rPr>
                <w:rFonts w:ascii="Times New Roman" w:hAnsi="Times New Roman" w:cs="Times New Roman"/>
                <w:lang w:val="en-US"/>
              </w:rPr>
              <w:t>exemplu</w:t>
            </w:r>
            <w:proofErr w:type="spellEnd"/>
            <w:r w:rsidRPr="00C1248A">
              <w:rPr>
                <w:rFonts w:ascii="Times New Roman" w:hAnsi="Times New Roman" w:cs="Times New Roman"/>
                <w:lang w:val="en-US"/>
              </w:rPr>
              <w:t>. „</w:t>
            </w:r>
            <w:proofErr w:type="spellStart"/>
            <w:proofErr w:type="gramStart"/>
            <w:r w:rsidRPr="00C1248A">
              <w:rPr>
                <w:rFonts w:ascii="Times New Roman" w:hAnsi="Times New Roman" w:cs="Times New Roman"/>
                <w:lang w:val="en-US"/>
              </w:rPr>
              <w:t>costurile</w:t>
            </w:r>
            <w:proofErr w:type="spellEnd"/>
            <w:proofErr w:type="gramEnd"/>
            <w:r w:rsidRPr="00C1248A">
              <w:rPr>
                <w:rFonts w:ascii="Times New Roman" w:hAnsi="Times New Roman" w:cs="Times New Roman"/>
                <w:lang w:val="en-US"/>
              </w:rPr>
              <w:t xml:space="preserve"> indirect”, </w:t>
            </w:r>
            <w:proofErr w:type="spellStart"/>
            <w:r w:rsidRPr="00C1248A">
              <w:rPr>
                <w:rFonts w:ascii="Times New Roman" w:hAnsi="Times New Roman" w:cs="Times New Roman"/>
                <w:lang w:val="en-US"/>
              </w:rPr>
              <w:t>etc</w:t>
            </w:r>
            <w:proofErr w:type="spellEnd"/>
            <w:r w:rsidRPr="00C1248A">
              <w:rPr>
                <w:rFonts w:ascii="Times New Roman" w:hAnsi="Times New Roman" w:cs="Times New Roman"/>
                <w:lang w:val="en-US"/>
              </w:rPr>
              <w:t>).</w:t>
            </w:r>
          </w:p>
        </w:tc>
        <w:tc>
          <w:tcPr>
            <w:tcW w:w="4428" w:type="dxa"/>
          </w:tcPr>
          <w:p w14:paraId="722F821B" w14:textId="77777777" w:rsidR="00ED2116" w:rsidRPr="00C1248A" w:rsidRDefault="00ED2116" w:rsidP="00100996">
            <w:pPr>
              <w:jc w:val="center"/>
              <w:rPr>
                <w:rFonts w:ascii="Times New Roman" w:hAnsi="Times New Roman" w:cs="Times New Roman"/>
                <w:bCs/>
                <w:lang w:val="ro-RO"/>
              </w:rPr>
            </w:pPr>
          </w:p>
          <w:p w14:paraId="50B07455" w14:textId="77777777" w:rsidR="00E12096" w:rsidRPr="00C1248A" w:rsidRDefault="00CC4AA4" w:rsidP="00100996">
            <w:pPr>
              <w:rPr>
                <w:rFonts w:ascii="Times New Roman" w:hAnsi="Times New Roman" w:cs="Times New Roman"/>
                <w:bCs/>
                <w:lang w:val="ro-RO"/>
              </w:rPr>
            </w:pPr>
            <w:r w:rsidRPr="00C1248A">
              <w:rPr>
                <w:rFonts w:ascii="Times New Roman" w:hAnsi="Times New Roman" w:cs="Times New Roman"/>
                <w:bCs/>
                <w:lang w:val="ro-RO"/>
              </w:rPr>
              <w:t xml:space="preserve">Nu se acceptă. </w:t>
            </w:r>
          </w:p>
          <w:p w14:paraId="61C748F1" w14:textId="77777777" w:rsidR="00CC4AA4" w:rsidRPr="00C1248A" w:rsidRDefault="00E12096" w:rsidP="00100996">
            <w:pPr>
              <w:rPr>
                <w:rFonts w:ascii="Times New Roman" w:hAnsi="Times New Roman" w:cs="Times New Roman"/>
                <w:bCs/>
                <w:lang w:val="ro-RO"/>
              </w:rPr>
            </w:pPr>
            <w:r w:rsidRPr="00C1248A">
              <w:rPr>
                <w:rFonts w:ascii="Times New Roman" w:hAnsi="Times New Roman" w:cs="Times New Roman"/>
                <w:bCs/>
                <w:lang w:val="ro-RO"/>
              </w:rPr>
              <w:t>Propunerea reprezintă furnizarea informației, care este indicată ca</w:t>
            </w:r>
            <w:r w:rsidR="00CC4AA4" w:rsidRPr="00C1248A">
              <w:rPr>
                <w:rFonts w:ascii="Times New Roman" w:hAnsi="Times New Roman" w:cs="Times New Roman"/>
                <w:bCs/>
                <w:lang w:val="ro-RO"/>
              </w:rPr>
              <w:t xml:space="preserve"> pct. 6 din anexa nr. 1.</w:t>
            </w:r>
          </w:p>
          <w:p w14:paraId="632B5794" w14:textId="77777777" w:rsidR="008A4CC3" w:rsidRPr="00C1248A" w:rsidRDefault="008A4CC3" w:rsidP="00100996">
            <w:pPr>
              <w:rPr>
                <w:rFonts w:ascii="Times New Roman" w:hAnsi="Times New Roman" w:cs="Times New Roman"/>
                <w:bCs/>
                <w:lang w:val="ro-RO"/>
              </w:rPr>
            </w:pPr>
          </w:p>
          <w:p w14:paraId="70D91294" w14:textId="77777777" w:rsidR="008A4CC3" w:rsidRPr="00C1248A" w:rsidRDefault="008A4CC3" w:rsidP="00100996">
            <w:pPr>
              <w:rPr>
                <w:rFonts w:ascii="Times New Roman" w:hAnsi="Times New Roman" w:cs="Times New Roman"/>
                <w:bCs/>
                <w:lang w:val="ro-RO"/>
              </w:rPr>
            </w:pPr>
          </w:p>
          <w:p w14:paraId="087426BE" w14:textId="3C60FC48" w:rsidR="008A4CC3" w:rsidRPr="00C1248A" w:rsidRDefault="008A4CC3" w:rsidP="00100996">
            <w:pPr>
              <w:rPr>
                <w:rFonts w:ascii="Times New Roman" w:hAnsi="Times New Roman" w:cs="Times New Roman"/>
                <w:bCs/>
                <w:lang w:val="ro-RO"/>
              </w:rPr>
            </w:pPr>
            <w:r w:rsidRPr="00C1248A">
              <w:rPr>
                <w:rFonts w:ascii="Times New Roman" w:hAnsi="Times New Roman" w:cs="Times New Roman"/>
                <w:bCs/>
                <w:lang w:val="ro-RO"/>
              </w:rPr>
              <w:t>Se acceptă. S-a redactat.</w:t>
            </w:r>
          </w:p>
        </w:tc>
      </w:tr>
      <w:tr w:rsidR="00C1248A" w:rsidRPr="00C1248A" w14:paraId="2DF59F5D" w14:textId="77777777" w:rsidTr="006535C8">
        <w:trPr>
          <w:gridAfter w:val="1"/>
          <w:wAfter w:w="9" w:type="dxa"/>
          <w:trHeight w:val="585"/>
        </w:trPr>
        <w:tc>
          <w:tcPr>
            <w:tcW w:w="1985" w:type="dxa"/>
            <w:vMerge/>
          </w:tcPr>
          <w:p w14:paraId="732500DF" w14:textId="77777777" w:rsidR="00ED2116" w:rsidRPr="00C1248A" w:rsidRDefault="00ED2116" w:rsidP="00100996">
            <w:pPr>
              <w:jc w:val="center"/>
              <w:rPr>
                <w:rFonts w:ascii="Times New Roman" w:hAnsi="Times New Roman" w:cs="Times New Roman"/>
                <w:b/>
                <w:bCs/>
                <w:lang w:val="ro-RO"/>
              </w:rPr>
            </w:pPr>
          </w:p>
        </w:tc>
        <w:tc>
          <w:tcPr>
            <w:tcW w:w="567" w:type="dxa"/>
            <w:shd w:val="clear" w:color="auto" w:fill="D9D9D9" w:themeFill="background1" w:themeFillShade="D9"/>
          </w:tcPr>
          <w:p w14:paraId="6D9F60CC" w14:textId="3801A3BB" w:rsidR="00D100CD" w:rsidRPr="00C1248A" w:rsidRDefault="00D100CD" w:rsidP="006535C8">
            <w:pPr>
              <w:jc w:val="center"/>
              <w:rPr>
                <w:rFonts w:ascii="Times New Roman" w:hAnsi="Times New Roman" w:cs="Times New Roman"/>
                <w:b/>
                <w:bCs/>
                <w:lang w:val="ro-RO"/>
              </w:rPr>
            </w:pPr>
            <w:r w:rsidRPr="00C1248A">
              <w:rPr>
                <w:rFonts w:ascii="Times New Roman" w:hAnsi="Times New Roman" w:cs="Times New Roman"/>
                <w:b/>
                <w:bCs/>
                <w:lang w:val="ro-RO"/>
              </w:rPr>
              <w:t>2</w:t>
            </w:r>
          </w:p>
        </w:tc>
        <w:tc>
          <w:tcPr>
            <w:tcW w:w="7938" w:type="dxa"/>
            <w:shd w:val="clear" w:color="auto" w:fill="D9D9D9" w:themeFill="background1" w:themeFillShade="D9"/>
          </w:tcPr>
          <w:p w14:paraId="165160A2" w14:textId="3B37C4F2" w:rsidR="00592FD3" w:rsidRPr="00C1248A" w:rsidRDefault="00592FD3" w:rsidP="00100996">
            <w:pPr>
              <w:tabs>
                <w:tab w:val="right" w:pos="8647"/>
              </w:tabs>
              <w:jc w:val="both"/>
              <w:rPr>
                <w:rFonts w:ascii="Times New Roman" w:hAnsi="Times New Roman" w:cs="Times New Roman"/>
                <w:b/>
                <w:bCs/>
                <w:lang w:val="en-US"/>
              </w:rPr>
            </w:pPr>
          </w:p>
        </w:tc>
        <w:tc>
          <w:tcPr>
            <w:tcW w:w="4428" w:type="dxa"/>
            <w:shd w:val="clear" w:color="auto" w:fill="D9D9D9" w:themeFill="background1" w:themeFillShade="D9"/>
          </w:tcPr>
          <w:p w14:paraId="4AF4D754" w14:textId="21B86CEF" w:rsidR="009D3642" w:rsidRPr="00C1248A" w:rsidRDefault="009D3642" w:rsidP="00100996">
            <w:pPr>
              <w:rPr>
                <w:rFonts w:ascii="Times New Roman" w:hAnsi="Times New Roman" w:cs="Times New Roman"/>
                <w:lang w:val="en-US"/>
              </w:rPr>
            </w:pPr>
          </w:p>
        </w:tc>
      </w:tr>
      <w:tr w:rsidR="00C1248A" w:rsidRPr="00C1248A" w14:paraId="5031DDE9" w14:textId="77777777" w:rsidTr="00835F71">
        <w:trPr>
          <w:gridAfter w:val="1"/>
          <w:wAfter w:w="9" w:type="dxa"/>
          <w:trHeight w:val="165"/>
        </w:trPr>
        <w:tc>
          <w:tcPr>
            <w:tcW w:w="1985" w:type="dxa"/>
          </w:tcPr>
          <w:p w14:paraId="0D91180B" w14:textId="77777777" w:rsidR="00AD6059" w:rsidRPr="00C1248A" w:rsidRDefault="00AD6059" w:rsidP="00100996">
            <w:pPr>
              <w:jc w:val="center"/>
              <w:rPr>
                <w:rFonts w:ascii="Times New Roman" w:hAnsi="Times New Roman" w:cs="Times New Roman"/>
                <w:b/>
                <w:bCs/>
                <w:lang w:val="en-US"/>
              </w:rPr>
            </w:pPr>
          </w:p>
          <w:p w14:paraId="3C8893A4" w14:textId="77777777" w:rsidR="00AD6059" w:rsidRPr="00C1248A" w:rsidRDefault="00BD55FB" w:rsidP="00100996">
            <w:pPr>
              <w:jc w:val="center"/>
              <w:rPr>
                <w:rFonts w:ascii="Times New Roman" w:hAnsi="Times New Roman" w:cs="Times New Roman"/>
                <w:b/>
                <w:bCs/>
                <w:lang w:val="en-US"/>
              </w:rPr>
            </w:pPr>
            <w:proofErr w:type="spellStart"/>
            <w:r w:rsidRPr="00C1248A">
              <w:rPr>
                <w:rFonts w:ascii="Times New Roman" w:hAnsi="Times New Roman" w:cs="Times New Roman"/>
                <w:b/>
                <w:bCs/>
                <w:lang w:val="en-US"/>
              </w:rPr>
              <w:lastRenderedPageBreak/>
              <w:t>Grupul</w:t>
            </w:r>
            <w:proofErr w:type="spellEnd"/>
            <w:r w:rsidRPr="00C1248A">
              <w:rPr>
                <w:rFonts w:ascii="Times New Roman" w:hAnsi="Times New Roman" w:cs="Times New Roman"/>
                <w:b/>
                <w:bCs/>
                <w:lang w:val="en-US"/>
              </w:rPr>
              <w:t xml:space="preserve"> </w:t>
            </w:r>
          </w:p>
          <w:p w14:paraId="1004AC9F" w14:textId="5E94CBF3" w:rsidR="00BD55FB" w:rsidRPr="00C1248A" w:rsidRDefault="00BD55FB" w:rsidP="00100996">
            <w:pPr>
              <w:jc w:val="center"/>
              <w:rPr>
                <w:rFonts w:ascii="Times New Roman" w:hAnsi="Times New Roman" w:cs="Times New Roman"/>
                <w:b/>
                <w:bCs/>
                <w:lang w:val="ro-RO"/>
              </w:rPr>
            </w:pPr>
            <w:r w:rsidRPr="00C1248A">
              <w:rPr>
                <w:rFonts w:ascii="Times New Roman" w:hAnsi="Times New Roman" w:cs="Times New Roman"/>
                <w:b/>
                <w:bCs/>
                <w:lang w:val="en-US"/>
              </w:rPr>
              <w:t xml:space="preserve">de </w:t>
            </w:r>
            <w:proofErr w:type="spellStart"/>
            <w:r w:rsidRPr="00C1248A">
              <w:rPr>
                <w:rFonts w:ascii="Times New Roman" w:hAnsi="Times New Roman" w:cs="Times New Roman"/>
                <w:b/>
                <w:bCs/>
                <w:lang w:val="en-US"/>
              </w:rPr>
              <w:t>lucru</w:t>
            </w:r>
            <w:proofErr w:type="spellEnd"/>
            <w:r w:rsidRPr="00C1248A">
              <w:rPr>
                <w:rFonts w:ascii="Times New Roman" w:hAnsi="Times New Roman" w:cs="Times New Roman"/>
                <w:b/>
                <w:bCs/>
                <w:lang w:val="en-US"/>
              </w:rPr>
              <w:t xml:space="preserve"> al </w:t>
            </w:r>
            <w:proofErr w:type="spellStart"/>
            <w:r w:rsidRPr="00C1248A">
              <w:rPr>
                <w:rFonts w:ascii="Times New Roman" w:hAnsi="Times New Roman" w:cs="Times New Roman"/>
                <w:b/>
                <w:bCs/>
                <w:lang w:val="en-US"/>
              </w:rPr>
              <w:t>Comisiei</w:t>
            </w:r>
            <w:proofErr w:type="spellEnd"/>
            <w:r w:rsidRPr="00C1248A">
              <w:rPr>
                <w:rFonts w:ascii="Times New Roman" w:hAnsi="Times New Roman" w:cs="Times New Roman"/>
                <w:b/>
                <w:bCs/>
                <w:lang w:val="en-US"/>
              </w:rPr>
              <w:t xml:space="preserve"> de stat </w:t>
            </w:r>
            <w:proofErr w:type="spellStart"/>
            <w:r w:rsidRPr="00C1248A">
              <w:rPr>
                <w:rFonts w:ascii="Times New Roman" w:hAnsi="Times New Roman" w:cs="Times New Roman"/>
                <w:b/>
                <w:bCs/>
                <w:lang w:val="en-US"/>
              </w:rPr>
              <w:t>pentru</w:t>
            </w:r>
            <w:proofErr w:type="spellEnd"/>
            <w:r w:rsidRPr="00C1248A">
              <w:rPr>
                <w:rFonts w:ascii="Times New Roman" w:hAnsi="Times New Roman" w:cs="Times New Roman"/>
                <w:b/>
                <w:bCs/>
                <w:lang w:val="en-US"/>
              </w:rPr>
              <w:t xml:space="preserve"> </w:t>
            </w:r>
            <w:proofErr w:type="spellStart"/>
            <w:r w:rsidRPr="00C1248A">
              <w:rPr>
                <w:rFonts w:ascii="Times New Roman" w:hAnsi="Times New Roman" w:cs="Times New Roman"/>
                <w:b/>
                <w:bCs/>
                <w:lang w:val="en-US"/>
              </w:rPr>
              <w:t>reglementarea</w:t>
            </w:r>
            <w:proofErr w:type="spellEnd"/>
            <w:r w:rsidRPr="00C1248A">
              <w:rPr>
                <w:rFonts w:ascii="Times New Roman" w:hAnsi="Times New Roman" w:cs="Times New Roman"/>
                <w:b/>
                <w:bCs/>
                <w:lang w:val="en-US"/>
              </w:rPr>
              <w:t xml:space="preserve"> </w:t>
            </w:r>
            <w:proofErr w:type="spellStart"/>
            <w:r w:rsidRPr="00C1248A">
              <w:rPr>
                <w:rFonts w:ascii="Times New Roman" w:hAnsi="Times New Roman" w:cs="Times New Roman"/>
                <w:b/>
                <w:bCs/>
                <w:lang w:val="en-US"/>
              </w:rPr>
              <w:t>activității</w:t>
            </w:r>
            <w:proofErr w:type="spellEnd"/>
            <w:r w:rsidRPr="00C1248A">
              <w:rPr>
                <w:rFonts w:ascii="Times New Roman" w:hAnsi="Times New Roman" w:cs="Times New Roman"/>
                <w:b/>
                <w:bCs/>
                <w:lang w:val="en-US"/>
              </w:rPr>
              <w:t xml:space="preserve"> de </w:t>
            </w:r>
            <w:proofErr w:type="spellStart"/>
            <w:r w:rsidRPr="00C1248A">
              <w:rPr>
                <w:rFonts w:ascii="Times New Roman" w:hAnsi="Times New Roman" w:cs="Times New Roman"/>
                <w:b/>
                <w:bCs/>
                <w:lang w:val="en-US"/>
              </w:rPr>
              <w:t>întreprinzător</w:t>
            </w:r>
            <w:proofErr w:type="spellEnd"/>
          </w:p>
        </w:tc>
        <w:tc>
          <w:tcPr>
            <w:tcW w:w="567" w:type="dxa"/>
          </w:tcPr>
          <w:p w14:paraId="742C4604" w14:textId="77777777" w:rsidR="00BD55FB" w:rsidRPr="00C1248A" w:rsidRDefault="00BD55FB" w:rsidP="00100996">
            <w:pPr>
              <w:jc w:val="center"/>
              <w:rPr>
                <w:rFonts w:ascii="Times New Roman" w:hAnsi="Times New Roman" w:cs="Times New Roman"/>
                <w:b/>
                <w:bCs/>
                <w:lang w:val="en-US"/>
              </w:rPr>
            </w:pPr>
          </w:p>
          <w:p w14:paraId="144BE90F" w14:textId="77777777" w:rsidR="00BD55FB" w:rsidRPr="00C1248A" w:rsidRDefault="00BD55FB" w:rsidP="00100996">
            <w:pPr>
              <w:jc w:val="center"/>
              <w:rPr>
                <w:rFonts w:ascii="Times New Roman" w:hAnsi="Times New Roman" w:cs="Times New Roman"/>
                <w:b/>
                <w:bCs/>
                <w:lang w:val="en-US"/>
              </w:rPr>
            </w:pPr>
          </w:p>
          <w:p w14:paraId="1E5F0111" w14:textId="3F38A93C" w:rsidR="00BD55FB" w:rsidRPr="00C1248A" w:rsidRDefault="00BD55FB" w:rsidP="00100996">
            <w:pPr>
              <w:jc w:val="center"/>
              <w:rPr>
                <w:rFonts w:ascii="Times New Roman" w:hAnsi="Times New Roman" w:cs="Times New Roman"/>
                <w:b/>
                <w:bCs/>
              </w:rPr>
            </w:pPr>
            <w:r w:rsidRPr="00C1248A">
              <w:rPr>
                <w:rFonts w:ascii="Times New Roman" w:hAnsi="Times New Roman" w:cs="Times New Roman"/>
                <w:b/>
                <w:bCs/>
              </w:rPr>
              <w:t>1</w:t>
            </w:r>
          </w:p>
        </w:tc>
        <w:tc>
          <w:tcPr>
            <w:tcW w:w="7938" w:type="dxa"/>
          </w:tcPr>
          <w:p w14:paraId="7D390E17" w14:textId="77777777" w:rsidR="00835F71" w:rsidRPr="00C1248A" w:rsidRDefault="00835F71" w:rsidP="00100996">
            <w:pPr>
              <w:ind w:right="36" w:firstLine="141"/>
              <w:jc w:val="both"/>
              <w:rPr>
                <w:rFonts w:ascii="Times New Roman" w:hAnsi="Times New Roman" w:cs="Times New Roman"/>
                <w:lang w:val="ro-MD"/>
              </w:rPr>
            </w:pPr>
            <w:r w:rsidRPr="00C1248A">
              <w:rPr>
                <w:rFonts w:ascii="Times New Roman" w:hAnsi="Times New Roman" w:cs="Times New Roman"/>
                <w:lang w:val="ro-MD"/>
              </w:rPr>
              <w:lastRenderedPageBreak/>
              <w:t xml:space="preserve">Abordarea metodologică propusă deviază de la principiul fundamental de creare a </w:t>
            </w:r>
            <w:r w:rsidRPr="00C1248A">
              <w:rPr>
                <w:rFonts w:ascii="Times New Roman" w:hAnsi="Times New Roman" w:cs="Times New Roman"/>
                <w:lang w:val="ro-MD"/>
              </w:rPr>
              <w:lastRenderedPageBreak/>
              <w:t>tarifului la servicii publice, conform căruia prețul serviciului public trebuie doar să acopere costurile prestării acestui serviciu și nu pot fi admise marje de profit în componenta acestuia. În special ne referim la utilizarea așa-numitei „marje de contingență” (un adaos efectiv de 10%) care, în situația în care tariful și așa înglobează toate cheltuielile directe și indirecte și se va ajusta în fiecare an (luînd în calcul factorii ce pot influența mărimea componentei tarifului) nu poate fi justificat decît în calitate de un profit camuflat. În temeiul acestei „marje de contingență” se vor colecta fonduri în mod nejustificat și contrar principiilor stabilite de lege. Este imperativ de a exclude această „marjă” din formulă și de a revizui toate tarifele, cu diminuarea corespunzătoare a acestora. În cazul în care există temerea că cheltuielile pentru unele componente ar putea fluctua substanțial pe parcursul unui an de zile (pînă se aprobă tarifele revizuite de Guvern), metodologia ar putea fi completată cu o prevedere conform căreia revizuirea tarifelor poate avea loc mai des de un an, dacă se atestă o creștere a celor mai importante capitole de cheltuieli cu mai mult de 10%.</w:t>
            </w:r>
          </w:p>
          <w:p w14:paraId="10DE8830" w14:textId="77777777" w:rsidR="00835F71" w:rsidRPr="00C1248A" w:rsidRDefault="00835F71" w:rsidP="00100996">
            <w:pPr>
              <w:ind w:right="36" w:firstLine="141"/>
              <w:jc w:val="both"/>
              <w:rPr>
                <w:rFonts w:ascii="Times New Roman" w:hAnsi="Times New Roman" w:cs="Times New Roman"/>
                <w:lang w:val="ro-MD"/>
              </w:rPr>
            </w:pPr>
            <w:r w:rsidRPr="00C1248A">
              <w:rPr>
                <w:rFonts w:ascii="Times New Roman" w:hAnsi="Times New Roman" w:cs="Times New Roman"/>
                <w:lang w:val="ro-MD"/>
              </w:rPr>
              <w:t xml:space="preserve">Scopul principal al reglementării metodologice de formare a tarifelor este de a asigura transparența și previzibilitatea modului de formare și mărimii tarifului, implicit și previzibilitatea cheltuielilor pentru agenții economici. Astfel elementele care stau la baza tarifului trebuie să fie certe și clare. În cazul dat elementele fundamentale sunt cheltuielile efective (directe și indirecte) din perioada anterioară, care la fel trebuie să fie clar limitate pentru a asigura că aceste cheltuieli țin direct de prestarea serviciilor pentru care se stabilește tariful. Din aceste considerente sintagmele </w:t>
            </w:r>
            <w:r w:rsidRPr="00C1248A">
              <w:rPr>
                <w:rFonts w:ascii="Times New Roman" w:hAnsi="Times New Roman" w:cs="Times New Roman"/>
                <w:b/>
                <w:bCs/>
                <w:lang w:val="ro-MD"/>
              </w:rPr>
              <w:t>„alte cheltuieli operaționale”</w:t>
            </w:r>
            <w:r w:rsidRPr="00C1248A">
              <w:rPr>
                <w:rFonts w:ascii="Times New Roman" w:hAnsi="Times New Roman" w:cs="Times New Roman"/>
                <w:lang w:val="ro-MD"/>
              </w:rPr>
              <w:t xml:space="preserve"> și „</w:t>
            </w:r>
            <w:r w:rsidRPr="00C1248A">
              <w:rPr>
                <w:rFonts w:ascii="Times New Roman" w:hAnsi="Times New Roman" w:cs="Times New Roman"/>
                <w:b/>
                <w:bCs/>
                <w:lang w:val="ro-MD"/>
              </w:rPr>
              <w:t>alte plăți</w:t>
            </w:r>
            <w:r w:rsidRPr="00C1248A">
              <w:rPr>
                <w:rFonts w:ascii="Times New Roman" w:hAnsi="Times New Roman" w:cs="Times New Roman"/>
                <w:lang w:val="ro-MD"/>
              </w:rPr>
              <w:t>” (la pct.9, 15, 19, 23) nu pot fi acceptate, odată ce astfel de sintagme nu acordă posibilitatea de a prevedea în mod exhaustiv care este exact volumul și categoria cheltuielilor care trebuie luate în calcul la stabilirea tarifului. Mai mult, astfel de sintagme sunt contrare cu însăși raționamentul reglementării imperative metodologice prin act normativ și efectiv subminează reglementarea în sine. Aceste sintagme necesită să fie excluse și metodologia trebuie să prevadă exhaustiv tipurile și categoriile de cheltuieli care stau la baza stabilirii tarifului pentru un serviciu.</w:t>
            </w:r>
          </w:p>
          <w:p w14:paraId="1321E12A" w14:textId="5E7190F2" w:rsidR="00835F71" w:rsidRPr="00C1248A" w:rsidRDefault="00835F71" w:rsidP="00100996">
            <w:pPr>
              <w:pStyle w:val="a6"/>
              <w:ind w:left="-426" w:right="-77" w:firstLine="567"/>
              <w:jc w:val="both"/>
              <w:rPr>
                <w:b/>
                <w:sz w:val="22"/>
                <w:szCs w:val="22"/>
              </w:rPr>
            </w:pPr>
            <w:r w:rsidRPr="00C1248A">
              <w:rPr>
                <w:b/>
                <w:sz w:val="22"/>
                <w:szCs w:val="22"/>
              </w:rPr>
              <w:t>Concluzie</w:t>
            </w:r>
          </w:p>
          <w:p w14:paraId="3DB8B095" w14:textId="1AB2C4B4" w:rsidR="00BD55FB" w:rsidRPr="00C1248A" w:rsidRDefault="00835F71" w:rsidP="00100996">
            <w:pPr>
              <w:pStyle w:val="a6"/>
              <w:ind w:left="36" w:right="-77" w:firstLine="105"/>
              <w:jc w:val="both"/>
              <w:rPr>
                <w:b/>
                <w:bCs/>
                <w:sz w:val="22"/>
                <w:szCs w:val="22"/>
                <w:lang w:val="en-US"/>
              </w:rPr>
            </w:pPr>
            <w:r w:rsidRPr="00C1248A">
              <w:rPr>
                <w:sz w:val="22"/>
                <w:szCs w:val="22"/>
              </w:rPr>
              <w:t>Proiectul conține prevederi contradictorii cu principiile de reglementare a activității de întreprinzător și necesită unele revizuiri de concept. În varianta actuală nu poate fi recomandată susținerea.</w:t>
            </w:r>
          </w:p>
        </w:tc>
        <w:tc>
          <w:tcPr>
            <w:tcW w:w="4428" w:type="dxa"/>
          </w:tcPr>
          <w:p w14:paraId="5A4C1318" w14:textId="77777777" w:rsidR="009D3642" w:rsidRPr="00C1248A" w:rsidRDefault="009D3642" w:rsidP="00100996">
            <w:pPr>
              <w:pStyle w:val="Default"/>
              <w:jc w:val="both"/>
              <w:rPr>
                <w:color w:val="auto"/>
                <w:sz w:val="22"/>
                <w:szCs w:val="22"/>
                <w:lang w:val="ro-MD"/>
              </w:rPr>
            </w:pPr>
            <w:r w:rsidRPr="00C1248A">
              <w:rPr>
                <w:color w:val="auto"/>
                <w:sz w:val="22"/>
                <w:szCs w:val="22"/>
                <w:lang w:val="ro-MD"/>
              </w:rPr>
              <w:lastRenderedPageBreak/>
              <w:t xml:space="preserve">Ca urmare a examinării avizelor parvenite de la </w:t>
            </w:r>
            <w:r w:rsidRPr="00C1248A">
              <w:rPr>
                <w:color w:val="auto"/>
                <w:sz w:val="22"/>
                <w:szCs w:val="22"/>
                <w:lang w:val="ro-MD"/>
              </w:rPr>
              <w:lastRenderedPageBreak/>
              <w:t>Grupul de lucru al Comisiei de stat pentru reglementarea activităţii de întreprinzător (scrisoarea nr.38-78-29 din 02.01.2025) şi Congresul Autorităților Locale din Moldova  (scrisoarea nr.442 din 30.12.2024) Instituţia Publică Cadastrul Bunurilor Imobile vă comunică următoarele:</w:t>
            </w:r>
          </w:p>
          <w:p w14:paraId="33856C71" w14:textId="77777777" w:rsidR="009D3642" w:rsidRPr="00C1248A" w:rsidRDefault="009D3642" w:rsidP="00100996">
            <w:pPr>
              <w:pStyle w:val="Default"/>
              <w:numPr>
                <w:ilvl w:val="0"/>
                <w:numId w:val="19"/>
              </w:numPr>
              <w:ind w:left="0" w:firstLine="405"/>
              <w:jc w:val="both"/>
              <w:rPr>
                <w:b/>
                <w:i/>
                <w:color w:val="auto"/>
                <w:sz w:val="22"/>
                <w:szCs w:val="22"/>
                <w:lang w:val="ro-MD"/>
              </w:rPr>
            </w:pPr>
            <w:r w:rsidRPr="00C1248A">
              <w:rPr>
                <w:b/>
                <w:i/>
                <w:color w:val="auto"/>
                <w:sz w:val="22"/>
                <w:szCs w:val="22"/>
                <w:lang w:val="ro-MD"/>
              </w:rPr>
              <w:t xml:space="preserve">Excluderea “marjei de contingenţă” propusă de către la Grupul de lucru al Comisiei de stat pentru reglementarea activităţii de întreprinzător – </w:t>
            </w:r>
            <w:r w:rsidRPr="00C1248A">
              <w:rPr>
                <w:b/>
                <w:color w:val="auto"/>
                <w:sz w:val="22"/>
                <w:szCs w:val="22"/>
                <w:u w:val="single"/>
                <w:lang w:val="ro-MD"/>
              </w:rPr>
              <w:t>nu se acceptă</w:t>
            </w:r>
          </w:p>
          <w:p w14:paraId="209DF408" w14:textId="4D6834A8" w:rsidR="009D3642" w:rsidRPr="00C1248A" w:rsidRDefault="009D3642" w:rsidP="00100996">
            <w:pPr>
              <w:pStyle w:val="Default"/>
              <w:jc w:val="both"/>
              <w:rPr>
                <w:color w:val="auto"/>
                <w:sz w:val="22"/>
                <w:szCs w:val="22"/>
                <w:lang w:val="ro-MD"/>
              </w:rPr>
            </w:pPr>
            <w:r w:rsidRPr="00C1248A">
              <w:rPr>
                <w:color w:val="auto"/>
                <w:sz w:val="22"/>
                <w:szCs w:val="22"/>
                <w:lang w:val="ro-MD"/>
              </w:rPr>
              <w:t xml:space="preserve">    Ţinînd cont de prevederile mai multor acte normative în vigoare prin care Instituţia abilitată cu funcţii de implementare a politicii statului în domeniul cadastrului bunurilor imobile cu structurile sale teritoriale (deci IP CBI) este obligată se presteze anumite serviciile cu înlesniri sau cu titlu gratuit, fără identificarea surselor financiare de acoperire a cheltuielilor suportate de Instituție,            includerea “marjei de contingenţă” în tariful serviciilor achitate de beneficiari este îndreptată pentru acoperirea cheltuielilor operaționale ale IP CBI, şi nicidecum nu poate fi consideră ca profit pentru colectarea fondurilor.  </w:t>
            </w:r>
          </w:p>
          <w:p w14:paraId="66A7AD99" w14:textId="073282B6" w:rsidR="009D3642" w:rsidRPr="00C1248A" w:rsidRDefault="009D3642" w:rsidP="00100996">
            <w:pPr>
              <w:pStyle w:val="Default"/>
              <w:jc w:val="both"/>
              <w:rPr>
                <w:color w:val="auto"/>
                <w:sz w:val="22"/>
                <w:szCs w:val="22"/>
                <w:lang w:val="ro-MD"/>
              </w:rPr>
            </w:pPr>
            <w:r w:rsidRPr="00C1248A">
              <w:rPr>
                <w:color w:val="auto"/>
                <w:sz w:val="22"/>
                <w:szCs w:val="22"/>
                <w:lang w:val="ro-MD"/>
              </w:rPr>
              <w:t xml:space="preserve">     Iar în cazul deciziei de a o exclude din structura tarifului, nu va fi necesară revizuirea tarifelor în vederea diminuării acestora, deoarece tarife propuse spre aprobare acoperă parțial cheltuielile IP CBI, calculate pentru prestarea serviciilor, conform fişelor tehnologice.</w:t>
            </w:r>
          </w:p>
          <w:p w14:paraId="49BBA67D" w14:textId="1FE240F3" w:rsidR="009D3642" w:rsidRPr="00C1248A" w:rsidRDefault="009D3642" w:rsidP="00100996">
            <w:pPr>
              <w:pStyle w:val="Default"/>
              <w:numPr>
                <w:ilvl w:val="0"/>
                <w:numId w:val="19"/>
              </w:numPr>
              <w:ind w:left="39"/>
              <w:jc w:val="both"/>
              <w:rPr>
                <w:b/>
                <w:i/>
                <w:color w:val="auto"/>
                <w:sz w:val="22"/>
                <w:szCs w:val="22"/>
                <w:lang w:val="ro-MD"/>
              </w:rPr>
            </w:pPr>
            <w:r w:rsidRPr="00C1248A">
              <w:rPr>
                <w:b/>
                <w:i/>
                <w:color w:val="auto"/>
                <w:sz w:val="22"/>
                <w:szCs w:val="22"/>
                <w:lang w:val="ro-MD"/>
              </w:rPr>
              <w:t>Neacceptarea sintagmelor “alte cheltuieli operaţionale” şi “alte plăţi”-</w:t>
            </w:r>
            <w:r w:rsidRPr="00C1248A">
              <w:rPr>
                <w:b/>
                <w:color w:val="auto"/>
                <w:sz w:val="22"/>
                <w:szCs w:val="22"/>
                <w:u w:val="single"/>
                <w:lang w:val="ro-MD"/>
              </w:rPr>
              <w:t xml:space="preserve">  nu se acceptă</w:t>
            </w:r>
          </w:p>
          <w:p w14:paraId="3EEEF66E" w14:textId="24F0D10E" w:rsidR="009D3642" w:rsidRPr="00C1248A" w:rsidRDefault="009D3642" w:rsidP="00100996">
            <w:pPr>
              <w:pStyle w:val="Default"/>
              <w:jc w:val="both"/>
              <w:rPr>
                <w:color w:val="auto"/>
                <w:sz w:val="22"/>
                <w:szCs w:val="22"/>
                <w:lang w:val="ro-MD"/>
              </w:rPr>
            </w:pPr>
            <w:r w:rsidRPr="00C1248A">
              <w:rPr>
                <w:color w:val="auto"/>
                <w:sz w:val="22"/>
                <w:szCs w:val="22"/>
                <w:lang w:val="ro-MD"/>
              </w:rPr>
              <w:t xml:space="preserve">     Sintagma “Alte cheltuieli operaţionale” este stipulată în Standardul “Cheltuieli” al Standardelor Naţionale de Contabilitate, aprobate prin ordinul Ministerului Finanţelor nr.118/2013. </w:t>
            </w:r>
          </w:p>
          <w:p w14:paraId="7070BED0" w14:textId="682B6C64" w:rsidR="009D3642" w:rsidRPr="00C1248A" w:rsidRDefault="009D3642" w:rsidP="00100996">
            <w:pPr>
              <w:pStyle w:val="Default"/>
              <w:jc w:val="both"/>
              <w:rPr>
                <w:color w:val="auto"/>
                <w:sz w:val="22"/>
                <w:szCs w:val="22"/>
                <w:lang w:val="ro-MD"/>
              </w:rPr>
            </w:pPr>
            <w:r w:rsidRPr="00C1248A">
              <w:rPr>
                <w:color w:val="auto"/>
                <w:sz w:val="22"/>
                <w:szCs w:val="22"/>
                <w:lang w:val="ro-MD"/>
              </w:rPr>
              <w:t xml:space="preserve">     Standardul stipulează că “Cheltuielile activităţii operaţionale – cheltuielile determinate de procesul desfăşurării activităţii operaţionale a entităţii şi sunt generate de </w:t>
            </w:r>
            <w:r w:rsidRPr="00C1248A">
              <w:rPr>
                <w:color w:val="auto"/>
                <w:sz w:val="22"/>
                <w:szCs w:val="22"/>
                <w:lang w:val="ro-MD"/>
              </w:rPr>
              <w:lastRenderedPageBreak/>
              <w:t xml:space="preserve">fabricarea şi comercializarea produselor, prestarea serviciilor, executarea lucrărilor, achiziţionarea şi comercializarea mărfurilor, executarea contractelor de construcţie, transmiterea în folosinţă temporară a activelor proprii în baza contractelor de leasing, etc.” </w:t>
            </w:r>
          </w:p>
          <w:p w14:paraId="30551E23" w14:textId="5121CFFF" w:rsidR="009D3642" w:rsidRPr="00C1248A" w:rsidRDefault="009D3642" w:rsidP="00100996">
            <w:pPr>
              <w:pStyle w:val="Default"/>
              <w:jc w:val="both"/>
              <w:rPr>
                <w:color w:val="auto"/>
                <w:sz w:val="22"/>
                <w:szCs w:val="22"/>
                <w:lang w:val="ro-MD"/>
              </w:rPr>
            </w:pPr>
            <w:r w:rsidRPr="00C1248A">
              <w:rPr>
                <w:color w:val="auto"/>
                <w:sz w:val="22"/>
                <w:szCs w:val="22"/>
                <w:lang w:val="ro-MD"/>
              </w:rPr>
              <w:t xml:space="preserve">    Conform prevederilor standardului menţionat, cheltuielile activităţii operaţionale includ:</w:t>
            </w:r>
          </w:p>
          <w:p w14:paraId="4C71DFD5" w14:textId="77777777" w:rsidR="009D3642" w:rsidRPr="00C1248A" w:rsidRDefault="009D3642" w:rsidP="00100996">
            <w:pPr>
              <w:pStyle w:val="Default"/>
              <w:numPr>
                <w:ilvl w:val="0"/>
                <w:numId w:val="18"/>
              </w:numPr>
              <w:ind w:left="322" w:hanging="283"/>
              <w:jc w:val="both"/>
              <w:rPr>
                <w:color w:val="auto"/>
                <w:sz w:val="22"/>
                <w:szCs w:val="22"/>
                <w:lang w:val="ro-MD"/>
              </w:rPr>
            </w:pPr>
            <w:r w:rsidRPr="00C1248A">
              <w:rPr>
                <w:color w:val="auto"/>
                <w:sz w:val="22"/>
                <w:szCs w:val="22"/>
                <w:lang w:val="ro-MD"/>
              </w:rPr>
              <w:t>Costul vînzărilor;</w:t>
            </w:r>
          </w:p>
          <w:p w14:paraId="47A4D448" w14:textId="77777777" w:rsidR="009D3642" w:rsidRPr="00C1248A" w:rsidRDefault="009D3642" w:rsidP="00100996">
            <w:pPr>
              <w:pStyle w:val="Default"/>
              <w:numPr>
                <w:ilvl w:val="0"/>
                <w:numId w:val="18"/>
              </w:numPr>
              <w:ind w:left="322" w:hanging="283"/>
              <w:jc w:val="both"/>
              <w:rPr>
                <w:color w:val="auto"/>
                <w:sz w:val="22"/>
                <w:szCs w:val="22"/>
                <w:lang w:val="ro-MD"/>
              </w:rPr>
            </w:pPr>
            <w:r w:rsidRPr="00C1248A">
              <w:rPr>
                <w:color w:val="auto"/>
                <w:sz w:val="22"/>
                <w:szCs w:val="22"/>
                <w:lang w:val="ro-MD"/>
              </w:rPr>
              <w:t>Cheltuielile de distribuire;</w:t>
            </w:r>
          </w:p>
          <w:p w14:paraId="1970A932" w14:textId="77777777" w:rsidR="009D3642" w:rsidRPr="00C1248A" w:rsidRDefault="009D3642" w:rsidP="00100996">
            <w:pPr>
              <w:pStyle w:val="Default"/>
              <w:numPr>
                <w:ilvl w:val="0"/>
                <w:numId w:val="18"/>
              </w:numPr>
              <w:ind w:left="322" w:hanging="283"/>
              <w:jc w:val="both"/>
              <w:rPr>
                <w:color w:val="auto"/>
                <w:sz w:val="22"/>
                <w:szCs w:val="22"/>
                <w:lang w:val="ro-MD"/>
              </w:rPr>
            </w:pPr>
            <w:r w:rsidRPr="00C1248A">
              <w:rPr>
                <w:color w:val="auto"/>
                <w:sz w:val="22"/>
                <w:szCs w:val="22"/>
                <w:lang w:val="ro-MD"/>
              </w:rPr>
              <w:t>Cheltuielile administrative;</w:t>
            </w:r>
          </w:p>
          <w:p w14:paraId="1217B13E" w14:textId="77777777" w:rsidR="009D3642" w:rsidRPr="00C1248A" w:rsidRDefault="009D3642" w:rsidP="00100996">
            <w:pPr>
              <w:pStyle w:val="Default"/>
              <w:numPr>
                <w:ilvl w:val="0"/>
                <w:numId w:val="18"/>
              </w:numPr>
              <w:ind w:left="322" w:hanging="283"/>
              <w:jc w:val="both"/>
              <w:rPr>
                <w:color w:val="auto"/>
                <w:sz w:val="22"/>
                <w:szCs w:val="22"/>
                <w:lang w:val="ro-MD"/>
              </w:rPr>
            </w:pPr>
            <w:r w:rsidRPr="00C1248A">
              <w:rPr>
                <w:color w:val="auto"/>
                <w:sz w:val="22"/>
                <w:szCs w:val="22"/>
                <w:lang w:val="ro-MD"/>
              </w:rPr>
              <w:t>Alte cheltuieli din activitatea operaţională.</w:t>
            </w:r>
          </w:p>
          <w:p w14:paraId="7891BED2" w14:textId="77777777" w:rsidR="009D3642" w:rsidRPr="00C1248A" w:rsidRDefault="009D3642" w:rsidP="00100996">
            <w:pPr>
              <w:pStyle w:val="Default"/>
              <w:jc w:val="both"/>
              <w:rPr>
                <w:color w:val="auto"/>
                <w:sz w:val="22"/>
                <w:szCs w:val="22"/>
                <w:lang w:val="ro-MD"/>
              </w:rPr>
            </w:pPr>
            <w:r w:rsidRPr="00C1248A">
              <w:rPr>
                <w:color w:val="auto"/>
                <w:sz w:val="22"/>
                <w:szCs w:val="22"/>
                <w:lang w:val="ro-MD"/>
              </w:rPr>
              <w:t xml:space="preserve">Conform componenţei cheltuielilor grupate după natură (elemente) (anexa nr.1 la SNC “Cheltuieli”), cheltuielile de personal sunt generate din următoarele tipuri de cheltuieli, şi anume: </w:t>
            </w:r>
          </w:p>
          <w:p w14:paraId="0A5284CA" w14:textId="77777777" w:rsidR="009D3642" w:rsidRPr="00C1248A" w:rsidRDefault="009D3642" w:rsidP="00100996">
            <w:pPr>
              <w:tabs>
                <w:tab w:val="left" w:pos="993"/>
              </w:tabs>
              <w:jc w:val="both"/>
              <w:rPr>
                <w:rFonts w:ascii="Times New Roman" w:hAnsi="Times New Roman" w:cs="Times New Roman"/>
                <w:lang w:val="ro-MD"/>
              </w:rPr>
            </w:pPr>
            <w:r w:rsidRPr="00C1248A">
              <w:rPr>
                <w:rFonts w:ascii="Times New Roman" w:hAnsi="Times New Roman" w:cs="Times New Roman"/>
                <w:lang w:val="ro-MD"/>
              </w:rPr>
              <w:t xml:space="preserve">Sumele retribuţiilor pentru munca efectiv prestată, calculate conform formei de retribuire în acord şi/sau în regie (pe unitate de timp), premiilor şi sporurilor la salarii, ajutoarelor materiale, compensaţiilor şi adaosurilor la salarii (în funcţie de regimul şi condiţiile de muncă), indemnizaţiilor pentru concediile de odihnă anuale şi suplimentare plătite, </w:t>
            </w:r>
            <w:r w:rsidRPr="00C1248A">
              <w:rPr>
                <w:rFonts w:ascii="Times New Roman" w:hAnsi="Times New Roman" w:cs="Times New Roman"/>
                <w:i/>
                <w:lang w:val="ro-MD"/>
              </w:rPr>
              <w:t>altor plăţi calculate tuturor categoriilor de personal care activează în cadrul entităţii</w:t>
            </w:r>
            <w:r w:rsidRPr="00C1248A">
              <w:rPr>
                <w:rFonts w:ascii="Times New Roman" w:hAnsi="Times New Roman" w:cs="Times New Roman"/>
                <w:lang w:val="ro-MD"/>
              </w:rPr>
              <w:t>, sumele contribuţiilor de asigurări sociale de stat obligatorii şi primelor de asigurare obligatorie de asistenţă medicală calculate din sumele retribuţiilor aferente tuturor categoriilor de personal al entităţii; Suma cheltuielilor aferente constituirii provizionului pentru plata indemnizaţiilor pentru concediile de odihnă anuale etc.</w:t>
            </w:r>
          </w:p>
          <w:p w14:paraId="5D1C827D" w14:textId="77777777" w:rsidR="009D3642" w:rsidRPr="00C1248A" w:rsidRDefault="009D3642" w:rsidP="00100996">
            <w:pPr>
              <w:pStyle w:val="a6"/>
              <w:numPr>
                <w:ilvl w:val="0"/>
                <w:numId w:val="19"/>
              </w:numPr>
              <w:ind w:left="0" w:firstLine="0"/>
              <w:jc w:val="both"/>
              <w:rPr>
                <w:b/>
                <w:i/>
                <w:sz w:val="22"/>
                <w:szCs w:val="22"/>
                <w:lang w:val="ro-MD"/>
              </w:rPr>
            </w:pPr>
            <w:r w:rsidRPr="00C1248A">
              <w:rPr>
                <w:b/>
                <w:i/>
                <w:sz w:val="22"/>
                <w:szCs w:val="22"/>
                <w:lang w:val="ro-MD"/>
              </w:rPr>
              <w:t xml:space="preserve">Acordarea înlesnirilor UAT pentru recepţia lucrărilor cadastrale şi înregistrarea primară (selectivă sau masivă)- </w:t>
            </w:r>
            <w:r w:rsidRPr="00C1248A">
              <w:rPr>
                <w:b/>
                <w:sz w:val="22"/>
                <w:szCs w:val="22"/>
                <w:u w:val="single"/>
                <w:lang w:val="ro-MD"/>
              </w:rPr>
              <w:t>nu se acceptă</w:t>
            </w:r>
          </w:p>
          <w:p w14:paraId="4D6540C3" w14:textId="6BE21662" w:rsidR="009D3642" w:rsidRPr="00C1248A" w:rsidRDefault="009D3642" w:rsidP="00100996">
            <w:pPr>
              <w:pStyle w:val="a6"/>
              <w:ind w:left="0" w:firstLine="405"/>
              <w:jc w:val="both"/>
              <w:rPr>
                <w:sz w:val="22"/>
                <w:szCs w:val="22"/>
                <w:lang w:val="ro-MD"/>
              </w:rPr>
            </w:pPr>
            <w:r w:rsidRPr="00C1248A">
              <w:rPr>
                <w:sz w:val="22"/>
                <w:szCs w:val="22"/>
              </w:rPr>
              <w:t>În conformitate cu Legea</w:t>
            </w:r>
            <w:r w:rsidRPr="00C1248A">
              <w:rPr>
                <w:sz w:val="22"/>
                <w:szCs w:val="22"/>
                <w:lang w:val="ro-MD"/>
              </w:rPr>
              <w:t xml:space="preserve"> nr.</w:t>
            </w:r>
            <w:r w:rsidR="003E0606" w:rsidRPr="00C1248A">
              <w:rPr>
                <w:sz w:val="22"/>
                <w:szCs w:val="22"/>
                <w:lang w:val="ro-MD"/>
              </w:rPr>
              <w:t xml:space="preserve"> </w:t>
            </w:r>
            <w:r w:rsidRPr="00C1248A">
              <w:rPr>
                <w:sz w:val="22"/>
                <w:szCs w:val="22"/>
                <w:lang w:val="ro-MD"/>
              </w:rPr>
              <w:t xml:space="preserve">1543/1998, art. 13, alineatul (2), IP CBI cu structurile sale teritoriale activează pe principiul autofinanţării din veniturile pe care le obţin din prestări de servicii. Actualmente, reieșind din cadrul </w:t>
            </w:r>
            <w:r w:rsidRPr="00C1248A">
              <w:rPr>
                <w:sz w:val="22"/>
                <w:szCs w:val="22"/>
                <w:lang w:val="ro-MD"/>
              </w:rPr>
              <w:lastRenderedPageBreak/>
              <w:t>normativ, IP CBI deja prestează circa 33% din volumul total de servicii cu facilități, fapt ce pune în pericol sustenabilitatea financiară a instituției.</w:t>
            </w:r>
          </w:p>
          <w:p w14:paraId="7F53126D" w14:textId="77777777" w:rsidR="009D3642" w:rsidRPr="00C1248A" w:rsidRDefault="009D3642" w:rsidP="00100996">
            <w:pPr>
              <w:pStyle w:val="a6"/>
              <w:ind w:left="0" w:firstLine="405"/>
              <w:jc w:val="both"/>
              <w:rPr>
                <w:sz w:val="22"/>
                <w:szCs w:val="22"/>
                <w:lang w:val="ro-MD"/>
              </w:rPr>
            </w:pPr>
            <w:r w:rsidRPr="00C1248A">
              <w:rPr>
                <w:sz w:val="22"/>
                <w:szCs w:val="22"/>
                <w:lang w:val="ro-MD"/>
              </w:rPr>
              <w:t>Totodată, este de menționat că Autoritățile publice locale beneficiază de servicii gratuite, și anume:</w:t>
            </w:r>
          </w:p>
          <w:p w14:paraId="30F6ED70" w14:textId="77777777" w:rsidR="009D3642" w:rsidRPr="00C1248A" w:rsidRDefault="009D3642" w:rsidP="00100996">
            <w:pPr>
              <w:pStyle w:val="a6"/>
              <w:numPr>
                <w:ilvl w:val="0"/>
                <w:numId w:val="20"/>
              </w:numPr>
              <w:ind w:left="0" w:firstLine="360"/>
              <w:jc w:val="both"/>
              <w:rPr>
                <w:sz w:val="22"/>
                <w:szCs w:val="22"/>
                <w:lang w:val="ro-MD"/>
              </w:rPr>
            </w:pPr>
            <w:r w:rsidRPr="00C1248A">
              <w:rPr>
                <w:sz w:val="22"/>
                <w:szCs w:val="22"/>
                <w:lang w:val="ro-MD"/>
              </w:rPr>
              <w:t xml:space="preserve">acces la banca centrală de date a cadastrului bunurilor imobile (art. 8 alin. (3) al Legii cadastrului bunurilor imobile nr. 1543/1998); </w:t>
            </w:r>
          </w:p>
          <w:p w14:paraId="715B21F0" w14:textId="4B31E595" w:rsidR="00BD55FB" w:rsidRPr="00C1248A" w:rsidRDefault="003E0606" w:rsidP="00100996">
            <w:pPr>
              <w:pStyle w:val="a6"/>
              <w:numPr>
                <w:ilvl w:val="0"/>
                <w:numId w:val="20"/>
              </w:numPr>
              <w:ind w:left="0" w:firstLine="360"/>
              <w:jc w:val="both"/>
              <w:rPr>
                <w:lang w:val="en-US"/>
              </w:rPr>
            </w:pPr>
            <w:r w:rsidRPr="00C1248A">
              <w:rPr>
                <w:sz w:val="22"/>
                <w:szCs w:val="22"/>
                <w:lang w:val="ro-MD"/>
              </w:rPr>
              <w:t xml:space="preserve">furnizarea de </w:t>
            </w:r>
            <w:r w:rsidR="009D3642" w:rsidRPr="00C1248A">
              <w:rPr>
                <w:sz w:val="22"/>
                <w:szCs w:val="22"/>
                <w:lang w:val="ro-MD"/>
              </w:rPr>
              <w:t>date din planul cadastral al localității şi informații sistematizate referitoare la terenurile şi dreptul de proprietate asupra lor, înregistrate în hotarul unității administrativ-teritoriale respective, în format electronic, o dată în trimestru, la solicitarea acestora, pentru evidența tranzacțiilor și gestionarea bunurilor imobile înregistrate în profilul administrativ al UAT (art. 8 al. (3</w:t>
            </w:r>
            <w:r w:rsidR="009D3642" w:rsidRPr="00C1248A">
              <w:rPr>
                <w:sz w:val="22"/>
                <w:szCs w:val="22"/>
                <w:vertAlign w:val="superscript"/>
                <w:lang w:val="ro-MD"/>
              </w:rPr>
              <w:t>1</w:t>
            </w:r>
            <w:r w:rsidR="009D3642" w:rsidRPr="00C1248A">
              <w:rPr>
                <w:sz w:val="22"/>
                <w:szCs w:val="22"/>
                <w:lang w:val="ro-MD"/>
              </w:rPr>
              <w:t xml:space="preserve">) al Legii nr. 1543/1998). </w:t>
            </w:r>
          </w:p>
        </w:tc>
      </w:tr>
      <w:tr w:rsidR="00C1248A" w:rsidRPr="00C1248A" w14:paraId="738B2934" w14:textId="77777777" w:rsidTr="00835F71">
        <w:trPr>
          <w:gridAfter w:val="1"/>
          <w:wAfter w:w="9" w:type="dxa"/>
          <w:trHeight w:val="150"/>
        </w:trPr>
        <w:tc>
          <w:tcPr>
            <w:tcW w:w="1985" w:type="dxa"/>
            <w:vMerge w:val="restart"/>
          </w:tcPr>
          <w:p w14:paraId="0871E8DC" w14:textId="57A5DDD0" w:rsidR="00E11E7D" w:rsidRPr="00C1248A" w:rsidRDefault="00E11E7D" w:rsidP="00100996">
            <w:pPr>
              <w:jc w:val="center"/>
              <w:rPr>
                <w:rFonts w:ascii="Times New Roman" w:hAnsi="Times New Roman" w:cs="Times New Roman"/>
                <w:b/>
                <w:bCs/>
                <w:lang w:val="ro-RO"/>
              </w:rPr>
            </w:pPr>
            <w:r w:rsidRPr="00C1248A">
              <w:rPr>
                <w:rFonts w:ascii="Times New Roman" w:hAnsi="Times New Roman" w:cs="Times New Roman"/>
                <w:b/>
                <w:bCs/>
                <w:lang w:val="ro-RO"/>
              </w:rPr>
              <w:lastRenderedPageBreak/>
              <w:t>Agenția</w:t>
            </w:r>
          </w:p>
          <w:p w14:paraId="645E6007" w14:textId="71A8278E" w:rsidR="00E11E7D" w:rsidRPr="00C1248A" w:rsidRDefault="00E11E7D" w:rsidP="00100996">
            <w:pPr>
              <w:jc w:val="center"/>
              <w:rPr>
                <w:rFonts w:ascii="Times New Roman" w:hAnsi="Times New Roman" w:cs="Times New Roman"/>
                <w:b/>
                <w:bCs/>
                <w:lang w:val="ro-RO"/>
              </w:rPr>
            </w:pPr>
            <w:r w:rsidRPr="00C1248A">
              <w:rPr>
                <w:rFonts w:ascii="Times New Roman" w:hAnsi="Times New Roman" w:cs="Times New Roman"/>
                <w:b/>
                <w:bCs/>
                <w:lang w:val="ro-RO"/>
              </w:rPr>
              <w:t>Servicii Publice</w:t>
            </w:r>
          </w:p>
          <w:p w14:paraId="1F76F44E" w14:textId="2916D75D" w:rsidR="00E11E7D" w:rsidRPr="00C1248A" w:rsidRDefault="00E11E7D" w:rsidP="00100996">
            <w:pPr>
              <w:jc w:val="center"/>
              <w:rPr>
                <w:rFonts w:ascii="Times New Roman" w:hAnsi="Times New Roman" w:cs="Times New Roman"/>
                <w:b/>
                <w:bCs/>
                <w:lang w:val="ro-RO"/>
              </w:rPr>
            </w:pPr>
            <w:r w:rsidRPr="00C1248A">
              <w:rPr>
                <w:rFonts w:ascii="Times New Roman" w:hAnsi="Times New Roman" w:cs="Times New Roman"/>
                <w:i/>
                <w:iCs/>
                <w:sz w:val="16"/>
                <w:szCs w:val="16"/>
                <w:lang w:val="ro-MD"/>
              </w:rPr>
              <w:t>n</w:t>
            </w:r>
            <w:r w:rsidRPr="00C1248A">
              <w:rPr>
                <w:rFonts w:ascii="Times New Roman" w:hAnsi="Times New Roman" w:cs="Times New Roman"/>
                <w:i/>
                <w:iCs/>
                <w:sz w:val="16"/>
                <w:szCs w:val="16"/>
                <w:lang w:val="en-US"/>
              </w:rPr>
              <w:t>r. 01/285 din 10.01.2025</w:t>
            </w:r>
          </w:p>
        </w:tc>
        <w:tc>
          <w:tcPr>
            <w:tcW w:w="567" w:type="dxa"/>
          </w:tcPr>
          <w:p w14:paraId="31871BF8" w14:textId="7BAA7F43" w:rsidR="00E11E7D" w:rsidRPr="00C1248A" w:rsidRDefault="00E11E7D" w:rsidP="00100996">
            <w:pPr>
              <w:jc w:val="center"/>
              <w:rPr>
                <w:rFonts w:ascii="Times New Roman" w:hAnsi="Times New Roman" w:cs="Times New Roman"/>
                <w:b/>
                <w:bCs/>
                <w:lang w:val="ro-RO"/>
              </w:rPr>
            </w:pPr>
            <w:r w:rsidRPr="00C1248A">
              <w:rPr>
                <w:rFonts w:ascii="Times New Roman" w:hAnsi="Times New Roman" w:cs="Times New Roman"/>
                <w:b/>
                <w:bCs/>
                <w:lang w:val="ro-RO"/>
              </w:rPr>
              <w:t>1</w:t>
            </w:r>
          </w:p>
        </w:tc>
        <w:tc>
          <w:tcPr>
            <w:tcW w:w="7938" w:type="dxa"/>
          </w:tcPr>
          <w:p w14:paraId="2748C573" w14:textId="5AB48E6E" w:rsidR="00E11E7D" w:rsidRPr="00C1248A" w:rsidRDefault="00E11E7D" w:rsidP="00100996">
            <w:pPr>
              <w:tabs>
                <w:tab w:val="right" w:pos="8647"/>
              </w:tabs>
              <w:jc w:val="both"/>
              <w:rPr>
                <w:rFonts w:ascii="Times New Roman" w:hAnsi="Times New Roman" w:cs="Times New Roman"/>
                <w:lang w:val="en-US"/>
              </w:rPr>
            </w:pPr>
            <w:r w:rsidRPr="00C1248A">
              <w:rPr>
                <w:rFonts w:ascii="Times New Roman" w:hAnsi="Times New Roman" w:cs="Times New Roman"/>
                <w:lang w:val="ro-RO"/>
              </w:rPr>
              <w:t>Comunică lipsa de obiecții și propuneri</w:t>
            </w:r>
          </w:p>
        </w:tc>
        <w:tc>
          <w:tcPr>
            <w:tcW w:w="4428" w:type="dxa"/>
          </w:tcPr>
          <w:p w14:paraId="2DCB83C7" w14:textId="5BC90799" w:rsidR="00E11E7D" w:rsidRPr="00C1248A" w:rsidRDefault="00E11E7D" w:rsidP="00100996">
            <w:pPr>
              <w:rPr>
                <w:rFonts w:ascii="Times New Roman" w:hAnsi="Times New Roman" w:cs="Times New Roman"/>
                <w:lang w:val="en-US"/>
              </w:rPr>
            </w:pPr>
            <w:r w:rsidRPr="00C1248A">
              <w:rPr>
                <w:rFonts w:ascii="Times New Roman" w:hAnsi="Times New Roman" w:cs="Times New Roman"/>
                <w:lang w:val="ro-RO"/>
              </w:rPr>
              <w:t>Se acceptă</w:t>
            </w:r>
          </w:p>
        </w:tc>
      </w:tr>
      <w:tr w:rsidR="00C1248A" w:rsidRPr="00C1248A" w14:paraId="2044CDA9" w14:textId="77777777" w:rsidTr="00BE4CB6">
        <w:trPr>
          <w:gridAfter w:val="1"/>
          <w:wAfter w:w="9" w:type="dxa"/>
          <w:trHeight w:val="135"/>
        </w:trPr>
        <w:tc>
          <w:tcPr>
            <w:tcW w:w="1985" w:type="dxa"/>
            <w:vMerge/>
          </w:tcPr>
          <w:p w14:paraId="39968120" w14:textId="77777777" w:rsidR="00E11E7D" w:rsidRPr="00C1248A" w:rsidRDefault="00E11E7D" w:rsidP="00100996">
            <w:pPr>
              <w:jc w:val="center"/>
              <w:rPr>
                <w:rFonts w:ascii="Times New Roman" w:hAnsi="Times New Roman" w:cs="Times New Roman"/>
                <w:b/>
                <w:bCs/>
                <w:lang w:val="ro-RO"/>
              </w:rPr>
            </w:pPr>
          </w:p>
        </w:tc>
        <w:tc>
          <w:tcPr>
            <w:tcW w:w="567" w:type="dxa"/>
            <w:shd w:val="clear" w:color="auto" w:fill="D9D9D9" w:themeFill="background1" w:themeFillShade="D9"/>
          </w:tcPr>
          <w:p w14:paraId="33C04EC5" w14:textId="77777777" w:rsidR="00E11E7D" w:rsidRPr="00C1248A" w:rsidRDefault="00E11E7D" w:rsidP="00100996">
            <w:pPr>
              <w:jc w:val="center"/>
              <w:rPr>
                <w:rFonts w:ascii="Times New Roman" w:hAnsi="Times New Roman" w:cs="Times New Roman"/>
                <w:b/>
                <w:bCs/>
                <w:lang w:val="ro-RO"/>
              </w:rPr>
            </w:pPr>
          </w:p>
          <w:p w14:paraId="5DE475CD" w14:textId="7943A93C" w:rsidR="00E11E7D" w:rsidRPr="00C1248A" w:rsidRDefault="00E11E7D" w:rsidP="00100996">
            <w:pPr>
              <w:jc w:val="center"/>
              <w:rPr>
                <w:rFonts w:ascii="Times New Roman" w:hAnsi="Times New Roman" w:cs="Times New Roman"/>
                <w:b/>
                <w:bCs/>
                <w:lang w:val="ro-RO"/>
              </w:rPr>
            </w:pPr>
            <w:r w:rsidRPr="00C1248A">
              <w:rPr>
                <w:rFonts w:ascii="Times New Roman" w:hAnsi="Times New Roman" w:cs="Times New Roman"/>
                <w:b/>
                <w:bCs/>
                <w:lang w:val="ro-RO"/>
              </w:rPr>
              <w:t>2</w:t>
            </w:r>
          </w:p>
        </w:tc>
        <w:tc>
          <w:tcPr>
            <w:tcW w:w="7938" w:type="dxa"/>
            <w:shd w:val="clear" w:color="auto" w:fill="D9D9D9" w:themeFill="background1" w:themeFillShade="D9"/>
          </w:tcPr>
          <w:p w14:paraId="208816C3" w14:textId="77777777" w:rsidR="00E11E7D" w:rsidRPr="00C1248A" w:rsidRDefault="00E11E7D" w:rsidP="00100996">
            <w:pPr>
              <w:tabs>
                <w:tab w:val="right" w:pos="8647"/>
              </w:tabs>
              <w:jc w:val="both"/>
              <w:rPr>
                <w:rFonts w:ascii="Times New Roman" w:hAnsi="Times New Roman" w:cs="Times New Roman"/>
                <w:b/>
                <w:bCs/>
                <w:lang w:val="en-US"/>
              </w:rPr>
            </w:pPr>
          </w:p>
        </w:tc>
        <w:tc>
          <w:tcPr>
            <w:tcW w:w="4428" w:type="dxa"/>
            <w:shd w:val="clear" w:color="auto" w:fill="D9D9D9" w:themeFill="background1" w:themeFillShade="D9"/>
          </w:tcPr>
          <w:p w14:paraId="1FDDEFCA" w14:textId="77777777" w:rsidR="00E11E7D" w:rsidRPr="00C1248A" w:rsidRDefault="00E11E7D" w:rsidP="00100996">
            <w:pPr>
              <w:rPr>
                <w:rFonts w:ascii="Times New Roman" w:hAnsi="Times New Roman" w:cs="Times New Roman"/>
                <w:lang w:val="en-US"/>
              </w:rPr>
            </w:pPr>
          </w:p>
        </w:tc>
      </w:tr>
      <w:tr w:rsidR="00C1248A" w:rsidRPr="00C1248A" w14:paraId="741D3755" w14:textId="77777777" w:rsidTr="00835F71">
        <w:trPr>
          <w:gridAfter w:val="1"/>
          <w:wAfter w:w="9" w:type="dxa"/>
          <w:trHeight w:val="704"/>
        </w:trPr>
        <w:tc>
          <w:tcPr>
            <w:tcW w:w="1985" w:type="dxa"/>
            <w:vMerge w:val="restart"/>
          </w:tcPr>
          <w:p w14:paraId="41DC52E4" w14:textId="77777777" w:rsidR="00E11E7D" w:rsidRPr="00C1248A" w:rsidRDefault="00E11E7D" w:rsidP="00100996">
            <w:pPr>
              <w:jc w:val="center"/>
              <w:rPr>
                <w:rFonts w:ascii="Times New Roman" w:hAnsi="Times New Roman" w:cs="Times New Roman"/>
                <w:b/>
                <w:bCs/>
                <w:lang w:val="ro-RO"/>
              </w:rPr>
            </w:pPr>
          </w:p>
          <w:p w14:paraId="548D4C0F" w14:textId="7FD24CE1" w:rsidR="00E11E7D" w:rsidRPr="00C1248A" w:rsidRDefault="00E11E7D" w:rsidP="00100996">
            <w:pPr>
              <w:jc w:val="center"/>
              <w:rPr>
                <w:rFonts w:ascii="Times New Roman" w:hAnsi="Times New Roman" w:cs="Times New Roman"/>
                <w:b/>
                <w:bCs/>
                <w:lang w:val="ro-RO"/>
              </w:rPr>
            </w:pPr>
            <w:r w:rsidRPr="00C1248A">
              <w:rPr>
                <w:rFonts w:ascii="Times New Roman" w:hAnsi="Times New Roman" w:cs="Times New Roman"/>
                <w:b/>
                <w:bCs/>
                <w:lang w:val="ro-RO"/>
              </w:rPr>
              <w:t>Congresul Autorităților Locale din Moldova</w:t>
            </w:r>
          </w:p>
          <w:p w14:paraId="7A3AFD31" w14:textId="77777777" w:rsidR="00E11E7D" w:rsidRPr="00C1248A" w:rsidRDefault="00E11E7D" w:rsidP="00100996">
            <w:pPr>
              <w:jc w:val="center"/>
              <w:rPr>
                <w:rFonts w:ascii="Times New Roman" w:hAnsi="Times New Roman" w:cs="Times New Roman"/>
                <w:i/>
                <w:iCs/>
                <w:sz w:val="16"/>
                <w:szCs w:val="16"/>
                <w:lang w:val="ro-RO"/>
              </w:rPr>
            </w:pPr>
            <w:r w:rsidRPr="00C1248A">
              <w:rPr>
                <w:rFonts w:ascii="Times New Roman" w:hAnsi="Times New Roman" w:cs="Times New Roman"/>
                <w:i/>
                <w:iCs/>
                <w:sz w:val="16"/>
                <w:szCs w:val="16"/>
                <w:lang w:val="ro-RO"/>
              </w:rPr>
              <w:t xml:space="preserve">nr.  442 </w:t>
            </w:r>
          </w:p>
          <w:p w14:paraId="4BABC180" w14:textId="44102774" w:rsidR="00E11E7D" w:rsidRPr="00C1248A" w:rsidRDefault="00E11E7D" w:rsidP="00100996">
            <w:pPr>
              <w:jc w:val="center"/>
              <w:rPr>
                <w:rFonts w:ascii="Times New Roman" w:hAnsi="Times New Roman" w:cs="Times New Roman"/>
                <w:b/>
                <w:bCs/>
                <w:lang w:val="ro-RO"/>
              </w:rPr>
            </w:pPr>
            <w:r w:rsidRPr="00C1248A">
              <w:rPr>
                <w:rFonts w:ascii="Times New Roman" w:hAnsi="Times New Roman" w:cs="Times New Roman"/>
                <w:i/>
                <w:iCs/>
                <w:sz w:val="16"/>
                <w:szCs w:val="16"/>
                <w:lang w:val="ro-RO"/>
              </w:rPr>
              <w:t>din 30.12.2024</w:t>
            </w:r>
          </w:p>
        </w:tc>
        <w:tc>
          <w:tcPr>
            <w:tcW w:w="567" w:type="dxa"/>
          </w:tcPr>
          <w:p w14:paraId="0FB87945" w14:textId="77777777" w:rsidR="00E11E7D" w:rsidRPr="00C1248A" w:rsidRDefault="00E11E7D" w:rsidP="00100996">
            <w:pPr>
              <w:jc w:val="center"/>
              <w:rPr>
                <w:rFonts w:ascii="Times New Roman" w:hAnsi="Times New Roman" w:cs="Times New Roman"/>
                <w:b/>
                <w:bCs/>
                <w:lang w:val="ro-RO"/>
              </w:rPr>
            </w:pPr>
          </w:p>
          <w:p w14:paraId="172B347A" w14:textId="739AABA9" w:rsidR="00E11E7D" w:rsidRPr="00C1248A" w:rsidRDefault="00E11E7D" w:rsidP="00100996">
            <w:pPr>
              <w:jc w:val="center"/>
              <w:rPr>
                <w:rFonts w:ascii="Times New Roman" w:hAnsi="Times New Roman" w:cs="Times New Roman"/>
                <w:b/>
                <w:bCs/>
                <w:lang w:val="ro-RO"/>
              </w:rPr>
            </w:pPr>
            <w:r w:rsidRPr="00C1248A">
              <w:rPr>
                <w:rFonts w:ascii="Times New Roman" w:hAnsi="Times New Roman" w:cs="Times New Roman"/>
                <w:b/>
                <w:bCs/>
                <w:lang w:val="ro-RO"/>
              </w:rPr>
              <w:t>1</w:t>
            </w:r>
          </w:p>
        </w:tc>
        <w:tc>
          <w:tcPr>
            <w:tcW w:w="7938" w:type="dxa"/>
          </w:tcPr>
          <w:p w14:paraId="1B07D6E1" w14:textId="2C58862F" w:rsidR="00E11E7D" w:rsidRPr="00C1248A" w:rsidRDefault="00E11E7D" w:rsidP="00100996">
            <w:pPr>
              <w:pStyle w:val="Default"/>
              <w:ind w:firstLine="319"/>
              <w:jc w:val="both"/>
              <w:rPr>
                <w:color w:val="auto"/>
                <w:sz w:val="22"/>
                <w:szCs w:val="22"/>
                <w:lang w:val="en-US"/>
              </w:rPr>
            </w:pPr>
            <w:r w:rsidRPr="00C1248A">
              <w:rPr>
                <w:color w:val="auto"/>
                <w:sz w:val="22"/>
                <w:szCs w:val="22"/>
                <w:lang w:val="en-US"/>
              </w:rPr>
              <w:t xml:space="preserve">IP CBI </w:t>
            </w:r>
            <w:proofErr w:type="spellStart"/>
            <w:r w:rsidRPr="00C1248A">
              <w:rPr>
                <w:color w:val="auto"/>
                <w:sz w:val="22"/>
                <w:szCs w:val="22"/>
                <w:lang w:val="en-US"/>
              </w:rPr>
              <w:t>este</w:t>
            </w:r>
            <w:proofErr w:type="spellEnd"/>
            <w:r w:rsidRPr="00C1248A">
              <w:rPr>
                <w:color w:val="auto"/>
                <w:sz w:val="22"/>
                <w:szCs w:val="22"/>
                <w:lang w:val="en-US"/>
              </w:rPr>
              <w:t xml:space="preserve"> o </w:t>
            </w:r>
            <w:proofErr w:type="spellStart"/>
            <w:r w:rsidRPr="00C1248A">
              <w:rPr>
                <w:color w:val="auto"/>
                <w:sz w:val="22"/>
                <w:szCs w:val="22"/>
                <w:lang w:val="en-US"/>
              </w:rPr>
              <w:t>o</w:t>
            </w:r>
            <w:proofErr w:type="spellEnd"/>
            <w:r w:rsidRPr="00C1248A">
              <w:rPr>
                <w:color w:val="auto"/>
                <w:sz w:val="22"/>
                <w:szCs w:val="22"/>
                <w:lang w:val="en-US"/>
              </w:rPr>
              <w:t xml:space="preserve"> </w:t>
            </w:r>
            <w:proofErr w:type="spellStart"/>
            <w:r w:rsidRPr="00C1248A">
              <w:rPr>
                <w:color w:val="auto"/>
                <w:sz w:val="22"/>
                <w:szCs w:val="22"/>
                <w:lang w:val="en-US"/>
              </w:rPr>
              <w:t>instituție</w:t>
            </w:r>
            <w:proofErr w:type="spellEnd"/>
            <w:r w:rsidRPr="00C1248A">
              <w:rPr>
                <w:color w:val="auto"/>
                <w:sz w:val="22"/>
                <w:szCs w:val="22"/>
                <w:lang w:val="en-US"/>
              </w:rPr>
              <w:t xml:space="preserve"> </w:t>
            </w:r>
            <w:proofErr w:type="spellStart"/>
            <w:r w:rsidRPr="00C1248A">
              <w:rPr>
                <w:color w:val="auto"/>
                <w:sz w:val="22"/>
                <w:szCs w:val="22"/>
                <w:lang w:val="en-US"/>
              </w:rPr>
              <w:t>publică</w:t>
            </w:r>
            <w:proofErr w:type="spellEnd"/>
            <w:r w:rsidRPr="00C1248A">
              <w:rPr>
                <w:color w:val="auto"/>
                <w:sz w:val="22"/>
                <w:szCs w:val="22"/>
                <w:lang w:val="en-US"/>
              </w:rPr>
              <w:t xml:space="preserve"> </w:t>
            </w:r>
            <w:proofErr w:type="spellStart"/>
            <w:r w:rsidRPr="00C1248A">
              <w:rPr>
                <w:color w:val="auto"/>
                <w:sz w:val="22"/>
                <w:szCs w:val="22"/>
                <w:lang w:val="en-US"/>
              </w:rPr>
              <w:t>fondată</w:t>
            </w:r>
            <w:proofErr w:type="spellEnd"/>
            <w:r w:rsidRPr="00C1248A">
              <w:rPr>
                <w:color w:val="auto"/>
                <w:sz w:val="22"/>
                <w:szCs w:val="22"/>
                <w:lang w:val="en-US"/>
              </w:rPr>
              <w:t xml:space="preserve"> de </w:t>
            </w:r>
            <w:proofErr w:type="spellStart"/>
            <w:r w:rsidRPr="00C1248A">
              <w:rPr>
                <w:color w:val="auto"/>
                <w:sz w:val="22"/>
                <w:szCs w:val="22"/>
                <w:lang w:val="en-US"/>
              </w:rPr>
              <w:t>către</w:t>
            </w:r>
            <w:proofErr w:type="spellEnd"/>
            <w:r w:rsidRPr="00C1248A">
              <w:rPr>
                <w:color w:val="auto"/>
                <w:sz w:val="22"/>
                <w:szCs w:val="22"/>
                <w:lang w:val="en-US"/>
              </w:rPr>
              <w:t xml:space="preserve"> o </w:t>
            </w:r>
            <w:proofErr w:type="spellStart"/>
            <w:r w:rsidRPr="00C1248A">
              <w:rPr>
                <w:color w:val="auto"/>
                <w:sz w:val="22"/>
                <w:szCs w:val="22"/>
                <w:lang w:val="en-US"/>
              </w:rPr>
              <w:t>autoritate</w:t>
            </w:r>
            <w:proofErr w:type="spellEnd"/>
            <w:r w:rsidRPr="00C1248A">
              <w:rPr>
                <w:color w:val="auto"/>
                <w:sz w:val="22"/>
                <w:szCs w:val="22"/>
                <w:lang w:val="en-US"/>
              </w:rPr>
              <w:t xml:space="preserve"> </w:t>
            </w:r>
            <w:proofErr w:type="spellStart"/>
            <w:r w:rsidRPr="00C1248A">
              <w:rPr>
                <w:color w:val="auto"/>
                <w:sz w:val="22"/>
                <w:szCs w:val="22"/>
                <w:lang w:val="en-US"/>
              </w:rPr>
              <w:t>publică</w:t>
            </w:r>
            <w:proofErr w:type="spellEnd"/>
            <w:r w:rsidRPr="00C1248A">
              <w:rPr>
                <w:color w:val="auto"/>
                <w:sz w:val="22"/>
                <w:szCs w:val="22"/>
                <w:lang w:val="en-US"/>
              </w:rPr>
              <w:t xml:space="preserve"> </w:t>
            </w:r>
            <w:proofErr w:type="spellStart"/>
            <w:r w:rsidRPr="00C1248A">
              <w:rPr>
                <w:color w:val="auto"/>
                <w:sz w:val="22"/>
                <w:szCs w:val="22"/>
                <w:lang w:val="en-US"/>
              </w:rPr>
              <w:t>și</w:t>
            </w:r>
            <w:proofErr w:type="spellEnd"/>
            <w:r w:rsidRPr="00C1248A">
              <w:rPr>
                <w:color w:val="auto"/>
                <w:sz w:val="22"/>
                <w:szCs w:val="22"/>
                <w:lang w:val="en-US"/>
              </w:rPr>
              <w:t xml:space="preserve"> care </w:t>
            </w:r>
            <w:proofErr w:type="spellStart"/>
            <w:r w:rsidRPr="00C1248A">
              <w:rPr>
                <w:color w:val="auto"/>
                <w:sz w:val="22"/>
                <w:szCs w:val="22"/>
                <w:lang w:val="en-US"/>
              </w:rPr>
              <w:t>este</w:t>
            </w:r>
            <w:proofErr w:type="spellEnd"/>
            <w:r w:rsidRPr="00C1248A">
              <w:rPr>
                <w:color w:val="auto"/>
                <w:sz w:val="22"/>
                <w:szCs w:val="22"/>
                <w:lang w:val="en-US"/>
              </w:rPr>
              <w:t xml:space="preserve"> </w:t>
            </w:r>
            <w:proofErr w:type="spellStart"/>
            <w:r w:rsidRPr="00C1248A">
              <w:rPr>
                <w:color w:val="auto"/>
                <w:sz w:val="22"/>
                <w:szCs w:val="22"/>
                <w:lang w:val="en-US"/>
              </w:rPr>
              <w:t>finanțată</w:t>
            </w:r>
            <w:proofErr w:type="spellEnd"/>
            <w:r w:rsidRPr="00C1248A">
              <w:rPr>
                <w:color w:val="auto"/>
                <w:sz w:val="22"/>
                <w:szCs w:val="22"/>
                <w:lang w:val="en-US"/>
              </w:rPr>
              <w:t xml:space="preserve"> </w:t>
            </w:r>
            <w:proofErr w:type="spellStart"/>
            <w:r w:rsidRPr="00C1248A">
              <w:rPr>
                <w:color w:val="auto"/>
                <w:sz w:val="22"/>
                <w:szCs w:val="22"/>
                <w:lang w:val="en-US"/>
              </w:rPr>
              <w:t>parțial</w:t>
            </w:r>
            <w:proofErr w:type="spellEnd"/>
            <w:r w:rsidRPr="00C1248A">
              <w:rPr>
                <w:color w:val="auto"/>
                <w:sz w:val="22"/>
                <w:szCs w:val="22"/>
                <w:lang w:val="en-US"/>
              </w:rPr>
              <w:t xml:space="preserve"> de la </w:t>
            </w:r>
            <w:proofErr w:type="spellStart"/>
            <w:r w:rsidRPr="00C1248A">
              <w:rPr>
                <w:color w:val="auto"/>
                <w:sz w:val="22"/>
                <w:szCs w:val="22"/>
                <w:lang w:val="en-US"/>
              </w:rPr>
              <w:t>bugetul</w:t>
            </w:r>
            <w:proofErr w:type="spellEnd"/>
            <w:r w:rsidRPr="00C1248A">
              <w:rPr>
                <w:color w:val="auto"/>
                <w:sz w:val="22"/>
                <w:szCs w:val="22"/>
                <w:lang w:val="en-US"/>
              </w:rPr>
              <w:t xml:space="preserve"> public </w:t>
            </w:r>
            <w:proofErr w:type="spellStart"/>
            <w:r w:rsidRPr="00C1248A">
              <w:rPr>
                <w:color w:val="auto"/>
                <w:sz w:val="22"/>
                <w:szCs w:val="22"/>
                <w:lang w:val="en-US"/>
              </w:rPr>
              <w:t>administrat</w:t>
            </w:r>
            <w:proofErr w:type="spellEnd"/>
            <w:r w:rsidRPr="00C1248A">
              <w:rPr>
                <w:color w:val="auto"/>
                <w:sz w:val="22"/>
                <w:szCs w:val="22"/>
                <w:lang w:val="en-US"/>
              </w:rPr>
              <w:t xml:space="preserve"> de </w:t>
            </w:r>
            <w:proofErr w:type="spellStart"/>
            <w:r w:rsidRPr="00C1248A">
              <w:rPr>
                <w:color w:val="auto"/>
                <w:sz w:val="22"/>
                <w:szCs w:val="22"/>
                <w:lang w:val="en-US"/>
              </w:rPr>
              <w:t>autoritatea</w:t>
            </w:r>
            <w:proofErr w:type="spellEnd"/>
            <w:r w:rsidRPr="00C1248A">
              <w:rPr>
                <w:color w:val="auto"/>
                <w:sz w:val="22"/>
                <w:szCs w:val="22"/>
                <w:lang w:val="en-US"/>
              </w:rPr>
              <w:t xml:space="preserve"> </w:t>
            </w:r>
            <w:proofErr w:type="spellStart"/>
            <w:r w:rsidRPr="00C1248A">
              <w:rPr>
                <w:color w:val="auto"/>
                <w:sz w:val="22"/>
                <w:szCs w:val="22"/>
                <w:lang w:val="en-US"/>
              </w:rPr>
              <w:t>fondatoare</w:t>
            </w:r>
            <w:proofErr w:type="spellEnd"/>
            <w:r w:rsidRPr="00C1248A">
              <w:rPr>
                <w:color w:val="auto"/>
                <w:sz w:val="22"/>
                <w:szCs w:val="22"/>
                <w:lang w:val="en-US"/>
              </w:rPr>
              <w:t xml:space="preserve"> (art. 307 din </w:t>
            </w:r>
            <w:proofErr w:type="spellStart"/>
            <w:r w:rsidRPr="00C1248A">
              <w:rPr>
                <w:color w:val="auto"/>
                <w:sz w:val="22"/>
                <w:szCs w:val="22"/>
                <w:lang w:val="en-US"/>
              </w:rPr>
              <w:t>Codul</w:t>
            </w:r>
            <w:proofErr w:type="spellEnd"/>
            <w:r w:rsidRPr="00C1248A">
              <w:rPr>
                <w:color w:val="auto"/>
                <w:sz w:val="22"/>
                <w:szCs w:val="22"/>
                <w:lang w:val="en-US"/>
              </w:rPr>
              <w:t xml:space="preserve"> civil), </w:t>
            </w:r>
            <w:proofErr w:type="spellStart"/>
            <w:r w:rsidRPr="00C1248A">
              <w:rPr>
                <w:color w:val="auto"/>
                <w:sz w:val="22"/>
                <w:szCs w:val="22"/>
                <w:lang w:val="en-US"/>
              </w:rPr>
              <w:t>în</w:t>
            </w:r>
            <w:proofErr w:type="spellEnd"/>
            <w:r w:rsidRPr="00C1248A">
              <w:rPr>
                <w:color w:val="auto"/>
                <w:sz w:val="22"/>
                <w:szCs w:val="22"/>
                <w:lang w:val="en-US"/>
              </w:rPr>
              <w:t xml:space="preserve"> </w:t>
            </w:r>
            <w:proofErr w:type="spellStart"/>
            <w:r w:rsidRPr="00C1248A">
              <w:rPr>
                <w:color w:val="auto"/>
                <w:sz w:val="22"/>
                <w:szCs w:val="22"/>
                <w:lang w:val="en-US"/>
              </w:rPr>
              <w:t>scopul</w:t>
            </w:r>
            <w:proofErr w:type="spellEnd"/>
            <w:r w:rsidRPr="00C1248A">
              <w:rPr>
                <w:color w:val="auto"/>
                <w:sz w:val="22"/>
                <w:szCs w:val="22"/>
                <w:lang w:val="en-US"/>
              </w:rPr>
              <w:t xml:space="preserve"> de </w:t>
            </w:r>
            <w:proofErr w:type="spellStart"/>
            <w:r w:rsidRPr="00C1248A">
              <w:rPr>
                <w:color w:val="auto"/>
                <w:sz w:val="22"/>
                <w:szCs w:val="22"/>
                <w:lang w:val="en-US"/>
              </w:rPr>
              <w:t>interes</w:t>
            </w:r>
            <w:proofErr w:type="spellEnd"/>
            <w:r w:rsidRPr="00C1248A">
              <w:rPr>
                <w:color w:val="auto"/>
                <w:sz w:val="22"/>
                <w:szCs w:val="22"/>
                <w:lang w:val="en-US"/>
              </w:rPr>
              <w:t xml:space="preserve"> public </w:t>
            </w:r>
            <w:proofErr w:type="spellStart"/>
            <w:r w:rsidRPr="00C1248A">
              <w:rPr>
                <w:color w:val="auto"/>
                <w:sz w:val="22"/>
                <w:szCs w:val="22"/>
                <w:lang w:val="en-US"/>
              </w:rPr>
              <w:t>prevăzut</w:t>
            </w:r>
            <w:proofErr w:type="spellEnd"/>
            <w:r w:rsidRPr="00C1248A">
              <w:rPr>
                <w:color w:val="auto"/>
                <w:sz w:val="22"/>
                <w:szCs w:val="22"/>
                <w:lang w:val="en-US"/>
              </w:rPr>
              <w:t xml:space="preserve"> de </w:t>
            </w:r>
            <w:proofErr w:type="spellStart"/>
            <w:r w:rsidRPr="00C1248A">
              <w:rPr>
                <w:color w:val="auto"/>
                <w:sz w:val="22"/>
                <w:szCs w:val="22"/>
                <w:lang w:val="en-US"/>
              </w:rPr>
              <w:t>lege</w:t>
            </w:r>
            <w:proofErr w:type="spellEnd"/>
            <w:r w:rsidRPr="00C1248A">
              <w:rPr>
                <w:color w:val="auto"/>
                <w:sz w:val="22"/>
                <w:szCs w:val="22"/>
                <w:lang w:val="en-US"/>
              </w:rPr>
              <w:t xml:space="preserve"> </w:t>
            </w:r>
            <w:proofErr w:type="spellStart"/>
            <w:r w:rsidRPr="00C1248A">
              <w:rPr>
                <w:color w:val="auto"/>
                <w:sz w:val="22"/>
                <w:szCs w:val="22"/>
                <w:lang w:val="en-US"/>
              </w:rPr>
              <w:t>și</w:t>
            </w:r>
            <w:proofErr w:type="spellEnd"/>
            <w:r w:rsidRPr="00C1248A">
              <w:rPr>
                <w:color w:val="auto"/>
                <w:sz w:val="22"/>
                <w:szCs w:val="22"/>
                <w:lang w:val="en-US"/>
              </w:rPr>
              <w:t xml:space="preserve"> </w:t>
            </w:r>
            <w:proofErr w:type="spellStart"/>
            <w:r w:rsidRPr="00C1248A">
              <w:rPr>
                <w:color w:val="auto"/>
                <w:sz w:val="22"/>
                <w:szCs w:val="22"/>
                <w:lang w:val="en-US"/>
              </w:rPr>
              <w:t>anume</w:t>
            </w:r>
            <w:proofErr w:type="spellEnd"/>
            <w:r w:rsidRPr="00C1248A">
              <w:rPr>
                <w:color w:val="auto"/>
                <w:sz w:val="22"/>
                <w:szCs w:val="22"/>
                <w:lang w:val="en-US"/>
              </w:rPr>
              <w:t xml:space="preserve"> </w:t>
            </w:r>
            <w:proofErr w:type="spellStart"/>
            <w:r w:rsidRPr="00C1248A">
              <w:rPr>
                <w:color w:val="auto"/>
                <w:sz w:val="22"/>
                <w:szCs w:val="22"/>
                <w:lang w:val="en-US"/>
              </w:rPr>
              <w:t>crearea</w:t>
            </w:r>
            <w:proofErr w:type="spellEnd"/>
            <w:r w:rsidRPr="00C1248A">
              <w:rPr>
                <w:color w:val="auto"/>
                <w:sz w:val="22"/>
                <w:szCs w:val="22"/>
                <w:lang w:val="en-US"/>
              </w:rPr>
              <w:t xml:space="preserve"> </w:t>
            </w:r>
            <w:proofErr w:type="spellStart"/>
            <w:r w:rsidRPr="00C1248A">
              <w:rPr>
                <w:color w:val="auto"/>
                <w:sz w:val="22"/>
                <w:szCs w:val="22"/>
                <w:lang w:val="en-US"/>
              </w:rPr>
              <w:t>și</w:t>
            </w:r>
            <w:proofErr w:type="spellEnd"/>
            <w:r w:rsidRPr="00C1248A">
              <w:rPr>
                <w:color w:val="auto"/>
                <w:sz w:val="22"/>
                <w:szCs w:val="22"/>
                <w:lang w:val="en-US"/>
              </w:rPr>
              <w:t xml:space="preserve"> </w:t>
            </w:r>
            <w:proofErr w:type="spellStart"/>
            <w:r w:rsidRPr="00C1248A">
              <w:rPr>
                <w:color w:val="auto"/>
                <w:sz w:val="22"/>
                <w:szCs w:val="22"/>
                <w:lang w:val="en-US"/>
              </w:rPr>
              <w:t>susținerea</w:t>
            </w:r>
            <w:proofErr w:type="spellEnd"/>
            <w:r w:rsidRPr="00C1248A">
              <w:rPr>
                <w:color w:val="auto"/>
                <w:sz w:val="22"/>
                <w:szCs w:val="22"/>
                <w:lang w:val="en-US"/>
              </w:rPr>
              <w:t xml:space="preserve"> </w:t>
            </w:r>
            <w:proofErr w:type="spellStart"/>
            <w:r w:rsidRPr="00C1248A">
              <w:rPr>
                <w:color w:val="auto"/>
                <w:sz w:val="22"/>
                <w:szCs w:val="22"/>
                <w:lang w:val="en-US"/>
              </w:rPr>
              <w:t>sistemului</w:t>
            </w:r>
            <w:proofErr w:type="spellEnd"/>
            <w:r w:rsidRPr="00C1248A">
              <w:rPr>
                <w:color w:val="auto"/>
                <w:sz w:val="22"/>
                <w:szCs w:val="22"/>
                <w:lang w:val="en-US"/>
              </w:rPr>
              <w:t xml:space="preserve"> </w:t>
            </w:r>
            <w:proofErr w:type="spellStart"/>
            <w:r w:rsidRPr="00C1248A">
              <w:rPr>
                <w:color w:val="auto"/>
                <w:sz w:val="22"/>
                <w:szCs w:val="22"/>
                <w:lang w:val="en-US"/>
              </w:rPr>
              <w:t>cadastrului</w:t>
            </w:r>
            <w:proofErr w:type="spellEnd"/>
            <w:r w:rsidRPr="00C1248A">
              <w:rPr>
                <w:color w:val="auto"/>
                <w:sz w:val="22"/>
                <w:szCs w:val="22"/>
                <w:lang w:val="en-US"/>
              </w:rPr>
              <w:t xml:space="preserve"> </w:t>
            </w:r>
            <w:proofErr w:type="spellStart"/>
            <w:r w:rsidRPr="00C1248A">
              <w:rPr>
                <w:color w:val="auto"/>
                <w:sz w:val="22"/>
                <w:szCs w:val="22"/>
                <w:lang w:val="en-US"/>
              </w:rPr>
              <w:t>bunurilor</w:t>
            </w:r>
            <w:proofErr w:type="spellEnd"/>
            <w:r w:rsidRPr="00C1248A">
              <w:rPr>
                <w:color w:val="auto"/>
                <w:sz w:val="22"/>
                <w:szCs w:val="22"/>
                <w:lang w:val="en-US"/>
              </w:rPr>
              <w:t xml:space="preserve"> </w:t>
            </w:r>
            <w:proofErr w:type="spellStart"/>
            <w:r w:rsidRPr="00C1248A">
              <w:rPr>
                <w:color w:val="auto"/>
                <w:sz w:val="22"/>
                <w:szCs w:val="22"/>
                <w:lang w:val="en-US"/>
              </w:rPr>
              <w:t>imobile</w:t>
            </w:r>
            <w:proofErr w:type="spellEnd"/>
            <w:r w:rsidRPr="00C1248A">
              <w:rPr>
                <w:color w:val="auto"/>
                <w:sz w:val="22"/>
                <w:szCs w:val="22"/>
                <w:lang w:val="en-US"/>
              </w:rPr>
              <w:t xml:space="preserve">. </w:t>
            </w:r>
          </w:p>
          <w:p w14:paraId="11BB8EDC" w14:textId="6364546D" w:rsidR="00E11E7D" w:rsidRPr="00C1248A" w:rsidRDefault="00E11E7D" w:rsidP="00100996">
            <w:pPr>
              <w:pStyle w:val="Default"/>
              <w:ind w:firstLine="319"/>
              <w:jc w:val="both"/>
              <w:rPr>
                <w:color w:val="auto"/>
                <w:sz w:val="22"/>
                <w:szCs w:val="22"/>
                <w:lang w:val="ro-MD"/>
              </w:rPr>
            </w:pPr>
            <w:proofErr w:type="spellStart"/>
            <w:r w:rsidRPr="00C1248A">
              <w:rPr>
                <w:color w:val="auto"/>
                <w:sz w:val="22"/>
                <w:szCs w:val="22"/>
                <w:lang w:val="en-US"/>
              </w:rPr>
              <w:t>Proiectul</w:t>
            </w:r>
            <w:proofErr w:type="spellEnd"/>
            <w:r w:rsidRPr="00C1248A">
              <w:rPr>
                <w:color w:val="auto"/>
                <w:sz w:val="22"/>
                <w:szCs w:val="22"/>
                <w:lang w:val="en-US"/>
              </w:rPr>
              <w:t xml:space="preserve"> </w:t>
            </w:r>
            <w:proofErr w:type="spellStart"/>
            <w:r w:rsidRPr="00C1248A">
              <w:rPr>
                <w:color w:val="auto"/>
                <w:sz w:val="22"/>
                <w:szCs w:val="22"/>
                <w:lang w:val="en-US"/>
              </w:rPr>
              <w:t>prevede</w:t>
            </w:r>
            <w:proofErr w:type="spellEnd"/>
            <w:r w:rsidRPr="00C1248A">
              <w:rPr>
                <w:color w:val="auto"/>
                <w:sz w:val="22"/>
                <w:szCs w:val="22"/>
                <w:lang w:val="en-US"/>
              </w:rPr>
              <w:t xml:space="preserve"> </w:t>
            </w:r>
            <w:proofErr w:type="spellStart"/>
            <w:r w:rsidRPr="00C1248A">
              <w:rPr>
                <w:color w:val="auto"/>
                <w:sz w:val="22"/>
                <w:szCs w:val="22"/>
                <w:lang w:val="en-US"/>
              </w:rPr>
              <w:t>că</w:t>
            </w:r>
            <w:proofErr w:type="spellEnd"/>
            <w:r w:rsidRPr="00C1248A">
              <w:rPr>
                <w:color w:val="auto"/>
                <w:sz w:val="22"/>
                <w:szCs w:val="22"/>
                <w:lang w:val="en-US"/>
              </w:rPr>
              <w:t xml:space="preserve"> „</w:t>
            </w:r>
            <w:proofErr w:type="spellStart"/>
            <w:r w:rsidRPr="00C1248A">
              <w:rPr>
                <w:color w:val="auto"/>
                <w:sz w:val="22"/>
                <w:szCs w:val="22"/>
                <w:lang w:val="en-US"/>
              </w:rPr>
              <w:t>înregistrarea</w:t>
            </w:r>
            <w:proofErr w:type="spellEnd"/>
            <w:r w:rsidRPr="00C1248A">
              <w:rPr>
                <w:color w:val="auto"/>
                <w:sz w:val="22"/>
                <w:szCs w:val="22"/>
                <w:lang w:val="en-US"/>
              </w:rPr>
              <w:t xml:space="preserve"> </w:t>
            </w:r>
            <w:proofErr w:type="spellStart"/>
            <w:r w:rsidRPr="00C1248A">
              <w:rPr>
                <w:color w:val="auto"/>
                <w:sz w:val="22"/>
                <w:szCs w:val="22"/>
                <w:lang w:val="en-US"/>
              </w:rPr>
              <w:t>dreptului</w:t>
            </w:r>
            <w:proofErr w:type="spellEnd"/>
            <w:r w:rsidRPr="00C1248A">
              <w:rPr>
                <w:color w:val="auto"/>
                <w:sz w:val="22"/>
                <w:szCs w:val="22"/>
                <w:lang w:val="en-US"/>
              </w:rPr>
              <w:t xml:space="preserve"> de </w:t>
            </w:r>
            <w:proofErr w:type="spellStart"/>
            <w:r w:rsidRPr="00C1248A">
              <w:rPr>
                <w:color w:val="auto"/>
                <w:sz w:val="22"/>
                <w:szCs w:val="22"/>
                <w:lang w:val="en-US"/>
              </w:rPr>
              <w:t>proprietate</w:t>
            </w:r>
            <w:proofErr w:type="spellEnd"/>
            <w:r w:rsidRPr="00C1248A">
              <w:rPr>
                <w:color w:val="auto"/>
                <w:sz w:val="22"/>
                <w:szCs w:val="22"/>
                <w:lang w:val="en-US"/>
              </w:rPr>
              <w:t xml:space="preserve"> </w:t>
            </w:r>
            <w:proofErr w:type="spellStart"/>
            <w:r w:rsidRPr="00C1248A">
              <w:rPr>
                <w:color w:val="auto"/>
                <w:sz w:val="22"/>
                <w:szCs w:val="22"/>
                <w:lang w:val="en-US"/>
              </w:rPr>
              <w:t>în</w:t>
            </w:r>
            <w:proofErr w:type="spellEnd"/>
            <w:r w:rsidRPr="00C1248A">
              <w:rPr>
                <w:color w:val="auto"/>
                <w:sz w:val="22"/>
                <w:szCs w:val="22"/>
                <w:lang w:val="en-US"/>
              </w:rPr>
              <w:t xml:space="preserve"> </w:t>
            </w:r>
            <w:proofErr w:type="spellStart"/>
            <w:r w:rsidRPr="00C1248A">
              <w:rPr>
                <w:color w:val="auto"/>
                <w:sz w:val="22"/>
                <w:szCs w:val="22"/>
                <w:lang w:val="en-US"/>
              </w:rPr>
              <w:t>temeiul</w:t>
            </w:r>
            <w:proofErr w:type="spellEnd"/>
            <w:r w:rsidRPr="00C1248A">
              <w:rPr>
                <w:color w:val="auto"/>
                <w:sz w:val="22"/>
                <w:szCs w:val="22"/>
                <w:lang w:val="en-US"/>
              </w:rPr>
              <w:t xml:space="preserve"> </w:t>
            </w:r>
            <w:proofErr w:type="spellStart"/>
            <w:r w:rsidRPr="00C1248A">
              <w:rPr>
                <w:color w:val="auto"/>
                <w:sz w:val="22"/>
                <w:szCs w:val="22"/>
                <w:lang w:val="en-US"/>
              </w:rPr>
              <w:t>certificatului</w:t>
            </w:r>
            <w:proofErr w:type="spellEnd"/>
            <w:r w:rsidRPr="00C1248A">
              <w:rPr>
                <w:color w:val="auto"/>
                <w:sz w:val="22"/>
                <w:szCs w:val="22"/>
                <w:lang w:val="en-US"/>
              </w:rPr>
              <w:t xml:space="preserve"> de </w:t>
            </w:r>
            <w:proofErr w:type="spellStart"/>
            <w:r w:rsidRPr="00C1248A">
              <w:rPr>
                <w:color w:val="auto"/>
                <w:sz w:val="22"/>
                <w:szCs w:val="22"/>
                <w:lang w:val="en-US"/>
              </w:rPr>
              <w:t>moştenitor</w:t>
            </w:r>
            <w:proofErr w:type="spellEnd"/>
            <w:r w:rsidRPr="00C1248A">
              <w:rPr>
                <w:color w:val="auto"/>
                <w:sz w:val="22"/>
                <w:szCs w:val="22"/>
                <w:lang w:val="en-US"/>
              </w:rPr>
              <w:t>”, „</w:t>
            </w:r>
            <w:proofErr w:type="spellStart"/>
            <w:r w:rsidRPr="00C1248A">
              <w:rPr>
                <w:color w:val="auto"/>
                <w:sz w:val="22"/>
                <w:szCs w:val="22"/>
                <w:lang w:val="en-US"/>
              </w:rPr>
              <w:t>înregistrarea</w:t>
            </w:r>
            <w:proofErr w:type="spellEnd"/>
            <w:r w:rsidRPr="00C1248A">
              <w:rPr>
                <w:color w:val="auto"/>
                <w:sz w:val="22"/>
                <w:szCs w:val="22"/>
                <w:lang w:val="en-US"/>
              </w:rPr>
              <w:t xml:space="preserve"> </w:t>
            </w:r>
            <w:proofErr w:type="spellStart"/>
            <w:r w:rsidRPr="00C1248A">
              <w:rPr>
                <w:color w:val="auto"/>
                <w:sz w:val="22"/>
                <w:szCs w:val="22"/>
                <w:lang w:val="en-US"/>
              </w:rPr>
              <w:t>ipotecii</w:t>
            </w:r>
            <w:proofErr w:type="spellEnd"/>
            <w:r w:rsidRPr="00C1248A">
              <w:rPr>
                <w:color w:val="auto"/>
                <w:sz w:val="22"/>
                <w:szCs w:val="22"/>
                <w:lang w:val="en-US"/>
              </w:rPr>
              <w:t xml:space="preserve"> </w:t>
            </w:r>
            <w:proofErr w:type="spellStart"/>
            <w:r w:rsidRPr="00C1248A">
              <w:rPr>
                <w:color w:val="auto"/>
                <w:sz w:val="22"/>
                <w:szCs w:val="22"/>
                <w:lang w:val="en-US"/>
              </w:rPr>
              <w:t>pentru</w:t>
            </w:r>
            <w:proofErr w:type="spellEnd"/>
            <w:r w:rsidRPr="00C1248A">
              <w:rPr>
                <w:color w:val="auto"/>
                <w:sz w:val="22"/>
                <w:szCs w:val="22"/>
                <w:lang w:val="en-US"/>
              </w:rPr>
              <w:t xml:space="preserve"> 2 </w:t>
            </w:r>
            <w:proofErr w:type="spellStart"/>
            <w:r w:rsidRPr="00C1248A">
              <w:rPr>
                <w:color w:val="auto"/>
                <w:sz w:val="22"/>
                <w:szCs w:val="22"/>
                <w:lang w:val="en-US"/>
              </w:rPr>
              <w:t>şi</w:t>
            </w:r>
            <w:proofErr w:type="spellEnd"/>
            <w:r w:rsidRPr="00C1248A">
              <w:rPr>
                <w:color w:val="auto"/>
                <w:sz w:val="22"/>
                <w:szCs w:val="22"/>
                <w:lang w:val="en-US"/>
              </w:rPr>
              <w:t xml:space="preserve"> </w:t>
            </w:r>
            <w:proofErr w:type="spellStart"/>
            <w:r w:rsidRPr="00C1248A">
              <w:rPr>
                <w:color w:val="auto"/>
                <w:sz w:val="22"/>
                <w:szCs w:val="22"/>
                <w:lang w:val="en-US"/>
              </w:rPr>
              <w:t>mai</w:t>
            </w:r>
            <w:proofErr w:type="spellEnd"/>
            <w:r w:rsidRPr="00C1248A">
              <w:rPr>
                <w:color w:val="auto"/>
                <w:sz w:val="22"/>
                <w:szCs w:val="22"/>
                <w:lang w:val="en-US"/>
              </w:rPr>
              <w:t xml:space="preserve"> </w:t>
            </w:r>
            <w:proofErr w:type="spellStart"/>
            <w:r w:rsidRPr="00C1248A">
              <w:rPr>
                <w:color w:val="auto"/>
                <w:sz w:val="22"/>
                <w:szCs w:val="22"/>
                <w:lang w:val="en-US"/>
              </w:rPr>
              <w:t>multe</w:t>
            </w:r>
            <w:proofErr w:type="spellEnd"/>
            <w:r w:rsidRPr="00C1248A">
              <w:rPr>
                <w:color w:val="auto"/>
                <w:sz w:val="22"/>
                <w:szCs w:val="22"/>
                <w:lang w:val="en-US"/>
              </w:rPr>
              <w:t xml:space="preserve"> </w:t>
            </w:r>
            <w:proofErr w:type="spellStart"/>
            <w:r w:rsidRPr="00C1248A">
              <w:rPr>
                <w:color w:val="auto"/>
                <w:sz w:val="22"/>
                <w:szCs w:val="22"/>
                <w:lang w:val="en-US"/>
              </w:rPr>
              <w:t>terenuri</w:t>
            </w:r>
            <w:proofErr w:type="spellEnd"/>
            <w:r w:rsidRPr="00C1248A">
              <w:rPr>
                <w:color w:val="auto"/>
                <w:sz w:val="22"/>
                <w:szCs w:val="22"/>
                <w:lang w:val="en-US"/>
              </w:rPr>
              <w:t xml:space="preserve"> cu </w:t>
            </w:r>
            <w:proofErr w:type="spellStart"/>
            <w:r w:rsidRPr="00C1248A">
              <w:rPr>
                <w:color w:val="auto"/>
                <w:sz w:val="22"/>
                <w:szCs w:val="22"/>
                <w:lang w:val="en-US"/>
              </w:rPr>
              <w:t>destinaţie</w:t>
            </w:r>
            <w:proofErr w:type="spellEnd"/>
            <w:r w:rsidRPr="00C1248A">
              <w:rPr>
                <w:color w:val="auto"/>
                <w:sz w:val="22"/>
                <w:szCs w:val="22"/>
                <w:lang w:val="en-US"/>
              </w:rPr>
              <w:t xml:space="preserve"> </w:t>
            </w:r>
            <w:proofErr w:type="spellStart"/>
            <w:r w:rsidRPr="00C1248A">
              <w:rPr>
                <w:color w:val="auto"/>
                <w:sz w:val="22"/>
                <w:szCs w:val="22"/>
                <w:lang w:val="en-US"/>
              </w:rPr>
              <w:t>agricolă</w:t>
            </w:r>
            <w:proofErr w:type="spellEnd"/>
            <w:r w:rsidRPr="00C1248A">
              <w:rPr>
                <w:color w:val="auto"/>
                <w:sz w:val="22"/>
                <w:szCs w:val="22"/>
                <w:lang w:val="en-US"/>
              </w:rPr>
              <w:t xml:space="preserve"> ale </w:t>
            </w:r>
            <w:proofErr w:type="spellStart"/>
            <w:r w:rsidRPr="00C1248A">
              <w:rPr>
                <w:color w:val="auto"/>
                <w:sz w:val="22"/>
                <w:szCs w:val="22"/>
                <w:lang w:val="en-US"/>
              </w:rPr>
              <w:t>aceluiaşi</w:t>
            </w:r>
            <w:proofErr w:type="spellEnd"/>
            <w:r w:rsidRPr="00C1248A">
              <w:rPr>
                <w:color w:val="auto"/>
                <w:sz w:val="22"/>
                <w:szCs w:val="22"/>
                <w:lang w:val="en-US"/>
              </w:rPr>
              <w:t xml:space="preserve"> titular”, „</w:t>
            </w:r>
            <w:proofErr w:type="spellStart"/>
            <w:r w:rsidRPr="00C1248A">
              <w:rPr>
                <w:color w:val="auto"/>
                <w:sz w:val="22"/>
                <w:szCs w:val="22"/>
                <w:lang w:val="en-US"/>
              </w:rPr>
              <w:t>notarea</w:t>
            </w:r>
            <w:proofErr w:type="spellEnd"/>
            <w:r w:rsidRPr="00C1248A">
              <w:rPr>
                <w:color w:val="auto"/>
                <w:sz w:val="22"/>
                <w:szCs w:val="22"/>
                <w:lang w:val="en-US"/>
              </w:rPr>
              <w:t xml:space="preserve"> </w:t>
            </w:r>
            <w:proofErr w:type="spellStart"/>
            <w:r w:rsidRPr="00C1248A">
              <w:rPr>
                <w:color w:val="auto"/>
                <w:sz w:val="22"/>
                <w:szCs w:val="22"/>
                <w:lang w:val="en-US"/>
              </w:rPr>
              <w:t>arendei</w:t>
            </w:r>
            <w:proofErr w:type="spellEnd"/>
            <w:r w:rsidRPr="00C1248A">
              <w:rPr>
                <w:color w:val="auto"/>
                <w:sz w:val="22"/>
                <w:szCs w:val="22"/>
                <w:lang w:val="en-US"/>
              </w:rPr>
              <w:t xml:space="preserve"> </w:t>
            </w:r>
            <w:proofErr w:type="spellStart"/>
            <w:r w:rsidRPr="00C1248A">
              <w:rPr>
                <w:color w:val="auto"/>
                <w:sz w:val="22"/>
                <w:szCs w:val="22"/>
                <w:lang w:val="en-US"/>
              </w:rPr>
              <w:t>asupra</w:t>
            </w:r>
            <w:proofErr w:type="spellEnd"/>
            <w:r w:rsidRPr="00C1248A">
              <w:rPr>
                <w:color w:val="auto"/>
                <w:sz w:val="22"/>
                <w:szCs w:val="22"/>
                <w:lang w:val="en-US"/>
              </w:rPr>
              <w:t xml:space="preserve"> a </w:t>
            </w:r>
            <w:proofErr w:type="spellStart"/>
            <w:r w:rsidRPr="00C1248A">
              <w:rPr>
                <w:color w:val="auto"/>
                <w:sz w:val="22"/>
                <w:szCs w:val="22"/>
                <w:lang w:val="en-US"/>
              </w:rPr>
              <w:t>două</w:t>
            </w:r>
            <w:proofErr w:type="spellEnd"/>
            <w:r w:rsidRPr="00C1248A">
              <w:rPr>
                <w:color w:val="auto"/>
                <w:sz w:val="22"/>
                <w:szCs w:val="22"/>
                <w:lang w:val="en-US"/>
              </w:rPr>
              <w:t xml:space="preserve"> </w:t>
            </w:r>
            <w:proofErr w:type="spellStart"/>
            <w:r w:rsidRPr="00C1248A">
              <w:rPr>
                <w:color w:val="auto"/>
                <w:sz w:val="22"/>
                <w:szCs w:val="22"/>
                <w:lang w:val="en-US"/>
              </w:rPr>
              <w:t>şi</w:t>
            </w:r>
            <w:proofErr w:type="spellEnd"/>
            <w:r w:rsidRPr="00C1248A">
              <w:rPr>
                <w:color w:val="auto"/>
                <w:sz w:val="22"/>
                <w:szCs w:val="22"/>
                <w:lang w:val="en-US"/>
              </w:rPr>
              <w:t xml:space="preserve"> </w:t>
            </w:r>
            <w:proofErr w:type="spellStart"/>
            <w:r w:rsidRPr="00C1248A">
              <w:rPr>
                <w:color w:val="auto"/>
                <w:sz w:val="22"/>
                <w:szCs w:val="22"/>
                <w:lang w:val="en-US"/>
              </w:rPr>
              <w:t>mai</w:t>
            </w:r>
            <w:proofErr w:type="spellEnd"/>
            <w:r w:rsidRPr="00C1248A">
              <w:rPr>
                <w:color w:val="auto"/>
                <w:sz w:val="22"/>
                <w:szCs w:val="22"/>
                <w:lang w:val="en-US"/>
              </w:rPr>
              <w:t xml:space="preserve"> </w:t>
            </w:r>
            <w:proofErr w:type="spellStart"/>
            <w:r w:rsidRPr="00C1248A">
              <w:rPr>
                <w:color w:val="auto"/>
                <w:sz w:val="22"/>
                <w:szCs w:val="22"/>
                <w:lang w:val="en-US"/>
              </w:rPr>
              <w:t>multe</w:t>
            </w:r>
            <w:proofErr w:type="spellEnd"/>
            <w:r w:rsidRPr="00C1248A">
              <w:rPr>
                <w:color w:val="auto"/>
                <w:sz w:val="22"/>
                <w:szCs w:val="22"/>
                <w:lang w:val="en-US"/>
              </w:rPr>
              <w:t xml:space="preserve"> </w:t>
            </w:r>
            <w:proofErr w:type="spellStart"/>
            <w:r w:rsidRPr="00C1248A">
              <w:rPr>
                <w:color w:val="auto"/>
                <w:sz w:val="22"/>
                <w:szCs w:val="22"/>
                <w:lang w:val="en-US"/>
              </w:rPr>
              <w:t>terenuri</w:t>
            </w:r>
            <w:proofErr w:type="spellEnd"/>
            <w:r w:rsidRPr="00C1248A">
              <w:rPr>
                <w:color w:val="auto"/>
                <w:sz w:val="22"/>
                <w:szCs w:val="22"/>
                <w:lang w:val="en-US"/>
              </w:rPr>
              <w:t xml:space="preserve"> cu </w:t>
            </w:r>
            <w:proofErr w:type="spellStart"/>
            <w:r w:rsidRPr="00C1248A">
              <w:rPr>
                <w:color w:val="auto"/>
                <w:sz w:val="22"/>
                <w:szCs w:val="22"/>
                <w:lang w:val="en-US"/>
              </w:rPr>
              <w:t>destinație</w:t>
            </w:r>
            <w:proofErr w:type="spellEnd"/>
            <w:r w:rsidRPr="00C1248A">
              <w:rPr>
                <w:color w:val="auto"/>
                <w:sz w:val="22"/>
                <w:szCs w:val="22"/>
                <w:lang w:val="en-US"/>
              </w:rPr>
              <w:t xml:space="preserve"> </w:t>
            </w:r>
            <w:proofErr w:type="spellStart"/>
            <w:r w:rsidRPr="00C1248A">
              <w:rPr>
                <w:color w:val="auto"/>
                <w:sz w:val="22"/>
                <w:szCs w:val="22"/>
                <w:lang w:val="en-US"/>
              </w:rPr>
              <w:t>agricolă</w:t>
            </w:r>
            <w:proofErr w:type="spellEnd"/>
            <w:r w:rsidRPr="00C1248A">
              <w:rPr>
                <w:color w:val="auto"/>
                <w:sz w:val="22"/>
                <w:szCs w:val="22"/>
                <w:lang w:val="en-US"/>
              </w:rPr>
              <w:t xml:space="preserve"> ale </w:t>
            </w:r>
            <w:proofErr w:type="spellStart"/>
            <w:r w:rsidRPr="00C1248A">
              <w:rPr>
                <w:color w:val="auto"/>
                <w:sz w:val="22"/>
                <w:szCs w:val="22"/>
                <w:lang w:val="en-US"/>
              </w:rPr>
              <w:t>aceluiaşi</w:t>
            </w:r>
            <w:proofErr w:type="spellEnd"/>
            <w:r w:rsidRPr="00C1248A">
              <w:rPr>
                <w:color w:val="auto"/>
                <w:sz w:val="22"/>
                <w:szCs w:val="22"/>
                <w:lang w:val="en-US"/>
              </w:rPr>
              <w:t xml:space="preserve"> titular” se </w:t>
            </w:r>
            <w:proofErr w:type="spellStart"/>
            <w:r w:rsidRPr="00C1248A">
              <w:rPr>
                <w:color w:val="auto"/>
                <w:sz w:val="22"/>
                <w:szCs w:val="22"/>
                <w:lang w:val="en-US"/>
              </w:rPr>
              <w:t>efectuează</w:t>
            </w:r>
            <w:proofErr w:type="spellEnd"/>
            <w:r w:rsidRPr="00C1248A">
              <w:rPr>
                <w:color w:val="auto"/>
                <w:sz w:val="22"/>
                <w:szCs w:val="22"/>
                <w:lang w:val="en-US"/>
              </w:rPr>
              <w:t xml:space="preserve"> „cu </w:t>
            </w:r>
            <w:proofErr w:type="spellStart"/>
            <w:r w:rsidRPr="00C1248A">
              <w:rPr>
                <w:color w:val="auto"/>
                <w:sz w:val="22"/>
                <w:szCs w:val="22"/>
                <w:lang w:val="en-US"/>
              </w:rPr>
              <w:t>reducere</w:t>
            </w:r>
            <w:proofErr w:type="spellEnd"/>
            <w:r w:rsidRPr="00C1248A">
              <w:rPr>
                <w:color w:val="auto"/>
                <w:sz w:val="22"/>
                <w:szCs w:val="22"/>
                <w:lang w:val="en-US"/>
              </w:rPr>
              <w:t xml:space="preserve"> de 50 la </w:t>
            </w:r>
            <w:proofErr w:type="spellStart"/>
            <w:r w:rsidRPr="00C1248A">
              <w:rPr>
                <w:color w:val="auto"/>
                <w:sz w:val="22"/>
                <w:szCs w:val="22"/>
                <w:lang w:val="en-US"/>
              </w:rPr>
              <w:t>sută</w:t>
            </w:r>
            <w:proofErr w:type="spellEnd"/>
            <w:r w:rsidRPr="00C1248A">
              <w:rPr>
                <w:color w:val="auto"/>
                <w:sz w:val="22"/>
                <w:szCs w:val="22"/>
                <w:lang w:val="en-US"/>
              </w:rPr>
              <w:t xml:space="preserve"> din </w:t>
            </w:r>
            <w:proofErr w:type="spellStart"/>
            <w:r w:rsidRPr="00C1248A">
              <w:rPr>
                <w:color w:val="auto"/>
                <w:sz w:val="22"/>
                <w:szCs w:val="22"/>
                <w:lang w:val="en-US"/>
              </w:rPr>
              <w:t>tariful</w:t>
            </w:r>
            <w:proofErr w:type="spellEnd"/>
            <w:r w:rsidRPr="00C1248A">
              <w:rPr>
                <w:color w:val="auto"/>
                <w:sz w:val="22"/>
                <w:szCs w:val="22"/>
                <w:lang w:val="en-US"/>
              </w:rPr>
              <w:t xml:space="preserve"> </w:t>
            </w:r>
            <w:proofErr w:type="spellStart"/>
            <w:r w:rsidRPr="00C1248A">
              <w:rPr>
                <w:color w:val="auto"/>
                <w:sz w:val="22"/>
                <w:szCs w:val="22"/>
                <w:lang w:val="en-US"/>
              </w:rPr>
              <w:t>stabilit</w:t>
            </w:r>
            <w:proofErr w:type="spellEnd"/>
            <w:r w:rsidRPr="00C1248A">
              <w:rPr>
                <w:color w:val="auto"/>
                <w:sz w:val="22"/>
                <w:szCs w:val="22"/>
                <w:lang w:val="en-US"/>
              </w:rPr>
              <w:t xml:space="preserve">”, </w:t>
            </w:r>
            <w:proofErr w:type="spellStart"/>
            <w:r w:rsidRPr="00C1248A">
              <w:rPr>
                <w:color w:val="auto"/>
                <w:sz w:val="22"/>
                <w:szCs w:val="22"/>
                <w:lang w:val="en-US"/>
              </w:rPr>
              <w:t>iar</w:t>
            </w:r>
            <w:proofErr w:type="spellEnd"/>
            <w:r w:rsidRPr="00C1248A">
              <w:rPr>
                <w:color w:val="auto"/>
                <w:sz w:val="22"/>
                <w:szCs w:val="22"/>
                <w:lang w:val="en-US"/>
              </w:rPr>
              <w:t xml:space="preserve"> </w:t>
            </w:r>
            <w:proofErr w:type="spellStart"/>
            <w:r w:rsidRPr="00C1248A">
              <w:rPr>
                <w:color w:val="auto"/>
                <w:sz w:val="22"/>
                <w:szCs w:val="22"/>
                <w:lang w:val="en-US"/>
              </w:rPr>
              <w:t>înregistrarea</w:t>
            </w:r>
            <w:proofErr w:type="spellEnd"/>
            <w:r w:rsidRPr="00C1248A">
              <w:rPr>
                <w:color w:val="auto"/>
                <w:sz w:val="22"/>
                <w:szCs w:val="22"/>
                <w:lang w:val="en-US"/>
              </w:rPr>
              <w:t xml:space="preserve"> </w:t>
            </w:r>
            <w:proofErr w:type="spellStart"/>
            <w:r w:rsidRPr="00C1248A">
              <w:rPr>
                <w:color w:val="auto"/>
                <w:sz w:val="22"/>
                <w:szCs w:val="22"/>
                <w:lang w:val="en-US"/>
              </w:rPr>
              <w:t>bunurilor</w:t>
            </w:r>
            <w:proofErr w:type="spellEnd"/>
            <w:r w:rsidRPr="00C1248A">
              <w:rPr>
                <w:color w:val="auto"/>
                <w:sz w:val="22"/>
                <w:szCs w:val="22"/>
                <w:lang w:val="en-US"/>
              </w:rPr>
              <w:t>/</w:t>
            </w:r>
            <w:proofErr w:type="spellStart"/>
            <w:r w:rsidRPr="00C1248A">
              <w:rPr>
                <w:color w:val="auto"/>
                <w:sz w:val="22"/>
                <w:szCs w:val="22"/>
                <w:lang w:val="en-US"/>
              </w:rPr>
              <w:t>drepturilor</w:t>
            </w:r>
            <w:proofErr w:type="spellEnd"/>
            <w:r w:rsidRPr="00C1248A">
              <w:rPr>
                <w:color w:val="auto"/>
                <w:sz w:val="22"/>
                <w:szCs w:val="22"/>
                <w:lang w:val="en-US"/>
              </w:rPr>
              <w:t xml:space="preserve"> </w:t>
            </w:r>
            <w:proofErr w:type="spellStart"/>
            <w:r w:rsidRPr="00C1248A">
              <w:rPr>
                <w:color w:val="auto"/>
                <w:sz w:val="22"/>
                <w:szCs w:val="22"/>
                <w:lang w:val="en-US"/>
              </w:rPr>
              <w:t>unităților</w:t>
            </w:r>
            <w:proofErr w:type="spellEnd"/>
            <w:r w:rsidRPr="00C1248A">
              <w:rPr>
                <w:color w:val="auto"/>
                <w:sz w:val="22"/>
                <w:szCs w:val="22"/>
                <w:lang w:val="en-US"/>
              </w:rPr>
              <w:t xml:space="preserve"> </w:t>
            </w:r>
            <w:proofErr w:type="spellStart"/>
            <w:r w:rsidRPr="00C1248A">
              <w:rPr>
                <w:color w:val="auto"/>
                <w:sz w:val="22"/>
                <w:szCs w:val="22"/>
                <w:lang w:val="en-US"/>
              </w:rPr>
              <w:t>administrativ-teritoriale</w:t>
            </w:r>
            <w:proofErr w:type="spellEnd"/>
            <w:r w:rsidRPr="00C1248A">
              <w:rPr>
                <w:color w:val="auto"/>
                <w:sz w:val="22"/>
                <w:szCs w:val="22"/>
                <w:lang w:val="en-US"/>
              </w:rPr>
              <w:t xml:space="preserve">, care de </w:t>
            </w:r>
            <w:proofErr w:type="spellStart"/>
            <w:r w:rsidRPr="00C1248A">
              <w:rPr>
                <w:color w:val="auto"/>
                <w:sz w:val="22"/>
                <w:szCs w:val="22"/>
                <w:lang w:val="en-US"/>
              </w:rPr>
              <w:t>regulă</w:t>
            </w:r>
            <w:proofErr w:type="spellEnd"/>
            <w:r w:rsidRPr="00C1248A">
              <w:rPr>
                <w:color w:val="auto"/>
                <w:sz w:val="22"/>
                <w:szCs w:val="22"/>
                <w:lang w:val="en-US"/>
              </w:rPr>
              <w:t xml:space="preserve">, se </w:t>
            </w:r>
            <w:proofErr w:type="spellStart"/>
            <w:r w:rsidRPr="00C1248A">
              <w:rPr>
                <w:color w:val="auto"/>
                <w:sz w:val="22"/>
                <w:szCs w:val="22"/>
                <w:lang w:val="en-US"/>
              </w:rPr>
              <w:t>realizează</w:t>
            </w:r>
            <w:proofErr w:type="spellEnd"/>
            <w:r w:rsidRPr="00C1248A">
              <w:rPr>
                <w:color w:val="auto"/>
                <w:sz w:val="22"/>
                <w:szCs w:val="22"/>
                <w:lang w:val="en-US"/>
              </w:rPr>
              <w:t xml:space="preserve"> </w:t>
            </w:r>
            <w:proofErr w:type="spellStart"/>
            <w:r w:rsidRPr="00C1248A">
              <w:rPr>
                <w:color w:val="auto"/>
                <w:sz w:val="22"/>
                <w:szCs w:val="22"/>
                <w:lang w:val="en-US"/>
              </w:rPr>
              <w:t>în</w:t>
            </w:r>
            <w:proofErr w:type="spellEnd"/>
            <w:r w:rsidRPr="00C1248A">
              <w:rPr>
                <w:color w:val="auto"/>
                <w:sz w:val="22"/>
                <w:szCs w:val="22"/>
                <w:lang w:val="en-US"/>
              </w:rPr>
              <w:t xml:space="preserve"> </w:t>
            </w:r>
            <w:proofErr w:type="spellStart"/>
            <w:r w:rsidRPr="00C1248A">
              <w:rPr>
                <w:color w:val="auto"/>
                <w:sz w:val="22"/>
                <w:szCs w:val="22"/>
                <w:lang w:val="en-US"/>
              </w:rPr>
              <w:t>număr</w:t>
            </w:r>
            <w:proofErr w:type="spellEnd"/>
            <w:r w:rsidRPr="00C1248A">
              <w:rPr>
                <w:color w:val="auto"/>
                <w:sz w:val="22"/>
                <w:szCs w:val="22"/>
                <w:lang w:val="en-US"/>
              </w:rPr>
              <w:t xml:space="preserve"> mare (</w:t>
            </w:r>
            <w:proofErr w:type="spellStart"/>
            <w:r w:rsidRPr="00C1248A">
              <w:rPr>
                <w:color w:val="auto"/>
                <w:sz w:val="22"/>
                <w:szCs w:val="22"/>
                <w:lang w:val="en-US"/>
              </w:rPr>
              <w:t>atât</w:t>
            </w:r>
            <w:proofErr w:type="spellEnd"/>
            <w:r w:rsidRPr="00C1248A">
              <w:rPr>
                <w:color w:val="auto"/>
                <w:sz w:val="22"/>
                <w:szCs w:val="22"/>
                <w:lang w:val="en-US"/>
              </w:rPr>
              <w:t xml:space="preserve"> individual, </w:t>
            </w:r>
            <w:proofErr w:type="spellStart"/>
            <w:r w:rsidRPr="00C1248A">
              <w:rPr>
                <w:color w:val="auto"/>
                <w:sz w:val="22"/>
                <w:szCs w:val="22"/>
                <w:lang w:val="en-US"/>
              </w:rPr>
              <w:t>cât</w:t>
            </w:r>
            <w:proofErr w:type="spellEnd"/>
            <w:r w:rsidRPr="00C1248A">
              <w:rPr>
                <w:color w:val="auto"/>
                <w:sz w:val="22"/>
                <w:szCs w:val="22"/>
                <w:lang w:val="en-US"/>
              </w:rPr>
              <w:t xml:space="preserve"> </w:t>
            </w:r>
            <w:proofErr w:type="spellStart"/>
            <w:r w:rsidRPr="00C1248A">
              <w:rPr>
                <w:color w:val="auto"/>
                <w:sz w:val="22"/>
                <w:szCs w:val="22"/>
                <w:lang w:val="en-US"/>
              </w:rPr>
              <w:t>și</w:t>
            </w:r>
            <w:proofErr w:type="spellEnd"/>
            <w:r w:rsidRPr="00C1248A">
              <w:rPr>
                <w:color w:val="auto"/>
                <w:sz w:val="22"/>
                <w:szCs w:val="22"/>
                <w:lang w:val="en-US"/>
              </w:rPr>
              <w:t xml:space="preserve"> pe </w:t>
            </w:r>
            <w:proofErr w:type="spellStart"/>
            <w:r w:rsidRPr="00C1248A">
              <w:rPr>
                <w:color w:val="auto"/>
                <w:sz w:val="22"/>
                <w:szCs w:val="22"/>
                <w:lang w:val="en-US"/>
              </w:rPr>
              <w:t>parcursul</w:t>
            </w:r>
            <w:proofErr w:type="spellEnd"/>
            <w:r w:rsidRPr="00C1248A">
              <w:rPr>
                <w:color w:val="auto"/>
                <w:sz w:val="22"/>
                <w:szCs w:val="22"/>
                <w:lang w:val="en-US"/>
              </w:rPr>
              <w:t xml:space="preserve"> </w:t>
            </w:r>
            <w:proofErr w:type="spellStart"/>
            <w:r w:rsidRPr="00C1248A">
              <w:rPr>
                <w:color w:val="auto"/>
                <w:sz w:val="22"/>
                <w:szCs w:val="22"/>
                <w:lang w:val="en-US"/>
              </w:rPr>
              <w:t>anului</w:t>
            </w:r>
            <w:proofErr w:type="spellEnd"/>
            <w:r w:rsidRPr="00C1248A">
              <w:rPr>
                <w:color w:val="auto"/>
                <w:sz w:val="22"/>
                <w:szCs w:val="22"/>
                <w:lang w:val="en-US"/>
              </w:rPr>
              <w:t xml:space="preserve"> </w:t>
            </w:r>
            <w:proofErr w:type="spellStart"/>
            <w:r w:rsidRPr="00C1248A">
              <w:rPr>
                <w:color w:val="auto"/>
                <w:sz w:val="22"/>
                <w:szCs w:val="22"/>
                <w:lang w:val="en-US"/>
              </w:rPr>
              <w:t>bugetar</w:t>
            </w:r>
            <w:proofErr w:type="spellEnd"/>
            <w:r w:rsidRPr="00C1248A">
              <w:rPr>
                <w:color w:val="auto"/>
                <w:sz w:val="22"/>
                <w:szCs w:val="22"/>
                <w:lang w:val="en-US"/>
              </w:rPr>
              <w:t xml:space="preserve">), </w:t>
            </w:r>
            <w:proofErr w:type="spellStart"/>
            <w:r w:rsidRPr="00C1248A">
              <w:rPr>
                <w:color w:val="auto"/>
                <w:sz w:val="22"/>
                <w:szCs w:val="22"/>
                <w:lang w:val="en-US"/>
              </w:rPr>
              <w:t>indiferent</w:t>
            </w:r>
            <w:proofErr w:type="spellEnd"/>
            <w:r w:rsidRPr="00C1248A">
              <w:rPr>
                <w:color w:val="auto"/>
                <w:sz w:val="22"/>
                <w:szCs w:val="22"/>
                <w:lang w:val="en-US"/>
              </w:rPr>
              <w:t xml:space="preserve"> de </w:t>
            </w:r>
            <w:proofErr w:type="spellStart"/>
            <w:r w:rsidRPr="00C1248A">
              <w:rPr>
                <w:color w:val="auto"/>
                <w:sz w:val="22"/>
                <w:szCs w:val="22"/>
                <w:lang w:val="en-US"/>
              </w:rPr>
              <w:t>metoda</w:t>
            </w:r>
            <w:proofErr w:type="spellEnd"/>
            <w:r w:rsidRPr="00C1248A">
              <w:rPr>
                <w:color w:val="auto"/>
                <w:sz w:val="22"/>
                <w:szCs w:val="22"/>
                <w:lang w:val="en-US"/>
              </w:rPr>
              <w:t xml:space="preserve"> </w:t>
            </w:r>
            <w:proofErr w:type="spellStart"/>
            <w:r w:rsidRPr="00C1248A">
              <w:rPr>
                <w:color w:val="auto"/>
                <w:sz w:val="22"/>
                <w:szCs w:val="22"/>
                <w:lang w:val="en-US"/>
              </w:rPr>
              <w:t>primară</w:t>
            </w:r>
            <w:proofErr w:type="spellEnd"/>
            <w:r w:rsidRPr="00C1248A">
              <w:rPr>
                <w:color w:val="auto"/>
                <w:sz w:val="22"/>
                <w:szCs w:val="22"/>
                <w:lang w:val="en-US"/>
              </w:rPr>
              <w:t xml:space="preserve"> </w:t>
            </w:r>
            <w:proofErr w:type="spellStart"/>
            <w:r w:rsidRPr="00C1248A">
              <w:rPr>
                <w:color w:val="auto"/>
                <w:sz w:val="22"/>
                <w:szCs w:val="22"/>
                <w:lang w:val="en-US"/>
              </w:rPr>
              <w:t>selectivă</w:t>
            </w:r>
            <w:proofErr w:type="spellEnd"/>
            <w:r w:rsidRPr="00C1248A">
              <w:rPr>
                <w:color w:val="auto"/>
                <w:sz w:val="22"/>
                <w:szCs w:val="22"/>
                <w:lang w:val="en-US"/>
              </w:rPr>
              <w:t xml:space="preserve"> </w:t>
            </w:r>
            <w:proofErr w:type="spellStart"/>
            <w:r w:rsidRPr="00C1248A">
              <w:rPr>
                <w:color w:val="auto"/>
                <w:sz w:val="22"/>
                <w:szCs w:val="22"/>
                <w:lang w:val="en-US"/>
              </w:rPr>
              <w:t>sau</w:t>
            </w:r>
            <w:proofErr w:type="spellEnd"/>
            <w:r w:rsidRPr="00C1248A">
              <w:rPr>
                <w:color w:val="auto"/>
                <w:sz w:val="22"/>
                <w:szCs w:val="22"/>
                <w:lang w:val="en-US"/>
              </w:rPr>
              <w:t xml:space="preserve"> </w:t>
            </w:r>
            <w:proofErr w:type="spellStart"/>
            <w:r w:rsidRPr="00C1248A">
              <w:rPr>
                <w:color w:val="auto"/>
                <w:sz w:val="22"/>
                <w:szCs w:val="22"/>
                <w:lang w:val="en-US"/>
              </w:rPr>
              <w:t>masivă</w:t>
            </w:r>
            <w:proofErr w:type="spellEnd"/>
            <w:r w:rsidRPr="00C1248A">
              <w:rPr>
                <w:color w:val="auto"/>
                <w:sz w:val="22"/>
                <w:szCs w:val="22"/>
                <w:lang w:val="en-US"/>
              </w:rPr>
              <w:t xml:space="preserve"> (la </w:t>
            </w:r>
            <w:proofErr w:type="spellStart"/>
            <w:r w:rsidRPr="00C1248A">
              <w:rPr>
                <w:color w:val="auto"/>
                <w:sz w:val="22"/>
                <w:szCs w:val="22"/>
                <w:lang w:val="en-US"/>
              </w:rPr>
              <w:t>inițiativa</w:t>
            </w:r>
            <w:proofErr w:type="spellEnd"/>
            <w:r w:rsidRPr="00C1248A">
              <w:rPr>
                <w:color w:val="auto"/>
                <w:sz w:val="22"/>
                <w:szCs w:val="22"/>
                <w:lang w:val="en-US"/>
              </w:rPr>
              <w:t xml:space="preserve"> APL), </w:t>
            </w:r>
            <w:proofErr w:type="spellStart"/>
            <w:r w:rsidRPr="00C1248A">
              <w:rPr>
                <w:color w:val="auto"/>
                <w:sz w:val="22"/>
                <w:szCs w:val="22"/>
                <w:lang w:val="en-US"/>
              </w:rPr>
              <w:t>sau</w:t>
            </w:r>
            <w:proofErr w:type="spellEnd"/>
            <w:r w:rsidRPr="00C1248A">
              <w:rPr>
                <w:color w:val="auto"/>
                <w:sz w:val="22"/>
                <w:szCs w:val="22"/>
                <w:lang w:val="en-US"/>
              </w:rPr>
              <w:t xml:space="preserve"> </w:t>
            </w:r>
            <w:proofErr w:type="spellStart"/>
            <w:r w:rsidRPr="00C1248A">
              <w:rPr>
                <w:color w:val="auto"/>
                <w:sz w:val="22"/>
                <w:szCs w:val="22"/>
                <w:lang w:val="en-US"/>
              </w:rPr>
              <w:t>înscrierea</w:t>
            </w:r>
            <w:proofErr w:type="spellEnd"/>
            <w:r w:rsidRPr="00C1248A">
              <w:rPr>
                <w:color w:val="auto"/>
                <w:sz w:val="22"/>
                <w:szCs w:val="22"/>
                <w:lang w:val="en-US"/>
              </w:rPr>
              <w:t xml:space="preserve"> </w:t>
            </w:r>
            <w:proofErr w:type="spellStart"/>
            <w:r w:rsidRPr="00C1248A">
              <w:rPr>
                <w:color w:val="auto"/>
                <w:sz w:val="22"/>
                <w:szCs w:val="22"/>
                <w:lang w:val="en-US"/>
              </w:rPr>
              <w:t>drepturilor</w:t>
            </w:r>
            <w:proofErr w:type="spellEnd"/>
            <w:r w:rsidRPr="00C1248A">
              <w:rPr>
                <w:color w:val="auto"/>
                <w:sz w:val="22"/>
                <w:szCs w:val="22"/>
                <w:lang w:val="en-US"/>
              </w:rPr>
              <w:t xml:space="preserve"> </w:t>
            </w:r>
            <w:proofErr w:type="spellStart"/>
            <w:r w:rsidRPr="00C1248A">
              <w:rPr>
                <w:color w:val="auto"/>
                <w:sz w:val="22"/>
                <w:szCs w:val="22"/>
                <w:lang w:val="en-US"/>
              </w:rPr>
              <w:t>subsecvente</w:t>
            </w:r>
            <w:proofErr w:type="spellEnd"/>
            <w:r w:rsidRPr="00C1248A">
              <w:rPr>
                <w:color w:val="auto"/>
                <w:sz w:val="22"/>
                <w:szCs w:val="22"/>
                <w:lang w:val="en-US"/>
              </w:rPr>
              <w:t xml:space="preserve"> (de ex, </w:t>
            </w:r>
            <w:proofErr w:type="spellStart"/>
            <w:r w:rsidRPr="00C1248A">
              <w:rPr>
                <w:color w:val="auto"/>
                <w:sz w:val="22"/>
                <w:szCs w:val="22"/>
                <w:lang w:val="en-US"/>
              </w:rPr>
              <w:t>notarea</w:t>
            </w:r>
            <w:proofErr w:type="spellEnd"/>
            <w:r w:rsidRPr="00C1248A">
              <w:rPr>
                <w:color w:val="auto"/>
                <w:sz w:val="22"/>
                <w:szCs w:val="22"/>
                <w:lang w:val="en-US"/>
              </w:rPr>
              <w:t xml:space="preserve"> </w:t>
            </w:r>
            <w:proofErr w:type="spellStart"/>
            <w:r w:rsidRPr="00C1248A">
              <w:rPr>
                <w:color w:val="auto"/>
                <w:sz w:val="22"/>
                <w:szCs w:val="22"/>
                <w:lang w:val="en-US"/>
              </w:rPr>
              <w:t>locațuniii</w:t>
            </w:r>
            <w:proofErr w:type="spellEnd"/>
            <w:r w:rsidRPr="00C1248A">
              <w:rPr>
                <w:color w:val="auto"/>
                <w:sz w:val="22"/>
                <w:szCs w:val="22"/>
                <w:lang w:val="en-US"/>
              </w:rPr>
              <w:t xml:space="preserve">, </w:t>
            </w:r>
            <w:proofErr w:type="spellStart"/>
            <w:r w:rsidRPr="00C1248A">
              <w:rPr>
                <w:color w:val="auto"/>
                <w:sz w:val="22"/>
                <w:szCs w:val="22"/>
                <w:lang w:val="en-US"/>
              </w:rPr>
              <w:t>înscrierea</w:t>
            </w:r>
            <w:proofErr w:type="spellEnd"/>
            <w:r w:rsidRPr="00C1248A">
              <w:rPr>
                <w:color w:val="auto"/>
                <w:sz w:val="22"/>
                <w:szCs w:val="22"/>
                <w:lang w:val="en-US"/>
              </w:rPr>
              <w:t xml:space="preserve"> </w:t>
            </w:r>
            <w:proofErr w:type="spellStart"/>
            <w:r w:rsidRPr="00C1248A">
              <w:rPr>
                <w:color w:val="auto"/>
                <w:sz w:val="22"/>
                <w:szCs w:val="22"/>
                <w:lang w:val="en-US"/>
              </w:rPr>
              <w:t>superficiei</w:t>
            </w:r>
            <w:proofErr w:type="spellEnd"/>
            <w:r w:rsidRPr="00C1248A">
              <w:rPr>
                <w:color w:val="auto"/>
                <w:sz w:val="22"/>
                <w:szCs w:val="22"/>
                <w:lang w:val="en-US"/>
              </w:rPr>
              <w:t xml:space="preserve">, </w:t>
            </w:r>
            <w:proofErr w:type="spellStart"/>
            <w:r w:rsidRPr="00C1248A">
              <w:rPr>
                <w:color w:val="auto"/>
                <w:sz w:val="22"/>
                <w:szCs w:val="22"/>
                <w:lang w:val="en-US"/>
              </w:rPr>
              <w:t>ș.a</w:t>
            </w:r>
            <w:proofErr w:type="spellEnd"/>
            <w:r w:rsidRPr="00C1248A">
              <w:rPr>
                <w:color w:val="auto"/>
                <w:sz w:val="22"/>
                <w:szCs w:val="22"/>
                <w:lang w:val="en-US"/>
              </w:rPr>
              <w:t xml:space="preserve">.) nu </w:t>
            </w:r>
            <w:proofErr w:type="spellStart"/>
            <w:r w:rsidRPr="00C1248A">
              <w:rPr>
                <w:color w:val="auto"/>
                <w:sz w:val="22"/>
                <w:szCs w:val="22"/>
                <w:lang w:val="en-US"/>
              </w:rPr>
              <w:t>este</w:t>
            </w:r>
            <w:proofErr w:type="spellEnd"/>
            <w:r w:rsidRPr="00C1248A">
              <w:rPr>
                <w:color w:val="auto"/>
                <w:sz w:val="22"/>
                <w:szCs w:val="22"/>
                <w:lang w:val="en-US"/>
              </w:rPr>
              <w:t xml:space="preserve"> </w:t>
            </w:r>
            <w:proofErr w:type="spellStart"/>
            <w:r w:rsidRPr="00C1248A">
              <w:rPr>
                <w:color w:val="auto"/>
                <w:sz w:val="22"/>
                <w:szCs w:val="22"/>
                <w:lang w:val="en-US"/>
              </w:rPr>
              <w:t>prevăzută</w:t>
            </w:r>
            <w:proofErr w:type="spellEnd"/>
            <w:r w:rsidRPr="00C1248A">
              <w:rPr>
                <w:color w:val="auto"/>
                <w:sz w:val="22"/>
                <w:szCs w:val="22"/>
                <w:lang w:val="en-US"/>
              </w:rPr>
              <w:t xml:space="preserve"> </w:t>
            </w:r>
            <w:proofErr w:type="spellStart"/>
            <w:r w:rsidRPr="00C1248A">
              <w:rPr>
                <w:color w:val="auto"/>
                <w:sz w:val="22"/>
                <w:szCs w:val="22"/>
                <w:lang w:val="en-US"/>
              </w:rPr>
              <w:t>să</w:t>
            </w:r>
            <w:proofErr w:type="spellEnd"/>
            <w:r w:rsidRPr="00C1248A">
              <w:rPr>
                <w:color w:val="auto"/>
                <w:sz w:val="22"/>
                <w:szCs w:val="22"/>
                <w:lang w:val="en-US"/>
              </w:rPr>
              <w:t xml:space="preserve"> se </w:t>
            </w:r>
            <w:proofErr w:type="spellStart"/>
            <w:r w:rsidRPr="00C1248A">
              <w:rPr>
                <w:color w:val="auto"/>
                <w:sz w:val="22"/>
                <w:szCs w:val="22"/>
                <w:lang w:val="en-US"/>
              </w:rPr>
              <w:t>efectueze</w:t>
            </w:r>
            <w:proofErr w:type="spellEnd"/>
            <w:r w:rsidRPr="00C1248A">
              <w:rPr>
                <w:color w:val="auto"/>
                <w:sz w:val="22"/>
                <w:szCs w:val="22"/>
                <w:lang w:val="en-US"/>
              </w:rPr>
              <w:t xml:space="preserve"> </w:t>
            </w:r>
            <w:proofErr w:type="spellStart"/>
            <w:r w:rsidRPr="00C1248A">
              <w:rPr>
                <w:color w:val="auto"/>
                <w:sz w:val="22"/>
                <w:szCs w:val="22"/>
                <w:lang w:val="en-US"/>
              </w:rPr>
              <w:t>în</w:t>
            </w:r>
            <w:proofErr w:type="spellEnd"/>
            <w:r w:rsidRPr="00C1248A">
              <w:rPr>
                <w:color w:val="auto"/>
                <w:sz w:val="22"/>
                <w:szCs w:val="22"/>
                <w:lang w:val="en-US"/>
              </w:rPr>
              <w:t xml:space="preserve"> </w:t>
            </w:r>
            <w:proofErr w:type="spellStart"/>
            <w:r w:rsidRPr="00C1248A">
              <w:rPr>
                <w:color w:val="auto"/>
                <w:sz w:val="22"/>
                <w:szCs w:val="22"/>
                <w:lang w:val="en-US"/>
              </w:rPr>
              <w:t>condiții</w:t>
            </w:r>
            <w:proofErr w:type="spellEnd"/>
            <w:r w:rsidRPr="00C1248A">
              <w:rPr>
                <w:color w:val="auto"/>
                <w:sz w:val="22"/>
                <w:szCs w:val="22"/>
                <w:lang w:val="en-US"/>
              </w:rPr>
              <w:t xml:space="preserve"> </w:t>
            </w:r>
            <w:proofErr w:type="spellStart"/>
            <w:r w:rsidRPr="00C1248A">
              <w:rPr>
                <w:color w:val="auto"/>
                <w:sz w:val="22"/>
                <w:szCs w:val="22"/>
                <w:lang w:val="en-US"/>
              </w:rPr>
              <w:t>facilitare</w:t>
            </w:r>
            <w:proofErr w:type="spellEnd"/>
            <w:r w:rsidRPr="00C1248A">
              <w:rPr>
                <w:color w:val="auto"/>
                <w:sz w:val="22"/>
                <w:szCs w:val="22"/>
                <w:lang w:val="en-US"/>
              </w:rPr>
              <w:t xml:space="preserve">, cu </w:t>
            </w:r>
            <w:proofErr w:type="spellStart"/>
            <w:r w:rsidRPr="00C1248A">
              <w:rPr>
                <w:color w:val="auto"/>
                <w:sz w:val="22"/>
                <w:szCs w:val="22"/>
                <w:lang w:val="en-US"/>
              </w:rPr>
              <w:t>înlesniri</w:t>
            </w:r>
            <w:proofErr w:type="spellEnd"/>
            <w:r w:rsidRPr="00C1248A">
              <w:rPr>
                <w:color w:val="auto"/>
                <w:sz w:val="22"/>
                <w:szCs w:val="22"/>
                <w:lang w:val="en-US"/>
              </w:rPr>
              <w:t xml:space="preserve">. </w:t>
            </w:r>
          </w:p>
          <w:p w14:paraId="0A40D8C2" w14:textId="77777777" w:rsidR="00E11E7D" w:rsidRPr="00C1248A" w:rsidRDefault="00E11E7D" w:rsidP="00100996">
            <w:pPr>
              <w:pStyle w:val="Default"/>
              <w:ind w:firstLine="319"/>
              <w:jc w:val="both"/>
              <w:rPr>
                <w:color w:val="auto"/>
                <w:sz w:val="22"/>
                <w:szCs w:val="22"/>
                <w:lang w:val="en-US"/>
              </w:rPr>
            </w:pPr>
            <w:r w:rsidRPr="00C1248A">
              <w:rPr>
                <w:color w:val="auto"/>
                <w:sz w:val="22"/>
                <w:szCs w:val="22"/>
                <w:lang w:val="en-US"/>
              </w:rPr>
              <w:t xml:space="preserve">Art. 7 din </w:t>
            </w:r>
            <w:proofErr w:type="spellStart"/>
            <w:r w:rsidRPr="00C1248A">
              <w:rPr>
                <w:color w:val="auto"/>
                <w:sz w:val="22"/>
                <w:szCs w:val="22"/>
                <w:lang w:val="en-US"/>
              </w:rPr>
              <w:t>Legea</w:t>
            </w:r>
            <w:proofErr w:type="spellEnd"/>
            <w:r w:rsidRPr="00C1248A">
              <w:rPr>
                <w:color w:val="auto"/>
                <w:sz w:val="22"/>
                <w:szCs w:val="22"/>
                <w:lang w:val="en-US"/>
              </w:rPr>
              <w:t xml:space="preserve"> </w:t>
            </w:r>
            <w:proofErr w:type="spellStart"/>
            <w:r w:rsidRPr="00C1248A">
              <w:rPr>
                <w:color w:val="auto"/>
                <w:sz w:val="22"/>
                <w:szCs w:val="22"/>
                <w:lang w:val="en-US"/>
              </w:rPr>
              <w:t>cadastrului</w:t>
            </w:r>
            <w:proofErr w:type="spellEnd"/>
            <w:r w:rsidRPr="00C1248A">
              <w:rPr>
                <w:color w:val="auto"/>
                <w:sz w:val="22"/>
                <w:szCs w:val="22"/>
                <w:lang w:val="en-US"/>
              </w:rPr>
              <w:t xml:space="preserve"> </w:t>
            </w:r>
            <w:proofErr w:type="spellStart"/>
            <w:r w:rsidRPr="00C1248A">
              <w:rPr>
                <w:color w:val="auto"/>
                <w:sz w:val="22"/>
                <w:szCs w:val="22"/>
                <w:lang w:val="en-US"/>
              </w:rPr>
              <w:t>bunurilor</w:t>
            </w:r>
            <w:proofErr w:type="spellEnd"/>
            <w:r w:rsidRPr="00C1248A">
              <w:rPr>
                <w:color w:val="auto"/>
                <w:sz w:val="22"/>
                <w:szCs w:val="22"/>
                <w:lang w:val="en-US"/>
              </w:rPr>
              <w:t xml:space="preserve"> </w:t>
            </w:r>
            <w:proofErr w:type="spellStart"/>
            <w:r w:rsidRPr="00C1248A">
              <w:rPr>
                <w:color w:val="auto"/>
                <w:sz w:val="22"/>
                <w:szCs w:val="22"/>
                <w:lang w:val="en-US"/>
              </w:rPr>
              <w:t>imobile</w:t>
            </w:r>
            <w:proofErr w:type="spellEnd"/>
            <w:r w:rsidRPr="00C1248A">
              <w:rPr>
                <w:color w:val="auto"/>
                <w:sz w:val="22"/>
                <w:szCs w:val="22"/>
                <w:lang w:val="en-US"/>
              </w:rPr>
              <w:t xml:space="preserve"> </w:t>
            </w:r>
            <w:proofErr w:type="spellStart"/>
            <w:r w:rsidRPr="00C1248A">
              <w:rPr>
                <w:color w:val="auto"/>
                <w:sz w:val="22"/>
                <w:szCs w:val="22"/>
                <w:lang w:val="en-US"/>
              </w:rPr>
              <w:t>prevede</w:t>
            </w:r>
            <w:proofErr w:type="spellEnd"/>
            <w:r w:rsidRPr="00C1248A">
              <w:rPr>
                <w:color w:val="auto"/>
                <w:sz w:val="22"/>
                <w:szCs w:val="22"/>
                <w:lang w:val="en-US"/>
              </w:rPr>
              <w:t xml:space="preserve"> </w:t>
            </w:r>
            <w:proofErr w:type="spellStart"/>
            <w:r w:rsidRPr="00C1248A">
              <w:rPr>
                <w:color w:val="auto"/>
                <w:sz w:val="22"/>
                <w:szCs w:val="22"/>
                <w:lang w:val="en-US"/>
              </w:rPr>
              <w:t>că</w:t>
            </w:r>
            <w:proofErr w:type="spellEnd"/>
            <w:r w:rsidRPr="00C1248A">
              <w:rPr>
                <w:color w:val="auto"/>
                <w:sz w:val="22"/>
                <w:szCs w:val="22"/>
                <w:lang w:val="en-US"/>
              </w:rPr>
              <w:t>: „</w:t>
            </w:r>
          </w:p>
          <w:p w14:paraId="3F821C62" w14:textId="77777777" w:rsidR="00E11E7D" w:rsidRPr="00C1248A" w:rsidRDefault="00E11E7D" w:rsidP="00100996">
            <w:pPr>
              <w:pStyle w:val="Default"/>
              <w:ind w:firstLine="319"/>
              <w:jc w:val="both"/>
              <w:rPr>
                <w:color w:val="auto"/>
                <w:sz w:val="22"/>
                <w:szCs w:val="22"/>
                <w:lang w:val="en-US"/>
              </w:rPr>
            </w:pPr>
            <w:r w:rsidRPr="00C1248A">
              <w:rPr>
                <w:color w:val="auto"/>
                <w:sz w:val="22"/>
                <w:szCs w:val="22"/>
                <w:lang w:val="en-US"/>
              </w:rPr>
              <w:t xml:space="preserve">(1) </w:t>
            </w:r>
            <w:proofErr w:type="spellStart"/>
            <w:r w:rsidRPr="00C1248A">
              <w:rPr>
                <w:color w:val="auto"/>
                <w:sz w:val="22"/>
                <w:szCs w:val="22"/>
                <w:lang w:val="en-US"/>
              </w:rPr>
              <w:t>Autorităţile</w:t>
            </w:r>
            <w:proofErr w:type="spellEnd"/>
            <w:r w:rsidRPr="00C1248A">
              <w:rPr>
                <w:color w:val="auto"/>
                <w:sz w:val="22"/>
                <w:szCs w:val="22"/>
                <w:lang w:val="en-US"/>
              </w:rPr>
              <w:t xml:space="preserve"> </w:t>
            </w:r>
            <w:proofErr w:type="spellStart"/>
            <w:r w:rsidRPr="00C1248A">
              <w:rPr>
                <w:color w:val="auto"/>
                <w:sz w:val="22"/>
                <w:szCs w:val="22"/>
                <w:lang w:val="en-US"/>
              </w:rPr>
              <w:t>publice</w:t>
            </w:r>
            <w:proofErr w:type="spellEnd"/>
            <w:r w:rsidRPr="00C1248A">
              <w:rPr>
                <w:color w:val="auto"/>
                <w:sz w:val="22"/>
                <w:szCs w:val="22"/>
                <w:lang w:val="en-US"/>
              </w:rPr>
              <w:t xml:space="preserve"> </w:t>
            </w:r>
            <w:proofErr w:type="spellStart"/>
            <w:r w:rsidRPr="00C1248A">
              <w:rPr>
                <w:color w:val="auto"/>
                <w:sz w:val="22"/>
                <w:szCs w:val="22"/>
                <w:lang w:val="en-US"/>
              </w:rPr>
              <w:t>şi</w:t>
            </w:r>
            <w:proofErr w:type="spellEnd"/>
            <w:r w:rsidRPr="00C1248A">
              <w:rPr>
                <w:color w:val="auto"/>
                <w:sz w:val="22"/>
                <w:szCs w:val="22"/>
                <w:lang w:val="en-US"/>
              </w:rPr>
              <w:t xml:space="preserve"> </w:t>
            </w:r>
            <w:proofErr w:type="spellStart"/>
            <w:r w:rsidRPr="00C1248A">
              <w:rPr>
                <w:color w:val="auto"/>
                <w:sz w:val="22"/>
                <w:szCs w:val="22"/>
                <w:lang w:val="en-US"/>
              </w:rPr>
              <w:t>titularii</w:t>
            </w:r>
            <w:proofErr w:type="spellEnd"/>
            <w:r w:rsidRPr="00C1248A">
              <w:rPr>
                <w:color w:val="auto"/>
                <w:sz w:val="22"/>
                <w:szCs w:val="22"/>
                <w:lang w:val="en-US"/>
              </w:rPr>
              <w:t xml:space="preserve"> de </w:t>
            </w:r>
            <w:proofErr w:type="spellStart"/>
            <w:r w:rsidRPr="00C1248A">
              <w:rPr>
                <w:color w:val="auto"/>
                <w:sz w:val="22"/>
                <w:szCs w:val="22"/>
                <w:lang w:val="en-US"/>
              </w:rPr>
              <w:t>drepturi</w:t>
            </w:r>
            <w:proofErr w:type="spellEnd"/>
            <w:r w:rsidRPr="00C1248A">
              <w:rPr>
                <w:color w:val="auto"/>
                <w:sz w:val="22"/>
                <w:szCs w:val="22"/>
                <w:lang w:val="en-US"/>
              </w:rPr>
              <w:t xml:space="preserve"> </w:t>
            </w:r>
            <w:proofErr w:type="spellStart"/>
            <w:r w:rsidRPr="00C1248A">
              <w:rPr>
                <w:color w:val="auto"/>
                <w:sz w:val="22"/>
                <w:szCs w:val="22"/>
                <w:lang w:val="en-US"/>
              </w:rPr>
              <w:t>asupra</w:t>
            </w:r>
            <w:proofErr w:type="spellEnd"/>
            <w:r w:rsidRPr="00C1248A">
              <w:rPr>
                <w:color w:val="auto"/>
                <w:sz w:val="22"/>
                <w:szCs w:val="22"/>
                <w:lang w:val="en-US"/>
              </w:rPr>
              <w:t xml:space="preserve"> </w:t>
            </w:r>
            <w:proofErr w:type="spellStart"/>
            <w:r w:rsidRPr="00C1248A">
              <w:rPr>
                <w:color w:val="auto"/>
                <w:sz w:val="22"/>
                <w:szCs w:val="22"/>
                <w:lang w:val="en-US"/>
              </w:rPr>
              <w:t>bunurilor</w:t>
            </w:r>
            <w:proofErr w:type="spellEnd"/>
            <w:r w:rsidRPr="00C1248A">
              <w:rPr>
                <w:color w:val="auto"/>
                <w:sz w:val="22"/>
                <w:szCs w:val="22"/>
                <w:lang w:val="en-US"/>
              </w:rPr>
              <w:t xml:space="preserve"> </w:t>
            </w:r>
            <w:proofErr w:type="spellStart"/>
            <w:r w:rsidRPr="00C1248A">
              <w:rPr>
                <w:color w:val="auto"/>
                <w:sz w:val="22"/>
                <w:szCs w:val="22"/>
                <w:lang w:val="en-US"/>
              </w:rPr>
              <w:t>imobile</w:t>
            </w:r>
            <w:proofErr w:type="spellEnd"/>
            <w:r w:rsidRPr="00C1248A">
              <w:rPr>
                <w:color w:val="auto"/>
                <w:sz w:val="22"/>
                <w:szCs w:val="22"/>
                <w:lang w:val="en-US"/>
              </w:rPr>
              <w:t xml:space="preserve"> au </w:t>
            </w:r>
            <w:proofErr w:type="spellStart"/>
            <w:r w:rsidRPr="00C1248A">
              <w:rPr>
                <w:color w:val="auto"/>
                <w:sz w:val="22"/>
                <w:szCs w:val="22"/>
                <w:lang w:val="en-US"/>
              </w:rPr>
              <w:t>datoria</w:t>
            </w:r>
            <w:proofErr w:type="spellEnd"/>
            <w:r w:rsidRPr="00C1248A">
              <w:rPr>
                <w:color w:val="auto"/>
                <w:sz w:val="22"/>
                <w:szCs w:val="22"/>
                <w:lang w:val="en-US"/>
              </w:rPr>
              <w:t xml:space="preserve"> de a </w:t>
            </w:r>
            <w:proofErr w:type="spellStart"/>
            <w:r w:rsidRPr="00C1248A">
              <w:rPr>
                <w:color w:val="auto"/>
                <w:sz w:val="22"/>
                <w:szCs w:val="22"/>
                <w:lang w:val="en-US"/>
              </w:rPr>
              <w:t>susţine</w:t>
            </w:r>
            <w:proofErr w:type="spellEnd"/>
            <w:r w:rsidRPr="00C1248A">
              <w:rPr>
                <w:color w:val="auto"/>
                <w:sz w:val="22"/>
                <w:szCs w:val="22"/>
                <w:lang w:val="en-US"/>
              </w:rPr>
              <w:t xml:space="preserve"> </w:t>
            </w:r>
            <w:proofErr w:type="spellStart"/>
            <w:r w:rsidRPr="00C1248A">
              <w:rPr>
                <w:color w:val="auto"/>
                <w:sz w:val="22"/>
                <w:szCs w:val="22"/>
                <w:lang w:val="en-US"/>
              </w:rPr>
              <w:t>crearea</w:t>
            </w:r>
            <w:proofErr w:type="spellEnd"/>
            <w:r w:rsidRPr="00C1248A">
              <w:rPr>
                <w:color w:val="auto"/>
                <w:sz w:val="22"/>
                <w:szCs w:val="22"/>
                <w:lang w:val="en-US"/>
              </w:rPr>
              <w:t xml:space="preserve"> </w:t>
            </w:r>
            <w:proofErr w:type="spellStart"/>
            <w:r w:rsidRPr="00C1248A">
              <w:rPr>
                <w:color w:val="auto"/>
                <w:sz w:val="22"/>
                <w:szCs w:val="22"/>
                <w:lang w:val="en-US"/>
              </w:rPr>
              <w:t>şi</w:t>
            </w:r>
            <w:proofErr w:type="spellEnd"/>
            <w:r w:rsidRPr="00C1248A">
              <w:rPr>
                <w:color w:val="auto"/>
                <w:sz w:val="22"/>
                <w:szCs w:val="22"/>
                <w:lang w:val="en-US"/>
              </w:rPr>
              <w:t xml:space="preserve"> </w:t>
            </w:r>
            <w:proofErr w:type="spellStart"/>
            <w:r w:rsidRPr="00C1248A">
              <w:rPr>
                <w:color w:val="auto"/>
                <w:sz w:val="22"/>
                <w:szCs w:val="22"/>
                <w:lang w:val="en-US"/>
              </w:rPr>
              <w:t>ţinerea</w:t>
            </w:r>
            <w:proofErr w:type="spellEnd"/>
            <w:r w:rsidRPr="00C1248A">
              <w:rPr>
                <w:color w:val="auto"/>
                <w:sz w:val="22"/>
                <w:szCs w:val="22"/>
                <w:lang w:val="en-US"/>
              </w:rPr>
              <w:t xml:space="preserve"> </w:t>
            </w:r>
            <w:proofErr w:type="spellStart"/>
            <w:r w:rsidRPr="00C1248A">
              <w:rPr>
                <w:color w:val="auto"/>
                <w:sz w:val="22"/>
                <w:szCs w:val="22"/>
                <w:lang w:val="en-US"/>
              </w:rPr>
              <w:t>cadastrului</w:t>
            </w:r>
            <w:proofErr w:type="spellEnd"/>
            <w:r w:rsidRPr="00C1248A">
              <w:rPr>
                <w:color w:val="auto"/>
                <w:sz w:val="22"/>
                <w:szCs w:val="22"/>
                <w:lang w:val="en-US"/>
              </w:rPr>
              <w:t xml:space="preserve">. </w:t>
            </w:r>
          </w:p>
          <w:p w14:paraId="5B457657" w14:textId="77777777" w:rsidR="00E11E7D" w:rsidRPr="00C1248A" w:rsidRDefault="00E11E7D" w:rsidP="00100996">
            <w:pPr>
              <w:pStyle w:val="Default"/>
              <w:ind w:firstLine="319"/>
              <w:jc w:val="both"/>
              <w:rPr>
                <w:color w:val="auto"/>
                <w:sz w:val="22"/>
                <w:szCs w:val="22"/>
                <w:lang w:val="en-US"/>
              </w:rPr>
            </w:pPr>
            <w:r w:rsidRPr="00C1248A">
              <w:rPr>
                <w:color w:val="auto"/>
                <w:sz w:val="22"/>
                <w:szCs w:val="22"/>
                <w:lang w:val="en-US"/>
              </w:rPr>
              <w:t xml:space="preserve">(2) </w:t>
            </w:r>
            <w:proofErr w:type="spellStart"/>
            <w:r w:rsidRPr="00C1248A">
              <w:rPr>
                <w:color w:val="auto"/>
                <w:sz w:val="22"/>
                <w:szCs w:val="22"/>
                <w:lang w:val="en-US"/>
              </w:rPr>
              <w:t>Autorităţile</w:t>
            </w:r>
            <w:proofErr w:type="spellEnd"/>
            <w:r w:rsidRPr="00C1248A">
              <w:rPr>
                <w:color w:val="auto"/>
                <w:sz w:val="22"/>
                <w:szCs w:val="22"/>
                <w:lang w:val="en-US"/>
              </w:rPr>
              <w:t xml:space="preserve"> </w:t>
            </w:r>
            <w:proofErr w:type="spellStart"/>
            <w:r w:rsidRPr="00C1248A">
              <w:rPr>
                <w:color w:val="auto"/>
                <w:sz w:val="22"/>
                <w:szCs w:val="22"/>
                <w:lang w:val="en-US"/>
              </w:rPr>
              <w:t>administraţiei</w:t>
            </w:r>
            <w:proofErr w:type="spellEnd"/>
            <w:r w:rsidRPr="00C1248A">
              <w:rPr>
                <w:color w:val="auto"/>
                <w:sz w:val="22"/>
                <w:szCs w:val="22"/>
                <w:lang w:val="en-US"/>
              </w:rPr>
              <w:t xml:space="preserve"> </w:t>
            </w:r>
            <w:proofErr w:type="spellStart"/>
            <w:r w:rsidRPr="00C1248A">
              <w:rPr>
                <w:color w:val="auto"/>
                <w:sz w:val="22"/>
                <w:szCs w:val="22"/>
                <w:lang w:val="en-US"/>
              </w:rPr>
              <w:t>publice</w:t>
            </w:r>
            <w:proofErr w:type="spellEnd"/>
            <w:r w:rsidRPr="00C1248A">
              <w:rPr>
                <w:color w:val="auto"/>
                <w:sz w:val="22"/>
                <w:szCs w:val="22"/>
                <w:lang w:val="en-US"/>
              </w:rPr>
              <w:t xml:space="preserve"> locale </w:t>
            </w:r>
            <w:proofErr w:type="spellStart"/>
            <w:r w:rsidRPr="00C1248A">
              <w:rPr>
                <w:color w:val="auto"/>
                <w:sz w:val="22"/>
                <w:szCs w:val="22"/>
                <w:lang w:val="en-US"/>
              </w:rPr>
              <w:t>sînt</w:t>
            </w:r>
            <w:proofErr w:type="spellEnd"/>
            <w:r w:rsidRPr="00C1248A">
              <w:rPr>
                <w:color w:val="auto"/>
                <w:sz w:val="22"/>
                <w:szCs w:val="22"/>
                <w:lang w:val="en-US"/>
              </w:rPr>
              <w:t xml:space="preserve"> obligate </w:t>
            </w:r>
            <w:proofErr w:type="spellStart"/>
            <w:r w:rsidRPr="00C1248A">
              <w:rPr>
                <w:color w:val="auto"/>
                <w:sz w:val="22"/>
                <w:szCs w:val="22"/>
                <w:lang w:val="en-US"/>
              </w:rPr>
              <w:t>să</w:t>
            </w:r>
            <w:proofErr w:type="spellEnd"/>
            <w:r w:rsidRPr="00C1248A">
              <w:rPr>
                <w:color w:val="auto"/>
                <w:sz w:val="22"/>
                <w:szCs w:val="22"/>
                <w:lang w:val="en-US"/>
              </w:rPr>
              <w:t xml:space="preserve"> </w:t>
            </w:r>
            <w:proofErr w:type="spellStart"/>
            <w:r w:rsidRPr="00C1248A">
              <w:rPr>
                <w:color w:val="auto"/>
                <w:sz w:val="22"/>
                <w:szCs w:val="22"/>
                <w:lang w:val="en-US"/>
              </w:rPr>
              <w:t>acorde</w:t>
            </w:r>
            <w:proofErr w:type="spellEnd"/>
            <w:r w:rsidRPr="00C1248A">
              <w:rPr>
                <w:color w:val="auto"/>
                <w:sz w:val="22"/>
                <w:szCs w:val="22"/>
                <w:lang w:val="en-US"/>
              </w:rPr>
              <w:t xml:space="preserve"> </w:t>
            </w:r>
            <w:proofErr w:type="spellStart"/>
            <w:r w:rsidRPr="00C1248A">
              <w:rPr>
                <w:color w:val="auto"/>
                <w:sz w:val="22"/>
                <w:szCs w:val="22"/>
                <w:lang w:val="en-US"/>
              </w:rPr>
              <w:t>ajutor</w:t>
            </w:r>
            <w:proofErr w:type="spellEnd"/>
            <w:r w:rsidRPr="00C1248A">
              <w:rPr>
                <w:color w:val="auto"/>
                <w:sz w:val="22"/>
                <w:szCs w:val="22"/>
                <w:lang w:val="en-US"/>
              </w:rPr>
              <w:t xml:space="preserve"> </w:t>
            </w:r>
            <w:proofErr w:type="spellStart"/>
            <w:r w:rsidRPr="00C1248A">
              <w:rPr>
                <w:color w:val="auto"/>
                <w:sz w:val="22"/>
                <w:szCs w:val="22"/>
                <w:lang w:val="en-US"/>
              </w:rPr>
              <w:t>informaţional</w:t>
            </w:r>
            <w:proofErr w:type="spellEnd"/>
            <w:r w:rsidRPr="00C1248A">
              <w:rPr>
                <w:color w:val="auto"/>
                <w:sz w:val="22"/>
                <w:szCs w:val="22"/>
                <w:lang w:val="en-US"/>
              </w:rPr>
              <w:t xml:space="preserve">, </w:t>
            </w:r>
            <w:proofErr w:type="spellStart"/>
            <w:r w:rsidRPr="00C1248A">
              <w:rPr>
                <w:color w:val="auto"/>
                <w:sz w:val="22"/>
                <w:szCs w:val="22"/>
                <w:lang w:val="en-US"/>
              </w:rPr>
              <w:t>tehnic</w:t>
            </w:r>
            <w:proofErr w:type="spellEnd"/>
            <w:r w:rsidRPr="00C1248A">
              <w:rPr>
                <w:color w:val="auto"/>
                <w:sz w:val="22"/>
                <w:szCs w:val="22"/>
                <w:lang w:val="en-US"/>
              </w:rPr>
              <w:t xml:space="preserve"> </w:t>
            </w:r>
            <w:proofErr w:type="spellStart"/>
            <w:r w:rsidRPr="00C1248A">
              <w:rPr>
                <w:color w:val="auto"/>
                <w:sz w:val="22"/>
                <w:szCs w:val="22"/>
                <w:lang w:val="en-US"/>
              </w:rPr>
              <w:t>şi</w:t>
            </w:r>
            <w:proofErr w:type="spellEnd"/>
            <w:r w:rsidRPr="00C1248A">
              <w:rPr>
                <w:color w:val="auto"/>
                <w:sz w:val="22"/>
                <w:szCs w:val="22"/>
                <w:lang w:val="en-US"/>
              </w:rPr>
              <w:t xml:space="preserve"> de </w:t>
            </w:r>
            <w:proofErr w:type="spellStart"/>
            <w:r w:rsidRPr="00C1248A">
              <w:rPr>
                <w:color w:val="auto"/>
                <w:sz w:val="22"/>
                <w:szCs w:val="22"/>
                <w:lang w:val="en-US"/>
              </w:rPr>
              <w:t>altă</w:t>
            </w:r>
            <w:proofErr w:type="spellEnd"/>
            <w:r w:rsidRPr="00C1248A">
              <w:rPr>
                <w:color w:val="auto"/>
                <w:sz w:val="22"/>
                <w:szCs w:val="22"/>
                <w:lang w:val="en-US"/>
              </w:rPr>
              <w:t xml:space="preserve"> </w:t>
            </w:r>
            <w:proofErr w:type="spellStart"/>
            <w:r w:rsidRPr="00C1248A">
              <w:rPr>
                <w:color w:val="auto"/>
                <w:sz w:val="22"/>
                <w:szCs w:val="22"/>
                <w:lang w:val="en-US"/>
              </w:rPr>
              <w:t>natură</w:t>
            </w:r>
            <w:proofErr w:type="spellEnd"/>
            <w:r w:rsidRPr="00C1248A">
              <w:rPr>
                <w:color w:val="auto"/>
                <w:sz w:val="22"/>
                <w:szCs w:val="22"/>
                <w:lang w:val="en-US"/>
              </w:rPr>
              <w:t xml:space="preserve"> la </w:t>
            </w:r>
            <w:proofErr w:type="spellStart"/>
            <w:r w:rsidRPr="00C1248A">
              <w:rPr>
                <w:color w:val="auto"/>
                <w:sz w:val="22"/>
                <w:szCs w:val="22"/>
                <w:lang w:val="en-US"/>
              </w:rPr>
              <w:t>crearea</w:t>
            </w:r>
            <w:proofErr w:type="spellEnd"/>
            <w:r w:rsidRPr="00C1248A">
              <w:rPr>
                <w:color w:val="auto"/>
                <w:sz w:val="22"/>
                <w:szCs w:val="22"/>
                <w:lang w:val="en-US"/>
              </w:rPr>
              <w:t xml:space="preserve"> </w:t>
            </w:r>
            <w:proofErr w:type="spellStart"/>
            <w:r w:rsidRPr="00C1248A">
              <w:rPr>
                <w:color w:val="auto"/>
                <w:sz w:val="22"/>
                <w:szCs w:val="22"/>
                <w:lang w:val="en-US"/>
              </w:rPr>
              <w:t>şi</w:t>
            </w:r>
            <w:proofErr w:type="spellEnd"/>
            <w:r w:rsidRPr="00C1248A">
              <w:rPr>
                <w:color w:val="auto"/>
                <w:sz w:val="22"/>
                <w:szCs w:val="22"/>
                <w:lang w:val="en-US"/>
              </w:rPr>
              <w:t xml:space="preserve"> </w:t>
            </w:r>
            <w:proofErr w:type="spellStart"/>
            <w:r w:rsidRPr="00C1248A">
              <w:rPr>
                <w:color w:val="auto"/>
                <w:sz w:val="22"/>
                <w:szCs w:val="22"/>
                <w:lang w:val="en-US"/>
              </w:rPr>
              <w:t>ţinerea</w:t>
            </w:r>
            <w:proofErr w:type="spellEnd"/>
            <w:r w:rsidRPr="00C1248A">
              <w:rPr>
                <w:color w:val="auto"/>
                <w:sz w:val="22"/>
                <w:szCs w:val="22"/>
                <w:lang w:val="en-US"/>
              </w:rPr>
              <w:t xml:space="preserve"> </w:t>
            </w:r>
            <w:proofErr w:type="spellStart"/>
            <w:r w:rsidRPr="00C1248A">
              <w:rPr>
                <w:color w:val="auto"/>
                <w:sz w:val="22"/>
                <w:szCs w:val="22"/>
                <w:lang w:val="en-US"/>
              </w:rPr>
              <w:t>cadastrului</w:t>
            </w:r>
            <w:proofErr w:type="spellEnd"/>
            <w:r w:rsidRPr="00C1248A">
              <w:rPr>
                <w:color w:val="auto"/>
                <w:sz w:val="22"/>
                <w:szCs w:val="22"/>
                <w:lang w:val="en-US"/>
              </w:rPr>
              <w:t xml:space="preserve">”, </w:t>
            </w:r>
          </w:p>
          <w:p w14:paraId="49F86064" w14:textId="77777777" w:rsidR="00E11E7D" w:rsidRPr="00C1248A" w:rsidRDefault="00E11E7D" w:rsidP="00100996">
            <w:pPr>
              <w:pStyle w:val="Default"/>
              <w:ind w:firstLine="319"/>
              <w:jc w:val="both"/>
              <w:rPr>
                <w:color w:val="auto"/>
                <w:sz w:val="22"/>
                <w:szCs w:val="22"/>
                <w:lang w:val="en-US"/>
              </w:rPr>
            </w:pPr>
            <w:proofErr w:type="spellStart"/>
            <w:r w:rsidRPr="00C1248A">
              <w:rPr>
                <w:color w:val="auto"/>
                <w:sz w:val="22"/>
                <w:szCs w:val="22"/>
                <w:lang w:val="en-US"/>
              </w:rPr>
              <w:t>Iar</w:t>
            </w:r>
            <w:proofErr w:type="spellEnd"/>
            <w:r w:rsidRPr="00C1248A">
              <w:rPr>
                <w:color w:val="auto"/>
                <w:sz w:val="22"/>
                <w:szCs w:val="22"/>
                <w:lang w:val="en-US"/>
              </w:rPr>
              <w:t xml:space="preserve"> art. 54 din </w:t>
            </w:r>
            <w:proofErr w:type="spellStart"/>
            <w:r w:rsidRPr="00C1248A">
              <w:rPr>
                <w:color w:val="auto"/>
                <w:sz w:val="22"/>
                <w:szCs w:val="22"/>
                <w:lang w:val="en-US"/>
              </w:rPr>
              <w:t>aceiași</w:t>
            </w:r>
            <w:proofErr w:type="spellEnd"/>
            <w:r w:rsidRPr="00C1248A">
              <w:rPr>
                <w:color w:val="auto"/>
                <w:sz w:val="22"/>
                <w:szCs w:val="22"/>
                <w:lang w:val="en-US"/>
              </w:rPr>
              <w:t xml:space="preserve"> </w:t>
            </w:r>
            <w:proofErr w:type="spellStart"/>
            <w:r w:rsidRPr="00C1248A">
              <w:rPr>
                <w:color w:val="auto"/>
                <w:sz w:val="22"/>
                <w:szCs w:val="22"/>
                <w:lang w:val="en-US"/>
              </w:rPr>
              <w:t>lege</w:t>
            </w:r>
            <w:proofErr w:type="spellEnd"/>
            <w:r w:rsidRPr="00C1248A">
              <w:rPr>
                <w:color w:val="auto"/>
                <w:sz w:val="22"/>
                <w:szCs w:val="22"/>
                <w:lang w:val="en-US"/>
              </w:rPr>
              <w:t xml:space="preserve"> </w:t>
            </w:r>
            <w:proofErr w:type="spellStart"/>
            <w:r w:rsidRPr="00C1248A">
              <w:rPr>
                <w:color w:val="auto"/>
                <w:sz w:val="22"/>
                <w:szCs w:val="22"/>
                <w:lang w:val="en-US"/>
              </w:rPr>
              <w:t>prevede</w:t>
            </w:r>
            <w:proofErr w:type="spellEnd"/>
            <w:r w:rsidRPr="00C1248A">
              <w:rPr>
                <w:color w:val="auto"/>
                <w:sz w:val="22"/>
                <w:szCs w:val="22"/>
                <w:lang w:val="en-US"/>
              </w:rPr>
              <w:t xml:space="preserve"> </w:t>
            </w:r>
            <w:proofErr w:type="spellStart"/>
            <w:r w:rsidRPr="00C1248A">
              <w:rPr>
                <w:color w:val="auto"/>
                <w:sz w:val="22"/>
                <w:szCs w:val="22"/>
                <w:lang w:val="en-US"/>
              </w:rPr>
              <w:t>că</w:t>
            </w:r>
            <w:proofErr w:type="spellEnd"/>
            <w:r w:rsidRPr="00C1248A">
              <w:rPr>
                <w:color w:val="auto"/>
                <w:sz w:val="22"/>
                <w:szCs w:val="22"/>
                <w:lang w:val="en-US"/>
              </w:rPr>
              <w:t xml:space="preserve">: „(1) La </w:t>
            </w:r>
            <w:proofErr w:type="spellStart"/>
            <w:r w:rsidRPr="00C1248A">
              <w:rPr>
                <w:color w:val="auto"/>
                <w:sz w:val="22"/>
                <w:szCs w:val="22"/>
                <w:lang w:val="en-US"/>
              </w:rPr>
              <w:t>solicitarea</w:t>
            </w:r>
            <w:proofErr w:type="spellEnd"/>
            <w:r w:rsidRPr="00C1248A">
              <w:rPr>
                <w:color w:val="auto"/>
                <w:sz w:val="22"/>
                <w:szCs w:val="22"/>
                <w:lang w:val="en-US"/>
              </w:rPr>
              <w:t xml:space="preserve"> </w:t>
            </w:r>
            <w:proofErr w:type="spellStart"/>
            <w:r w:rsidRPr="00C1248A">
              <w:rPr>
                <w:color w:val="auto"/>
                <w:sz w:val="22"/>
                <w:szCs w:val="22"/>
                <w:lang w:val="en-US"/>
              </w:rPr>
              <w:t>organelor</w:t>
            </w:r>
            <w:proofErr w:type="spellEnd"/>
            <w:r w:rsidRPr="00C1248A">
              <w:rPr>
                <w:color w:val="auto"/>
                <w:sz w:val="22"/>
                <w:szCs w:val="22"/>
                <w:lang w:val="en-US"/>
              </w:rPr>
              <w:t xml:space="preserve"> </w:t>
            </w:r>
            <w:proofErr w:type="spellStart"/>
            <w:r w:rsidRPr="00C1248A">
              <w:rPr>
                <w:color w:val="auto"/>
                <w:sz w:val="22"/>
                <w:szCs w:val="22"/>
                <w:lang w:val="en-US"/>
              </w:rPr>
              <w:t>cadastrale</w:t>
            </w:r>
            <w:proofErr w:type="spellEnd"/>
            <w:r w:rsidRPr="00C1248A">
              <w:rPr>
                <w:color w:val="auto"/>
                <w:sz w:val="22"/>
                <w:szCs w:val="22"/>
                <w:lang w:val="en-US"/>
              </w:rPr>
              <w:t xml:space="preserve"> </w:t>
            </w:r>
            <w:proofErr w:type="spellStart"/>
            <w:r w:rsidRPr="00C1248A">
              <w:rPr>
                <w:color w:val="auto"/>
                <w:sz w:val="22"/>
                <w:szCs w:val="22"/>
                <w:lang w:val="en-US"/>
              </w:rPr>
              <w:t>teritoriale</w:t>
            </w:r>
            <w:proofErr w:type="spellEnd"/>
            <w:r w:rsidRPr="00C1248A">
              <w:rPr>
                <w:color w:val="auto"/>
                <w:sz w:val="22"/>
                <w:szCs w:val="22"/>
                <w:lang w:val="en-US"/>
              </w:rPr>
              <w:t xml:space="preserve">, </w:t>
            </w:r>
            <w:proofErr w:type="spellStart"/>
            <w:r w:rsidRPr="00C1248A">
              <w:rPr>
                <w:color w:val="auto"/>
                <w:sz w:val="22"/>
                <w:szCs w:val="22"/>
                <w:lang w:val="en-US"/>
              </w:rPr>
              <w:t>autorităţile</w:t>
            </w:r>
            <w:proofErr w:type="spellEnd"/>
            <w:r w:rsidRPr="00C1248A">
              <w:rPr>
                <w:color w:val="auto"/>
                <w:sz w:val="22"/>
                <w:szCs w:val="22"/>
                <w:lang w:val="en-US"/>
              </w:rPr>
              <w:t xml:space="preserve"> </w:t>
            </w:r>
            <w:proofErr w:type="spellStart"/>
            <w:r w:rsidRPr="00C1248A">
              <w:rPr>
                <w:color w:val="auto"/>
                <w:sz w:val="22"/>
                <w:szCs w:val="22"/>
                <w:lang w:val="en-US"/>
              </w:rPr>
              <w:t>administraţiei</w:t>
            </w:r>
            <w:proofErr w:type="spellEnd"/>
            <w:r w:rsidRPr="00C1248A">
              <w:rPr>
                <w:color w:val="auto"/>
                <w:sz w:val="22"/>
                <w:szCs w:val="22"/>
                <w:lang w:val="en-US"/>
              </w:rPr>
              <w:t xml:space="preserve"> </w:t>
            </w:r>
            <w:proofErr w:type="spellStart"/>
            <w:r w:rsidRPr="00C1248A">
              <w:rPr>
                <w:color w:val="auto"/>
                <w:sz w:val="22"/>
                <w:szCs w:val="22"/>
                <w:lang w:val="en-US"/>
              </w:rPr>
              <w:t>publice</w:t>
            </w:r>
            <w:proofErr w:type="spellEnd"/>
            <w:r w:rsidRPr="00C1248A">
              <w:rPr>
                <w:color w:val="auto"/>
                <w:sz w:val="22"/>
                <w:szCs w:val="22"/>
                <w:lang w:val="en-US"/>
              </w:rPr>
              <w:t xml:space="preserve"> le </w:t>
            </w:r>
            <w:proofErr w:type="spellStart"/>
            <w:r w:rsidRPr="00C1248A">
              <w:rPr>
                <w:color w:val="auto"/>
                <w:sz w:val="22"/>
                <w:szCs w:val="22"/>
                <w:lang w:val="en-US"/>
              </w:rPr>
              <w:t>prezintă</w:t>
            </w:r>
            <w:proofErr w:type="spellEnd"/>
            <w:r w:rsidRPr="00C1248A">
              <w:rPr>
                <w:color w:val="auto"/>
                <w:sz w:val="22"/>
                <w:szCs w:val="22"/>
                <w:lang w:val="en-US"/>
              </w:rPr>
              <w:t xml:space="preserve"> </w:t>
            </w:r>
            <w:proofErr w:type="spellStart"/>
            <w:r w:rsidRPr="00C1248A">
              <w:rPr>
                <w:color w:val="auto"/>
                <w:sz w:val="22"/>
                <w:szCs w:val="22"/>
                <w:lang w:val="en-US"/>
              </w:rPr>
              <w:t>gratuit</w:t>
            </w:r>
            <w:proofErr w:type="spellEnd"/>
            <w:r w:rsidRPr="00C1248A">
              <w:rPr>
                <w:color w:val="auto"/>
                <w:sz w:val="22"/>
                <w:szCs w:val="22"/>
                <w:lang w:val="en-US"/>
              </w:rPr>
              <w:t xml:space="preserve">, </w:t>
            </w:r>
            <w:proofErr w:type="spellStart"/>
            <w:r w:rsidRPr="00C1248A">
              <w:rPr>
                <w:color w:val="auto"/>
                <w:sz w:val="22"/>
                <w:szCs w:val="22"/>
                <w:lang w:val="en-US"/>
              </w:rPr>
              <w:t>în</w:t>
            </w:r>
            <w:proofErr w:type="spellEnd"/>
            <w:r w:rsidRPr="00C1248A">
              <w:rPr>
                <w:color w:val="auto"/>
                <w:sz w:val="22"/>
                <w:szCs w:val="22"/>
                <w:lang w:val="en-US"/>
              </w:rPr>
              <w:t xml:space="preserve"> termen de o </w:t>
            </w:r>
            <w:proofErr w:type="spellStart"/>
            <w:r w:rsidRPr="00C1248A">
              <w:rPr>
                <w:color w:val="auto"/>
                <w:sz w:val="22"/>
                <w:szCs w:val="22"/>
                <w:lang w:val="en-US"/>
              </w:rPr>
              <w:t>lună</w:t>
            </w:r>
            <w:proofErr w:type="spellEnd"/>
            <w:r w:rsidRPr="00C1248A">
              <w:rPr>
                <w:color w:val="auto"/>
                <w:sz w:val="22"/>
                <w:szCs w:val="22"/>
                <w:lang w:val="en-US"/>
              </w:rPr>
              <w:t xml:space="preserve"> de </w:t>
            </w:r>
            <w:r w:rsidRPr="00C1248A">
              <w:rPr>
                <w:color w:val="auto"/>
                <w:sz w:val="22"/>
                <w:szCs w:val="22"/>
                <w:lang w:val="en-US"/>
              </w:rPr>
              <w:lastRenderedPageBreak/>
              <w:t xml:space="preserve">la data </w:t>
            </w:r>
            <w:proofErr w:type="spellStart"/>
            <w:r w:rsidRPr="00C1248A">
              <w:rPr>
                <w:color w:val="auto"/>
                <w:sz w:val="22"/>
                <w:szCs w:val="22"/>
                <w:lang w:val="en-US"/>
              </w:rPr>
              <w:t>solicitării</w:t>
            </w:r>
            <w:proofErr w:type="spellEnd"/>
            <w:r w:rsidRPr="00C1248A">
              <w:rPr>
                <w:color w:val="auto"/>
                <w:sz w:val="22"/>
                <w:szCs w:val="22"/>
                <w:lang w:val="en-US"/>
              </w:rPr>
              <w:t xml:space="preserve">, </w:t>
            </w:r>
            <w:proofErr w:type="spellStart"/>
            <w:r w:rsidRPr="00C1248A">
              <w:rPr>
                <w:color w:val="auto"/>
                <w:sz w:val="22"/>
                <w:szCs w:val="22"/>
                <w:lang w:val="en-US"/>
              </w:rPr>
              <w:t>informaţia</w:t>
            </w:r>
            <w:proofErr w:type="spellEnd"/>
            <w:r w:rsidRPr="00C1248A">
              <w:rPr>
                <w:color w:val="auto"/>
                <w:sz w:val="22"/>
                <w:szCs w:val="22"/>
                <w:lang w:val="en-US"/>
              </w:rPr>
              <w:t xml:space="preserve"> </w:t>
            </w:r>
            <w:proofErr w:type="spellStart"/>
            <w:r w:rsidRPr="00C1248A">
              <w:rPr>
                <w:color w:val="auto"/>
                <w:sz w:val="22"/>
                <w:szCs w:val="22"/>
                <w:lang w:val="en-US"/>
              </w:rPr>
              <w:t>necesară</w:t>
            </w:r>
            <w:proofErr w:type="spellEnd"/>
            <w:r w:rsidRPr="00C1248A">
              <w:rPr>
                <w:color w:val="auto"/>
                <w:sz w:val="22"/>
                <w:szCs w:val="22"/>
                <w:lang w:val="en-US"/>
              </w:rPr>
              <w:t xml:space="preserve"> </w:t>
            </w:r>
            <w:proofErr w:type="spellStart"/>
            <w:r w:rsidRPr="00C1248A">
              <w:rPr>
                <w:color w:val="auto"/>
                <w:sz w:val="22"/>
                <w:szCs w:val="22"/>
                <w:lang w:val="en-US"/>
              </w:rPr>
              <w:t>pentru</w:t>
            </w:r>
            <w:proofErr w:type="spellEnd"/>
            <w:r w:rsidRPr="00C1248A">
              <w:rPr>
                <w:color w:val="auto"/>
                <w:sz w:val="22"/>
                <w:szCs w:val="22"/>
                <w:lang w:val="en-US"/>
              </w:rPr>
              <w:t xml:space="preserve"> </w:t>
            </w:r>
            <w:proofErr w:type="spellStart"/>
            <w:r w:rsidRPr="00C1248A">
              <w:rPr>
                <w:color w:val="auto"/>
                <w:sz w:val="22"/>
                <w:szCs w:val="22"/>
                <w:lang w:val="en-US"/>
              </w:rPr>
              <w:t>crearea</w:t>
            </w:r>
            <w:proofErr w:type="spellEnd"/>
            <w:r w:rsidRPr="00C1248A">
              <w:rPr>
                <w:color w:val="auto"/>
                <w:sz w:val="22"/>
                <w:szCs w:val="22"/>
                <w:lang w:val="en-US"/>
              </w:rPr>
              <w:t xml:space="preserve"> </w:t>
            </w:r>
            <w:proofErr w:type="spellStart"/>
            <w:r w:rsidRPr="00C1248A">
              <w:rPr>
                <w:color w:val="auto"/>
                <w:sz w:val="22"/>
                <w:szCs w:val="22"/>
                <w:lang w:val="en-US"/>
              </w:rPr>
              <w:t>cadastrului</w:t>
            </w:r>
            <w:proofErr w:type="spellEnd"/>
            <w:r w:rsidRPr="00C1248A">
              <w:rPr>
                <w:color w:val="auto"/>
                <w:sz w:val="22"/>
                <w:szCs w:val="22"/>
                <w:lang w:val="en-US"/>
              </w:rPr>
              <w:t xml:space="preserve">, cu </w:t>
            </w:r>
            <w:proofErr w:type="spellStart"/>
            <w:r w:rsidRPr="00C1248A">
              <w:rPr>
                <w:color w:val="auto"/>
                <w:sz w:val="22"/>
                <w:szCs w:val="22"/>
                <w:lang w:val="en-US"/>
              </w:rPr>
              <w:t>excepţia</w:t>
            </w:r>
            <w:proofErr w:type="spellEnd"/>
            <w:r w:rsidRPr="00C1248A">
              <w:rPr>
                <w:color w:val="auto"/>
                <w:sz w:val="22"/>
                <w:szCs w:val="22"/>
                <w:lang w:val="en-US"/>
              </w:rPr>
              <w:t xml:space="preserve"> </w:t>
            </w:r>
            <w:proofErr w:type="spellStart"/>
            <w:r w:rsidRPr="00C1248A">
              <w:rPr>
                <w:color w:val="auto"/>
                <w:sz w:val="22"/>
                <w:szCs w:val="22"/>
                <w:lang w:val="en-US"/>
              </w:rPr>
              <w:t>datelor</w:t>
            </w:r>
            <w:proofErr w:type="spellEnd"/>
            <w:r w:rsidRPr="00C1248A">
              <w:rPr>
                <w:color w:val="auto"/>
                <w:sz w:val="22"/>
                <w:szCs w:val="22"/>
                <w:lang w:val="en-US"/>
              </w:rPr>
              <w:t xml:space="preserve"> care </w:t>
            </w:r>
            <w:proofErr w:type="spellStart"/>
            <w:r w:rsidRPr="00C1248A">
              <w:rPr>
                <w:color w:val="auto"/>
                <w:sz w:val="22"/>
                <w:szCs w:val="22"/>
                <w:lang w:val="en-US"/>
              </w:rPr>
              <w:t>constituie</w:t>
            </w:r>
            <w:proofErr w:type="spellEnd"/>
            <w:r w:rsidRPr="00C1248A">
              <w:rPr>
                <w:color w:val="auto"/>
                <w:sz w:val="22"/>
                <w:szCs w:val="22"/>
                <w:lang w:val="en-US"/>
              </w:rPr>
              <w:t xml:space="preserve"> secret de stat: b) </w:t>
            </w:r>
            <w:proofErr w:type="spellStart"/>
            <w:r w:rsidRPr="00C1248A">
              <w:rPr>
                <w:color w:val="auto"/>
                <w:sz w:val="22"/>
                <w:szCs w:val="22"/>
                <w:lang w:val="en-US"/>
              </w:rPr>
              <w:t>autorităţile</w:t>
            </w:r>
            <w:proofErr w:type="spellEnd"/>
            <w:r w:rsidRPr="00C1248A">
              <w:rPr>
                <w:color w:val="auto"/>
                <w:sz w:val="22"/>
                <w:szCs w:val="22"/>
                <w:lang w:val="en-US"/>
              </w:rPr>
              <w:t xml:space="preserve"> </w:t>
            </w:r>
            <w:proofErr w:type="spellStart"/>
            <w:r w:rsidRPr="00C1248A">
              <w:rPr>
                <w:color w:val="auto"/>
                <w:sz w:val="22"/>
                <w:szCs w:val="22"/>
                <w:lang w:val="en-US"/>
              </w:rPr>
              <w:t>administraţiei</w:t>
            </w:r>
            <w:proofErr w:type="spellEnd"/>
            <w:r w:rsidRPr="00C1248A">
              <w:rPr>
                <w:color w:val="auto"/>
                <w:sz w:val="22"/>
                <w:szCs w:val="22"/>
                <w:lang w:val="en-US"/>
              </w:rPr>
              <w:t xml:space="preserve"> </w:t>
            </w:r>
            <w:proofErr w:type="spellStart"/>
            <w:r w:rsidRPr="00C1248A">
              <w:rPr>
                <w:color w:val="auto"/>
                <w:sz w:val="22"/>
                <w:szCs w:val="22"/>
                <w:lang w:val="en-US"/>
              </w:rPr>
              <w:t>publice</w:t>
            </w:r>
            <w:proofErr w:type="spellEnd"/>
            <w:r w:rsidRPr="00C1248A">
              <w:rPr>
                <w:color w:val="auto"/>
                <w:sz w:val="22"/>
                <w:szCs w:val="22"/>
                <w:lang w:val="en-US"/>
              </w:rPr>
              <w:t xml:space="preserve"> locale - date din </w:t>
            </w:r>
            <w:proofErr w:type="spellStart"/>
            <w:r w:rsidRPr="00C1248A">
              <w:rPr>
                <w:color w:val="auto"/>
                <w:sz w:val="22"/>
                <w:szCs w:val="22"/>
                <w:lang w:val="en-US"/>
              </w:rPr>
              <w:t>Registrul</w:t>
            </w:r>
            <w:proofErr w:type="spellEnd"/>
            <w:r w:rsidRPr="00C1248A">
              <w:rPr>
                <w:color w:val="auto"/>
                <w:sz w:val="22"/>
                <w:szCs w:val="22"/>
                <w:lang w:val="en-US"/>
              </w:rPr>
              <w:t xml:space="preserve"> cadastral al </w:t>
            </w:r>
            <w:proofErr w:type="spellStart"/>
            <w:r w:rsidRPr="00C1248A">
              <w:rPr>
                <w:color w:val="auto"/>
                <w:sz w:val="22"/>
                <w:szCs w:val="22"/>
                <w:lang w:val="en-US"/>
              </w:rPr>
              <w:t>deţinătorilor</w:t>
            </w:r>
            <w:proofErr w:type="spellEnd"/>
            <w:r w:rsidRPr="00C1248A">
              <w:rPr>
                <w:color w:val="auto"/>
                <w:sz w:val="22"/>
                <w:szCs w:val="22"/>
                <w:lang w:val="en-US"/>
              </w:rPr>
              <w:t xml:space="preserve"> de </w:t>
            </w:r>
            <w:proofErr w:type="spellStart"/>
            <w:r w:rsidRPr="00C1248A">
              <w:rPr>
                <w:color w:val="auto"/>
                <w:sz w:val="22"/>
                <w:szCs w:val="22"/>
                <w:lang w:val="en-US"/>
              </w:rPr>
              <w:t>terenuri</w:t>
            </w:r>
            <w:proofErr w:type="spellEnd"/>
            <w:r w:rsidRPr="00C1248A">
              <w:rPr>
                <w:color w:val="auto"/>
                <w:sz w:val="22"/>
                <w:szCs w:val="22"/>
                <w:lang w:val="en-US"/>
              </w:rPr>
              <w:t xml:space="preserve">, </w:t>
            </w:r>
            <w:proofErr w:type="spellStart"/>
            <w:r w:rsidRPr="00C1248A">
              <w:rPr>
                <w:color w:val="auto"/>
                <w:sz w:val="22"/>
                <w:szCs w:val="22"/>
                <w:lang w:val="en-US"/>
              </w:rPr>
              <w:t>copii</w:t>
            </w:r>
            <w:proofErr w:type="spellEnd"/>
            <w:r w:rsidRPr="00C1248A">
              <w:rPr>
                <w:color w:val="auto"/>
                <w:sz w:val="22"/>
                <w:szCs w:val="22"/>
                <w:lang w:val="en-US"/>
              </w:rPr>
              <w:t xml:space="preserve"> de pe </w:t>
            </w:r>
            <w:proofErr w:type="spellStart"/>
            <w:r w:rsidRPr="00C1248A">
              <w:rPr>
                <w:color w:val="auto"/>
                <w:sz w:val="22"/>
                <w:szCs w:val="22"/>
                <w:lang w:val="en-US"/>
              </w:rPr>
              <w:t>deciziile</w:t>
            </w:r>
            <w:proofErr w:type="spellEnd"/>
            <w:r w:rsidRPr="00C1248A">
              <w:rPr>
                <w:color w:val="auto"/>
                <w:sz w:val="22"/>
                <w:szCs w:val="22"/>
                <w:lang w:val="en-US"/>
              </w:rPr>
              <w:t xml:space="preserve"> cu </w:t>
            </w:r>
            <w:proofErr w:type="spellStart"/>
            <w:r w:rsidRPr="00C1248A">
              <w:rPr>
                <w:color w:val="auto"/>
                <w:sz w:val="22"/>
                <w:szCs w:val="22"/>
                <w:lang w:val="en-US"/>
              </w:rPr>
              <w:t>privire</w:t>
            </w:r>
            <w:proofErr w:type="spellEnd"/>
            <w:r w:rsidRPr="00C1248A">
              <w:rPr>
                <w:color w:val="auto"/>
                <w:sz w:val="22"/>
                <w:szCs w:val="22"/>
                <w:lang w:val="en-US"/>
              </w:rPr>
              <w:t xml:space="preserve"> la </w:t>
            </w:r>
            <w:proofErr w:type="spellStart"/>
            <w:r w:rsidRPr="00C1248A">
              <w:rPr>
                <w:color w:val="auto"/>
                <w:sz w:val="22"/>
                <w:szCs w:val="22"/>
                <w:lang w:val="en-US"/>
              </w:rPr>
              <w:t>atribuirea</w:t>
            </w:r>
            <w:proofErr w:type="spellEnd"/>
            <w:r w:rsidRPr="00C1248A">
              <w:rPr>
                <w:color w:val="auto"/>
                <w:sz w:val="22"/>
                <w:szCs w:val="22"/>
                <w:lang w:val="en-US"/>
              </w:rPr>
              <w:t xml:space="preserve"> </w:t>
            </w:r>
            <w:proofErr w:type="spellStart"/>
            <w:r w:rsidRPr="00C1248A">
              <w:rPr>
                <w:color w:val="auto"/>
                <w:sz w:val="22"/>
                <w:szCs w:val="22"/>
                <w:lang w:val="en-US"/>
              </w:rPr>
              <w:t>terenurilor</w:t>
            </w:r>
            <w:proofErr w:type="spellEnd"/>
            <w:r w:rsidRPr="00C1248A">
              <w:rPr>
                <w:color w:val="auto"/>
                <w:sz w:val="22"/>
                <w:szCs w:val="22"/>
                <w:lang w:val="en-US"/>
              </w:rPr>
              <w:t xml:space="preserve">, la </w:t>
            </w:r>
            <w:proofErr w:type="spellStart"/>
            <w:r w:rsidRPr="00C1248A">
              <w:rPr>
                <w:color w:val="auto"/>
                <w:sz w:val="22"/>
                <w:szCs w:val="22"/>
                <w:lang w:val="en-US"/>
              </w:rPr>
              <w:t>aprobarea</w:t>
            </w:r>
            <w:proofErr w:type="spellEnd"/>
            <w:r w:rsidRPr="00C1248A">
              <w:rPr>
                <w:color w:val="auto"/>
                <w:sz w:val="22"/>
                <w:szCs w:val="22"/>
                <w:lang w:val="en-US"/>
              </w:rPr>
              <w:t xml:space="preserve"> </w:t>
            </w:r>
            <w:proofErr w:type="spellStart"/>
            <w:r w:rsidRPr="00C1248A">
              <w:rPr>
                <w:color w:val="auto"/>
                <w:sz w:val="22"/>
                <w:szCs w:val="22"/>
                <w:lang w:val="en-US"/>
              </w:rPr>
              <w:t>actelor</w:t>
            </w:r>
            <w:proofErr w:type="spellEnd"/>
            <w:r w:rsidRPr="00C1248A">
              <w:rPr>
                <w:color w:val="auto"/>
                <w:sz w:val="22"/>
                <w:szCs w:val="22"/>
                <w:lang w:val="en-US"/>
              </w:rPr>
              <w:t xml:space="preserve"> de </w:t>
            </w:r>
            <w:proofErr w:type="spellStart"/>
            <w:r w:rsidRPr="00C1248A">
              <w:rPr>
                <w:color w:val="auto"/>
                <w:sz w:val="22"/>
                <w:szCs w:val="22"/>
                <w:lang w:val="en-US"/>
              </w:rPr>
              <w:t>recepţie</w:t>
            </w:r>
            <w:proofErr w:type="spellEnd"/>
            <w:r w:rsidRPr="00C1248A">
              <w:rPr>
                <w:color w:val="auto"/>
                <w:sz w:val="22"/>
                <w:szCs w:val="22"/>
                <w:lang w:val="en-US"/>
              </w:rPr>
              <w:t xml:space="preserve"> a </w:t>
            </w:r>
            <w:proofErr w:type="spellStart"/>
            <w:r w:rsidRPr="00C1248A">
              <w:rPr>
                <w:color w:val="auto"/>
                <w:sz w:val="22"/>
                <w:szCs w:val="22"/>
                <w:lang w:val="en-US"/>
              </w:rPr>
              <w:t>construcţiilor</w:t>
            </w:r>
            <w:proofErr w:type="spellEnd"/>
            <w:r w:rsidRPr="00C1248A">
              <w:rPr>
                <w:color w:val="auto"/>
                <w:sz w:val="22"/>
                <w:szCs w:val="22"/>
                <w:lang w:val="en-US"/>
              </w:rPr>
              <w:t xml:space="preserve">, </w:t>
            </w:r>
            <w:proofErr w:type="spellStart"/>
            <w:r w:rsidRPr="00C1248A">
              <w:rPr>
                <w:color w:val="auto"/>
                <w:sz w:val="22"/>
                <w:szCs w:val="22"/>
                <w:lang w:val="en-US"/>
              </w:rPr>
              <w:t>extrase</w:t>
            </w:r>
            <w:proofErr w:type="spellEnd"/>
            <w:r w:rsidRPr="00C1248A">
              <w:rPr>
                <w:color w:val="auto"/>
                <w:sz w:val="22"/>
                <w:szCs w:val="22"/>
                <w:lang w:val="en-US"/>
              </w:rPr>
              <w:t xml:space="preserve"> (</w:t>
            </w:r>
            <w:proofErr w:type="spellStart"/>
            <w:r w:rsidRPr="00C1248A">
              <w:rPr>
                <w:color w:val="auto"/>
                <w:sz w:val="22"/>
                <w:szCs w:val="22"/>
                <w:lang w:val="en-US"/>
              </w:rPr>
              <w:t>adeverinţe</w:t>
            </w:r>
            <w:proofErr w:type="spellEnd"/>
            <w:r w:rsidRPr="00C1248A">
              <w:rPr>
                <w:color w:val="auto"/>
                <w:sz w:val="22"/>
                <w:szCs w:val="22"/>
                <w:lang w:val="en-US"/>
              </w:rPr>
              <w:t xml:space="preserve">) din </w:t>
            </w:r>
            <w:proofErr w:type="spellStart"/>
            <w:r w:rsidRPr="00C1248A">
              <w:rPr>
                <w:color w:val="auto"/>
                <w:sz w:val="22"/>
                <w:szCs w:val="22"/>
                <w:lang w:val="en-US"/>
              </w:rPr>
              <w:t>registrul</w:t>
            </w:r>
            <w:proofErr w:type="spellEnd"/>
            <w:r w:rsidRPr="00C1248A">
              <w:rPr>
                <w:color w:val="auto"/>
                <w:sz w:val="22"/>
                <w:szCs w:val="22"/>
                <w:lang w:val="en-US"/>
              </w:rPr>
              <w:t xml:space="preserve"> de </w:t>
            </w:r>
            <w:proofErr w:type="spellStart"/>
            <w:r w:rsidRPr="00C1248A">
              <w:rPr>
                <w:color w:val="auto"/>
                <w:sz w:val="22"/>
                <w:szCs w:val="22"/>
                <w:lang w:val="en-US"/>
              </w:rPr>
              <w:t>evidenţă</w:t>
            </w:r>
            <w:proofErr w:type="spellEnd"/>
            <w:r w:rsidRPr="00C1248A">
              <w:rPr>
                <w:color w:val="auto"/>
                <w:sz w:val="22"/>
                <w:szCs w:val="22"/>
                <w:lang w:val="en-US"/>
              </w:rPr>
              <w:t xml:space="preserve"> a </w:t>
            </w:r>
            <w:proofErr w:type="spellStart"/>
            <w:r w:rsidRPr="00C1248A">
              <w:rPr>
                <w:color w:val="auto"/>
                <w:sz w:val="22"/>
                <w:szCs w:val="22"/>
                <w:lang w:val="en-US"/>
              </w:rPr>
              <w:t>gospodăriilor</w:t>
            </w:r>
            <w:proofErr w:type="spellEnd"/>
            <w:r w:rsidRPr="00C1248A">
              <w:rPr>
                <w:color w:val="auto"/>
                <w:sz w:val="22"/>
                <w:szCs w:val="22"/>
                <w:lang w:val="en-US"/>
              </w:rPr>
              <w:t xml:space="preserve"> </w:t>
            </w:r>
            <w:proofErr w:type="spellStart"/>
            <w:r w:rsidRPr="00C1248A">
              <w:rPr>
                <w:color w:val="auto"/>
                <w:sz w:val="22"/>
                <w:szCs w:val="22"/>
                <w:lang w:val="en-US"/>
              </w:rPr>
              <w:t>şi</w:t>
            </w:r>
            <w:proofErr w:type="spellEnd"/>
            <w:r w:rsidRPr="00C1248A">
              <w:rPr>
                <w:color w:val="auto"/>
                <w:sz w:val="22"/>
                <w:szCs w:val="22"/>
                <w:lang w:val="en-US"/>
              </w:rPr>
              <w:t xml:space="preserve"> </w:t>
            </w:r>
            <w:proofErr w:type="spellStart"/>
            <w:r w:rsidRPr="00C1248A">
              <w:rPr>
                <w:color w:val="auto"/>
                <w:sz w:val="22"/>
                <w:szCs w:val="22"/>
                <w:lang w:val="en-US"/>
              </w:rPr>
              <w:t>alte</w:t>
            </w:r>
            <w:proofErr w:type="spellEnd"/>
            <w:r w:rsidRPr="00C1248A">
              <w:rPr>
                <w:color w:val="auto"/>
                <w:sz w:val="22"/>
                <w:szCs w:val="22"/>
                <w:lang w:val="en-US"/>
              </w:rPr>
              <w:t xml:space="preserve"> </w:t>
            </w:r>
            <w:proofErr w:type="spellStart"/>
            <w:r w:rsidRPr="00C1248A">
              <w:rPr>
                <w:color w:val="auto"/>
                <w:sz w:val="22"/>
                <w:szCs w:val="22"/>
                <w:lang w:val="en-US"/>
              </w:rPr>
              <w:t>documente</w:t>
            </w:r>
            <w:proofErr w:type="spellEnd"/>
            <w:r w:rsidRPr="00C1248A">
              <w:rPr>
                <w:color w:val="auto"/>
                <w:sz w:val="22"/>
                <w:szCs w:val="22"/>
                <w:lang w:val="en-US"/>
              </w:rPr>
              <w:t xml:space="preserve"> </w:t>
            </w:r>
            <w:proofErr w:type="spellStart"/>
            <w:r w:rsidRPr="00C1248A">
              <w:rPr>
                <w:color w:val="auto"/>
                <w:sz w:val="22"/>
                <w:szCs w:val="22"/>
                <w:lang w:val="en-US"/>
              </w:rPr>
              <w:t>necesare</w:t>
            </w:r>
            <w:proofErr w:type="spellEnd"/>
            <w:r w:rsidRPr="00C1248A">
              <w:rPr>
                <w:color w:val="auto"/>
                <w:sz w:val="22"/>
                <w:szCs w:val="22"/>
                <w:lang w:val="en-US"/>
              </w:rPr>
              <w:t xml:space="preserve"> </w:t>
            </w:r>
            <w:proofErr w:type="spellStart"/>
            <w:r w:rsidRPr="00C1248A">
              <w:rPr>
                <w:color w:val="auto"/>
                <w:sz w:val="22"/>
                <w:szCs w:val="22"/>
                <w:lang w:val="en-US"/>
              </w:rPr>
              <w:t>creării</w:t>
            </w:r>
            <w:proofErr w:type="spellEnd"/>
            <w:r w:rsidRPr="00C1248A">
              <w:rPr>
                <w:color w:val="auto"/>
                <w:sz w:val="22"/>
                <w:szCs w:val="22"/>
                <w:lang w:val="en-US"/>
              </w:rPr>
              <w:t xml:space="preserve"> </w:t>
            </w:r>
            <w:proofErr w:type="spellStart"/>
            <w:r w:rsidRPr="00C1248A">
              <w:rPr>
                <w:color w:val="auto"/>
                <w:sz w:val="22"/>
                <w:szCs w:val="22"/>
                <w:lang w:val="en-US"/>
              </w:rPr>
              <w:t>cadastrului</w:t>
            </w:r>
            <w:proofErr w:type="spellEnd"/>
            <w:r w:rsidRPr="00C1248A">
              <w:rPr>
                <w:color w:val="auto"/>
                <w:sz w:val="22"/>
                <w:szCs w:val="22"/>
                <w:lang w:val="en-US"/>
              </w:rPr>
              <w:t xml:space="preserve">”. </w:t>
            </w:r>
          </w:p>
          <w:p w14:paraId="2ACB8ACB" w14:textId="77777777" w:rsidR="00E11E7D" w:rsidRPr="00C1248A" w:rsidRDefault="00E11E7D" w:rsidP="00100996">
            <w:pPr>
              <w:pStyle w:val="Default"/>
              <w:ind w:firstLine="319"/>
              <w:jc w:val="both"/>
              <w:rPr>
                <w:color w:val="auto"/>
                <w:sz w:val="22"/>
                <w:szCs w:val="22"/>
                <w:lang w:val="en-US"/>
              </w:rPr>
            </w:pPr>
            <w:r w:rsidRPr="00C1248A">
              <w:rPr>
                <w:color w:val="auto"/>
                <w:sz w:val="22"/>
                <w:szCs w:val="22"/>
                <w:lang w:val="en-US"/>
              </w:rPr>
              <w:t xml:space="preserve">Prin </w:t>
            </w:r>
            <w:proofErr w:type="spellStart"/>
            <w:r w:rsidRPr="00C1248A">
              <w:rPr>
                <w:color w:val="auto"/>
                <w:sz w:val="22"/>
                <w:szCs w:val="22"/>
                <w:lang w:val="en-US"/>
              </w:rPr>
              <w:t>urmare</w:t>
            </w:r>
            <w:proofErr w:type="spellEnd"/>
            <w:r w:rsidRPr="00C1248A">
              <w:rPr>
                <w:color w:val="auto"/>
                <w:sz w:val="22"/>
                <w:szCs w:val="22"/>
                <w:lang w:val="en-US"/>
              </w:rPr>
              <w:t xml:space="preserve">, </w:t>
            </w:r>
            <w:proofErr w:type="spellStart"/>
            <w:r w:rsidRPr="00C1248A">
              <w:rPr>
                <w:color w:val="auto"/>
                <w:sz w:val="22"/>
                <w:szCs w:val="22"/>
                <w:lang w:val="en-US"/>
              </w:rPr>
              <w:t>autoritățile</w:t>
            </w:r>
            <w:proofErr w:type="spellEnd"/>
            <w:r w:rsidRPr="00C1248A">
              <w:rPr>
                <w:color w:val="auto"/>
                <w:sz w:val="22"/>
                <w:szCs w:val="22"/>
                <w:lang w:val="en-US"/>
              </w:rPr>
              <w:t xml:space="preserve"> </w:t>
            </w:r>
            <w:proofErr w:type="spellStart"/>
            <w:r w:rsidRPr="00C1248A">
              <w:rPr>
                <w:color w:val="auto"/>
                <w:sz w:val="22"/>
                <w:szCs w:val="22"/>
                <w:lang w:val="en-US"/>
              </w:rPr>
              <w:t>publice</w:t>
            </w:r>
            <w:proofErr w:type="spellEnd"/>
            <w:r w:rsidRPr="00C1248A">
              <w:rPr>
                <w:color w:val="auto"/>
                <w:sz w:val="22"/>
                <w:szCs w:val="22"/>
                <w:lang w:val="en-US"/>
              </w:rPr>
              <w:t xml:space="preserve"> locale au </w:t>
            </w:r>
            <w:proofErr w:type="spellStart"/>
            <w:r w:rsidRPr="00C1248A">
              <w:rPr>
                <w:color w:val="auto"/>
                <w:sz w:val="22"/>
                <w:szCs w:val="22"/>
                <w:lang w:val="en-US"/>
              </w:rPr>
              <w:t>contribuit</w:t>
            </w:r>
            <w:proofErr w:type="spellEnd"/>
            <w:r w:rsidRPr="00C1248A">
              <w:rPr>
                <w:color w:val="auto"/>
                <w:sz w:val="22"/>
                <w:szCs w:val="22"/>
                <w:lang w:val="en-US"/>
              </w:rPr>
              <w:t xml:space="preserve"> </w:t>
            </w:r>
            <w:proofErr w:type="spellStart"/>
            <w:r w:rsidRPr="00C1248A">
              <w:rPr>
                <w:color w:val="auto"/>
                <w:sz w:val="22"/>
                <w:szCs w:val="22"/>
                <w:lang w:val="en-US"/>
              </w:rPr>
              <w:t>esențial</w:t>
            </w:r>
            <w:proofErr w:type="spellEnd"/>
            <w:r w:rsidRPr="00C1248A">
              <w:rPr>
                <w:color w:val="auto"/>
                <w:sz w:val="22"/>
                <w:szCs w:val="22"/>
                <w:lang w:val="en-US"/>
              </w:rPr>
              <w:t xml:space="preserve"> la </w:t>
            </w:r>
            <w:proofErr w:type="spellStart"/>
            <w:r w:rsidRPr="00C1248A">
              <w:rPr>
                <w:color w:val="auto"/>
                <w:sz w:val="22"/>
                <w:szCs w:val="22"/>
                <w:lang w:val="en-US"/>
              </w:rPr>
              <w:t>crearea</w:t>
            </w:r>
            <w:proofErr w:type="spellEnd"/>
            <w:r w:rsidRPr="00C1248A">
              <w:rPr>
                <w:color w:val="auto"/>
                <w:sz w:val="22"/>
                <w:szCs w:val="22"/>
                <w:lang w:val="en-US"/>
              </w:rPr>
              <w:t xml:space="preserve"> </w:t>
            </w:r>
            <w:proofErr w:type="spellStart"/>
            <w:r w:rsidRPr="00C1248A">
              <w:rPr>
                <w:color w:val="auto"/>
                <w:sz w:val="22"/>
                <w:szCs w:val="22"/>
                <w:lang w:val="en-US"/>
              </w:rPr>
              <w:t>sistemului</w:t>
            </w:r>
            <w:proofErr w:type="spellEnd"/>
            <w:r w:rsidRPr="00C1248A">
              <w:rPr>
                <w:color w:val="auto"/>
                <w:sz w:val="22"/>
                <w:szCs w:val="22"/>
                <w:lang w:val="en-US"/>
              </w:rPr>
              <w:t xml:space="preserve"> </w:t>
            </w:r>
            <w:proofErr w:type="spellStart"/>
            <w:r w:rsidRPr="00C1248A">
              <w:rPr>
                <w:color w:val="auto"/>
                <w:sz w:val="22"/>
                <w:szCs w:val="22"/>
                <w:lang w:val="en-US"/>
              </w:rPr>
              <w:t>cadastrului</w:t>
            </w:r>
            <w:proofErr w:type="spellEnd"/>
            <w:r w:rsidRPr="00C1248A">
              <w:rPr>
                <w:color w:val="auto"/>
                <w:sz w:val="22"/>
                <w:szCs w:val="22"/>
                <w:lang w:val="en-US"/>
              </w:rPr>
              <w:t xml:space="preserve"> </w:t>
            </w:r>
            <w:proofErr w:type="spellStart"/>
            <w:r w:rsidRPr="00C1248A">
              <w:rPr>
                <w:color w:val="auto"/>
                <w:sz w:val="22"/>
                <w:szCs w:val="22"/>
                <w:lang w:val="en-US"/>
              </w:rPr>
              <w:t>bunurilor</w:t>
            </w:r>
            <w:proofErr w:type="spellEnd"/>
            <w:r w:rsidRPr="00C1248A">
              <w:rPr>
                <w:color w:val="auto"/>
                <w:sz w:val="22"/>
                <w:szCs w:val="22"/>
                <w:lang w:val="en-US"/>
              </w:rPr>
              <w:t xml:space="preserve"> </w:t>
            </w:r>
            <w:proofErr w:type="spellStart"/>
            <w:r w:rsidRPr="00C1248A">
              <w:rPr>
                <w:color w:val="auto"/>
                <w:sz w:val="22"/>
                <w:szCs w:val="22"/>
                <w:lang w:val="en-US"/>
              </w:rPr>
              <w:t>imobile</w:t>
            </w:r>
            <w:proofErr w:type="spellEnd"/>
            <w:r w:rsidRPr="00C1248A">
              <w:rPr>
                <w:color w:val="auto"/>
                <w:sz w:val="22"/>
                <w:szCs w:val="22"/>
                <w:lang w:val="en-US"/>
              </w:rPr>
              <w:t xml:space="preserve"> </w:t>
            </w:r>
            <w:proofErr w:type="spellStart"/>
            <w:r w:rsidRPr="00C1248A">
              <w:rPr>
                <w:color w:val="auto"/>
                <w:sz w:val="22"/>
                <w:szCs w:val="22"/>
                <w:lang w:val="en-US"/>
              </w:rPr>
              <w:t>și</w:t>
            </w:r>
            <w:proofErr w:type="spellEnd"/>
            <w:r w:rsidRPr="00C1248A">
              <w:rPr>
                <w:color w:val="auto"/>
                <w:sz w:val="22"/>
                <w:szCs w:val="22"/>
                <w:lang w:val="en-US"/>
              </w:rPr>
              <w:t xml:space="preserve"> are </w:t>
            </w:r>
            <w:proofErr w:type="spellStart"/>
            <w:r w:rsidRPr="00C1248A">
              <w:rPr>
                <w:color w:val="auto"/>
                <w:sz w:val="22"/>
                <w:szCs w:val="22"/>
                <w:lang w:val="en-US"/>
              </w:rPr>
              <w:t>dreptul</w:t>
            </w:r>
            <w:proofErr w:type="spellEnd"/>
            <w:r w:rsidRPr="00C1248A">
              <w:rPr>
                <w:color w:val="auto"/>
                <w:sz w:val="22"/>
                <w:szCs w:val="22"/>
                <w:lang w:val="en-US"/>
              </w:rPr>
              <w:t xml:space="preserve"> de a beneficia de </w:t>
            </w:r>
            <w:proofErr w:type="spellStart"/>
            <w:r w:rsidRPr="00C1248A">
              <w:rPr>
                <w:color w:val="auto"/>
                <w:sz w:val="22"/>
                <w:szCs w:val="22"/>
                <w:lang w:val="en-US"/>
              </w:rPr>
              <w:t>rezultate</w:t>
            </w:r>
            <w:proofErr w:type="spellEnd"/>
            <w:r w:rsidRPr="00C1248A">
              <w:rPr>
                <w:color w:val="auto"/>
                <w:sz w:val="22"/>
                <w:szCs w:val="22"/>
                <w:lang w:val="en-US"/>
              </w:rPr>
              <w:t xml:space="preserve">, </w:t>
            </w:r>
            <w:proofErr w:type="spellStart"/>
            <w:r w:rsidRPr="00C1248A">
              <w:rPr>
                <w:color w:val="auto"/>
                <w:sz w:val="22"/>
                <w:szCs w:val="22"/>
                <w:lang w:val="en-US"/>
              </w:rPr>
              <w:t>inclusiv</w:t>
            </w:r>
            <w:proofErr w:type="spellEnd"/>
            <w:r w:rsidRPr="00C1248A">
              <w:rPr>
                <w:color w:val="auto"/>
                <w:sz w:val="22"/>
                <w:szCs w:val="22"/>
                <w:lang w:val="en-US"/>
              </w:rPr>
              <w:t xml:space="preserve"> de </w:t>
            </w:r>
            <w:proofErr w:type="spellStart"/>
            <w:r w:rsidRPr="00C1248A">
              <w:rPr>
                <w:color w:val="auto"/>
                <w:sz w:val="22"/>
                <w:szCs w:val="22"/>
                <w:lang w:val="en-US"/>
              </w:rPr>
              <w:t>înlesniri</w:t>
            </w:r>
            <w:proofErr w:type="spellEnd"/>
            <w:r w:rsidRPr="00C1248A">
              <w:rPr>
                <w:color w:val="auto"/>
                <w:sz w:val="22"/>
                <w:szCs w:val="22"/>
                <w:lang w:val="en-US"/>
              </w:rPr>
              <w:t xml:space="preserve"> la </w:t>
            </w:r>
            <w:proofErr w:type="spellStart"/>
            <w:r w:rsidRPr="00C1248A">
              <w:rPr>
                <w:color w:val="auto"/>
                <w:sz w:val="22"/>
                <w:szCs w:val="22"/>
                <w:lang w:val="en-US"/>
              </w:rPr>
              <w:t>serviciile</w:t>
            </w:r>
            <w:proofErr w:type="spellEnd"/>
            <w:r w:rsidRPr="00C1248A">
              <w:rPr>
                <w:color w:val="auto"/>
                <w:sz w:val="22"/>
                <w:szCs w:val="22"/>
                <w:lang w:val="en-US"/>
              </w:rPr>
              <w:t xml:space="preserve"> cu </w:t>
            </w:r>
            <w:proofErr w:type="spellStart"/>
            <w:r w:rsidRPr="00C1248A">
              <w:rPr>
                <w:color w:val="auto"/>
                <w:sz w:val="22"/>
                <w:szCs w:val="22"/>
                <w:lang w:val="en-US"/>
              </w:rPr>
              <w:t>plată</w:t>
            </w:r>
            <w:proofErr w:type="spellEnd"/>
            <w:r w:rsidRPr="00C1248A">
              <w:rPr>
                <w:color w:val="auto"/>
                <w:sz w:val="22"/>
                <w:szCs w:val="22"/>
                <w:lang w:val="en-US"/>
              </w:rPr>
              <w:t xml:space="preserve"> </w:t>
            </w:r>
            <w:proofErr w:type="spellStart"/>
            <w:r w:rsidRPr="00C1248A">
              <w:rPr>
                <w:color w:val="auto"/>
                <w:sz w:val="22"/>
                <w:szCs w:val="22"/>
                <w:lang w:val="en-US"/>
              </w:rPr>
              <w:t>prestate</w:t>
            </w:r>
            <w:proofErr w:type="spellEnd"/>
            <w:r w:rsidRPr="00C1248A">
              <w:rPr>
                <w:color w:val="auto"/>
                <w:sz w:val="22"/>
                <w:szCs w:val="22"/>
                <w:lang w:val="en-US"/>
              </w:rPr>
              <w:t xml:space="preserve"> de </w:t>
            </w:r>
            <w:proofErr w:type="spellStart"/>
            <w:r w:rsidRPr="00C1248A">
              <w:rPr>
                <w:color w:val="auto"/>
                <w:sz w:val="22"/>
                <w:szCs w:val="22"/>
                <w:lang w:val="en-US"/>
              </w:rPr>
              <w:t>instituția</w:t>
            </w:r>
            <w:proofErr w:type="spellEnd"/>
            <w:r w:rsidRPr="00C1248A">
              <w:rPr>
                <w:color w:val="auto"/>
                <w:sz w:val="22"/>
                <w:szCs w:val="22"/>
                <w:lang w:val="en-US"/>
              </w:rPr>
              <w:t xml:space="preserve"> </w:t>
            </w:r>
            <w:proofErr w:type="spellStart"/>
            <w:r w:rsidRPr="00C1248A">
              <w:rPr>
                <w:color w:val="auto"/>
                <w:sz w:val="22"/>
                <w:szCs w:val="22"/>
                <w:lang w:val="en-US"/>
              </w:rPr>
              <w:t>publică</w:t>
            </w:r>
            <w:proofErr w:type="spellEnd"/>
            <w:r w:rsidRPr="00C1248A">
              <w:rPr>
                <w:color w:val="auto"/>
                <w:sz w:val="22"/>
                <w:szCs w:val="22"/>
                <w:lang w:val="en-US"/>
              </w:rPr>
              <w:t xml:space="preserve">. </w:t>
            </w:r>
          </w:p>
          <w:p w14:paraId="36BFE5B9" w14:textId="77777777" w:rsidR="00E11E7D" w:rsidRPr="00C1248A" w:rsidRDefault="00E11E7D" w:rsidP="00100996">
            <w:pPr>
              <w:pStyle w:val="Default"/>
              <w:ind w:firstLine="319"/>
              <w:jc w:val="both"/>
              <w:rPr>
                <w:color w:val="auto"/>
                <w:sz w:val="22"/>
                <w:szCs w:val="22"/>
                <w:lang w:val="en-US"/>
              </w:rPr>
            </w:pPr>
            <w:proofErr w:type="spellStart"/>
            <w:r w:rsidRPr="00C1248A">
              <w:rPr>
                <w:color w:val="auto"/>
                <w:sz w:val="22"/>
                <w:szCs w:val="22"/>
                <w:lang w:val="en-US"/>
              </w:rPr>
              <w:t>Având</w:t>
            </w:r>
            <w:proofErr w:type="spellEnd"/>
            <w:r w:rsidRPr="00C1248A">
              <w:rPr>
                <w:color w:val="auto"/>
                <w:sz w:val="22"/>
                <w:szCs w:val="22"/>
                <w:lang w:val="en-US"/>
              </w:rPr>
              <w:t xml:space="preserve"> </w:t>
            </w:r>
            <w:proofErr w:type="spellStart"/>
            <w:r w:rsidRPr="00C1248A">
              <w:rPr>
                <w:color w:val="auto"/>
                <w:sz w:val="22"/>
                <w:szCs w:val="22"/>
                <w:lang w:val="en-US"/>
              </w:rPr>
              <w:t>în</w:t>
            </w:r>
            <w:proofErr w:type="spellEnd"/>
            <w:r w:rsidRPr="00C1248A">
              <w:rPr>
                <w:color w:val="auto"/>
                <w:sz w:val="22"/>
                <w:szCs w:val="22"/>
                <w:lang w:val="en-US"/>
              </w:rPr>
              <w:t xml:space="preserve"> </w:t>
            </w:r>
            <w:proofErr w:type="spellStart"/>
            <w:r w:rsidRPr="00C1248A">
              <w:rPr>
                <w:color w:val="auto"/>
                <w:sz w:val="22"/>
                <w:szCs w:val="22"/>
                <w:lang w:val="en-US"/>
              </w:rPr>
              <w:t>vedere</w:t>
            </w:r>
            <w:proofErr w:type="spellEnd"/>
            <w:r w:rsidRPr="00C1248A">
              <w:rPr>
                <w:color w:val="auto"/>
                <w:sz w:val="22"/>
                <w:szCs w:val="22"/>
                <w:lang w:val="en-US"/>
              </w:rPr>
              <w:t xml:space="preserve"> </w:t>
            </w:r>
            <w:proofErr w:type="spellStart"/>
            <w:r w:rsidRPr="00C1248A">
              <w:rPr>
                <w:color w:val="auto"/>
                <w:sz w:val="22"/>
                <w:szCs w:val="22"/>
                <w:lang w:val="en-US"/>
              </w:rPr>
              <w:t>durata</w:t>
            </w:r>
            <w:proofErr w:type="spellEnd"/>
            <w:r w:rsidRPr="00C1248A">
              <w:rPr>
                <w:color w:val="auto"/>
                <w:sz w:val="22"/>
                <w:szCs w:val="22"/>
                <w:lang w:val="en-US"/>
              </w:rPr>
              <w:t xml:space="preserve"> </w:t>
            </w:r>
            <w:proofErr w:type="spellStart"/>
            <w:r w:rsidRPr="00C1248A">
              <w:rPr>
                <w:color w:val="auto"/>
                <w:sz w:val="22"/>
                <w:szCs w:val="22"/>
                <w:lang w:val="en-US"/>
              </w:rPr>
              <w:t>îndelungată</w:t>
            </w:r>
            <w:proofErr w:type="spellEnd"/>
            <w:r w:rsidRPr="00C1248A">
              <w:rPr>
                <w:color w:val="auto"/>
                <w:sz w:val="22"/>
                <w:szCs w:val="22"/>
                <w:lang w:val="en-US"/>
              </w:rPr>
              <w:t xml:space="preserve"> de </w:t>
            </w:r>
            <w:proofErr w:type="spellStart"/>
            <w:r w:rsidRPr="00C1248A">
              <w:rPr>
                <w:color w:val="auto"/>
                <w:sz w:val="22"/>
                <w:szCs w:val="22"/>
                <w:lang w:val="en-US"/>
              </w:rPr>
              <w:t>realizare</w:t>
            </w:r>
            <w:proofErr w:type="spellEnd"/>
            <w:r w:rsidRPr="00C1248A">
              <w:rPr>
                <w:color w:val="auto"/>
                <w:sz w:val="22"/>
                <w:szCs w:val="22"/>
                <w:lang w:val="en-US"/>
              </w:rPr>
              <w:t xml:space="preserve"> a </w:t>
            </w:r>
            <w:proofErr w:type="spellStart"/>
            <w:r w:rsidRPr="00C1248A">
              <w:rPr>
                <w:color w:val="auto"/>
                <w:sz w:val="22"/>
                <w:szCs w:val="22"/>
                <w:lang w:val="en-US"/>
              </w:rPr>
              <w:t>lucrărilor</w:t>
            </w:r>
            <w:proofErr w:type="spellEnd"/>
            <w:r w:rsidRPr="00C1248A">
              <w:rPr>
                <w:color w:val="auto"/>
                <w:sz w:val="22"/>
                <w:szCs w:val="22"/>
                <w:lang w:val="en-US"/>
              </w:rPr>
              <w:t xml:space="preserve"> de </w:t>
            </w:r>
            <w:proofErr w:type="spellStart"/>
            <w:r w:rsidRPr="00C1248A">
              <w:rPr>
                <w:color w:val="auto"/>
                <w:sz w:val="22"/>
                <w:szCs w:val="22"/>
                <w:lang w:val="en-US"/>
              </w:rPr>
              <w:t>înregistrare</w:t>
            </w:r>
            <w:proofErr w:type="spellEnd"/>
            <w:r w:rsidRPr="00C1248A">
              <w:rPr>
                <w:color w:val="auto"/>
                <w:sz w:val="22"/>
                <w:szCs w:val="22"/>
                <w:lang w:val="en-US"/>
              </w:rPr>
              <w:t xml:space="preserve"> </w:t>
            </w:r>
            <w:proofErr w:type="spellStart"/>
            <w:r w:rsidRPr="00C1248A">
              <w:rPr>
                <w:color w:val="auto"/>
                <w:sz w:val="22"/>
                <w:szCs w:val="22"/>
                <w:lang w:val="en-US"/>
              </w:rPr>
              <w:t>primară</w:t>
            </w:r>
            <w:proofErr w:type="spellEnd"/>
            <w:r w:rsidRPr="00C1248A">
              <w:rPr>
                <w:color w:val="auto"/>
                <w:sz w:val="22"/>
                <w:szCs w:val="22"/>
                <w:lang w:val="en-US"/>
              </w:rPr>
              <w:t xml:space="preserve"> </w:t>
            </w:r>
            <w:proofErr w:type="spellStart"/>
            <w:r w:rsidRPr="00C1248A">
              <w:rPr>
                <w:color w:val="auto"/>
                <w:sz w:val="22"/>
                <w:szCs w:val="22"/>
                <w:lang w:val="en-US"/>
              </w:rPr>
              <w:t>masivă</w:t>
            </w:r>
            <w:proofErr w:type="spellEnd"/>
            <w:r w:rsidRPr="00C1248A">
              <w:rPr>
                <w:color w:val="auto"/>
                <w:sz w:val="22"/>
                <w:szCs w:val="22"/>
                <w:lang w:val="en-US"/>
              </w:rPr>
              <w:t xml:space="preserve"> </w:t>
            </w:r>
            <w:proofErr w:type="spellStart"/>
            <w:r w:rsidRPr="00C1248A">
              <w:rPr>
                <w:color w:val="auto"/>
                <w:sz w:val="22"/>
                <w:szCs w:val="22"/>
                <w:lang w:val="en-US"/>
              </w:rPr>
              <w:t>în</w:t>
            </w:r>
            <w:proofErr w:type="spellEnd"/>
            <w:r w:rsidRPr="00C1248A">
              <w:rPr>
                <w:color w:val="auto"/>
                <w:sz w:val="22"/>
                <w:szCs w:val="22"/>
                <w:lang w:val="en-US"/>
              </w:rPr>
              <w:t xml:space="preserve"> </w:t>
            </w:r>
            <w:proofErr w:type="spellStart"/>
            <w:r w:rsidRPr="00C1248A">
              <w:rPr>
                <w:color w:val="auto"/>
                <w:sz w:val="22"/>
                <w:szCs w:val="22"/>
                <w:lang w:val="en-US"/>
              </w:rPr>
              <w:t>cadrul</w:t>
            </w:r>
            <w:proofErr w:type="spellEnd"/>
            <w:r w:rsidRPr="00C1248A">
              <w:rPr>
                <w:color w:val="auto"/>
                <w:sz w:val="22"/>
                <w:szCs w:val="22"/>
                <w:lang w:val="en-US"/>
              </w:rPr>
              <w:t xml:space="preserve"> </w:t>
            </w:r>
            <w:proofErr w:type="spellStart"/>
            <w:r w:rsidRPr="00C1248A">
              <w:rPr>
                <w:color w:val="auto"/>
                <w:sz w:val="22"/>
                <w:szCs w:val="22"/>
                <w:lang w:val="en-US"/>
              </w:rPr>
              <w:t>Proiectului</w:t>
            </w:r>
            <w:proofErr w:type="spellEnd"/>
            <w:r w:rsidRPr="00C1248A">
              <w:rPr>
                <w:color w:val="auto"/>
                <w:sz w:val="22"/>
                <w:szCs w:val="22"/>
                <w:lang w:val="en-US"/>
              </w:rPr>
              <w:t xml:space="preserve"> de </w:t>
            </w:r>
            <w:proofErr w:type="spellStart"/>
            <w:r w:rsidRPr="00C1248A">
              <w:rPr>
                <w:color w:val="auto"/>
                <w:sz w:val="22"/>
                <w:szCs w:val="22"/>
                <w:lang w:val="en-US"/>
              </w:rPr>
              <w:t>Înregistrare</w:t>
            </w:r>
            <w:proofErr w:type="spellEnd"/>
            <w:r w:rsidRPr="00C1248A">
              <w:rPr>
                <w:color w:val="auto"/>
                <w:sz w:val="22"/>
                <w:szCs w:val="22"/>
                <w:lang w:val="en-US"/>
              </w:rPr>
              <w:t xml:space="preserve"> </w:t>
            </w:r>
            <w:proofErr w:type="spellStart"/>
            <w:r w:rsidRPr="00C1248A">
              <w:rPr>
                <w:color w:val="auto"/>
                <w:sz w:val="22"/>
                <w:szCs w:val="22"/>
                <w:lang w:val="en-US"/>
              </w:rPr>
              <w:t>și</w:t>
            </w:r>
            <w:proofErr w:type="spellEnd"/>
            <w:r w:rsidRPr="00C1248A">
              <w:rPr>
                <w:color w:val="auto"/>
                <w:sz w:val="22"/>
                <w:szCs w:val="22"/>
                <w:lang w:val="en-US"/>
              </w:rPr>
              <w:t xml:space="preserve"> </w:t>
            </w:r>
            <w:proofErr w:type="spellStart"/>
            <w:r w:rsidRPr="00C1248A">
              <w:rPr>
                <w:color w:val="auto"/>
                <w:sz w:val="22"/>
                <w:szCs w:val="22"/>
                <w:lang w:val="en-US"/>
              </w:rPr>
              <w:t>Evaluare</w:t>
            </w:r>
            <w:proofErr w:type="spellEnd"/>
            <w:r w:rsidRPr="00C1248A">
              <w:rPr>
                <w:color w:val="auto"/>
                <w:sz w:val="22"/>
                <w:szCs w:val="22"/>
                <w:lang w:val="en-US"/>
              </w:rPr>
              <w:t xml:space="preserve"> </w:t>
            </w:r>
            <w:proofErr w:type="spellStart"/>
            <w:r w:rsidRPr="00C1248A">
              <w:rPr>
                <w:color w:val="auto"/>
                <w:sz w:val="22"/>
                <w:szCs w:val="22"/>
                <w:lang w:val="en-US"/>
              </w:rPr>
              <w:t>Funciară</w:t>
            </w:r>
            <w:proofErr w:type="spellEnd"/>
            <w:r w:rsidRPr="00C1248A">
              <w:rPr>
                <w:color w:val="auto"/>
                <w:sz w:val="22"/>
                <w:szCs w:val="22"/>
                <w:lang w:val="en-US"/>
              </w:rPr>
              <w:t xml:space="preserve"> </w:t>
            </w:r>
            <w:proofErr w:type="spellStart"/>
            <w:r w:rsidRPr="00C1248A">
              <w:rPr>
                <w:color w:val="auto"/>
                <w:sz w:val="22"/>
                <w:szCs w:val="22"/>
                <w:lang w:val="en-US"/>
              </w:rPr>
              <w:t>și</w:t>
            </w:r>
            <w:proofErr w:type="spellEnd"/>
            <w:r w:rsidRPr="00C1248A">
              <w:rPr>
                <w:color w:val="auto"/>
                <w:sz w:val="22"/>
                <w:szCs w:val="22"/>
                <w:lang w:val="en-US"/>
              </w:rPr>
              <w:t xml:space="preserve"> </w:t>
            </w:r>
            <w:proofErr w:type="spellStart"/>
            <w:r w:rsidRPr="00C1248A">
              <w:rPr>
                <w:color w:val="auto"/>
                <w:sz w:val="22"/>
                <w:szCs w:val="22"/>
                <w:lang w:val="en-US"/>
              </w:rPr>
              <w:t>faptul</w:t>
            </w:r>
            <w:proofErr w:type="spellEnd"/>
            <w:r w:rsidRPr="00C1248A">
              <w:rPr>
                <w:color w:val="auto"/>
                <w:sz w:val="22"/>
                <w:szCs w:val="22"/>
                <w:lang w:val="en-US"/>
              </w:rPr>
              <w:t xml:space="preserve"> </w:t>
            </w:r>
            <w:proofErr w:type="spellStart"/>
            <w:r w:rsidRPr="00C1248A">
              <w:rPr>
                <w:color w:val="auto"/>
                <w:sz w:val="22"/>
                <w:szCs w:val="22"/>
                <w:lang w:val="en-US"/>
              </w:rPr>
              <w:t>că</w:t>
            </w:r>
            <w:proofErr w:type="spellEnd"/>
            <w:r w:rsidRPr="00C1248A">
              <w:rPr>
                <w:color w:val="auto"/>
                <w:sz w:val="22"/>
                <w:szCs w:val="22"/>
                <w:lang w:val="en-US"/>
              </w:rPr>
              <w:t xml:space="preserve"> </w:t>
            </w:r>
            <w:proofErr w:type="spellStart"/>
            <w:r w:rsidRPr="00C1248A">
              <w:rPr>
                <w:color w:val="auto"/>
                <w:sz w:val="22"/>
                <w:szCs w:val="22"/>
                <w:lang w:val="en-US"/>
              </w:rPr>
              <w:t>deja</w:t>
            </w:r>
            <w:proofErr w:type="spellEnd"/>
            <w:r w:rsidRPr="00C1248A">
              <w:rPr>
                <w:color w:val="auto"/>
                <w:sz w:val="22"/>
                <w:szCs w:val="22"/>
                <w:lang w:val="en-US"/>
              </w:rPr>
              <w:t xml:space="preserve"> </w:t>
            </w:r>
            <w:proofErr w:type="spellStart"/>
            <w:r w:rsidRPr="00C1248A">
              <w:rPr>
                <w:color w:val="auto"/>
                <w:sz w:val="22"/>
                <w:szCs w:val="22"/>
                <w:lang w:val="en-US"/>
              </w:rPr>
              <w:t>este</w:t>
            </w:r>
            <w:proofErr w:type="spellEnd"/>
            <w:r w:rsidRPr="00C1248A">
              <w:rPr>
                <w:color w:val="auto"/>
                <w:sz w:val="22"/>
                <w:szCs w:val="22"/>
                <w:lang w:val="en-US"/>
              </w:rPr>
              <w:t xml:space="preserve"> </w:t>
            </w:r>
            <w:proofErr w:type="spellStart"/>
            <w:r w:rsidRPr="00C1248A">
              <w:rPr>
                <w:color w:val="auto"/>
                <w:sz w:val="22"/>
                <w:szCs w:val="22"/>
                <w:lang w:val="en-US"/>
              </w:rPr>
              <w:t>previzibil</w:t>
            </w:r>
            <w:proofErr w:type="spellEnd"/>
            <w:r w:rsidRPr="00C1248A">
              <w:rPr>
                <w:color w:val="auto"/>
                <w:sz w:val="22"/>
                <w:szCs w:val="22"/>
                <w:lang w:val="en-US"/>
              </w:rPr>
              <w:t xml:space="preserve"> </w:t>
            </w:r>
            <w:proofErr w:type="spellStart"/>
            <w:r w:rsidRPr="00C1248A">
              <w:rPr>
                <w:color w:val="auto"/>
                <w:sz w:val="22"/>
                <w:szCs w:val="22"/>
                <w:lang w:val="en-US"/>
              </w:rPr>
              <w:t>că</w:t>
            </w:r>
            <w:proofErr w:type="spellEnd"/>
            <w:r w:rsidRPr="00C1248A">
              <w:rPr>
                <w:color w:val="auto"/>
                <w:sz w:val="22"/>
                <w:szCs w:val="22"/>
                <w:lang w:val="en-US"/>
              </w:rPr>
              <w:t xml:space="preserve"> nu se </w:t>
            </w:r>
            <w:proofErr w:type="spellStart"/>
            <w:r w:rsidRPr="00C1248A">
              <w:rPr>
                <w:color w:val="auto"/>
                <w:sz w:val="22"/>
                <w:szCs w:val="22"/>
                <w:lang w:val="en-US"/>
              </w:rPr>
              <w:t>va</w:t>
            </w:r>
            <w:proofErr w:type="spellEnd"/>
            <w:r w:rsidRPr="00C1248A">
              <w:rPr>
                <w:color w:val="auto"/>
                <w:sz w:val="22"/>
                <w:szCs w:val="22"/>
                <w:lang w:val="en-US"/>
              </w:rPr>
              <w:t xml:space="preserve"> </w:t>
            </w:r>
            <w:proofErr w:type="spellStart"/>
            <w:r w:rsidRPr="00C1248A">
              <w:rPr>
                <w:color w:val="auto"/>
                <w:sz w:val="22"/>
                <w:szCs w:val="22"/>
                <w:lang w:val="en-US"/>
              </w:rPr>
              <w:t>reuși</w:t>
            </w:r>
            <w:proofErr w:type="spellEnd"/>
            <w:r w:rsidRPr="00C1248A">
              <w:rPr>
                <w:color w:val="auto"/>
                <w:sz w:val="22"/>
                <w:szCs w:val="22"/>
                <w:lang w:val="en-US"/>
              </w:rPr>
              <w:t xml:space="preserve"> </w:t>
            </w:r>
            <w:proofErr w:type="spellStart"/>
            <w:r w:rsidRPr="00C1248A">
              <w:rPr>
                <w:color w:val="auto"/>
                <w:sz w:val="22"/>
                <w:szCs w:val="22"/>
                <w:lang w:val="en-US"/>
              </w:rPr>
              <w:t>înregistrarea</w:t>
            </w:r>
            <w:proofErr w:type="spellEnd"/>
            <w:r w:rsidRPr="00C1248A">
              <w:rPr>
                <w:color w:val="auto"/>
                <w:sz w:val="22"/>
                <w:szCs w:val="22"/>
                <w:lang w:val="en-US"/>
              </w:rPr>
              <w:t xml:space="preserve"> de stat a </w:t>
            </w:r>
            <w:proofErr w:type="spellStart"/>
            <w:r w:rsidRPr="00C1248A">
              <w:rPr>
                <w:color w:val="auto"/>
                <w:sz w:val="22"/>
                <w:szCs w:val="22"/>
                <w:lang w:val="en-US"/>
              </w:rPr>
              <w:t>unei</w:t>
            </w:r>
            <w:proofErr w:type="spellEnd"/>
            <w:r w:rsidRPr="00C1248A">
              <w:rPr>
                <w:color w:val="auto"/>
                <w:sz w:val="22"/>
                <w:szCs w:val="22"/>
                <w:lang w:val="en-US"/>
              </w:rPr>
              <w:t xml:space="preserve"> </w:t>
            </w:r>
            <w:proofErr w:type="spellStart"/>
            <w:r w:rsidRPr="00C1248A">
              <w:rPr>
                <w:color w:val="auto"/>
                <w:sz w:val="22"/>
                <w:szCs w:val="22"/>
                <w:lang w:val="en-US"/>
              </w:rPr>
              <w:t>părți</w:t>
            </w:r>
            <w:proofErr w:type="spellEnd"/>
            <w:r w:rsidRPr="00C1248A">
              <w:rPr>
                <w:color w:val="auto"/>
                <w:sz w:val="22"/>
                <w:szCs w:val="22"/>
                <w:lang w:val="en-US"/>
              </w:rPr>
              <w:t xml:space="preserve"> </w:t>
            </w:r>
            <w:proofErr w:type="spellStart"/>
            <w:r w:rsidRPr="00C1248A">
              <w:rPr>
                <w:color w:val="auto"/>
                <w:sz w:val="22"/>
                <w:szCs w:val="22"/>
                <w:lang w:val="en-US"/>
              </w:rPr>
              <w:t>considerabile</w:t>
            </w:r>
            <w:proofErr w:type="spellEnd"/>
            <w:r w:rsidRPr="00C1248A">
              <w:rPr>
                <w:color w:val="auto"/>
                <w:sz w:val="22"/>
                <w:szCs w:val="22"/>
                <w:lang w:val="en-US"/>
              </w:rPr>
              <w:t xml:space="preserve"> din </w:t>
            </w:r>
            <w:proofErr w:type="spellStart"/>
            <w:r w:rsidRPr="00C1248A">
              <w:rPr>
                <w:color w:val="auto"/>
                <w:sz w:val="22"/>
                <w:szCs w:val="22"/>
                <w:lang w:val="en-US"/>
              </w:rPr>
              <w:t>bunurile</w:t>
            </w:r>
            <w:proofErr w:type="spellEnd"/>
            <w:r w:rsidRPr="00C1248A">
              <w:rPr>
                <w:color w:val="auto"/>
                <w:sz w:val="22"/>
                <w:szCs w:val="22"/>
                <w:lang w:val="en-US"/>
              </w:rPr>
              <w:t xml:space="preserve"> </w:t>
            </w:r>
            <w:proofErr w:type="spellStart"/>
            <w:r w:rsidRPr="00C1248A">
              <w:rPr>
                <w:color w:val="auto"/>
                <w:sz w:val="22"/>
                <w:szCs w:val="22"/>
                <w:lang w:val="en-US"/>
              </w:rPr>
              <w:t>proprietate</w:t>
            </w:r>
            <w:proofErr w:type="spellEnd"/>
            <w:r w:rsidRPr="00C1248A">
              <w:rPr>
                <w:color w:val="auto"/>
                <w:sz w:val="22"/>
                <w:szCs w:val="22"/>
                <w:lang w:val="en-US"/>
              </w:rPr>
              <w:t xml:space="preserve"> a </w:t>
            </w:r>
            <w:proofErr w:type="spellStart"/>
            <w:r w:rsidRPr="00C1248A">
              <w:rPr>
                <w:color w:val="auto"/>
                <w:sz w:val="22"/>
                <w:szCs w:val="22"/>
                <w:lang w:val="en-US"/>
              </w:rPr>
              <w:t>unităților</w:t>
            </w:r>
            <w:proofErr w:type="spellEnd"/>
            <w:r w:rsidRPr="00C1248A">
              <w:rPr>
                <w:color w:val="auto"/>
                <w:sz w:val="22"/>
                <w:szCs w:val="22"/>
                <w:lang w:val="en-US"/>
              </w:rPr>
              <w:t xml:space="preserve"> </w:t>
            </w:r>
            <w:proofErr w:type="spellStart"/>
            <w:r w:rsidRPr="00C1248A">
              <w:rPr>
                <w:color w:val="auto"/>
                <w:sz w:val="22"/>
                <w:szCs w:val="22"/>
                <w:lang w:val="en-US"/>
              </w:rPr>
              <w:t>administrativteritoriale</w:t>
            </w:r>
            <w:proofErr w:type="spellEnd"/>
            <w:r w:rsidRPr="00C1248A">
              <w:rPr>
                <w:color w:val="auto"/>
                <w:sz w:val="22"/>
                <w:szCs w:val="22"/>
                <w:lang w:val="en-US"/>
              </w:rPr>
              <w:t xml:space="preserve">, </w:t>
            </w:r>
            <w:proofErr w:type="spellStart"/>
            <w:r w:rsidRPr="00C1248A">
              <w:rPr>
                <w:color w:val="auto"/>
                <w:sz w:val="22"/>
                <w:szCs w:val="22"/>
                <w:lang w:val="en-US"/>
              </w:rPr>
              <w:t>aceasta</w:t>
            </w:r>
            <w:proofErr w:type="spellEnd"/>
            <w:r w:rsidRPr="00C1248A">
              <w:rPr>
                <w:color w:val="auto"/>
                <w:sz w:val="22"/>
                <w:szCs w:val="22"/>
                <w:lang w:val="en-US"/>
              </w:rPr>
              <w:t xml:space="preserve"> </w:t>
            </w:r>
            <w:proofErr w:type="spellStart"/>
            <w:r w:rsidRPr="00C1248A">
              <w:rPr>
                <w:color w:val="auto"/>
                <w:sz w:val="22"/>
                <w:szCs w:val="22"/>
                <w:lang w:val="en-US"/>
              </w:rPr>
              <w:t>va</w:t>
            </w:r>
            <w:proofErr w:type="spellEnd"/>
            <w:r w:rsidRPr="00C1248A">
              <w:rPr>
                <w:color w:val="auto"/>
                <w:sz w:val="22"/>
                <w:szCs w:val="22"/>
                <w:lang w:val="en-US"/>
              </w:rPr>
              <w:t xml:space="preserve"> </w:t>
            </w:r>
            <w:proofErr w:type="spellStart"/>
            <w:r w:rsidRPr="00C1248A">
              <w:rPr>
                <w:color w:val="auto"/>
                <w:sz w:val="22"/>
                <w:szCs w:val="22"/>
                <w:lang w:val="en-US"/>
              </w:rPr>
              <w:t>constitui</w:t>
            </w:r>
            <w:proofErr w:type="spellEnd"/>
            <w:r w:rsidRPr="00C1248A">
              <w:rPr>
                <w:color w:val="auto"/>
                <w:sz w:val="22"/>
                <w:szCs w:val="22"/>
                <w:lang w:val="en-US"/>
              </w:rPr>
              <w:t xml:space="preserve"> o </w:t>
            </w:r>
            <w:proofErr w:type="spellStart"/>
            <w:r w:rsidRPr="00C1248A">
              <w:rPr>
                <w:color w:val="auto"/>
                <w:sz w:val="22"/>
                <w:szCs w:val="22"/>
                <w:lang w:val="en-US"/>
              </w:rPr>
              <w:t>povară</w:t>
            </w:r>
            <w:proofErr w:type="spellEnd"/>
            <w:r w:rsidRPr="00C1248A">
              <w:rPr>
                <w:color w:val="auto"/>
                <w:sz w:val="22"/>
                <w:szCs w:val="22"/>
                <w:lang w:val="en-US"/>
              </w:rPr>
              <w:t xml:space="preserve"> </w:t>
            </w:r>
            <w:proofErr w:type="spellStart"/>
            <w:r w:rsidRPr="00C1248A">
              <w:rPr>
                <w:color w:val="auto"/>
                <w:sz w:val="22"/>
                <w:szCs w:val="22"/>
                <w:lang w:val="en-US"/>
              </w:rPr>
              <w:t>financiară</w:t>
            </w:r>
            <w:proofErr w:type="spellEnd"/>
            <w:r w:rsidRPr="00C1248A">
              <w:rPr>
                <w:color w:val="auto"/>
                <w:sz w:val="22"/>
                <w:szCs w:val="22"/>
                <w:lang w:val="en-US"/>
              </w:rPr>
              <w:t xml:space="preserve"> mare, care nu </w:t>
            </w:r>
            <w:proofErr w:type="spellStart"/>
            <w:r w:rsidRPr="00C1248A">
              <w:rPr>
                <w:color w:val="auto"/>
                <w:sz w:val="22"/>
                <w:szCs w:val="22"/>
                <w:lang w:val="en-US"/>
              </w:rPr>
              <w:t>va</w:t>
            </w:r>
            <w:proofErr w:type="spellEnd"/>
            <w:r w:rsidRPr="00C1248A">
              <w:rPr>
                <w:color w:val="auto"/>
                <w:sz w:val="22"/>
                <w:szCs w:val="22"/>
                <w:lang w:val="en-US"/>
              </w:rPr>
              <w:t xml:space="preserve"> </w:t>
            </w:r>
            <w:proofErr w:type="spellStart"/>
            <w:r w:rsidRPr="00C1248A">
              <w:rPr>
                <w:color w:val="auto"/>
                <w:sz w:val="22"/>
                <w:szCs w:val="22"/>
                <w:lang w:val="en-US"/>
              </w:rPr>
              <w:t>putea</w:t>
            </w:r>
            <w:proofErr w:type="spellEnd"/>
            <w:r w:rsidRPr="00C1248A">
              <w:rPr>
                <w:color w:val="auto"/>
                <w:sz w:val="22"/>
                <w:szCs w:val="22"/>
                <w:lang w:val="en-US"/>
              </w:rPr>
              <w:t xml:space="preserve"> fi </w:t>
            </w:r>
            <w:proofErr w:type="spellStart"/>
            <w:r w:rsidRPr="00C1248A">
              <w:rPr>
                <w:color w:val="auto"/>
                <w:sz w:val="22"/>
                <w:szCs w:val="22"/>
                <w:lang w:val="en-US"/>
              </w:rPr>
              <w:t>suportată</w:t>
            </w:r>
            <w:proofErr w:type="spellEnd"/>
            <w:r w:rsidRPr="00C1248A">
              <w:rPr>
                <w:color w:val="auto"/>
                <w:sz w:val="22"/>
                <w:szCs w:val="22"/>
                <w:lang w:val="en-US"/>
              </w:rPr>
              <w:t xml:space="preserve"> de </w:t>
            </w:r>
            <w:proofErr w:type="spellStart"/>
            <w:r w:rsidRPr="00C1248A">
              <w:rPr>
                <w:color w:val="auto"/>
                <w:sz w:val="22"/>
                <w:szCs w:val="22"/>
                <w:lang w:val="en-US"/>
              </w:rPr>
              <w:t>bugetele</w:t>
            </w:r>
            <w:proofErr w:type="spellEnd"/>
            <w:r w:rsidRPr="00C1248A">
              <w:rPr>
                <w:color w:val="auto"/>
                <w:sz w:val="22"/>
                <w:szCs w:val="22"/>
                <w:lang w:val="en-US"/>
              </w:rPr>
              <w:t xml:space="preserve"> locale. </w:t>
            </w:r>
          </w:p>
          <w:p w14:paraId="6F88F227" w14:textId="40C7687B" w:rsidR="00E11E7D" w:rsidRPr="00C1248A" w:rsidRDefault="00E11E7D" w:rsidP="00100996">
            <w:pPr>
              <w:pStyle w:val="Default"/>
              <w:ind w:firstLine="319"/>
              <w:jc w:val="both"/>
              <w:rPr>
                <w:color w:val="auto"/>
                <w:sz w:val="22"/>
                <w:szCs w:val="22"/>
                <w:lang w:val="ro-MD"/>
              </w:rPr>
            </w:pPr>
            <w:proofErr w:type="spellStart"/>
            <w:r w:rsidRPr="00C1248A">
              <w:rPr>
                <w:color w:val="auto"/>
                <w:sz w:val="22"/>
                <w:szCs w:val="22"/>
                <w:lang w:val="en-US"/>
              </w:rPr>
              <w:t>Având</w:t>
            </w:r>
            <w:proofErr w:type="spellEnd"/>
            <w:r w:rsidRPr="00C1248A">
              <w:rPr>
                <w:color w:val="auto"/>
                <w:sz w:val="22"/>
                <w:szCs w:val="22"/>
                <w:lang w:val="en-US"/>
              </w:rPr>
              <w:t xml:space="preserve"> </w:t>
            </w:r>
            <w:proofErr w:type="spellStart"/>
            <w:r w:rsidRPr="00C1248A">
              <w:rPr>
                <w:color w:val="auto"/>
                <w:sz w:val="22"/>
                <w:szCs w:val="22"/>
                <w:lang w:val="en-US"/>
              </w:rPr>
              <w:t>în</w:t>
            </w:r>
            <w:proofErr w:type="spellEnd"/>
            <w:r w:rsidRPr="00C1248A">
              <w:rPr>
                <w:color w:val="auto"/>
                <w:sz w:val="22"/>
                <w:szCs w:val="22"/>
                <w:lang w:val="en-US"/>
              </w:rPr>
              <w:t xml:space="preserve"> </w:t>
            </w:r>
            <w:proofErr w:type="spellStart"/>
            <w:r w:rsidRPr="00C1248A">
              <w:rPr>
                <w:color w:val="auto"/>
                <w:sz w:val="22"/>
                <w:szCs w:val="22"/>
                <w:lang w:val="en-US"/>
              </w:rPr>
              <w:t>vedere</w:t>
            </w:r>
            <w:proofErr w:type="spellEnd"/>
            <w:r w:rsidRPr="00C1248A">
              <w:rPr>
                <w:color w:val="auto"/>
                <w:sz w:val="22"/>
                <w:szCs w:val="22"/>
                <w:lang w:val="en-US"/>
              </w:rPr>
              <w:t xml:space="preserve"> </w:t>
            </w:r>
            <w:proofErr w:type="spellStart"/>
            <w:r w:rsidRPr="00C1248A">
              <w:rPr>
                <w:color w:val="auto"/>
                <w:sz w:val="22"/>
                <w:szCs w:val="22"/>
                <w:lang w:val="en-US"/>
              </w:rPr>
              <w:t>argumentele</w:t>
            </w:r>
            <w:proofErr w:type="spellEnd"/>
            <w:r w:rsidRPr="00C1248A">
              <w:rPr>
                <w:color w:val="auto"/>
                <w:sz w:val="22"/>
                <w:szCs w:val="22"/>
                <w:lang w:val="en-US"/>
              </w:rPr>
              <w:t xml:space="preserve"> sus-</w:t>
            </w:r>
            <w:proofErr w:type="spellStart"/>
            <w:r w:rsidRPr="00C1248A">
              <w:rPr>
                <w:color w:val="auto"/>
                <w:sz w:val="22"/>
                <w:szCs w:val="22"/>
                <w:lang w:val="en-US"/>
              </w:rPr>
              <w:t>menționate</w:t>
            </w:r>
            <w:proofErr w:type="spellEnd"/>
            <w:r w:rsidRPr="00C1248A">
              <w:rPr>
                <w:color w:val="auto"/>
                <w:sz w:val="22"/>
                <w:szCs w:val="22"/>
                <w:lang w:val="en-US"/>
              </w:rPr>
              <w:t xml:space="preserve">, </w:t>
            </w:r>
            <w:proofErr w:type="spellStart"/>
            <w:r w:rsidRPr="00C1248A">
              <w:rPr>
                <w:color w:val="auto"/>
                <w:sz w:val="22"/>
                <w:szCs w:val="22"/>
                <w:lang w:val="en-US"/>
              </w:rPr>
              <w:t>propunem</w:t>
            </w:r>
            <w:proofErr w:type="spellEnd"/>
            <w:r w:rsidRPr="00C1248A">
              <w:rPr>
                <w:color w:val="auto"/>
                <w:sz w:val="22"/>
                <w:szCs w:val="22"/>
                <w:lang w:val="en-US"/>
              </w:rPr>
              <w:t xml:space="preserve"> </w:t>
            </w:r>
            <w:proofErr w:type="spellStart"/>
            <w:r w:rsidRPr="00C1248A">
              <w:rPr>
                <w:color w:val="auto"/>
                <w:sz w:val="22"/>
                <w:szCs w:val="22"/>
                <w:lang w:val="en-US"/>
              </w:rPr>
              <w:t>completarea</w:t>
            </w:r>
            <w:proofErr w:type="spellEnd"/>
            <w:r w:rsidRPr="00C1248A">
              <w:rPr>
                <w:color w:val="auto"/>
                <w:sz w:val="22"/>
                <w:szCs w:val="22"/>
                <w:lang w:val="en-US"/>
              </w:rPr>
              <w:t xml:space="preserve"> </w:t>
            </w:r>
            <w:proofErr w:type="spellStart"/>
            <w:r w:rsidRPr="00C1248A">
              <w:rPr>
                <w:color w:val="auto"/>
                <w:sz w:val="22"/>
                <w:szCs w:val="22"/>
                <w:lang w:val="en-US"/>
              </w:rPr>
              <w:t>proiectului</w:t>
            </w:r>
            <w:proofErr w:type="spellEnd"/>
            <w:r w:rsidRPr="00C1248A">
              <w:rPr>
                <w:color w:val="auto"/>
                <w:sz w:val="22"/>
                <w:szCs w:val="22"/>
                <w:lang w:val="en-US"/>
              </w:rPr>
              <w:t xml:space="preserve"> cu o </w:t>
            </w:r>
            <w:proofErr w:type="spellStart"/>
            <w:r w:rsidRPr="00C1248A">
              <w:rPr>
                <w:color w:val="auto"/>
                <w:sz w:val="22"/>
                <w:szCs w:val="22"/>
                <w:lang w:val="en-US"/>
              </w:rPr>
              <w:t>normă</w:t>
            </w:r>
            <w:proofErr w:type="spellEnd"/>
            <w:r w:rsidRPr="00C1248A">
              <w:rPr>
                <w:color w:val="auto"/>
                <w:sz w:val="22"/>
                <w:szCs w:val="22"/>
                <w:lang w:val="en-US"/>
              </w:rPr>
              <w:t xml:space="preserve"> </w:t>
            </w:r>
            <w:proofErr w:type="spellStart"/>
            <w:r w:rsidRPr="00C1248A">
              <w:rPr>
                <w:color w:val="auto"/>
                <w:sz w:val="22"/>
                <w:szCs w:val="22"/>
                <w:lang w:val="en-US"/>
              </w:rPr>
              <w:t>în</w:t>
            </w:r>
            <w:proofErr w:type="spellEnd"/>
            <w:r w:rsidRPr="00C1248A">
              <w:rPr>
                <w:color w:val="auto"/>
                <w:sz w:val="22"/>
                <w:szCs w:val="22"/>
                <w:lang w:val="en-US"/>
              </w:rPr>
              <w:t xml:space="preserve"> </w:t>
            </w:r>
            <w:proofErr w:type="spellStart"/>
            <w:r w:rsidRPr="00C1248A">
              <w:rPr>
                <w:color w:val="auto"/>
                <w:sz w:val="22"/>
                <w:szCs w:val="22"/>
                <w:lang w:val="en-US"/>
              </w:rPr>
              <w:t>sensul</w:t>
            </w:r>
            <w:proofErr w:type="spellEnd"/>
            <w:r w:rsidRPr="00C1248A">
              <w:rPr>
                <w:color w:val="auto"/>
                <w:sz w:val="22"/>
                <w:szCs w:val="22"/>
                <w:lang w:val="en-US"/>
              </w:rPr>
              <w:t xml:space="preserve"> </w:t>
            </w:r>
            <w:proofErr w:type="spellStart"/>
            <w:r w:rsidRPr="00C1248A">
              <w:rPr>
                <w:color w:val="auto"/>
                <w:sz w:val="22"/>
                <w:szCs w:val="22"/>
                <w:lang w:val="en-US"/>
              </w:rPr>
              <w:t>că</w:t>
            </w:r>
            <w:proofErr w:type="spellEnd"/>
            <w:r w:rsidRPr="00C1248A">
              <w:rPr>
                <w:color w:val="auto"/>
                <w:sz w:val="22"/>
                <w:szCs w:val="22"/>
                <w:lang w:val="en-US"/>
              </w:rPr>
              <w:t>: „</w:t>
            </w:r>
            <w:proofErr w:type="spellStart"/>
            <w:r w:rsidRPr="00C1248A">
              <w:rPr>
                <w:i/>
                <w:iCs/>
                <w:color w:val="auto"/>
                <w:sz w:val="22"/>
                <w:szCs w:val="22"/>
                <w:lang w:val="en-US"/>
              </w:rPr>
              <w:t>Recepția</w:t>
            </w:r>
            <w:proofErr w:type="spellEnd"/>
            <w:r w:rsidRPr="00C1248A">
              <w:rPr>
                <w:i/>
                <w:iCs/>
                <w:color w:val="auto"/>
                <w:sz w:val="22"/>
                <w:szCs w:val="22"/>
                <w:lang w:val="en-US"/>
              </w:rPr>
              <w:t xml:space="preserve"> </w:t>
            </w:r>
            <w:proofErr w:type="spellStart"/>
            <w:r w:rsidRPr="00C1248A">
              <w:rPr>
                <w:i/>
                <w:iCs/>
                <w:color w:val="auto"/>
                <w:sz w:val="22"/>
                <w:szCs w:val="22"/>
                <w:lang w:val="en-US"/>
              </w:rPr>
              <w:t>lucrărilor</w:t>
            </w:r>
            <w:proofErr w:type="spellEnd"/>
            <w:r w:rsidRPr="00C1248A">
              <w:rPr>
                <w:i/>
                <w:iCs/>
                <w:color w:val="auto"/>
                <w:sz w:val="22"/>
                <w:szCs w:val="22"/>
                <w:lang w:val="en-US"/>
              </w:rPr>
              <w:t xml:space="preserve"> </w:t>
            </w:r>
            <w:proofErr w:type="spellStart"/>
            <w:r w:rsidRPr="00C1248A">
              <w:rPr>
                <w:i/>
                <w:iCs/>
                <w:color w:val="auto"/>
                <w:sz w:val="22"/>
                <w:szCs w:val="22"/>
                <w:lang w:val="en-US"/>
              </w:rPr>
              <w:t>cadastrale</w:t>
            </w:r>
            <w:proofErr w:type="spellEnd"/>
            <w:r w:rsidRPr="00C1248A">
              <w:rPr>
                <w:i/>
                <w:iCs/>
                <w:color w:val="auto"/>
                <w:sz w:val="22"/>
                <w:szCs w:val="22"/>
                <w:lang w:val="en-US"/>
              </w:rPr>
              <w:t xml:space="preserve"> </w:t>
            </w:r>
            <w:proofErr w:type="spellStart"/>
            <w:r w:rsidRPr="00C1248A">
              <w:rPr>
                <w:i/>
                <w:iCs/>
                <w:color w:val="auto"/>
                <w:sz w:val="22"/>
                <w:szCs w:val="22"/>
                <w:lang w:val="en-US"/>
              </w:rPr>
              <w:t>și</w:t>
            </w:r>
            <w:proofErr w:type="spellEnd"/>
            <w:r w:rsidRPr="00C1248A">
              <w:rPr>
                <w:i/>
                <w:iCs/>
                <w:color w:val="auto"/>
                <w:sz w:val="22"/>
                <w:szCs w:val="22"/>
                <w:lang w:val="en-US"/>
              </w:rPr>
              <w:t xml:space="preserve"> </w:t>
            </w:r>
            <w:proofErr w:type="spellStart"/>
            <w:r w:rsidRPr="00C1248A">
              <w:rPr>
                <w:i/>
                <w:iCs/>
                <w:color w:val="auto"/>
                <w:sz w:val="22"/>
                <w:szCs w:val="22"/>
                <w:lang w:val="en-US"/>
              </w:rPr>
              <w:t>înregistrarea</w:t>
            </w:r>
            <w:proofErr w:type="spellEnd"/>
            <w:r w:rsidRPr="00C1248A">
              <w:rPr>
                <w:i/>
                <w:iCs/>
                <w:color w:val="auto"/>
                <w:sz w:val="22"/>
                <w:szCs w:val="22"/>
                <w:lang w:val="en-US"/>
              </w:rPr>
              <w:t xml:space="preserve"> </w:t>
            </w:r>
            <w:proofErr w:type="spellStart"/>
            <w:r w:rsidRPr="00C1248A">
              <w:rPr>
                <w:i/>
                <w:iCs/>
                <w:color w:val="auto"/>
                <w:sz w:val="22"/>
                <w:szCs w:val="22"/>
                <w:lang w:val="en-US"/>
              </w:rPr>
              <w:t>primară</w:t>
            </w:r>
            <w:proofErr w:type="spellEnd"/>
            <w:r w:rsidRPr="00C1248A">
              <w:rPr>
                <w:i/>
                <w:iCs/>
                <w:color w:val="auto"/>
                <w:sz w:val="22"/>
                <w:szCs w:val="22"/>
                <w:lang w:val="en-US"/>
              </w:rPr>
              <w:t xml:space="preserve"> (</w:t>
            </w:r>
            <w:proofErr w:type="spellStart"/>
            <w:r w:rsidRPr="00C1248A">
              <w:rPr>
                <w:i/>
                <w:iCs/>
                <w:color w:val="auto"/>
                <w:sz w:val="22"/>
                <w:szCs w:val="22"/>
                <w:lang w:val="en-US"/>
              </w:rPr>
              <w:t>selectivă</w:t>
            </w:r>
            <w:proofErr w:type="spellEnd"/>
            <w:r w:rsidRPr="00C1248A">
              <w:rPr>
                <w:i/>
                <w:iCs/>
                <w:color w:val="auto"/>
                <w:sz w:val="22"/>
                <w:szCs w:val="22"/>
                <w:lang w:val="en-US"/>
              </w:rPr>
              <w:t xml:space="preserve"> </w:t>
            </w:r>
            <w:proofErr w:type="spellStart"/>
            <w:r w:rsidRPr="00C1248A">
              <w:rPr>
                <w:i/>
                <w:iCs/>
                <w:color w:val="auto"/>
                <w:sz w:val="22"/>
                <w:szCs w:val="22"/>
                <w:lang w:val="en-US"/>
              </w:rPr>
              <w:t>sau</w:t>
            </w:r>
            <w:proofErr w:type="spellEnd"/>
            <w:r w:rsidRPr="00C1248A">
              <w:rPr>
                <w:i/>
                <w:iCs/>
                <w:color w:val="auto"/>
                <w:sz w:val="22"/>
                <w:szCs w:val="22"/>
                <w:lang w:val="en-US"/>
              </w:rPr>
              <w:t xml:space="preserve"> </w:t>
            </w:r>
            <w:proofErr w:type="spellStart"/>
            <w:r w:rsidRPr="00C1248A">
              <w:rPr>
                <w:i/>
                <w:iCs/>
                <w:color w:val="auto"/>
                <w:sz w:val="22"/>
                <w:szCs w:val="22"/>
                <w:lang w:val="en-US"/>
              </w:rPr>
              <w:t>masivă</w:t>
            </w:r>
            <w:proofErr w:type="spellEnd"/>
            <w:r w:rsidRPr="00C1248A">
              <w:rPr>
                <w:i/>
                <w:iCs/>
                <w:color w:val="auto"/>
                <w:sz w:val="22"/>
                <w:szCs w:val="22"/>
                <w:lang w:val="en-US"/>
              </w:rPr>
              <w:t xml:space="preserve">) a </w:t>
            </w:r>
            <w:proofErr w:type="spellStart"/>
            <w:r w:rsidRPr="00C1248A">
              <w:rPr>
                <w:i/>
                <w:iCs/>
                <w:color w:val="auto"/>
                <w:sz w:val="22"/>
                <w:szCs w:val="22"/>
                <w:lang w:val="en-US"/>
              </w:rPr>
              <w:t>bunurilor</w:t>
            </w:r>
            <w:proofErr w:type="spellEnd"/>
            <w:r w:rsidRPr="00C1248A">
              <w:rPr>
                <w:i/>
                <w:iCs/>
                <w:color w:val="auto"/>
                <w:sz w:val="22"/>
                <w:szCs w:val="22"/>
                <w:lang w:val="en-US"/>
              </w:rPr>
              <w:t>/</w:t>
            </w:r>
            <w:proofErr w:type="spellStart"/>
            <w:r w:rsidRPr="00C1248A">
              <w:rPr>
                <w:i/>
                <w:iCs/>
                <w:color w:val="auto"/>
                <w:sz w:val="22"/>
                <w:szCs w:val="22"/>
                <w:lang w:val="en-US"/>
              </w:rPr>
              <w:t>drepturilor</w:t>
            </w:r>
            <w:proofErr w:type="spellEnd"/>
            <w:r w:rsidRPr="00C1248A">
              <w:rPr>
                <w:i/>
                <w:iCs/>
                <w:color w:val="auto"/>
                <w:sz w:val="22"/>
                <w:szCs w:val="22"/>
                <w:lang w:val="en-US"/>
              </w:rPr>
              <w:t xml:space="preserve"> </w:t>
            </w:r>
            <w:proofErr w:type="spellStart"/>
            <w:r w:rsidRPr="00C1248A">
              <w:rPr>
                <w:i/>
                <w:iCs/>
                <w:color w:val="auto"/>
                <w:sz w:val="22"/>
                <w:szCs w:val="22"/>
                <w:lang w:val="en-US"/>
              </w:rPr>
              <w:t>proprietate</w:t>
            </w:r>
            <w:proofErr w:type="spellEnd"/>
            <w:r w:rsidRPr="00C1248A">
              <w:rPr>
                <w:i/>
                <w:iCs/>
                <w:color w:val="auto"/>
                <w:sz w:val="22"/>
                <w:szCs w:val="22"/>
                <w:lang w:val="en-US"/>
              </w:rPr>
              <w:t xml:space="preserve"> </w:t>
            </w:r>
            <w:proofErr w:type="spellStart"/>
            <w:r w:rsidRPr="00C1248A">
              <w:rPr>
                <w:i/>
                <w:iCs/>
                <w:color w:val="auto"/>
                <w:sz w:val="22"/>
                <w:szCs w:val="22"/>
                <w:lang w:val="en-US"/>
              </w:rPr>
              <w:t>publică</w:t>
            </w:r>
            <w:proofErr w:type="spellEnd"/>
            <w:r w:rsidRPr="00C1248A">
              <w:rPr>
                <w:i/>
                <w:iCs/>
                <w:color w:val="auto"/>
                <w:sz w:val="22"/>
                <w:szCs w:val="22"/>
                <w:lang w:val="en-US"/>
              </w:rPr>
              <w:t xml:space="preserve"> a </w:t>
            </w:r>
            <w:proofErr w:type="spellStart"/>
            <w:r w:rsidRPr="00C1248A">
              <w:rPr>
                <w:i/>
                <w:iCs/>
                <w:color w:val="auto"/>
                <w:sz w:val="22"/>
                <w:szCs w:val="22"/>
                <w:lang w:val="en-US"/>
              </w:rPr>
              <w:t>unităților</w:t>
            </w:r>
            <w:proofErr w:type="spellEnd"/>
            <w:r w:rsidRPr="00C1248A">
              <w:rPr>
                <w:i/>
                <w:iCs/>
                <w:color w:val="auto"/>
                <w:sz w:val="22"/>
                <w:szCs w:val="22"/>
                <w:lang w:val="en-US"/>
              </w:rPr>
              <w:t xml:space="preserve"> </w:t>
            </w:r>
            <w:proofErr w:type="spellStart"/>
            <w:r w:rsidRPr="00C1248A">
              <w:rPr>
                <w:i/>
                <w:iCs/>
                <w:color w:val="auto"/>
                <w:sz w:val="22"/>
                <w:szCs w:val="22"/>
                <w:lang w:val="en-US"/>
              </w:rPr>
              <w:t>administrativ-teritoriale</w:t>
            </w:r>
            <w:proofErr w:type="spellEnd"/>
            <w:r w:rsidRPr="00C1248A">
              <w:rPr>
                <w:i/>
                <w:iCs/>
                <w:color w:val="auto"/>
                <w:sz w:val="22"/>
                <w:szCs w:val="22"/>
                <w:lang w:val="en-US"/>
              </w:rPr>
              <w:t xml:space="preserve"> </w:t>
            </w:r>
            <w:proofErr w:type="spellStart"/>
            <w:r w:rsidRPr="00C1248A">
              <w:rPr>
                <w:i/>
                <w:iCs/>
                <w:color w:val="auto"/>
                <w:sz w:val="22"/>
                <w:szCs w:val="22"/>
                <w:lang w:val="en-US"/>
              </w:rPr>
              <w:t>poate</w:t>
            </w:r>
            <w:proofErr w:type="spellEnd"/>
            <w:r w:rsidRPr="00C1248A">
              <w:rPr>
                <w:i/>
                <w:iCs/>
                <w:color w:val="auto"/>
                <w:sz w:val="22"/>
                <w:szCs w:val="22"/>
                <w:lang w:val="en-US"/>
              </w:rPr>
              <w:t xml:space="preserve"> fi </w:t>
            </w:r>
            <w:proofErr w:type="spellStart"/>
            <w:r w:rsidRPr="00C1248A">
              <w:rPr>
                <w:i/>
                <w:iCs/>
                <w:color w:val="auto"/>
                <w:sz w:val="22"/>
                <w:szCs w:val="22"/>
                <w:lang w:val="en-US"/>
              </w:rPr>
              <w:t>realizată</w:t>
            </w:r>
            <w:proofErr w:type="spellEnd"/>
            <w:r w:rsidRPr="00C1248A">
              <w:rPr>
                <w:i/>
                <w:iCs/>
                <w:color w:val="auto"/>
                <w:sz w:val="22"/>
                <w:szCs w:val="22"/>
                <w:lang w:val="en-US"/>
              </w:rPr>
              <w:t xml:space="preserve"> </w:t>
            </w:r>
            <w:proofErr w:type="spellStart"/>
            <w:r w:rsidRPr="00C1248A">
              <w:rPr>
                <w:i/>
                <w:iCs/>
                <w:color w:val="auto"/>
                <w:sz w:val="22"/>
                <w:szCs w:val="22"/>
                <w:lang w:val="en-US"/>
              </w:rPr>
              <w:t>în</w:t>
            </w:r>
            <w:proofErr w:type="spellEnd"/>
            <w:r w:rsidRPr="00C1248A">
              <w:rPr>
                <w:i/>
                <w:iCs/>
                <w:color w:val="auto"/>
                <w:sz w:val="22"/>
                <w:szCs w:val="22"/>
                <w:lang w:val="en-US"/>
              </w:rPr>
              <w:t xml:space="preserve"> </w:t>
            </w:r>
            <w:proofErr w:type="spellStart"/>
            <w:r w:rsidRPr="00C1248A">
              <w:rPr>
                <w:i/>
                <w:iCs/>
                <w:color w:val="auto"/>
                <w:sz w:val="22"/>
                <w:szCs w:val="22"/>
                <w:lang w:val="en-US"/>
              </w:rPr>
              <w:t>baza</w:t>
            </w:r>
            <w:proofErr w:type="spellEnd"/>
            <w:r w:rsidRPr="00C1248A">
              <w:rPr>
                <w:i/>
                <w:iCs/>
                <w:color w:val="auto"/>
                <w:sz w:val="22"/>
                <w:szCs w:val="22"/>
                <w:lang w:val="en-US"/>
              </w:rPr>
              <w:t xml:space="preserve"> </w:t>
            </w:r>
            <w:proofErr w:type="spellStart"/>
            <w:r w:rsidRPr="00C1248A">
              <w:rPr>
                <w:i/>
                <w:iCs/>
                <w:color w:val="auto"/>
                <w:sz w:val="22"/>
                <w:szCs w:val="22"/>
                <w:lang w:val="en-US"/>
              </w:rPr>
              <w:t>unor</w:t>
            </w:r>
            <w:proofErr w:type="spellEnd"/>
            <w:r w:rsidRPr="00C1248A">
              <w:rPr>
                <w:i/>
                <w:iCs/>
                <w:color w:val="auto"/>
                <w:sz w:val="22"/>
                <w:szCs w:val="22"/>
                <w:lang w:val="en-US"/>
              </w:rPr>
              <w:t xml:space="preserve"> </w:t>
            </w:r>
            <w:proofErr w:type="spellStart"/>
            <w:r w:rsidRPr="00C1248A">
              <w:rPr>
                <w:i/>
                <w:iCs/>
                <w:color w:val="auto"/>
                <w:sz w:val="22"/>
                <w:szCs w:val="22"/>
                <w:lang w:val="en-US"/>
              </w:rPr>
              <w:t>tarife</w:t>
            </w:r>
            <w:proofErr w:type="spellEnd"/>
            <w:r w:rsidRPr="00C1248A">
              <w:rPr>
                <w:i/>
                <w:iCs/>
                <w:color w:val="auto"/>
                <w:sz w:val="22"/>
                <w:szCs w:val="22"/>
                <w:lang w:val="en-US"/>
              </w:rPr>
              <w:t xml:space="preserve"> cu </w:t>
            </w:r>
            <w:proofErr w:type="spellStart"/>
            <w:r w:rsidRPr="00C1248A">
              <w:rPr>
                <w:i/>
                <w:iCs/>
                <w:color w:val="auto"/>
                <w:sz w:val="22"/>
                <w:szCs w:val="22"/>
                <w:lang w:val="en-US"/>
              </w:rPr>
              <w:t>înlesniri</w:t>
            </w:r>
            <w:proofErr w:type="spellEnd"/>
            <w:r w:rsidRPr="00C1248A">
              <w:rPr>
                <w:i/>
                <w:iCs/>
                <w:color w:val="auto"/>
                <w:sz w:val="22"/>
                <w:szCs w:val="22"/>
                <w:lang w:val="en-US"/>
              </w:rPr>
              <w:t xml:space="preserve"> de </w:t>
            </w:r>
            <w:proofErr w:type="spellStart"/>
            <w:r w:rsidRPr="00C1248A">
              <w:rPr>
                <w:i/>
                <w:iCs/>
                <w:color w:val="auto"/>
                <w:sz w:val="22"/>
                <w:szCs w:val="22"/>
                <w:lang w:val="en-US"/>
              </w:rPr>
              <w:t>până</w:t>
            </w:r>
            <w:proofErr w:type="spellEnd"/>
            <w:r w:rsidRPr="00C1248A">
              <w:rPr>
                <w:i/>
                <w:iCs/>
                <w:color w:val="auto"/>
                <w:sz w:val="22"/>
                <w:szCs w:val="22"/>
                <w:lang w:val="en-US"/>
              </w:rPr>
              <w:t xml:space="preserve"> la 50 la </w:t>
            </w:r>
            <w:proofErr w:type="spellStart"/>
            <w:r w:rsidRPr="00C1248A">
              <w:rPr>
                <w:i/>
                <w:iCs/>
                <w:color w:val="auto"/>
                <w:sz w:val="22"/>
                <w:szCs w:val="22"/>
                <w:lang w:val="en-US"/>
              </w:rPr>
              <w:t>sută</w:t>
            </w:r>
            <w:proofErr w:type="spellEnd"/>
            <w:r w:rsidRPr="00C1248A">
              <w:rPr>
                <w:i/>
                <w:iCs/>
                <w:color w:val="auto"/>
                <w:sz w:val="22"/>
                <w:szCs w:val="22"/>
                <w:lang w:val="en-US"/>
              </w:rPr>
              <w:t xml:space="preserve"> din </w:t>
            </w:r>
            <w:proofErr w:type="spellStart"/>
            <w:r w:rsidRPr="00C1248A">
              <w:rPr>
                <w:i/>
                <w:iCs/>
                <w:color w:val="auto"/>
                <w:sz w:val="22"/>
                <w:szCs w:val="22"/>
                <w:lang w:val="en-US"/>
              </w:rPr>
              <w:t>tariful</w:t>
            </w:r>
            <w:proofErr w:type="spellEnd"/>
            <w:r w:rsidRPr="00C1248A">
              <w:rPr>
                <w:i/>
                <w:iCs/>
                <w:color w:val="auto"/>
                <w:sz w:val="22"/>
                <w:szCs w:val="22"/>
                <w:lang w:val="en-US"/>
              </w:rPr>
              <w:t xml:space="preserve"> </w:t>
            </w:r>
            <w:proofErr w:type="spellStart"/>
            <w:r w:rsidRPr="00C1248A">
              <w:rPr>
                <w:i/>
                <w:iCs/>
                <w:color w:val="auto"/>
                <w:sz w:val="22"/>
                <w:szCs w:val="22"/>
                <w:lang w:val="en-US"/>
              </w:rPr>
              <w:t>stabilit</w:t>
            </w:r>
            <w:proofErr w:type="spellEnd"/>
            <w:r w:rsidRPr="00C1248A">
              <w:rPr>
                <w:i/>
                <w:iCs/>
                <w:color w:val="auto"/>
                <w:sz w:val="22"/>
                <w:szCs w:val="22"/>
                <w:lang w:val="en-US"/>
              </w:rPr>
              <w:t xml:space="preserve">, </w:t>
            </w:r>
            <w:proofErr w:type="spellStart"/>
            <w:r w:rsidRPr="00C1248A">
              <w:rPr>
                <w:i/>
                <w:iCs/>
                <w:color w:val="auto"/>
                <w:sz w:val="22"/>
                <w:szCs w:val="22"/>
                <w:lang w:val="en-US"/>
              </w:rPr>
              <w:t>în</w:t>
            </w:r>
            <w:proofErr w:type="spellEnd"/>
            <w:r w:rsidRPr="00C1248A">
              <w:rPr>
                <w:i/>
                <w:iCs/>
                <w:color w:val="auto"/>
                <w:sz w:val="22"/>
                <w:szCs w:val="22"/>
                <w:lang w:val="en-US"/>
              </w:rPr>
              <w:t xml:space="preserve"> </w:t>
            </w:r>
            <w:proofErr w:type="spellStart"/>
            <w:r w:rsidRPr="00C1248A">
              <w:rPr>
                <w:i/>
                <w:iCs/>
                <w:color w:val="auto"/>
                <w:sz w:val="22"/>
                <w:szCs w:val="22"/>
                <w:lang w:val="en-US"/>
              </w:rPr>
              <w:t>dependență</w:t>
            </w:r>
            <w:proofErr w:type="spellEnd"/>
            <w:r w:rsidRPr="00C1248A">
              <w:rPr>
                <w:i/>
                <w:iCs/>
                <w:color w:val="auto"/>
                <w:sz w:val="22"/>
                <w:szCs w:val="22"/>
                <w:lang w:val="en-US"/>
              </w:rPr>
              <w:t xml:space="preserve"> de </w:t>
            </w:r>
            <w:proofErr w:type="spellStart"/>
            <w:r w:rsidRPr="00C1248A">
              <w:rPr>
                <w:i/>
                <w:iCs/>
                <w:color w:val="auto"/>
                <w:sz w:val="22"/>
                <w:szCs w:val="22"/>
                <w:lang w:val="en-US"/>
              </w:rPr>
              <w:t>numărul</w:t>
            </w:r>
            <w:proofErr w:type="spellEnd"/>
            <w:r w:rsidRPr="00C1248A">
              <w:rPr>
                <w:i/>
                <w:iCs/>
                <w:color w:val="auto"/>
                <w:sz w:val="22"/>
                <w:szCs w:val="22"/>
                <w:lang w:val="en-US"/>
              </w:rPr>
              <w:t xml:space="preserve"> </w:t>
            </w:r>
            <w:proofErr w:type="spellStart"/>
            <w:r w:rsidRPr="00C1248A">
              <w:rPr>
                <w:i/>
                <w:iCs/>
                <w:color w:val="auto"/>
                <w:sz w:val="22"/>
                <w:szCs w:val="22"/>
                <w:lang w:val="en-US"/>
              </w:rPr>
              <w:t>bunurilor</w:t>
            </w:r>
            <w:proofErr w:type="spellEnd"/>
            <w:r w:rsidRPr="00C1248A">
              <w:rPr>
                <w:i/>
                <w:iCs/>
                <w:color w:val="auto"/>
                <w:sz w:val="22"/>
                <w:szCs w:val="22"/>
                <w:lang w:val="en-US"/>
              </w:rPr>
              <w:t>/</w:t>
            </w:r>
            <w:proofErr w:type="spellStart"/>
            <w:r w:rsidRPr="00C1248A">
              <w:rPr>
                <w:i/>
                <w:iCs/>
                <w:color w:val="auto"/>
                <w:sz w:val="22"/>
                <w:szCs w:val="22"/>
                <w:lang w:val="en-US"/>
              </w:rPr>
              <w:t>drepturilor</w:t>
            </w:r>
            <w:proofErr w:type="spellEnd"/>
            <w:r w:rsidRPr="00C1248A">
              <w:rPr>
                <w:i/>
                <w:iCs/>
                <w:color w:val="auto"/>
                <w:sz w:val="22"/>
                <w:szCs w:val="22"/>
                <w:lang w:val="en-US"/>
              </w:rPr>
              <w:t xml:space="preserve"> </w:t>
            </w:r>
            <w:proofErr w:type="spellStart"/>
            <w:r w:rsidRPr="00C1248A">
              <w:rPr>
                <w:i/>
                <w:iCs/>
                <w:color w:val="auto"/>
                <w:sz w:val="22"/>
                <w:szCs w:val="22"/>
                <w:lang w:val="en-US"/>
              </w:rPr>
              <w:t>înscrise</w:t>
            </w:r>
            <w:proofErr w:type="spellEnd"/>
            <w:r w:rsidRPr="00C1248A">
              <w:rPr>
                <w:i/>
                <w:iCs/>
                <w:color w:val="auto"/>
                <w:sz w:val="22"/>
                <w:szCs w:val="22"/>
                <w:lang w:val="en-US"/>
              </w:rPr>
              <w:t xml:space="preserve">/notate pe </w:t>
            </w:r>
            <w:proofErr w:type="spellStart"/>
            <w:r w:rsidRPr="00C1248A">
              <w:rPr>
                <w:i/>
                <w:iCs/>
                <w:color w:val="auto"/>
                <w:sz w:val="22"/>
                <w:szCs w:val="22"/>
                <w:lang w:val="en-US"/>
              </w:rPr>
              <w:t>parcursul</w:t>
            </w:r>
            <w:proofErr w:type="spellEnd"/>
            <w:r w:rsidRPr="00C1248A">
              <w:rPr>
                <w:i/>
                <w:iCs/>
                <w:color w:val="auto"/>
                <w:sz w:val="22"/>
                <w:szCs w:val="22"/>
                <w:lang w:val="en-US"/>
              </w:rPr>
              <w:t xml:space="preserve"> </w:t>
            </w:r>
            <w:proofErr w:type="spellStart"/>
            <w:r w:rsidRPr="00C1248A">
              <w:rPr>
                <w:i/>
                <w:iCs/>
                <w:color w:val="auto"/>
                <w:sz w:val="22"/>
                <w:szCs w:val="22"/>
                <w:lang w:val="en-US"/>
              </w:rPr>
              <w:t>unui</w:t>
            </w:r>
            <w:proofErr w:type="spellEnd"/>
            <w:r w:rsidRPr="00C1248A">
              <w:rPr>
                <w:i/>
                <w:iCs/>
                <w:color w:val="auto"/>
                <w:sz w:val="22"/>
                <w:szCs w:val="22"/>
                <w:lang w:val="en-US"/>
              </w:rPr>
              <w:t xml:space="preserve"> an </w:t>
            </w:r>
            <w:proofErr w:type="spellStart"/>
            <w:r w:rsidRPr="00C1248A">
              <w:rPr>
                <w:i/>
                <w:iCs/>
                <w:color w:val="auto"/>
                <w:sz w:val="22"/>
                <w:szCs w:val="22"/>
                <w:lang w:val="en-US"/>
              </w:rPr>
              <w:t>bugetar</w:t>
            </w:r>
            <w:proofErr w:type="spellEnd"/>
            <w:r w:rsidRPr="00C1248A">
              <w:rPr>
                <w:i/>
                <w:iCs/>
                <w:color w:val="auto"/>
                <w:sz w:val="22"/>
                <w:szCs w:val="22"/>
                <w:lang w:val="en-US"/>
              </w:rPr>
              <w:t xml:space="preserve">, care se </w:t>
            </w:r>
            <w:proofErr w:type="spellStart"/>
            <w:r w:rsidRPr="00C1248A">
              <w:rPr>
                <w:i/>
                <w:iCs/>
                <w:color w:val="auto"/>
                <w:sz w:val="22"/>
                <w:szCs w:val="22"/>
                <w:lang w:val="en-US"/>
              </w:rPr>
              <w:t>vor</w:t>
            </w:r>
            <w:proofErr w:type="spellEnd"/>
            <w:r w:rsidRPr="00C1248A">
              <w:rPr>
                <w:i/>
                <w:iCs/>
                <w:color w:val="auto"/>
                <w:sz w:val="22"/>
                <w:szCs w:val="22"/>
                <w:lang w:val="en-US"/>
              </w:rPr>
              <w:t xml:space="preserve"> </w:t>
            </w:r>
            <w:proofErr w:type="spellStart"/>
            <w:r w:rsidRPr="00C1248A">
              <w:rPr>
                <w:i/>
                <w:iCs/>
                <w:color w:val="auto"/>
                <w:sz w:val="22"/>
                <w:szCs w:val="22"/>
                <w:lang w:val="en-US"/>
              </w:rPr>
              <w:t>stabili</w:t>
            </w:r>
            <w:proofErr w:type="spellEnd"/>
            <w:r w:rsidRPr="00C1248A">
              <w:rPr>
                <w:i/>
                <w:iCs/>
                <w:color w:val="auto"/>
                <w:sz w:val="22"/>
                <w:szCs w:val="22"/>
                <w:lang w:val="en-US"/>
              </w:rPr>
              <w:t xml:space="preserve"> </w:t>
            </w:r>
            <w:proofErr w:type="spellStart"/>
            <w:r w:rsidRPr="00C1248A">
              <w:rPr>
                <w:i/>
                <w:iCs/>
                <w:color w:val="auto"/>
                <w:sz w:val="22"/>
                <w:szCs w:val="22"/>
                <w:lang w:val="en-US"/>
              </w:rPr>
              <w:t>în</w:t>
            </w:r>
            <w:proofErr w:type="spellEnd"/>
            <w:r w:rsidRPr="00C1248A">
              <w:rPr>
                <w:i/>
                <w:iCs/>
                <w:color w:val="auto"/>
                <w:sz w:val="22"/>
                <w:szCs w:val="22"/>
                <w:lang w:val="en-US"/>
              </w:rPr>
              <w:t xml:space="preserve"> </w:t>
            </w:r>
            <w:proofErr w:type="spellStart"/>
            <w:r w:rsidRPr="00C1248A">
              <w:rPr>
                <w:i/>
                <w:iCs/>
                <w:color w:val="auto"/>
                <w:sz w:val="22"/>
                <w:szCs w:val="22"/>
                <w:lang w:val="en-US"/>
              </w:rPr>
              <w:t>contracte</w:t>
            </w:r>
            <w:proofErr w:type="spellEnd"/>
            <w:r w:rsidRPr="00C1248A">
              <w:rPr>
                <w:i/>
                <w:iCs/>
                <w:color w:val="auto"/>
                <w:sz w:val="22"/>
                <w:szCs w:val="22"/>
                <w:lang w:val="en-US"/>
              </w:rPr>
              <w:t xml:space="preserve"> </w:t>
            </w:r>
            <w:proofErr w:type="spellStart"/>
            <w:r w:rsidRPr="00C1248A">
              <w:rPr>
                <w:i/>
                <w:iCs/>
                <w:color w:val="auto"/>
                <w:sz w:val="22"/>
                <w:szCs w:val="22"/>
                <w:lang w:val="en-US"/>
              </w:rPr>
              <w:t>încheiate</w:t>
            </w:r>
            <w:proofErr w:type="spellEnd"/>
            <w:r w:rsidRPr="00C1248A">
              <w:rPr>
                <w:i/>
                <w:iCs/>
                <w:color w:val="auto"/>
                <w:sz w:val="22"/>
                <w:szCs w:val="22"/>
                <w:lang w:val="en-US"/>
              </w:rPr>
              <w:t xml:space="preserve"> de </w:t>
            </w:r>
            <w:proofErr w:type="spellStart"/>
            <w:r w:rsidRPr="00C1248A">
              <w:rPr>
                <w:i/>
                <w:iCs/>
                <w:color w:val="auto"/>
                <w:sz w:val="22"/>
                <w:szCs w:val="22"/>
                <w:lang w:val="en-US"/>
              </w:rPr>
              <w:t>către</w:t>
            </w:r>
            <w:proofErr w:type="spellEnd"/>
            <w:r w:rsidRPr="00C1248A">
              <w:rPr>
                <w:i/>
                <w:iCs/>
                <w:color w:val="auto"/>
                <w:sz w:val="22"/>
                <w:szCs w:val="22"/>
                <w:lang w:val="en-US"/>
              </w:rPr>
              <w:t xml:space="preserve"> </w:t>
            </w:r>
            <w:proofErr w:type="spellStart"/>
            <w:r w:rsidRPr="00C1248A">
              <w:rPr>
                <w:i/>
                <w:iCs/>
                <w:color w:val="auto"/>
                <w:sz w:val="22"/>
                <w:szCs w:val="22"/>
                <w:lang w:val="en-US"/>
              </w:rPr>
              <w:t>Instituția</w:t>
            </w:r>
            <w:proofErr w:type="spellEnd"/>
            <w:r w:rsidRPr="00C1248A">
              <w:rPr>
                <w:i/>
                <w:iCs/>
                <w:color w:val="auto"/>
                <w:sz w:val="22"/>
                <w:szCs w:val="22"/>
                <w:lang w:val="en-US"/>
              </w:rPr>
              <w:t xml:space="preserve"> </w:t>
            </w:r>
            <w:proofErr w:type="spellStart"/>
            <w:r w:rsidRPr="00C1248A">
              <w:rPr>
                <w:i/>
                <w:iCs/>
                <w:color w:val="auto"/>
                <w:sz w:val="22"/>
                <w:szCs w:val="22"/>
                <w:lang w:val="en-US"/>
              </w:rPr>
              <w:t>Publică</w:t>
            </w:r>
            <w:proofErr w:type="spellEnd"/>
            <w:r w:rsidRPr="00C1248A">
              <w:rPr>
                <w:i/>
                <w:iCs/>
                <w:color w:val="auto"/>
                <w:sz w:val="22"/>
                <w:szCs w:val="22"/>
                <w:lang w:val="en-US"/>
              </w:rPr>
              <w:t xml:space="preserve"> </w:t>
            </w:r>
            <w:proofErr w:type="spellStart"/>
            <w:r w:rsidRPr="00C1248A">
              <w:rPr>
                <w:i/>
                <w:iCs/>
                <w:color w:val="auto"/>
                <w:sz w:val="22"/>
                <w:szCs w:val="22"/>
                <w:lang w:val="en-US"/>
              </w:rPr>
              <w:t>Cadastrul</w:t>
            </w:r>
            <w:proofErr w:type="spellEnd"/>
            <w:r w:rsidRPr="00C1248A">
              <w:rPr>
                <w:i/>
                <w:iCs/>
                <w:color w:val="auto"/>
                <w:sz w:val="22"/>
                <w:szCs w:val="22"/>
                <w:lang w:val="en-US"/>
              </w:rPr>
              <w:t xml:space="preserve"> </w:t>
            </w:r>
            <w:proofErr w:type="spellStart"/>
            <w:r w:rsidRPr="00C1248A">
              <w:rPr>
                <w:i/>
                <w:iCs/>
                <w:color w:val="auto"/>
                <w:sz w:val="22"/>
                <w:szCs w:val="22"/>
                <w:lang w:val="en-US"/>
              </w:rPr>
              <w:t>Bunurilor</w:t>
            </w:r>
            <w:proofErr w:type="spellEnd"/>
            <w:r w:rsidRPr="00C1248A">
              <w:rPr>
                <w:i/>
                <w:iCs/>
                <w:color w:val="auto"/>
                <w:sz w:val="22"/>
                <w:szCs w:val="22"/>
                <w:lang w:val="en-US"/>
              </w:rPr>
              <w:t xml:space="preserve"> </w:t>
            </w:r>
            <w:proofErr w:type="spellStart"/>
            <w:r w:rsidRPr="00C1248A">
              <w:rPr>
                <w:i/>
                <w:iCs/>
                <w:color w:val="auto"/>
                <w:sz w:val="22"/>
                <w:szCs w:val="22"/>
                <w:lang w:val="en-US"/>
              </w:rPr>
              <w:t>Imobile</w:t>
            </w:r>
            <w:proofErr w:type="spellEnd"/>
            <w:r w:rsidRPr="00C1248A">
              <w:rPr>
                <w:i/>
                <w:iCs/>
                <w:color w:val="auto"/>
                <w:sz w:val="22"/>
                <w:szCs w:val="22"/>
                <w:lang w:val="en-US"/>
              </w:rPr>
              <w:t xml:space="preserve"> (</w:t>
            </w:r>
            <w:proofErr w:type="spellStart"/>
            <w:r w:rsidRPr="00C1248A">
              <w:rPr>
                <w:i/>
                <w:iCs/>
                <w:color w:val="auto"/>
                <w:sz w:val="22"/>
                <w:szCs w:val="22"/>
                <w:lang w:val="en-US"/>
              </w:rPr>
              <w:t>sau</w:t>
            </w:r>
            <w:proofErr w:type="spellEnd"/>
            <w:r w:rsidRPr="00C1248A">
              <w:rPr>
                <w:i/>
                <w:iCs/>
                <w:color w:val="auto"/>
                <w:sz w:val="22"/>
                <w:szCs w:val="22"/>
                <w:lang w:val="en-US"/>
              </w:rPr>
              <w:t xml:space="preserve"> </w:t>
            </w:r>
            <w:proofErr w:type="spellStart"/>
            <w:r w:rsidRPr="00C1248A">
              <w:rPr>
                <w:i/>
                <w:iCs/>
                <w:color w:val="auto"/>
                <w:sz w:val="22"/>
                <w:szCs w:val="22"/>
                <w:lang w:val="en-US"/>
              </w:rPr>
              <w:t>organele</w:t>
            </w:r>
            <w:proofErr w:type="spellEnd"/>
            <w:r w:rsidRPr="00C1248A">
              <w:rPr>
                <w:i/>
                <w:iCs/>
                <w:color w:val="auto"/>
                <w:sz w:val="22"/>
                <w:szCs w:val="22"/>
                <w:lang w:val="en-US"/>
              </w:rPr>
              <w:t xml:space="preserve"> </w:t>
            </w:r>
            <w:proofErr w:type="spellStart"/>
            <w:r w:rsidRPr="00C1248A">
              <w:rPr>
                <w:i/>
                <w:iCs/>
                <w:color w:val="auto"/>
                <w:sz w:val="22"/>
                <w:szCs w:val="22"/>
                <w:lang w:val="en-US"/>
              </w:rPr>
              <w:t>cadastrale</w:t>
            </w:r>
            <w:proofErr w:type="spellEnd"/>
            <w:r w:rsidRPr="00C1248A">
              <w:rPr>
                <w:i/>
                <w:iCs/>
                <w:color w:val="auto"/>
                <w:sz w:val="22"/>
                <w:szCs w:val="22"/>
                <w:lang w:val="en-US"/>
              </w:rPr>
              <w:t xml:space="preserve"> </w:t>
            </w:r>
            <w:proofErr w:type="spellStart"/>
            <w:r w:rsidRPr="00C1248A">
              <w:rPr>
                <w:i/>
                <w:iCs/>
                <w:color w:val="auto"/>
                <w:sz w:val="22"/>
                <w:szCs w:val="22"/>
                <w:lang w:val="en-US"/>
              </w:rPr>
              <w:t>teritoriale</w:t>
            </w:r>
            <w:proofErr w:type="spellEnd"/>
            <w:r w:rsidRPr="00C1248A">
              <w:rPr>
                <w:i/>
                <w:iCs/>
                <w:color w:val="auto"/>
                <w:sz w:val="22"/>
                <w:szCs w:val="22"/>
                <w:lang w:val="en-US"/>
              </w:rPr>
              <w:t>)</w:t>
            </w:r>
            <w:r w:rsidR="007A4103" w:rsidRPr="00C1248A">
              <w:rPr>
                <w:i/>
                <w:iCs/>
                <w:color w:val="auto"/>
                <w:sz w:val="22"/>
                <w:szCs w:val="22"/>
                <w:lang w:val="en-US"/>
              </w:rPr>
              <w:t>,</w:t>
            </w:r>
            <w:r w:rsidRPr="00C1248A">
              <w:rPr>
                <w:i/>
                <w:iCs/>
                <w:color w:val="auto"/>
                <w:sz w:val="22"/>
                <w:szCs w:val="22"/>
                <w:lang w:val="en-US"/>
              </w:rPr>
              <w:t xml:space="preserve"> cu </w:t>
            </w:r>
            <w:proofErr w:type="spellStart"/>
            <w:r w:rsidRPr="00C1248A">
              <w:rPr>
                <w:i/>
                <w:iCs/>
                <w:color w:val="auto"/>
                <w:sz w:val="22"/>
                <w:szCs w:val="22"/>
                <w:lang w:val="en-US"/>
              </w:rPr>
              <w:t>autoritățile</w:t>
            </w:r>
            <w:proofErr w:type="spellEnd"/>
            <w:r w:rsidRPr="00C1248A">
              <w:rPr>
                <w:i/>
                <w:iCs/>
                <w:color w:val="auto"/>
                <w:sz w:val="22"/>
                <w:szCs w:val="22"/>
                <w:lang w:val="en-US"/>
              </w:rPr>
              <w:t xml:space="preserve"> publice locale.</w:t>
            </w:r>
          </w:p>
        </w:tc>
        <w:tc>
          <w:tcPr>
            <w:tcW w:w="4428" w:type="dxa"/>
          </w:tcPr>
          <w:p w14:paraId="595E0FD2" w14:textId="77777777" w:rsidR="00E11E7D" w:rsidRPr="00C1248A" w:rsidRDefault="00E11E7D" w:rsidP="00100996">
            <w:pPr>
              <w:jc w:val="both"/>
              <w:rPr>
                <w:rFonts w:ascii="Times New Roman" w:hAnsi="Times New Roman" w:cs="Times New Roman"/>
                <w:b/>
                <w:bCs/>
                <w:lang w:val="ro-RO"/>
              </w:rPr>
            </w:pPr>
          </w:p>
          <w:p w14:paraId="5ACE79F6" w14:textId="77777777" w:rsidR="00C2714A" w:rsidRPr="00C1248A" w:rsidRDefault="00C2714A" w:rsidP="00100996">
            <w:pPr>
              <w:jc w:val="both"/>
              <w:rPr>
                <w:rFonts w:ascii="Times New Roman" w:hAnsi="Times New Roman" w:cs="Times New Roman"/>
                <w:b/>
                <w:bCs/>
                <w:lang w:val="ro-RO"/>
              </w:rPr>
            </w:pPr>
          </w:p>
          <w:p w14:paraId="620204EE" w14:textId="77777777" w:rsidR="00C2714A" w:rsidRPr="00C1248A" w:rsidRDefault="00C2714A" w:rsidP="00100996">
            <w:pPr>
              <w:jc w:val="both"/>
              <w:rPr>
                <w:rFonts w:ascii="Times New Roman" w:hAnsi="Times New Roman" w:cs="Times New Roman"/>
                <w:b/>
                <w:bCs/>
                <w:lang w:val="ro-RO"/>
              </w:rPr>
            </w:pPr>
          </w:p>
          <w:p w14:paraId="1E20F965" w14:textId="77777777" w:rsidR="00C2714A" w:rsidRPr="00C1248A" w:rsidRDefault="00C2714A" w:rsidP="00100996">
            <w:pPr>
              <w:jc w:val="both"/>
              <w:rPr>
                <w:rFonts w:ascii="Times New Roman" w:hAnsi="Times New Roman" w:cs="Times New Roman"/>
                <w:b/>
                <w:bCs/>
                <w:lang w:val="ro-RO"/>
              </w:rPr>
            </w:pPr>
          </w:p>
          <w:p w14:paraId="5DB7ED44" w14:textId="77777777" w:rsidR="00C2714A" w:rsidRPr="00C1248A" w:rsidRDefault="00C2714A" w:rsidP="00100996">
            <w:pPr>
              <w:jc w:val="both"/>
              <w:rPr>
                <w:rFonts w:ascii="Times New Roman" w:hAnsi="Times New Roman" w:cs="Times New Roman"/>
                <w:b/>
                <w:bCs/>
                <w:lang w:val="ro-RO"/>
              </w:rPr>
            </w:pPr>
          </w:p>
          <w:p w14:paraId="14C52A7A" w14:textId="77777777" w:rsidR="00C2714A" w:rsidRPr="00C1248A" w:rsidRDefault="00C2714A" w:rsidP="00100996">
            <w:pPr>
              <w:jc w:val="both"/>
              <w:rPr>
                <w:rFonts w:ascii="Times New Roman" w:hAnsi="Times New Roman" w:cs="Times New Roman"/>
                <w:b/>
                <w:bCs/>
                <w:lang w:val="ro-RO"/>
              </w:rPr>
            </w:pPr>
          </w:p>
          <w:p w14:paraId="42D2148A" w14:textId="77777777" w:rsidR="00C2714A" w:rsidRPr="00C1248A" w:rsidRDefault="00C2714A" w:rsidP="00100996">
            <w:pPr>
              <w:jc w:val="both"/>
              <w:rPr>
                <w:rFonts w:ascii="Times New Roman" w:hAnsi="Times New Roman" w:cs="Times New Roman"/>
                <w:b/>
                <w:bCs/>
                <w:lang w:val="ro-RO"/>
              </w:rPr>
            </w:pPr>
          </w:p>
          <w:p w14:paraId="6EA3C428" w14:textId="77777777" w:rsidR="00C2714A" w:rsidRPr="00C1248A" w:rsidRDefault="00C2714A" w:rsidP="00100996">
            <w:pPr>
              <w:jc w:val="both"/>
              <w:rPr>
                <w:rFonts w:ascii="Times New Roman" w:hAnsi="Times New Roman" w:cs="Times New Roman"/>
                <w:b/>
                <w:bCs/>
                <w:lang w:val="ro-RO"/>
              </w:rPr>
            </w:pPr>
          </w:p>
          <w:p w14:paraId="449EECF5" w14:textId="77777777" w:rsidR="00C2714A" w:rsidRPr="00C1248A" w:rsidRDefault="00C2714A" w:rsidP="00100996">
            <w:pPr>
              <w:jc w:val="both"/>
              <w:rPr>
                <w:rFonts w:ascii="Times New Roman" w:hAnsi="Times New Roman" w:cs="Times New Roman"/>
                <w:b/>
                <w:bCs/>
                <w:lang w:val="ro-RO"/>
              </w:rPr>
            </w:pPr>
          </w:p>
          <w:p w14:paraId="22049B76" w14:textId="77777777" w:rsidR="00C2714A" w:rsidRPr="00C1248A" w:rsidRDefault="00C2714A" w:rsidP="00100996">
            <w:pPr>
              <w:jc w:val="both"/>
              <w:rPr>
                <w:rFonts w:ascii="Times New Roman" w:hAnsi="Times New Roman" w:cs="Times New Roman"/>
                <w:b/>
                <w:bCs/>
                <w:lang w:val="ro-RO"/>
              </w:rPr>
            </w:pPr>
          </w:p>
          <w:p w14:paraId="397CE5FA" w14:textId="77777777" w:rsidR="00C2714A" w:rsidRPr="00C1248A" w:rsidRDefault="00C2714A" w:rsidP="00100996">
            <w:pPr>
              <w:jc w:val="both"/>
              <w:rPr>
                <w:rFonts w:ascii="Times New Roman" w:hAnsi="Times New Roman" w:cs="Times New Roman"/>
                <w:b/>
                <w:bCs/>
                <w:lang w:val="ro-RO"/>
              </w:rPr>
            </w:pPr>
          </w:p>
          <w:p w14:paraId="263A6FE8" w14:textId="77777777" w:rsidR="00C2714A" w:rsidRPr="00C1248A" w:rsidRDefault="00C2714A" w:rsidP="00100996">
            <w:pPr>
              <w:jc w:val="both"/>
              <w:rPr>
                <w:rFonts w:ascii="Times New Roman" w:hAnsi="Times New Roman" w:cs="Times New Roman"/>
                <w:b/>
                <w:bCs/>
                <w:lang w:val="ro-RO"/>
              </w:rPr>
            </w:pPr>
          </w:p>
          <w:p w14:paraId="02AC4635" w14:textId="77777777" w:rsidR="00C2714A" w:rsidRPr="00C1248A" w:rsidRDefault="00C2714A" w:rsidP="00100996">
            <w:pPr>
              <w:jc w:val="both"/>
              <w:rPr>
                <w:rFonts w:ascii="Times New Roman" w:hAnsi="Times New Roman" w:cs="Times New Roman"/>
                <w:b/>
                <w:bCs/>
                <w:lang w:val="ro-RO"/>
              </w:rPr>
            </w:pPr>
          </w:p>
          <w:p w14:paraId="078F237B" w14:textId="77777777" w:rsidR="00C2714A" w:rsidRPr="00C1248A" w:rsidRDefault="00C2714A" w:rsidP="00100996">
            <w:pPr>
              <w:jc w:val="both"/>
              <w:rPr>
                <w:rFonts w:ascii="Times New Roman" w:hAnsi="Times New Roman" w:cs="Times New Roman"/>
                <w:b/>
                <w:bCs/>
                <w:lang w:val="ro-RO"/>
              </w:rPr>
            </w:pPr>
          </w:p>
          <w:p w14:paraId="4B1E28CB" w14:textId="77777777" w:rsidR="00C2714A" w:rsidRPr="00C1248A" w:rsidRDefault="00C2714A" w:rsidP="00100996">
            <w:pPr>
              <w:jc w:val="both"/>
              <w:rPr>
                <w:rFonts w:ascii="Times New Roman" w:hAnsi="Times New Roman" w:cs="Times New Roman"/>
                <w:b/>
                <w:bCs/>
                <w:lang w:val="ro-RO"/>
              </w:rPr>
            </w:pPr>
          </w:p>
          <w:p w14:paraId="7DD5B392" w14:textId="77777777" w:rsidR="00C2714A" w:rsidRPr="00C1248A" w:rsidRDefault="00C2714A" w:rsidP="00100996">
            <w:pPr>
              <w:jc w:val="both"/>
              <w:rPr>
                <w:rFonts w:ascii="Times New Roman" w:hAnsi="Times New Roman" w:cs="Times New Roman"/>
                <w:b/>
                <w:bCs/>
                <w:lang w:val="ro-RO"/>
              </w:rPr>
            </w:pPr>
          </w:p>
          <w:p w14:paraId="45460B2E" w14:textId="77777777" w:rsidR="00C2714A" w:rsidRPr="00C1248A" w:rsidRDefault="00C2714A" w:rsidP="00100996">
            <w:pPr>
              <w:jc w:val="both"/>
              <w:rPr>
                <w:rFonts w:ascii="Times New Roman" w:hAnsi="Times New Roman" w:cs="Times New Roman"/>
                <w:b/>
                <w:bCs/>
                <w:lang w:val="ro-RO"/>
              </w:rPr>
            </w:pPr>
          </w:p>
          <w:p w14:paraId="3085660A" w14:textId="77777777" w:rsidR="00C2714A" w:rsidRPr="00C1248A" w:rsidRDefault="00C2714A" w:rsidP="00100996">
            <w:pPr>
              <w:jc w:val="both"/>
              <w:rPr>
                <w:rFonts w:ascii="Times New Roman" w:hAnsi="Times New Roman" w:cs="Times New Roman"/>
                <w:b/>
                <w:bCs/>
                <w:lang w:val="ro-RO"/>
              </w:rPr>
            </w:pPr>
          </w:p>
          <w:p w14:paraId="3EA2099F" w14:textId="77777777" w:rsidR="00C2714A" w:rsidRPr="00C1248A" w:rsidRDefault="00C2714A" w:rsidP="00100996">
            <w:pPr>
              <w:jc w:val="both"/>
              <w:rPr>
                <w:rFonts w:ascii="Times New Roman" w:hAnsi="Times New Roman" w:cs="Times New Roman"/>
                <w:b/>
                <w:bCs/>
                <w:lang w:val="ro-RO"/>
              </w:rPr>
            </w:pPr>
          </w:p>
          <w:p w14:paraId="6EB227BA" w14:textId="77777777" w:rsidR="00C2714A" w:rsidRPr="00C1248A" w:rsidRDefault="00C2714A" w:rsidP="00100996">
            <w:pPr>
              <w:jc w:val="both"/>
              <w:rPr>
                <w:rFonts w:ascii="Times New Roman" w:hAnsi="Times New Roman" w:cs="Times New Roman"/>
                <w:b/>
                <w:bCs/>
                <w:lang w:val="ro-RO"/>
              </w:rPr>
            </w:pPr>
          </w:p>
          <w:p w14:paraId="108A6521" w14:textId="77777777" w:rsidR="00C2714A" w:rsidRPr="00C1248A" w:rsidRDefault="00C2714A" w:rsidP="00100996">
            <w:pPr>
              <w:jc w:val="both"/>
              <w:rPr>
                <w:rFonts w:ascii="Times New Roman" w:hAnsi="Times New Roman" w:cs="Times New Roman"/>
                <w:b/>
                <w:bCs/>
                <w:lang w:val="ro-RO"/>
              </w:rPr>
            </w:pPr>
          </w:p>
          <w:p w14:paraId="15876AA7" w14:textId="77777777" w:rsidR="00C2714A" w:rsidRPr="00C1248A" w:rsidRDefault="00C2714A" w:rsidP="00100996">
            <w:pPr>
              <w:jc w:val="both"/>
              <w:rPr>
                <w:rFonts w:ascii="Times New Roman" w:hAnsi="Times New Roman" w:cs="Times New Roman"/>
                <w:b/>
                <w:bCs/>
                <w:lang w:val="ro-RO"/>
              </w:rPr>
            </w:pPr>
          </w:p>
          <w:p w14:paraId="09027D17" w14:textId="77777777" w:rsidR="00C2714A" w:rsidRPr="00C1248A" w:rsidRDefault="00C2714A" w:rsidP="00100996">
            <w:pPr>
              <w:jc w:val="both"/>
              <w:rPr>
                <w:rFonts w:ascii="Times New Roman" w:hAnsi="Times New Roman" w:cs="Times New Roman"/>
                <w:b/>
                <w:bCs/>
                <w:lang w:val="ro-RO"/>
              </w:rPr>
            </w:pPr>
          </w:p>
          <w:p w14:paraId="01C2732F" w14:textId="77777777" w:rsidR="00C2714A" w:rsidRPr="00C1248A" w:rsidRDefault="00C2714A" w:rsidP="00100996">
            <w:pPr>
              <w:jc w:val="both"/>
              <w:rPr>
                <w:rFonts w:ascii="Times New Roman" w:hAnsi="Times New Roman" w:cs="Times New Roman"/>
                <w:b/>
                <w:bCs/>
                <w:lang w:val="ro-RO"/>
              </w:rPr>
            </w:pPr>
          </w:p>
          <w:p w14:paraId="1DA21D90" w14:textId="77777777" w:rsidR="00C2714A" w:rsidRPr="00C1248A" w:rsidRDefault="00C2714A" w:rsidP="00100996">
            <w:pPr>
              <w:jc w:val="both"/>
              <w:rPr>
                <w:rFonts w:ascii="Times New Roman" w:hAnsi="Times New Roman" w:cs="Times New Roman"/>
                <w:b/>
                <w:bCs/>
                <w:lang w:val="ro-RO"/>
              </w:rPr>
            </w:pPr>
          </w:p>
          <w:p w14:paraId="25B7D197" w14:textId="77777777" w:rsidR="00C2714A" w:rsidRPr="00C1248A" w:rsidRDefault="00C2714A" w:rsidP="00100996">
            <w:pPr>
              <w:jc w:val="both"/>
              <w:rPr>
                <w:rFonts w:ascii="Times New Roman" w:hAnsi="Times New Roman" w:cs="Times New Roman"/>
                <w:b/>
                <w:bCs/>
                <w:lang w:val="ro-RO"/>
              </w:rPr>
            </w:pPr>
          </w:p>
          <w:p w14:paraId="77ED2134" w14:textId="77777777" w:rsidR="00C2714A" w:rsidRPr="00C1248A" w:rsidRDefault="00C2714A" w:rsidP="00100996">
            <w:pPr>
              <w:jc w:val="both"/>
              <w:rPr>
                <w:rFonts w:ascii="Times New Roman" w:hAnsi="Times New Roman" w:cs="Times New Roman"/>
                <w:b/>
                <w:bCs/>
                <w:lang w:val="ro-RO"/>
              </w:rPr>
            </w:pPr>
          </w:p>
          <w:p w14:paraId="5DD0FA8E" w14:textId="77777777" w:rsidR="00C2714A" w:rsidRPr="00C1248A" w:rsidRDefault="00C2714A" w:rsidP="00100996">
            <w:pPr>
              <w:jc w:val="both"/>
              <w:rPr>
                <w:rFonts w:ascii="Times New Roman" w:hAnsi="Times New Roman" w:cs="Times New Roman"/>
                <w:b/>
                <w:bCs/>
                <w:lang w:val="ro-RO"/>
              </w:rPr>
            </w:pPr>
          </w:p>
          <w:p w14:paraId="01C42F1B" w14:textId="77777777" w:rsidR="00C2714A" w:rsidRPr="00C1248A" w:rsidRDefault="00C2714A" w:rsidP="00100996">
            <w:pPr>
              <w:jc w:val="both"/>
              <w:rPr>
                <w:rFonts w:ascii="Times New Roman" w:hAnsi="Times New Roman" w:cs="Times New Roman"/>
                <w:b/>
                <w:bCs/>
                <w:lang w:val="ro-RO"/>
              </w:rPr>
            </w:pPr>
          </w:p>
          <w:p w14:paraId="37D5A599" w14:textId="77777777" w:rsidR="00C2714A" w:rsidRPr="00C1248A" w:rsidRDefault="00C2714A" w:rsidP="00100996">
            <w:pPr>
              <w:jc w:val="both"/>
              <w:rPr>
                <w:rFonts w:ascii="Times New Roman" w:hAnsi="Times New Roman" w:cs="Times New Roman"/>
                <w:b/>
                <w:bCs/>
                <w:lang w:val="ro-RO"/>
              </w:rPr>
            </w:pPr>
          </w:p>
          <w:p w14:paraId="73D6D1A9" w14:textId="77777777" w:rsidR="00C2714A" w:rsidRPr="00C1248A" w:rsidRDefault="00C2714A" w:rsidP="00100996">
            <w:pPr>
              <w:jc w:val="both"/>
              <w:rPr>
                <w:rFonts w:ascii="Times New Roman" w:hAnsi="Times New Roman" w:cs="Times New Roman"/>
                <w:b/>
                <w:bCs/>
                <w:lang w:val="ro-RO"/>
              </w:rPr>
            </w:pPr>
          </w:p>
          <w:p w14:paraId="2330C124" w14:textId="77777777" w:rsidR="00C2714A" w:rsidRPr="00C1248A" w:rsidRDefault="00C2714A" w:rsidP="00100996">
            <w:pPr>
              <w:jc w:val="both"/>
              <w:rPr>
                <w:rFonts w:ascii="Times New Roman" w:hAnsi="Times New Roman" w:cs="Times New Roman"/>
                <w:b/>
                <w:bCs/>
                <w:lang w:val="ro-RO"/>
              </w:rPr>
            </w:pPr>
          </w:p>
          <w:p w14:paraId="42E90DA4" w14:textId="77777777" w:rsidR="00C2714A" w:rsidRPr="00C1248A" w:rsidRDefault="00C2714A" w:rsidP="00100996">
            <w:pPr>
              <w:jc w:val="both"/>
              <w:rPr>
                <w:rFonts w:ascii="Times New Roman" w:hAnsi="Times New Roman" w:cs="Times New Roman"/>
                <w:b/>
                <w:bCs/>
                <w:lang w:val="ro-RO"/>
              </w:rPr>
            </w:pPr>
          </w:p>
          <w:p w14:paraId="500D4D54" w14:textId="77777777" w:rsidR="00C2714A" w:rsidRPr="00C1248A" w:rsidRDefault="00C2714A" w:rsidP="00100996">
            <w:pPr>
              <w:jc w:val="both"/>
              <w:rPr>
                <w:rFonts w:ascii="Times New Roman" w:hAnsi="Times New Roman" w:cs="Times New Roman"/>
                <w:b/>
                <w:bCs/>
                <w:lang w:val="ro-RO"/>
              </w:rPr>
            </w:pPr>
          </w:p>
          <w:p w14:paraId="275F6261" w14:textId="666B1EF4" w:rsidR="00D64EB4" w:rsidRPr="00C1248A" w:rsidRDefault="00D64EB4" w:rsidP="00D64EB4">
            <w:pPr>
              <w:jc w:val="both"/>
              <w:rPr>
                <w:rFonts w:ascii="Times New Roman" w:hAnsi="Times New Roman" w:cs="Times New Roman"/>
                <w:bCs/>
                <w:i/>
                <w:lang w:val="ro-MD"/>
              </w:rPr>
            </w:pPr>
            <w:r w:rsidRPr="00C1248A">
              <w:rPr>
                <w:rFonts w:ascii="Times New Roman" w:hAnsi="Times New Roman" w:cs="Times New Roman"/>
                <w:bCs/>
                <w:lang w:val="ro-MD"/>
              </w:rPr>
              <w:t>N</w:t>
            </w:r>
            <w:r w:rsidRPr="00C1248A">
              <w:rPr>
                <w:rFonts w:ascii="Times New Roman" w:hAnsi="Times New Roman" w:cs="Times New Roman"/>
                <w:bCs/>
                <w:lang w:val="ro-MD"/>
              </w:rPr>
              <w:t>u se acceptă</w:t>
            </w:r>
            <w:r w:rsidR="006908E8" w:rsidRPr="00C1248A">
              <w:rPr>
                <w:rFonts w:ascii="Times New Roman" w:hAnsi="Times New Roman" w:cs="Times New Roman"/>
                <w:bCs/>
                <w:lang w:val="ro-MD"/>
              </w:rPr>
              <w:t>.</w:t>
            </w:r>
          </w:p>
          <w:p w14:paraId="114DEADF" w14:textId="77777777" w:rsidR="00D64EB4" w:rsidRPr="00C1248A" w:rsidRDefault="00D64EB4" w:rsidP="006908E8">
            <w:pPr>
              <w:pStyle w:val="a6"/>
              <w:ind w:left="0"/>
              <w:jc w:val="both"/>
              <w:rPr>
                <w:sz w:val="22"/>
                <w:szCs w:val="22"/>
                <w:lang w:val="ro-MD"/>
              </w:rPr>
            </w:pPr>
            <w:r w:rsidRPr="00C1248A">
              <w:rPr>
                <w:sz w:val="22"/>
                <w:szCs w:val="22"/>
              </w:rPr>
              <w:t>În conformitate cu Legea</w:t>
            </w:r>
            <w:r w:rsidRPr="00C1248A">
              <w:rPr>
                <w:sz w:val="22"/>
                <w:szCs w:val="22"/>
                <w:lang w:val="ro-MD"/>
              </w:rPr>
              <w:t xml:space="preserve"> cadastrului bunurilor imobile nr.1543/1998, art. 13, alineatul (2), IP CBI cu structurile sale teritoriale activează pe principiul autofinanţării din veniturile pe care le obţin din prestări de servicii. Actualmente, reieșind din cadrul normativ, IP CBI deja prestează circa 33% din volumul total de servicii cu facilități, fapt ce pune în pericol sustenabilitatea financiară a instituției.</w:t>
            </w:r>
          </w:p>
          <w:p w14:paraId="7538395C" w14:textId="77777777" w:rsidR="00D64EB4" w:rsidRPr="00C1248A" w:rsidRDefault="00D64EB4" w:rsidP="00D64EB4">
            <w:pPr>
              <w:pStyle w:val="a6"/>
              <w:ind w:left="0" w:firstLine="405"/>
              <w:jc w:val="both"/>
              <w:rPr>
                <w:sz w:val="22"/>
                <w:szCs w:val="22"/>
                <w:lang w:val="ro-MD"/>
              </w:rPr>
            </w:pPr>
            <w:r w:rsidRPr="00C1248A">
              <w:rPr>
                <w:sz w:val="22"/>
                <w:szCs w:val="22"/>
                <w:lang w:val="ro-MD"/>
              </w:rPr>
              <w:t>Totodată, este de menționat că Autoritățile publice locale beneficiază de servicii gratuite, și anume:</w:t>
            </w:r>
          </w:p>
          <w:p w14:paraId="08FD8226" w14:textId="31C18C29" w:rsidR="00D64EB4" w:rsidRPr="00C1248A" w:rsidRDefault="00D64EB4" w:rsidP="004026FE">
            <w:pPr>
              <w:pStyle w:val="a6"/>
              <w:numPr>
                <w:ilvl w:val="0"/>
                <w:numId w:val="21"/>
              </w:numPr>
              <w:tabs>
                <w:tab w:val="left" w:pos="301"/>
              </w:tabs>
              <w:ind w:left="0" w:firstLine="0"/>
              <w:jc w:val="both"/>
              <w:rPr>
                <w:sz w:val="22"/>
                <w:szCs w:val="22"/>
                <w:lang w:val="ro-MD"/>
              </w:rPr>
            </w:pPr>
            <w:r w:rsidRPr="00C1248A">
              <w:rPr>
                <w:sz w:val="22"/>
                <w:szCs w:val="22"/>
                <w:lang w:val="ro-MD"/>
              </w:rPr>
              <w:t xml:space="preserve">acces la banca centrală de date a cadastrului bunurilor imobile (art. 8 alin. (3) al Legii cadastrului bunurilor imobile nr. 1543/1998); </w:t>
            </w:r>
          </w:p>
          <w:p w14:paraId="73BEA718" w14:textId="693F520A" w:rsidR="00C2714A" w:rsidRPr="00C1248A" w:rsidRDefault="004026FE" w:rsidP="004026FE">
            <w:pPr>
              <w:pStyle w:val="a6"/>
              <w:numPr>
                <w:ilvl w:val="0"/>
                <w:numId w:val="21"/>
              </w:numPr>
              <w:tabs>
                <w:tab w:val="left" w:pos="301"/>
              </w:tabs>
              <w:ind w:left="0" w:firstLine="0"/>
              <w:jc w:val="both"/>
            </w:pPr>
            <w:r w:rsidRPr="00C1248A">
              <w:rPr>
                <w:sz w:val="22"/>
                <w:szCs w:val="22"/>
                <w:lang w:val="ro-MD"/>
              </w:rPr>
              <w:t xml:space="preserve">furnizarea </w:t>
            </w:r>
            <w:r w:rsidR="00D64EB4" w:rsidRPr="00C1248A">
              <w:rPr>
                <w:sz w:val="22"/>
                <w:szCs w:val="22"/>
                <w:lang w:val="ro-MD"/>
              </w:rPr>
              <w:t>date din planul cadastral al localității şi informații sistematizate referitoare la terenurile şi dreptul de proprietate asupra lor, înregistrate în hotarul unității administrativ-teritoriale respective, în format electronic, o dată în trimestru, la solicitarea acestora, pentru evidența tranzacțiilor și gestionarea bunurilor imobile înregistrate în profilul administrativ al UAT (art. 8 al. (3</w:t>
            </w:r>
            <w:r w:rsidR="00D64EB4" w:rsidRPr="00C1248A">
              <w:rPr>
                <w:sz w:val="22"/>
                <w:szCs w:val="22"/>
                <w:vertAlign w:val="superscript"/>
                <w:lang w:val="ro-MD"/>
              </w:rPr>
              <w:t>1</w:t>
            </w:r>
            <w:r w:rsidR="00D64EB4" w:rsidRPr="00C1248A">
              <w:rPr>
                <w:sz w:val="22"/>
                <w:szCs w:val="22"/>
                <w:lang w:val="ro-MD"/>
              </w:rPr>
              <w:t>) al Legii cadastrului bunurilor imobile nr. 1543/1998).</w:t>
            </w:r>
          </w:p>
        </w:tc>
      </w:tr>
      <w:tr w:rsidR="00C1248A" w:rsidRPr="00C1248A" w14:paraId="5B9B8DC7" w14:textId="77777777" w:rsidTr="0098694A">
        <w:trPr>
          <w:gridAfter w:val="1"/>
          <w:wAfter w:w="9" w:type="dxa"/>
          <w:trHeight w:val="343"/>
        </w:trPr>
        <w:tc>
          <w:tcPr>
            <w:tcW w:w="1985" w:type="dxa"/>
            <w:vMerge/>
          </w:tcPr>
          <w:p w14:paraId="4394DD16" w14:textId="77777777" w:rsidR="00E11E7D" w:rsidRPr="00C1248A" w:rsidRDefault="00E11E7D" w:rsidP="00100996">
            <w:pPr>
              <w:jc w:val="center"/>
              <w:rPr>
                <w:rFonts w:ascii="Times New Roman" w:hAnsi="Times New Roman" w:cs="Times New Roman"/>
                <w:b/>
                <w:bCs/>
                <w:lang w:val="ro-RO"/>
              </w:rPr>
            </w:pPr>
          </w:p>
        </w:tc>
        <w:tc>
          <w:tcPr>
            <w:tcW w:w="567" w:type="dxa"/>
            <w:shd w:val="clear" w:color="auto" w:fill="D9D9D9" w:themeFill="background1" w:themeFillShade="D9"/>
            <w:vAlign w:val="center"/>
          </w:tcPr>
          <w:p w14:paraId="40F274C0" w14:textId="5475526C" w:rsidR="00E11E7D" w:rsidRPr="0098694A" w:rsidRDefault="00E11E7D" w:rsidP="00100996">
            <w:pPr>
              <w:jc w:val="center"/>
              <w:rPr>
                <w:rFonts w:ascii="Times New Roman" w:hAnsi="Times New Roman" w:cs="Times New Roman"/>
                <w:b/>
                <w:bCs/>
                <w:lang w:val="ro-RO"/>
              </w:rPr>
            </w:pPr>
            <w:r w:rsidRPr="0098694A">
              <w:rPr>
                <w:rFonts w:ascii="Times New Roman" w:hAnsi="Times New Roman" w:cs="Times New Roman"/>
                <w:b/>
                <w:bCs/>
                <w:lang w:val="ro-RO"/>
              </w:rPr>
              <w:t>2</w:t>
            </w:r>
          </w:p>
        </w:tc>
        <w:tc>
          <w:tcPr>
            <w:tcW w:w="7938" w:type="dxa"/>
            <w:shd w:val="clear" w:color="auto" w:fill="D9D9D9" w:themeFill="background1" w:themeFillShade="D9"/>
            <w:vAlign w:val="center"/>
          </w:tcPr>
          <w:p w14:paraId="3075C8D6" w14:textId="11981E2C" w:rsidR="00E11E7D" w:rsidRPr="0098694A" w:rsidRDefault="00E11E7D" w:rsidP="00100996">
            <w:pPr>
              <w:pStyle w:val="Default"/>
              <w:jc w:val="both"/>
              <w:rPr>
                <w:color w:val="auto"/>
                <w:sz w:val="22"/>
                <w:szCs w:val="22"/>
                <w:lang w:val="ro-RO"/>
              </w:rPr>
            </w:pPr>
          </w:p>
        </w:tc>
        <w:tc>
          <w:tcPr>
            <w:tcW w:w="4428" w:type="dxa"/>
            <w:shd w:val="clear" w:color="auto" w:fill="D9D9D9" w:themeFill="background1" w:themeFillShade="D9"/>
            <w:vAlign w:val="center"/>
          </w:tcPr>
          <w:p w14:paraId="31A6807A" w14:textId="0A704F1F" w:rsidR="00E11E7D" w:rsidRPr="0098694A" w:rsidRDefault="00E11E7D" w:rsidP="00100996">
            <w:pPr>
              <w:rPr>
                <w:rFonts w:ascii="Times New Roman" w:hAnsi="Times New Roman" w:cs="Times New Roman"/>
                <w:lang w:val="ro-RO"/>
              </w:rPr>
            </w:pPr>
          </w:p>
        </w:tc>
      </w:tr>
      <w:tr w:rsidR="00C1248A" w:rsidRPr="00C1248A" w14:paraId="1A1BE47D" w14:textId="77777777" w:rsidTr="00835F71">
        <w:trPr>
          <w:trHeight w:val="120"/>
        </w:trPr>
        <w:tc>
          <w:tcPr>
            <w:tcW w:w="14927" w:type="dxa"/>
            <w:gridSpan w:val="5"/>
            <w:shd w:val="clear" w:color="auto" w:fill="D9D9D9" w:themeFill="background1" w:themeFillShade="D9"/>
          </w:tcPr>
          <w:p w14:paraId="102FF021" w14:textId="1EE8F44E" w:rsidR="00E11E7D" w:rsidRPr="00C1248A" w:rsidRDefault="00E11E7D" w:rsidP="00100996">
            <w:pPr>
              <w:jc w:val="center"/>
              <w:rPr>
                <w:rFonts w:ascii="Times New Roman" w:hAnsi="Times New Roman" w:cs="Times New Roman"/>
                <w:b/>
                <w:bCs/>
                <w:lang w:val="ro-RO"/>
              </w:rPr>
            </w:pPr>
            <w:r w:rsidRPr="00C1248A">
              <w:rPr>
                <w:rFonts w:ascii="Times New Roman" w:hAnsi="Times New Roman" w:cs="Times New Roman"/>
                <w:b/>
                <w:bCs/>
                <w:lang w:val="ro-RO"/>
              </w:rPr>
              <w:t>Expertizare</w:t>
            </w:r>
          </w:p>
        </w:tc>
      </w:tr>
      <w:tr w:rsidR="00C1248A" w:rsidRPr="00C1248A" w14:paraId="5A2DAFEB" w14:textId="77777777" w:rsidTr="00835F71">
        <w:trPr>
          <w:gridAfter w:val="1"/>
          <w:wAfter w:w="9" w:type="dxa"/>
          <w:trHeight w:val="90"/>
        </w:trPr>
        <w:tc>
          <w:tcPr>
            <w:tcW w:w="1985" w:type="dxa"/>
          </w:tcPr>
          <w:p w14:paraId="1A0A7C73" w14:textId="5D86FD35" w:rsidR="00E11E7D" w:rsidRPr="00C1248A" w:rsidRDefault="00E11E7D" w:rsidP="00100996">
            <w:pPr>
              <w:jc w:val="center"/>
              <w:rPr>
                <w:rFonts w:ascii="Times New Roman" w:hAnsi="Times New Roman" w:cs="Times New Roman"/>
                <w:b/>
                <w:lang w:val="ro-RO"/>
              </w:rPr>
            </w:pPr>
            <w:r w:rsidRPr="00C1248A">
              <w:rPr>
                <w:rFonts w:ascii="Times New Roman" w:hAnsi="Times New Roman" w:cs="Times New Roman"/>
                <w:b/>
                <w:lang w:val="ro-RO"/>
              </w:rPr>
              <w:t xml:space="preserve">Centrul </w:t>
            </w:r>
          </w:p>
          <w:p w14:paraId="7CAC9FA4" w14:textId="1C80F382" w:rsidR="00E11E7D" w:rsidRPr="00C1248A" w:rsidRDefault="00E11E7D" w:rsidP="00100996">
            <w:pPr>
              <w:jc w:val="center"/>
              <w:rPr>
                <w:rFonts w:ascii="Times New Roman" w:hAnsi="Times New Roman" w:cs="Times New Roman"/>
                <w:b/>
                <w:lang w:val="ro-RO"/>
              </w:rPr>
            </w:pPr>
            <w:r w:rsidRPr="00C1248A">
              <w:rPr>
                <w:rFonts w:ascii="Times New Roman" w:hAnsi="Times New Roman" w:cs="Times New Roman"/>
                <w:b/>
                <w:lang w:val="ro-RO"/>
              </w:rPr>
              <w:t xml:space="preserve">Național </w:t>
            </w:r>
            <w:r w:rsidRPr="00C1248A">
              <w:rPr>
                <w:rFonts w:ascii="Times New Roman" w:hAnsi="Times New Roman" w:cs="Times New Roman"/>
                <w:b/>
                <w:lang w:val="ro-RO"/>
              </w:rPr>
              <w:lastRenderedPageBreak/>
              <w:t xml:space="preserve">Anticorupție </w:t>
            </w:r>
          </w:p>
          <w:p w14:paraId="08549560" w14:textId="77777777" w:rsidR="00E11E7D" w:rsidRPr="00C1248A" w:rsidRDefault="00E11E7D" w:rsidP="00100996">
            <w:pPr>
              <w:jc w:val="center"/>
              <w:rPr>
                <w:rFonts w:ascii="Times New Roman" w:hAnsi="Times New Roman" w:cs="Times New Roman"/>
                <w:i/>
                <w:iCs/>
                <w:sz w:val="16"/>
                <w:szCs w:val="16"/>
                <w:lang w:val="ro-RO"/>
              </w:rPr>
            </w:pPr>
            <w:r w:rsidRPr="00C1248A">
              <w:rPr>
                <w:rFonts w:ascii="Times New Roman" w:hAnsi="Times New Roman" w:cs="Times New Roman"/>
                <w:i/>
                <w:iCs/>
                <w:sz w:val="16"/>
                <w:szCs w:val="16"/>
                <w:lang w:val="ro-RO"/>
              </w:rPr>
              <w:t>nr.  ________</w:t>
            </w:r>
          </w:p>
          <w:p w14:paraId="47B92C50" w14:textId="77777777" w:rsidR="00E11E7D" w:rsidRPr="00C1248A" w:rsidRDefault="00E11E7D" w:rsidP="00100996">
            <w:pPr>
              <w:jc w:val="center"/>
              <w:rPr>
                <w:rFonts w:ascii="Times New Roman" w:hAnsi="Times New Roman" w:cs="Times New Roman"/>
                <w:i/>
                <w:iCs/>
                <w:sz w:val="16"/>
                <w:szCs w:val="16"/>
                <w:lang w:val="ro-RO"/>
              </w:rPr>
            </w:pPr>
            <w:r w:rsidRPr="00C1248A">
              <w:rPr>
                <w:rFonts w:ascii="Times New Roman" w:hAnsi="Times New Roman" w:cs="Times New Roman"/>
                <w:i/>
                <w:iCs/>
                <w:sz w:val="16"/>
                <w:szCs w:val="16"/>
                <w:lang w:val="ro-RO"/>
              </w:rPr>
              <w:t>din ____________</w:t>
            </w:r>
          </w:p>
          <w:p w14:paraId="54555674" w14:textId="2FF32BAA" w:rsidR="00E11E7D" w:rsidRPr="00C1248A" w:rsidRDefault="00E11E7D" w:rsidP="00100996">
            <w:pPr>
              <w:jc w:val="center"/>
              <w:rPr>
                <w:rFonts w:ascii="Times New Roman" w:hAnsi="Times New Roman" w:cs="Times New Roman"/>
                <w:b/>
                <w:bCs/>
                <w:lang w:val="ro-RO"/>
              </w:rPr>
            </w:pPr>
          </w:p>
        </w:tc>
        <w:tc>
          <w:tcPr>
            <w:tcW w:w="567" w:type="dxa"/>
          </w:tcPr>
          <w:p w14:paraId="53DA6FEC" w14:textId="77777777" w:rsidR="00E11E7D" w:rsidRPr="00C1248A" w:rsidRDefault="00E11E7D" w:rsidP="00100996">
            <w:pPr>
              <w:jc w:val="center"/>
              <w:rPr>
                <w:rFonts w:ascii="Times New Roman" w:hAnsi="Times New Roman" w:cs="Times New Roman"/>
                <w:b/>
                <w:bCs/>
                <w:lang w:val="ro-RO"/>
              </w:rPr>
            </w:pPr>
          </w:p>
          <w:p w14:paraId="68E2957A" w14:textId="7E0484E0" w:rsidR="00E11E7D" w:rsidRPr="00C1248A" w:rsidRDefault="00E11E7D" w:rsidP="00100996">
            <w:pPr>
              <w:jc w:val="center"/>
              <w:rPr>
                <w:rFonts w:ascii="Times New Roman" w:hAnsi="Times New Roman" w:cs="Times New Roman"/>
                <w:b/>
                <w:bCs/>
                <w:lang w:val="ro-RO"/>
              </w:rPr>
            </w:pPr>
            <w:r w:rsidRPr="00C1248A">
              <w:rPr>
                <w:rFonts w:ascii="Times New Roman" w:hAnsi="Times New Roman" w:cs="Times New Roman"/>
                <w:b/>
                <w:bCs/>
                <w:lang w:val="ro-RO"/>
              </w:rPr>
              <w:t>1</w:t>
            </w:r>
          </w:p>
        </w:tc>
        <w:tc>
          <w:tcPr>
            <w:tcW w:w="7938" w:type="dxa"/>
          </w:tcPr>
          <w:p w14:paraId="578D5464" w14:textId="518D0E5F" w:rsidR="00E11E7D" w:rsidRPr="00C1248A" w:rsidRDefault="00E11E7D" w:rsidP="00100996">
            <w:pPr>
              <w:pStyle w:val="Default"/>
              <w:jc w:val="both"/>
              <w:rPr>
                <w:color w:val="auto"/>
                <w:sz w:val="22"/>
                <w:szCs w:val="22"/>
                <w:lang w:val="ro-RO"/>
              </w:rPr>
            </w:pPr>
          </w:p>
        </w:tc>
        <w:tc>
          <w:tcPr>
            <w:tcW w:w="4428" w:type="dxa"/>
          </w:tcPr>
          <w:p w14:paraId="63EB6FD2" w14:textId="13CA4385" w:rsidR="00E11E7D" w:rsidRPr="00C1248A" w:rsidRDefault="00E11E7D" w:rsidP="00100996">
            <w:pPr>
              <w:rPr>
                <w:rFonts w:ascii="Times New Roman" w:hAnsi="Times New Roman" w:cs="Times New Roman"/>
                <w:lang w:val="ro-RO"/>
              </w:rPr>
            </w:pPr>
          </w:p>
        </w:tc>
      </w:tr>
      <w:tr w:rsidR="00C1248A" w:rsidRPr="00C1248A" w14:paraId="5CE8F201" w14:textId="77777777" w:rsidTr="00835F71">
        <w:trPr>
          <w:gridAfter w:val="1"/>
          <w:wAfter w:w="9" w:type="dxa"/>
          <w:trHeight w:val="979"/>
        </w:trPr>
        <w:tc>
          <w:tcPr>
            <w:tcW w:w="1985" w:type="dxa"/>
          </w:tcPr>
          <w:p w14:paraId="3751E27B" w14:textId="77777777" w:rsidR="00E11E7D" w:rsidRPr="00C1248A" w:rsidRDefault="00E11E7D" w:rsidP="00100996">
            <w:pPr>
              <w:jc w:val="center"/>
              <w:rPr>
                <w:rFonts w:ascii="Times New Roman" w:hAnsi="Times New Roman" w:cs="Times New Roman"/>
                <w:b/>
                <w:lang w:val="ro-RO"/>
              </w:rPr>
            </w:pPr>
          </w:p>
          <w:p w14:paraId="7FAC1E20" w14:textId="5B6A539C" w:rsidR="00E11E7D" w:rsidRPr="00C1248A" w:rsidRDefault="00E11E7D" w:rsidP="00100996">
            <w:pPr>
              <w:jc w:val="center"/>
              <w:rPr>
                <w:rFonts w:ascii="Times New Roman" w:hAnsi="Times New Roman" w:cs="Times New Roman"/>
                <w:b/>
                <w:lang w:val="ro-RO"/>
              </w:rPr>
            </w:pPr>
            <w:r w:rsidRPr="00C1248A">
              <w:rPr>
                <w:rFonts w:ascii="Times New Roman" w:hAnsi="Times New Roman" w:cs="Times New Roman"/>
                <w:b/>
                <w:lang w:val="ro-RO"/>
              </w:rPr>
              <w:t xml:space="preserve">Ministerul </w:t>
            </w:r>
          </w:p>
          <w:p w14:paraId="2F2573C4" w14:textId="05754A32" w:rsidR="00E11E7D" w:rsidRPr="00C1248A" w:rsidRDefault="00E11E7D" w:rsidP="00100996">
            <w:pPr>
              <w:jc w:val="center"/>
              <w:rPr>
                <w:rFonts w:ascii="Times New Roman" w:hAnsi="Times New Roman" w:cs="Times New Roman"/>
                <w:b/>
                <w:lang w:val="ro-RO"/>
              </w:rPr>
            </w:pPr>
            <w:r w:rsidRPr="00C1248A">
              <w:rPr>
                <w:rFonts w:ascii="Times New Roman" w:hAnsi="Times New Roman" w:cs="Times New Roman"/>
                <w:b/>
                <w:lang w:val="ro-RO"/>
              </w:rPr>
              <w:t>Justiției</w:t>
            </w:r>
          </w:p>
          <w:p w14:paraId="1F66779D" w14:textId="77777777" w:rsidR="00E11E7D" w:rsidRPr="00C1248A" w:rsidRDefault="00E11E7D" w:rsidP="00100996">
            <w:pPr>
              <w:jc w:val="center"/>
              <w:rPr>
                <w:rFonts w:ascii="Times New Roman" w:hAnsi="Times New Roman" w:cs="Times New Roman"/>
                <w:i/>
                <w:iCs/>
                <w:sz w:val="16"/>
                <w:szCs w:val="16"/>
                <w:lang w:val="ro-RO"/>
              </w:rPr>
            </w:pPr>
            <w:r w:rsidRPr="00C1248A">
              <w:rPr>
                <w:rFonts w:ascii="Times New Roman" w:hAnsi="Times New Roman" w:cs="Times New Roman"/>
                <w:i/>
                <w:iCs/>
                <w:sz w:val="16"/>
                <w:szCs w:val="16"/>
                <w:lang w:val="ro-RO"/>
              </w:rPr>
              <w:t>nr.  ________</w:t>
            </w:r>
          </w:p>
          <w:p w14:paraId="35152FCB" w14:textId="77777777" w:rsidR="00E11E7D" w:rsidRPr="00C1248A" w:rsidRDefault="00E11E7D" w:rsidP="00100996">
            <w:pPr>
              <w:jc w:val="center"/>
              <w:rPr>
                <w:rFonts w:ascii="Times New Roman" w:hAnsi="Times New Roman" w:cs="Times New Roman"/>
                <w:i/>
                <w:iCs/>
                <w:sz w:val="16"/>
                <w:szCs w:val="16"/>
                <w:lang w:val="ro-RO"/>
              </w:rPr>
            </w:pPr>
            <w:r w:rsidRPr="00C1248A">
              <w:rPr>
                <w:rFonts w:ascii="Times New Roman" w:hAnsi="Times New Roman" w:cs="Times New Roman"/>
                <w:i/>
                <w:iCs/>
                <w:sz w:val="16"/>
                <w:szCs w:val="16"/>
                <w:lang w:val="ro-RO"/>
              </w:rPr>
              <w:t>din ____________</w:t>
            </w:r>
          </w:p>
          <w:p w14:paraId="5FEAD3A7" w14:textId="390785EC" w:rsidR="00E11E7D" w:rsidRPr="00C1248A" w:rsidRDefault="00E11E7D" w:rsidP="00100996">
            <w:pPr>
              <w:jc w:val="center"/>
              <w:rPr>
                <w:rFonts w:ascii="Times New Roman" w:hAnsi="Times New Roman" w:cs="Times New Roman"/>
                <w:b/>
                <w:bCs/>
                <w:lang w:val="ro-RO"/>
              </w:rPr>
            </w:pPr>
          </w:p>
        </w:tc>
        <w:tc>
          <w:tcPr>
            <w:tcW w:w="567" w:type="dxa"/>
          </w:tcPr>
          <w:p w14:paraId="76842732" w14:textId="77777777" w:rsidR="00E11E7D" w:rsidRPr="00C1248A" w:rsidRDefault="00E11E7D" w:rsidP="00100996">
            <w:pPr>
              <w:jc w:val="center"/>
              <w:rPr>
                <w:rFonts w:ascii="Times New Roman" w:hAnsi="Times New Roman" w:cs="Times New Roman"/>
                <w:b/>
                <w:bCs/>
                <w:lang w:val="ro-RO"/>
              </w:rPr>
            </w:pPr>
          </w:p>
          <w:p w14:paraId="4EC69990" w14:textId="4FA47AB2" w:rsidR="00E11E7D" w:rsidRPr="00C1248A" w:rsidRDefault="00E11E7D" w:rsidP="00100996">
            <w:pPr>
              <w:jc w:val="center"/>
              <w:rPr>
                <w:rFonts w:ascii="Times New Roman" w:hAnsi="Times New Roman" w:cs="Times New Roman"/>
                <w:b/>
                <w:bCs/>
                <w:lang w:val="ro-RO"/>
              </w:rPr>
            </w:pPr>
            <w:r w:rsidRPr="00C1248A">
              <w:rPr>
                <w:rFonts w:ascii="Times New Roman" w:hAnsi="Times New Roman" w:cs="Times New Roman"/>
                <w:b/>
                <w:bCs/>
                <w:lang w:val="ro-RO"/>
              </w:rPr>
              <w:t>1</w:t>
            </w:r>
          </w:p>
        </w:tc>
        <w:tc>
          <w:tcPr>
            <w:tcW w:w="7938" w:type="dxa"/>
          </w:tcPr>
          <w:p w14:paraId="33FE18BB" w14:textId="16DDE3C6" w:rsidR="00E11E7D" w:rsidRPr="00C1248A" w:rsidRDefault="00E11E7D" w:rsidP="00100996">
            <w:pPr>
              <w:pStyle w:val="Default"/>
              <w:ind w:firstLine="311"/>
              <w:jc w:val="both"/>
              <w:rPr>
                <w:color w:val="auto"/>
                <w:sz w:val="22"/>
                <w:szCs w:val="22"/>
                <w:lang w:val="en-US"/>
              </w:rPr>
            </w:pPr>
          </w:p>
        </w:tc>
        <w:tc>
          <w:tcPr>
            <w:tcW w:w="4428" w:type="dxa"/>
          </w:tcPr>
          <w:p w14:paraId="36079B98" w14:textId="2B6D302C" w:rsidR="00E11E7D" w:rsidRPr="00C1248A" w:rsidRDefault="00E11E7D" w:rsidP="00100996">
            <w:pPr>
              <w:rPr>
                <w:rFonts w:ascii="Times New Roman" w:hAnsi="Times New Roman" w:cs="Times New Roman"/>
                <w:lang w:val="ro-RO"/>
              </w:rPr>
            </w:pPr>
          </w:p>
        </w:tc>
      </w:tr>
    </w:tbl>
    <w:p w14:paraId="21E1D762" w14:textId="77777777" w:rsidR="00555D1D" w:rsidRDefault="00C824A2" w:rsidP="00555D1D">
      <w:pPr>
        <w:pStyle w:val="a4"/>
        <w:shd w:val="clear" w:color="auto" w:fill="FFFFFF"/>
        <w:spacing w:before="0" w:beforeAutospacing="0" w:after="0" w:afterAutospacing="0"/>
        <w:jc w:val="center"/>
        <w:rPr>
          <w:b/>
          <w:bCs/>
          <w:color w:val="222222"/>
          <w:sz w:val="27"/>
          <w:szCs w:val="27"/>
          <w:shd w:val="clear" w:color="auto" w:fill="FFFFFF"/>
          <w:lang w:val="ro-MD"/>
        </w:rPr>
      </w:pPr>
      <w:r>
        <w:rPr>
          <w:b/>
          <w:bCs/>
          <w:color w:val="222222"/>
          <w:sz w:val="27"/>
          <w:szCs w:val="27"/>
          <w:shd w:val="clear" w:color="auto" w:fill="FFFFFF"/>
          <w:lang w:val="ro-MD"/>
        </w:rPr>
        <w:t xml:space="preserve">      </w:t>
      </w:r>
    </w:p>
    <w:p w14:paraId="7CEB902E" w14:textId="77777777" w:rsidR="00327A47" w:rsidRDefault="00327A47" w:rsidP="00555D1D">
      <w:pPr>
        <w:pStyle w:val="a4"/>
        <w:shd w:val="clear" w:color="auto" w:fill="FFFFFF"/>
        <w:spacing w:before="0" w:beforeAutospacing="0" w:after="0" w:afterAutospacing="0"/>
        <w:jc w:val="center"/>
        <w:rPr>
          <w:b/>
          <w:bCs/>
          <w:color w:val="222222"/>
          <w:sz w:val="27"/>
          <w:szCs w:val="27"/>
          <w:shd w:val="clear" w:color="auto" w:fill="FFFFFF"/>
          <w:lang w:val="en-US"/>
        </w:rPr>
      </w:pPr>
    </w:p>
    <w:p w14:paraId="5465FCAB" w14:textId="77777777" w:rsidR="00327A47" w:rsidRDefault="00327A47" w:rsidP="00555D1D">
      <w:pPr>
        <w:pStyle w:val="a4"/>
        <w:shd w:val="clear" w:color="auto" w:fill="FFFFFF"/>
        <w:spacing w:before="0" w:beforeAutospacing="0" w:after="0" w:afterAutospacing="0"/>
        <w:jc w:val="center"/>
        <w:rPr>
          <w:b/>
          <w:bCs/>
          <w:color w:val="222222"/>
          <w:sz w:val="27"/>
          <w:szCs w:val="27"/>
          <w:shd w:val="clear" w:color="auto" w:fill="FFFFFF"/>
          <w:lang w:val="en-US"/>
        </w:rPr>
      </w:pPr>
    </w:p>
    <w:p w14:paraId="6D88D02A" w14:textId="77777777" w:rsidR="00327A47" w:rsidRDefault="00327A47" w:rsidP="00555D1D">
      <w:pPr>
        <w:pStyle w:val="a4"/>
        <w:shd w:val="clear" w:color="auto" w:fill="FFFFFF"/>
        <w:spacing w:before="0" w:beforeAutospacing="0" w:after="0" w:afterAutospacing="0"/>
        <w:jc w:val="center"/>
        <w:rPr>
          <w:b/>
          <w:bCs/>
          <w:color w:val="222222"/>
          <w:sz w:val="27"/>
          <w:szCs w:val="27"/>
          <w:shd w:val="clear" w:color="auto" w:fill="FFFFFF"/>
          <w:lang w:val="en-US"/>
        </w:rPr>
      </w:pPr>
    </w:p>
    <w:p w14:paraId="547C3BDB" w14:textId="74073AC1" w:rsidR="003158B6" w:rsidRDefault="002039C0" w:rsidP="00555D1D">
      <w:pPr>
        <w:pStyle w:val="a4"/>
        <w:shd w:val="clear" w:color="auto" w:fill="FFFFFF"/>
        <w:spacing w:before="0" w:beforeAutospacing="0" w:after="0" w:afterAutospacing="0"/>
        <w:jc w:val="center"/>
        <w:rPr>
          <w:b/>
          <w:bCs/>
          <w:color w:val="222222"/>
          <w:sz w:val="27"/>
          <w:szCs w:val="27"/>
          <w:shd w:val="clear" w:color="auto" w:fill="FFFFFF"/>
          <w:lang w:val="en-US"/>
        </w:rPr>
      </w:pPr>
      <w:r w:rsidRPr="00C824A2">
        <w:rPr>
          <w:b/>
          <w:bCs/>
          <w:color w:val="222222"/>
          <w:sz w:val="27"/>
          <w:szCs w:val="27"/>
          <w:shd w:val="clear" w:color="auto" w:fill="FFFFFF"/>
          <w:lang w:val="en-US"/>
        </w:rPr>
        <w:t xml:space="preserve">Director general </w:t>
      </w:r>
      <w:r w:rsidRPr="00C824A2">
        <w:rPr>
          <w:b/>
          <w:bCs/>
          <w:color w:val="222222"/>
          <w:sz w:val="27"/>
          <w:szCs w:val="27"/>
          <w:shd w:val="clear" w:color="auto" w:fill="FFFFFF"/>
          <w:lang w:val="en-US"/>
        </w:rPr>
        <w:tab/>
      </w:r>
      <w:r w:rsidRPr="00C824A2">
        <w:rPr>
          <w:b/>
          <w:bCs/>
          <w:color w:val="222222"/>
          <w:sz w:val="27"/>
          <w:szCs w:val="27"/>
          <w:shd w:val="clear" w:color="auto" w:fill="FFFFFF"/>
          <w:lang w:val="en-US"/>
        </w:rPr>
        <w:tab/>
      </w:r>
      <w:r w:rsidRPr="00C824A2">
        <w:rPr>
          <w:b/>
          <w:bCs/>
          <w:color w:val="222222"/>
          <w:sz w:val="27"/>
          <w:szCs w:val="27"/>
          <w:shd w:val="clear" w:color="auto" w:fill="FFFFFF"/>
          <w:lang w:val="en-US"/>
        </w:rPr>
        <w:tab/>
      </w:r>
      <w:r w:rsidRPr="00C824A2">
        <w:rPr>
          <w:b/>
          <w:bCs/>
          <w:color w:val="222222"/>
          <w:sz w:val="27"/>
          <w:szCs w:val="27"/>
          <w:shd w:val="clear" w:color="auto" w:fill="FFFFFF"/>
          <w:lang w:val="en-US"/>
        </w:rPr>
        <w:tab/>
      </w:r>
      <w:r w:rsidRPr="00C824A2">
        <w:rPr>
          <w:b/>
          <w:bCs/>
          <w:color w:val="222222"/>
          <w:sz w:val="27"/>
          <w:szCs w:val="27"/>
          <w:shd w:val="clear" w:color="auto" w:fill="FFFFFF"/>
          <w:lang w:val="en-US"/>
        </w:rPr>
        <w:tab/>
      </w:r>
      <w:r w:rsidRPr="00C824A2">
        <w:rPr>
          <w:b/>
          <w:bCs/>
          <w:color w:val="222222"/>
          <w:sz w:val="27"/>
          <w:szCs w:val="27"/>
          <w:shd w:val="clear" w:color="auto" w:fill="FFFFFF"/>
          <w:lang w:val="en-US"/>
        </w:rPr>
        <w:tab/>
        <w:t>Ivan DANII</w:t>
      </w:r>
    </w:p>
    <w:p w14:paraId="1A3ABD23" w14:textId="77777777" w:rsidR="008A1867" w:rsidRDefault="008A1867" w:rsidP="003158B6">
      <w:pPr>
        <w:pStyle w:val="a4"/>
        <w:shd w:val="clear" w:color="auto" w:fill="FFFFFF"/>
        <w:spacing w:before="0" w:beforeAutospacing="0" w:after="0" w:afterAutospacing="0"/>
        <w:rPr>
          <w:color w:val="222222"/>
          <w:sz w:val="16"/>
          <w:szCs w:val="16"/>
          <w:shd w:val="clear" w:color="auto" w:fill="FFFFFF"/>
          <w:lang w:val="ro-MD"/>
        </w:rPr>
      </w:pPr>
    </w:p>
    <w:p w14:paraId="5E2A2CB6" w14:textId="77777777" w:rsidR="00742A0F" w:rsidRDefault="00742A0F" w:rsidP="003158B6">
      <w:pPr>
        <w:pStyle w:val="a4"/>
        <w:shd w:val="clear" w:color="auto" w:fill="FFFFFF"/>
        <w:spacing w:before="0" w:beforeAutospacing="0" w:after="0" w:afterAutospacing="0"/>
        <w:rPr>
          <w:color w:val="222222"/>
          <w:sz w:val="16"/>
          <w:szCs w:val="16"/>
          <w:shd w:val="clear" w:color="auto" w:fill="FFFFFF"/>
          <w:lang w:val="ro-MD"/>
        </w:rPr>
      </w:pPr>
    </w:p>
    <w:p w14:paraId="400FCDBF" w14:textId="77777777" w:rsidR="00327A47" w:rsidRDefault="00327A47" w:rsidP="003158B6">
      <w:pPr>
        <w:pStyle w:val="a4"/>
        <w:shd w:val="clear" w:color="auto" w:fill="FFFFFF"/>
        <w:spacing w:before="0" w:beforeAutospacing="0" w:after="0" w:afterAutospacing="0"/>
        <w:rPr>
          <w:color w:val="222222"/>
          <w:sz w:val="16"/>
          <w:szCs w:val="16"/>
          <w:shd w:val="clear" w:color="auto" w:fill="FFFFFF"/>
          <w:lang w:val="ro-MD"/>
        </w:rPr>
      </w:pPr>
    </w:p>
    <w:p w14:paraId="0D0553EA" w14:textId="77777777" w:rsidR="00327A47" w:rsidRDefault="00327A47" w:rsidP="003158B6">
      <w:pPr>
        <w:pStyle w:val="a4"/>
        <w:shd w:val="clear" w:color="auto" w:fill="FFFFFF"/>
        <w:spacing w:before="0" w:beforeAutospacing="0" w:after="0" w:afterAutospacing="0"/>
        <w:rPr>
          <w:color w:val="222222"/>
          <w:sz w:val="16"/>
          <w:szCs w:val="16"/>
          <w:shd w:val="clear" w:color="auto" w:fill="FFFFFF"/>
          <w:lang w:val="ro-MD"/>
        </w:rPr>
      </w:pPr>
    </w:p>
    <w:p w14:paraId="291D6DAA" w14:textId="77777777" w:rsidR="00327A47" w:rsidRDefault="00327A47" w:rsidP="003158B6">
      <w:pPr>
        <w:pStyle w:val="a4"/>
        <w:shd w:val="clear" w:color="auto" w:fill="FFFFFF"/>
        <w:spacing w:before="0" w:beforeAutospacing="0" w:after="0" w:afterAutospacing="0"/>
        <w:rPr>
          <w:color w:val="222222"/>
          <w:sz w:val="16"/>
          <w:szCs w:val="16"/>
          <w:shd w:val="clear" w:color="auto" w:fill="FFFFFF"/>
          <w:lang w:val="ro-MD"/>
        </w:rPr>
      </w:pPr>
    </w:p>
    <w:p w14:paraId="7D00FABC" w14:textId="77777777" w:rsidR="00327A47" w:rsidRDefault="00327A47" w:rsidP="003158B6">
      <w:pPr>
        <w:pStyle w:val="a4"/>
        <w:shd w:val="clear" w:color="auto" w:fill="FFFFFF"/>
        <w:spacing w:before="0" w:beforeAutospacing="0" w:after="0" w:afterAutospacing="0"/>
        <w:rPr>
          <w:color w:val="222222"/>
          <w:sz w:val="16"/>
          <w:szCs w:val="16"/>
          <w:shd w:val="clear" w:color="auto" w:fill="FFFFFF"/>
          <w:lang w:val="ro-MD"/>
        </w:rPr>
      </w:pPr>
    </w:p>
    <w:p w14:paraId="7769A379" w14:textId="77777777" w:rsidR="00327A47" w:rsidRDefault="00327A47" w:rsidP="003158B6">
      <w:pPr>
        <w:pStyle w:val="a4"/>
        <w:shd w:val="clear" w:color="auto" w:fill="FFFFFF"/>
        <w:spacing w:before="0" w:beforeAutospacing="0" w:after="0" w:afterAutospacing="0"/>
        <w:rPr>
          <w:color w:val="222222"/>
          <w:sz w:val="16"/>
          <w:szCs w:val="16"/>
          <w:shd w:val="clear" w:color="auto" w:fill="FFFFFF"/>
          <w:lang w:val="ro-MD"/>
        </w:rPr>
      </w:pPr>
    </w:p>
    <w:p w14:paraId="5545602E" w14:textId="299FED91" w:rsidR="003158B6" w:rsidRDefault="003158B6" w:rsidP="003158B6">
      <w:pPr>
        <w:pStyle w:val="a4"/>
        <w:shd w:val="clear" w:color="auto" w:fill="FFFFFF"/>
        <w:spacing w:before="0" w:beforeAutospacing="0" w:after="0" w:afterAutospacing="0"/>
        <w:rPr>
          <w:color w:val="222222"/>
          <w:sz w:val="16"/>
          <w:szCs w:val="16"/>
          <w:shd w:val="clear" w:color="auto" w:fill="FFFFFF"/>
          <w:lang w:val="ro-MD"/>
        </w:rPr>
      </w:pPr>
      <w:r w:rsidRPr="003158B6">
        <w:rPr>
          <w:color w:val="222222"/>
          <w:sz w:val="16"/>
          <w:szCs w:val="16"/>
          <w:shd w:val="clear" w:color="auto" w:fill="FFFFFF"/>
          <w:lang w:val="ro-MD"/>
        </w:rPr>
        <w:t>Ex. L. Mindov</w:t>
      </w:r>
    </w:p>
    <w:p w14:paraId="3ABE3E76" w14:textId="21ECF1F0" w:rsidR="003158B6" w:rsidRPr="003158B6" w:rsidRDefault="003158B6" w:rsidP="00555D1D">
      <w:pPr>
        <w:pStyle w:val="a4"/>
        <w:shd w:val="clear" w:color="auto" w:fill="FFFFFF"/>
        <w:spacing w:before="0" w:beforeAutospacing="0" w:after="0" w:afterAutospacing="0"/>
        <w:rPr>
          <w:b/>
          <w:bCs/>
          <w:color w:val="222222"/>
          <w:sz w:val="27"/>
          <w:szCs w:val="27"/>
          <w:shd w:val="clear" w:color="auto" w:fill="FFFFFF"/>
          <w:lang w:val="ro-MD"/>
        </w:rPr>
      </w:pPr>
      <w:r>
        <w:rPr>
          <w:color w:val="222222"/>
          <w:sz w:val="16"/>
          <w:szCs w:val="16"/>
          <w:shd w:val="clear" w:color="auto" w:fill="FFFFFF"/>
          <w:lang w:val="ro-MD"/>
        </w:rPr>
        <w:t>Tel: 88-102-52</w:t>
      </w:r>
    </w:p>
    <w:sectPr w:rsidR="003158B6" w:rsidRPr="003158B6" w:rsidSect="00555D1D">
      <w:pgSz w:w="15840" w:h="12240" w:orient="landscape"/>
      <w:pgMar w:top="28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1B1A1B"/>
        <w:spacing w:val="1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1B1A1B"/>
        <w:spacing w:val="1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1B1A1B"/>
        <w:spacing w:val="1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1B1A1B"/>
        <w:spacing w:val="1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1B1A1B"/>
        <w:spacing w:val="1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1B1A1B"/>
        <w:spacing w:val="1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1B1A1B"/>
        <w:spacing w:val="1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1B1A1B"/>
        <w:spacing w:val="1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1B1A1B"/>
        <w:spacing w:val="10"/>
        <w:w w:val="100"/>
        <w:position w:val="0"/>
        <w:sz w:val="22"/>
        <w:szCs w:val="22"/>
        <w:u w:val="none"/>
      </w:rPr>
    </w:lvl>
  </w:abstractNum>
  <w:abstractNum w:abstractNumId="1" w15:restartNumberingAfterBreak="0">
    <w:nsid w:val="07DE78F7"/>
    <w:multiLevelType w:val="hybridMultilevel"/>
    <w:tmpl w:val="B92655F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1F0CD6"/>
    <w:multiLevelType w:val="hybridMultilevel"/>
    <w:tmpl w:val="378E9FB6"/>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D43886"/>
    <w:multiLevelType w:val="hybridMultilevel"/>
    <w:tmpl w:val="258A846A"/>
    <w:lvl w:ilvl="0" w:tplc="8370C17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4" w15:restartNumberingAfterBreak="0">
    <w:nsid w:val="10F00B12"/>
    <w:multiLevelType w:val="hybridMultilevel"/>
    <w:tmpl w:val="12F0CA6E"/>
    <w:lvl w:ilvl="0" w:tplc="04180011">
      <w:start w:val="1"/>
      <w:numFmt w:val="decimal"/>
      <w:lvlText w:val="%1)"/>
      <w:lvlJc w:val="left"/>
      <w:pPr>
        <w:ind w:left="4860" w:hanging="360"/>
      </w:pPr>
      <w:rPr>
        <w:rFonts w:hint="default"/>
      </w:rPr>
    </w:lvl>
    <w:lvl w:ilvl="1" w:tplc="04180019" w:tentative="1">
      <w:start w:val="1"/>
      <w:numFmt w:val="lowerLetter"/>
      <w:lvlText w:val="%2."/>
      <w:lvlJc w:val="left"/>
      <w:pPr>
        <w:ind w:left="5580" w:hanging="360"/>
      </w:pPr>
    </w:lvl>
    <w:lvl w:ilvl="2" w:tplc="0418001B" w:tentative="1">
      <w:start w:val="1"/>
      <w:numFmt w:val="lowerRoman"/>
      <w:lvlText w:val="%3."/>
      <w:lvlJc w:val="right"/>
      <w:pPr>
        <w:ind w:left="6300" w:hanging="180"/>
      </w:pPr>
    </w:lvl>
    <w:lvl w:ilvl="3" w:tplc="0418000F" w:tentative="1">
      <w:start w:val="1"/>
      <w:numFmt w:val="decimal"/>
      <w:lvlText w:val="%4."/>
      <w:lvlJc w:val="left"/>
      <w:pPr>
        <w:ind w:left="7020" w:hanging="360"/>
      </w:pPr>
    </w:lvl>
    <w:lvl w:ilvl="4" w:tplc="04180019" w:tentative="1">
      <w:start w:val="1"/>
      <w:numFmt w:val="lowerLetter"/>
      <w:lvlText w:val="%5."/>
      <w:lvlJc w:val="left"/>
      <w:pPr>
        <w:ind w:left="7740" w:hanging="360"/>
      </w:pPr>
    </w:lvl>
    <w:lvl w:ilvl="5" w:tplc="0418001B" w:tentative="1">
      <w:start w:val="1"/>
      <w:numFmt w:val="lowerRoman"/>
      <w:lvlText w:val="%6."/>
      <w:lvlJc w:val="right"/>
      <w:pPr>
        <w:ind w:left="8460" w:hanging="180"/>
      </w:pPr>
    </w:lvl>
    <w:lvl w:ilvl="6" w:tplc="0418000F" w:tentative="1">
      <w:start w:val="1"/>
      <w:numFmt w:val="decimal"/>
      <w:lvlText w:val="%7."/>
      <w:lvlJc w:val="left"/>
      <w:pPr>
        <w:ind w:left="9180" w:hanging="360"/>
      </w:pPr>
    </w:lvl>
    <w:lvl w:ilvl="7" w:tplc="04180019" w:tentative="1">
      <w:start w:val="1"/>
      <w:numFmt w:val="lowerLetter"/>
      <w:lvlText w:val="%8."/>
      <w:lvlJc w:val="left"/>
      <w:pPr>
        <w:ind w:left="9900" w:hanging="360"/>
      </w:pPr>
    </w:lvl>
    <w:lvl w:ilvl="8" w:tplc="0418001B" w:tentative="1">
      <w:start w:val="1"/>
      <w:numFmt w:val="lowerRoman"/>
      <w:lvlText w:val="%9."/>
      <w:lvlJc w:val="right"/>
      <w:pPr>
        <w:ind w:left="10620" w:hanging="180"/>
      </w:pPr>
    </w:lvl>
  </w:abstractNum>
  <w:abstractNum w:abstractNumId="5" w15:restartNumberingAfterBreak="0">
    <w:nsid w:val="1B3026EC"/>
    <w:multiLevelType w:val="hybridMultilevel"/>
    <w:tmpl w:val="378E9FB6"/>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6621F4"/>
    <w:multiLevelType w:val="hybridMultilevel"/>
    <w:tmpl w:val="FBD2544E"/>
    <w:lvl w:ilvl="0" w:tplc="AB7E86CE">
      <w:start w:val="1"/>
      <w:numFmt w:val="upperRoman"/>
      <w:lvlText w:val="%1."/>
      <w:lvlJc w:val="left"/>
      <w:pPr>
        <w:ind w:left="1125" w:hanging="72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 w15:restartNumberingAfterBreak="0">
    <w:nsid w:val="28E64679"/>
    <w:multiLevelType w:val="hybridMultilevel"/>
    <w:tmpl w:val="B7AE15EC"/>
    <w:lvl w:ilvl="0" w:tplc="D3DE84BC">
      <w:start w:val="1"/>
      <w:numFmt w:val="bullet"/>
      <w:lvlText w:val="-"/>
      <w:lvlJc w:val="left"/>
      <w:pPr>
        <w:ind w:left="1080" w:hanging="360"/>
      </w:pPr>
      <w:rPr>
        <w:rFonts w:ascii="Times New Roman" w:eastAsiaTheme="minorHAnsi" w:hAnsi="Times New Roman" w:cs="Times New Roman" w:hint="default"/>
      </w:rPr>
    </w:lvl>
    <w:lvl w:ilvl="1" w:tplc="08180003" w:tentative="1">
      <w:start w:val="1"/>
      <w:numFmt w:val="bullet"/>
      <w:lvlText w:val="o"/>
      <w:lvlJc w:val="left"/>
      <w:pPr>
        <w:ind w:left="1800" w:hanging="360"/>
      </w:pPr>
      <w:rPr>
        <w:rFonts w:ascii="Courier New" w:hAnsi="Courier New" w:cs="Courier New" w:hint="default"/>
      </w:rPr>
    </w:lvl>
    <w:lvl w:ilvl="2" w:tplc="08180005" w:tentative="1">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cs="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cs="Courier New" w:hint="default"/>
      </w:rPr>
    </w:lvl>
    <w:lvl w:ilvl="8" w:tplc="08180005" w:tentative="1">
      <w:start w:val="1"/>
      <w:numFmt w:val="bullet"/>
      <w:lvlText w:val=""/>
      <w:lvlJc w:val="left"/>
      <w:pPr>
        <w:ind w:left="6840" w:hanging="360"/>
      </w:pPr>
      <w:rPr>
        <w:rFonts w:ascii="Wingdings" w:hAnsi="Wingdings" w:hint="default"/>
      </w:rPr>
    </w:lvl>
  </w:abstractNum>
  <w:abstractNum w:abstractNumId="8" w15:restartNumberingAfterBreak="0">
    <w:nsid w:val="2ABB0F4D"/>
    <w:multiLevelType w:val="hybridMultilevel"/>
    <w:tmpl w:val="378E9FB6"/>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CF331D"/>
    <w:multiLevelType w:val="hybridMultilevel"/>
    <w:tmpl w:val="489638DC"/>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362B47AC"/>
    <w:multiLevelType w:val="hybridMultilevel"/>
    <w:tmpl w:val="AE1CF140"/>
    <w:lvl w:ilvl="0" w:tplc="E73EE9FA">
      <w:start w:val="1"/>
      <w:numFmt w:val="decimal"/>
      <w:lvlText w:val="%1."/>
      <w:lvlJc w:val="left"/>
      <w:pPr>
        <w:ind w:left="720" w:hanging="360"/>
      </w:pPr>
      <w:rPr>
        <w:rFonts w:hint="default"/>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4D725512"/>
    <w:multiLevelType w:val="hybridMultilevel"/>
    <w:tmpl w:val="B02031BA"/>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53006F55"/>
    <w:multiLevelType w:val="hybridMultilevel"/>
    <w:tmpl w:val="9A80A00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5C40311"/>
    <w:multiLevelType w:val="hybridMultilevel"/>
    <w:tmpl w:val="378E9FB6"/>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CD1133C"/>
    <w:multiLevelType w:val="hybridMultilevel"/>
    <w:tmpl w:val="EC9EF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F8219DA"/>
    <w:multiLevelType w:val="hybridMultilevel"/>
    <w:tmpl w:val="B386CD1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72446992"/>
    <w:multiLevelType w:val="hybridMultilevel"/>
    <w:tmpl w:val="378E9FB6"/>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6F55A49"/>
    <w:multiLevelType w:val="hybridMultilevel"/>
    <w:tmpl w:val="1D547E38"/>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77098ED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E961986"/>
    <w:multiLevelType w:val="hybridMultilevel"/>
    <w:tmpl w:val="378E9FB6"/>
    <w:lvl w:ilvl="0" w:tplc="8F5C32D8">
      <w:start w:val="1"/>
      <w:numFmt w:val="decimal"/>
      <w:lvlText w:val="%1."/>
      <w:lvlJc w:val="left"/>
      <w:pPr>
        <w:ind w:left="720" w:hanging="360"/>
      </w:pPr>
      <w:rPr>
        <w:rFonts w:hint="default"/>
        <w:b w:val="0"/>
        <w:bCs w:val="0"/>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EF6724C"/>
    <w:multiLevelType w:val="hybridMultilevel"/>
    <w:tmpl w:val="7C7E5B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97424147">
    <w:abstractNumId w:val="17"/>
  </w:num>
  <w:num w:numId="2" w16cid:durableId="492843703">
    <w:abstractNumId w:val="9"/>
  </w:num>
  <w:num w:numId="3" w16cid:durableId="684131497">
    <w:abstractNumId w:val="7"/>
  </w:num>
  <w:num w:numId="4" w16cid:durableId="2022127375">
    <w:abstractNumId w:val="11"/>
  </w:num>
  <w:num w:numId="5" w16cid:durableId="1470394576">
    <w:abstractNumId w:val="15"/>
  </w:num>
  <w:num w:numId="6" w16cid:durableId="571281733">
    <w:abstractNumId w:val="19"/>
  </w:num>
  <w:num w:numId="7" w16cid:durableId="670565783">
    <w:abstractNumId w:val="4"/>
  </w:num>
  <w:num w:numId="8" w16cid:durableId="894000989">
    <w:abstractNumId w:val="12"/>
  </w:num>
  <w:num w:numId="9" w16cid:durableId="630791418">
    <w:abstractNumId w:val="5"/>
  </w:num>
  <w:num w:numId="10" w16cid:durableId="99687242">
    <w:abstractNumId w:val="2"/>
  </w:num>
  <w:num w:numId="11" w16cid:durableId="2120444606">
    <w:abstractNumId w:val="1"/>
  </w:num>
  <w:num w:numId="12" w16cid:durableId="1403218747">
    <w:abstractNumId w:val="8"/>
  </w:num>
  <w:num w:numId="13" w16cid:durableId="1213343689">
    <w:abstractNumId w:val="13"/>
  </w:num>
  <w:num w:numId="14" w16cid:durableId="78406749">
    <w:abstractNumId w:val="16"/>
  </w:num>
  <w:num w:numId="15" w16cid:durableId="421293025">
    <w:abstractNumId w:val="20"/>
  </w:num>
  <w:num w:numId="16" w16cid:durableId="263538812">
    <w:abstractNumId w:val="0"/>
  </w:num>
  <w:num w:numId="17" w16cid:durableId="2106874475">
    <w:abstractNumId w:val="18"/>
  </w:num>
  <w:num w:numId="18" w16cid:durableId="811143506">
    <w:abstractNumId w:val="3"/>
  </w:num>
  <w:num w:numId="19" w16cid:durableId="274951045">
    <w:abstractNumId w:val="6"/>
  </w:num>
  <w:num w:numId="20" w16cid:durableId="482506829">
    <w:abstractNumId w:val="10"/>
  </w:num>
  <w:num w:numId="21" w16cid:durableId="623339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60893"/>
    <w:rsid w:val="00005FFE"/>
    <w:rsid w:val="00012B7D"/>
    <w:rsid w:val="00013472"/>
    <w:rsid w:val="00017709"/>
    <w:rsid w:val="00024B31"/>
    <w:rsid w:val="00035E32"/>
    <w:rsid w:val="00040104"/>
    <w:rsid w:val="000423FC"/>
    <w:rsid w:val="00050C13"/>
    <w:rsid w:val="000614BA"/>
    <w:rsid w:val="0006499D"/>
    <w:rsid w:val="0006750D"/>
    <w:rsid w:val="000731AD"/>
    <w:rsid w:val="00073538"/>
    <w:rsid w:val="00076179"/>
    <w:rsid w:val="000803AB"/>
    <w:rsid w:val="00090FE6"/>
    <w:rsid w:val="0009445C"/>
    <w:rsid w:val="00094B75"/>
    <w:rsid w:val="000A0767"/>
    <w:rsid w:val="000B1A72"/>
    <w:rsid w:val="000B304F"/>
    <w:rsid w:val="000C3D9D"/>
    <w:rsid w:val="000D1D8E"/>
    <w:rsid w:val="000D2F36"/>
    <w:rsid w:val="000E0A48"/>
    <w:rsid w:val="00100996"/>
    <w:rsid w:val="00100E0E"/>
    <w:rsid w:val="00107DC8"/>
    <w:rsid w:val="0011179E"/>
    <w:rsid w:val="00115276"/>
    <w:rsid w:val="00121A90"/>
    <w:rsid w:val="00121ED2"/>
    <w:rsid w:val="0012712F"/>
    <w:rsid w:val="00135537"/>
    <w:rsid w:val="001452A0"/>
    <w:rsid w:val="00170060"/>
    <w:rsid w:val="00172803"/>
    <w:rsid w:val="00184829"/>
    <w:rsid w:val="00194D2C"/>
    <w:rsid w:val="00195310"/>
    <w:rsid w:val="001A0704"/>
    <w:rsid w:val="001A6589"/>
    <w:rsid w:val="001C2000"/>
    <w:rsid w:val="001C403A"/>
    <w:rsid w:val="001D4CF7"/>
    <w:rsid w:val="001E120B"/>
    <w:rsid w:val="001E6DAD"/>
    <w:rsid w:val="001E6ECB"/>
    <w:rsid w:val="001F1A8A"/>
    <w:rsid w:val="001F44BE"/>
    <w:rsid w:val="002039C0"/>
    <w:rsid w:val="00205651"/>
    <w:rsid w:val="00205B8B"/>
    <w:rsid w:val="0021110B"/>
    <w:rsid w:val="00211233"/>
    <w:rsid w:val="00213FD2"/>
    <w:rsid w:val="00214B42"/>
    <w:rsid w:val="00215C8B"/>
    <w:rsid w:val="002316FE"/>
    <w:rsid w:val="002332C3"/>
    <w:rsid w:val="002338B8"/>
    <w:rsid w:val="0024487D"/>
    <w:rsid w:val="00245AE9"/>
    <w:rsid w:val="00261083"/>
    <w:rsid w:val="00261DBD"/>
    <w:rsid w:val="0026289E"/>
    <w:rsid w:val="00270984"/>
    <w:rsid w:val="002715AF"/>
    <w:rsid w:val="00284A23"/>
    <w:rsid w:val="002855B4"/>
    <w:rsid w:val="00295904"/>
    <w:rsid w:val="002973E9"/>
    <w:rsid w:val="002A678D"/>
    <w:rsid w:val="002B19C4"/>
    <w:rsid w:val="002B21B4"/>
    <w:rsid w:val="002B628F"/>
    <w:rsid w:val="002B7619"/>
    <w:rsid w:val="002C3C30"/>
    <w:rsid w:val="002C4F29"/>
    <w:rsid w:val="002E2667"/>
    <w:rsid w:val="002F2967"/>
    <w:rsid w:val="002F6A60"/>
    <w:rsid w:val="00313B0F"/>
    <w:rsid w:val="003158B6"/>
    <w:rsid w:val="00327A47"/>
    <w:rsid w:val="003364F4"/>
    <w:rsid w:val="00347805"/>
    <w:rsid w:val="00353C8D"/>
    <w:rsid w:val="003578B3"/>
    <w:rsid w:val="00363E48"/>
    <w:rsid w:val="00381B14"/>
    <w:rsid w:val="00383931"/>
    <w:rsid w:val="00390162"/>
    <w:rsid w:val="003915C8"/>
    <w:rsid w:val="00394E37"/>
    <w:rsid w:val="003955F2"/>
    <w:rsid w:val="003A02B3"/>
    <w:rsid w:val="003A3449"/>
    <w:rsid w:val="003B24F1"/>
    <w:rsid w:val="003B4C32"/>
    <w:rsid w:val="003C01A1"/>
    <w:rsid w:val="003C2D36"/>
    <w:rsid w:val="003D575E"/>
    <w:rsid w:val="003E0606"/>
    <w:rsid w:val="003E15B7"/>
    <w:rsid w:val="003E354D"/>
    <w:rsid w:val="003E4108"/>
    <w:rsid w:val="003E7975"/>
    <w:rsid w:val="003F6AF7"/>
    <w:rsid w:val="004001B5"/>
    <w:rsid w:val="004026FE"/>
    <w:rsid w:val="004142BB"/>
    <w:rsid w:val="00425CEE"/>
    <w:rsid w:val="00426BC5"/>
    <w:rsid w:val="00430B90"/>
    <w:rsid w:val="00431E5D"/>
    <w:rsid w:val="00434791"/>
    <w:rsid w:val="00453CC7"/>
    <w:rsid w:val="004606AA"/>
    <w:rsid w:val="00464498"/>
    <w:rsid w:val="004645AF"/>
    <w:rsid w:val="00475C49"/>
    <w:rsid w:val="00476F4E"/>
    <w:rsid w:val="00477A6D"/>
    <w:rsid w:val="00480B28"/>
    <w:rsid w:val="00480E51"/>
    <w:rsid w:val="004946D6"/>
    <w:rsid w:val="00496BCA"/>
    <w:rsid w:val="00496F6B"/>
    <w:rsid w:val="004B1575"/>
    <w:rsid w:val="004B4DE2"/>
    <w:rsid w:val="004C4BEC"/>
    <w:rsid w:val="004C721F"/>
    <w:rsid w:val="004D1047"/>
    <w:rsid w:val="004D1078"/>
    <w:rsid w:val="004E16AB"/>
    <w:rsid w:val="004E470D"/>
    <w:rsid w:val="004E61E3"/>
    <w:rsid w:val="004E6749"/>
    <w:rsid w:val="004F49EC"/>
    <w:rsid w:val="004F5D54"/>
    <w:rsid w:val="00511652"/>
    <w:rsid w:val="00522B4D"/>
    <w:rsid w:val="00525181"/>
    <w:rsid w:val="00525651"/>
    <w:rsid w:val="005320C2"/>
    <w:rsid w:val="0054520F"/>
    <w:rsid w:val="0054753E"/>
    <w:rsid w:val="00555D1D"/>
    <w:rsid w:val="005633DD"/>
    <w:rsid w:val="00577995"/>
    <w:rsid w:val="00584853"/>
    <w:rsid w:val="00592FD3"/>
    <w:rsid w:val="00593C06"/>
    <w:rsid w:val="0059550B"/>
    <w:rsid w:val="005A0F93"/>
    <w:rsid w:val="005B43E9"/>
    <w:rsid w:val="005E1179"/>
    <w:rsid w:val="005E7F7F"/>
    <w:rsid w:val="005F60AB"/>
    <w:rsid w:val="005F620C"/>
    <w:rsid w:val="00600AEF"/>
    <w:rsid w:val="00601082"/>
    <w:rsid w:val="0060757B"/>
    <w:rsid w:val="006161E4"/>
    <w:rsid w:val="006338D7"/>
    <w:rsid w:val="00635933"/>
    <w:rsid w:val="006432A6"/>
    <w:rsid w:val="0064652C"/>
    <w:rsid w:val="00652903"/>
    <w:rsid w:val="006535C8"/>
    <w:rsid w:val="0066262B"/>
    <w:rsid w:val="0066637E"/>
    <w:rsid w:val="00667717"/>
    <w:rsid w:val="00672F41"/>
    <w:rsid w:val="006905A2"/>
    <w:rsid w:val="006908E8"/>
    <w:rsid w:val="00690C1B"/>
    <w:rsid w:val="0069707E"/>
    <w:rsid w:val="006E3400"/>
    <w:rsid w:val="006E73BD"/>
    <w:rsid w:val="00712421"/>
    <w:rsid w:val="00713048"/>
    <w:rsid w:val="007134C9"/>
    <w:rsid w:val="00731DFA"/>
    <w:rsid w:val="00733E46"/>
    <w:rsid w:val="00741A5B"/>
    <w:rsid w:val="00742A0F"/>
    <w:rsid w:val="00744716"/>
    <w:rsid w:val="00750A4E"/>
    <w:rsid w:val="00754C9E"/>
    <w:rsid w:val="007812BC"/>
    <w:rsid w:val="0079309E"/>
    <w:rsid w:val="007A4103"/>
    <w:rsid w:val="007A4684"/>
    <w:rsid w:val="007A77B9"/>
    <w:rsid w:val="007B46EF"/>
    <w:rsid w:val="007C0511"/>
    <w:rsid w:val="007C42F4"/>
    <w:rsid w:val="007D10AE"/>
    <w:rsid w:val="007D4B32"/>
    <w:rsid w:val="007D4B84"/>
    <w:rsid w:val="007F05F6"/>
    <w:rsid w:val="007F2731"/>
    <w:rsid w:val="007F3D7F"/>
    <w:rsid w:val="007F4117"/>
    <w:rsid w:val="007F6008"/>
    <w:rsid w:val="008045B6"/>
    <w:rsid w:val="008052F5"/>
    <w:rsid w:val="008126AE"/>
    <w:rsid w:val="008214D7"/>
    <w:rsid w:val="00821E0E"/>
    <w:rsid w:val="0082761C"/>
    <w:rsid w:val="00835F71"/>
    <w:rsid w:val="008445D0"/>
    <w:rsid w:val="00852345"/>
    <w:rsid w:val="00853431"/>
    <w:rsid w:val="008607B9"/>
    <w:rsid w:val="00870D9C"/>
    <w:rsid w:val="00881D22"/>
    <w:rsid w:val="00890E1A"/>
    <w:rsid w:val="00894599"/>
    <w:rsid w:val="008A1867"/>
    <w:rsid w:val="008A4CC3"/>
    <w:rsid w:val="008A4F0A"/>
    <w:rsid w:val="008B1578"/>
    <w:rsid w:val="008B4481"/>
    <w:rsid w:val="008D6269"/>
    <w:rsid w:val="008D7558"/>
    <w:rsid w:val="008E3A20"/>
    <w:rsid w:val="009025D8"/>
    <w:rsid w:val="00904F63"/>
    <w:rsid w:val="00906CB9"/>
    <w:rsid w:val="00907594"/>
    <w:rsid w:val="009107C9"/>
    <w:rsid w:val="00911FBC"/>
    <w:rsid w:val="00913F06"/>
    <w:rsid w:val="00915A97"/>
    <w:rsid w:val="00932A99"/>
    <w:rsid w:val="009421AB"/>
    <w:rsid w:val="009451FC"/>
    <w:rsid w:val="00946387"/>
    <w:rsid w:val="00950114"/>
    <w:rsid w:val="00952A4D"/>
    <w:rsid w:val="00960893"/>
    <w:rsid w:val="00961C40"/>
    <w:rsid w:val="00973512"/>
    <w:rsid w:val="0098694A"/>
    <w:rsid w:val="009979AC"/>
    <w:rsid w:val="009A6238"/>
    <w:rsid w:val="009A6E17"/>
    <w:rsid w:val="009B054A"/>
    <w:rsid w:val="009C2121"/>
    <w:rsid w:val="009D1735"/>
    <w:rsid w:val="009D3642"/>
    <w:rsid w:val="009E0226"/>
    <w:rsid w:val="009E1F03"/>
    <w:rsid w:val="009E2B26"/>
    <w:rsid w:val="009E2ECB"/>
    <w:rsid w:val="009F088E"/>
    <w:rsid w:val="009F1C08"/>
    <w:rsid w:val="00A00842"/>
    <w:rsid w:val="00A0093F"/>
    <w:rsid w:val="00A034BF"/>
    <w:rsid w:val="00A24231"/>
    <w:rsid w:val="00A25D44"/>
    <w:rsid w:val="00A264CC"/>
    <w:rsid w:val="00A3510F"/>
    <w:rsid w:val="00A40DA9"/>
    <w:rsid w:val="00A41829"/>
    <w:rsid w:val="00A44EE3"/>
    <w:rsid w:val="00A4572A"/>
    <w:rsid w:val="00A467C2"/>
    <w:rsid w:val="00A759E6"/>
    <w:rsid w:val="00A77DCD"/>
    <w:rsid w:val="00A82F2C"/>
    <w:rsid w:val="00A840D2"/>
    <w:rsid w:val="00A84D60"/>
    <w:rsid w:val="00A85776"/>
    <w:rsid w:val="00A9658C"/>
    <w:rsid w:val="00AB2A10"/>
    <w:rsid w:val="00AB5316"/>
    <w:rsid w:val="00AD5B68"/>
    <w:rsid w:val="00AD6059"/>
    <w:rsid w:val="00AD60A2"/>
    <w:rsid w:val="00AD6AA8"/>
    <w:rsid w:val="00AE0103"/>
    <w:rsid w:val="00AE4561"/>
    <w:rsid w:val="00AF5BE6"/>
    <w:rsid w:val="00AF78FB"/>
    <w:rsid w:val="00B0252A"/>
    <w:rsid w:val="00B05E84"/>
    <w:rsid w:val="00B102DB"/>
    <w:rsid w:val="00B255C6"/>
    <w:rsid w:val="00B328FC"/>
    <w:rsid w:val="00B32DEA"/>
    <w:rsid w:val="00B3306C"/>
    <w:rsid w:val="00B47F77"/>
    <w:rsid w:val="00B562C8"/>
    <w:rsid w:val="00B62A04"/>
    <w:rsid w:val="00B667B6"/>
    <w:rsid w:val="00B7260F"/>
    <w:rsid w:val="00B81729"/>
    <w:rsid w:val="00B878FF"/>
    <w:rsid w:val="00B96297"/>
    <w:rsid w:val="00BA2797"/>
    <w:rsid w:val="00BC4E3B"/>
    <w:rsid w:val="00BD55FB"/>
    <w:rsid w:val="00BE3BF5"/>
    <w:rsid w:val="00BE4CB6"/>
    <w:rsid w:val="00BE6F49"/>
    <w:rsid w:val="00C02649"/>
    <w:rsid w:val="00C04866"/>
    <w:rsid w:val="00C1045B"/>
    <w:rsid w:val="00C10A05"/>
    <w:rsid w:val="00C115D7"/>
    <w:rsid w:val="00C1248A"/>
    <w:rsid w:val="00C13FB7"/>
    <w:rsid w:val="00C14931"/>
    <w:rsid w:val="00C176DB"/>
    <w:rsid w:val="00C21B7D"/>
    <w:rsid w:val="00C23AF0"/>
    <w:rsid w:val="00C25145"/>
    <w:rsid w:val="00C2714A"/>
    <w:rsid w:val="00C35FEA"/>
    <w:rsid w:val="00C42674"/>
    <w:rsid w:val="00C45D7C"/>
    <w:rsid w:val="00C610BC"/>
    <w:rsid w:val="00C665AB"/>
    <w:rsid w:val="00C70D96"/>
    <w:rsid w:val="00C744D2"/>
    <w:rsid w:val="00C8080A"/>
    <w:rsid w:val="00C824A2"/>
    <w:rsid w:val="00C86FA0"/>
    <w:rsid w:val="00C873F1"/>
    <w:rsid w:val="00C87EC8"/>
    <w:rsid w:val="00C918F4"/>
    <w:rsid w:val="00CA3F08"/>
    <w:rsid w:val="00CA5D36"/>
    <w:rsid w:val="00CA615B"/>
    <w:rsid w:val="00CB05BB"/>
    <w:rsid w:val="00CB36AC"/>
    <w:rsid w:val="00CB67BE"/>
    <w:rsid w:val="00CB68D1"/>
    <w:rsid w:val="00CC4AA4"/>
    <w:rsid w:val="00CC4CCC"/>
    <w:rsid w:val="00CC7257"/>
    <w:rsid w:val="00CC7C2C"/>
    <w:rsid w:val="00CD0786"/>
    <w:rsid w:val="00CD18A8"/>
    <w:rsid w:val="00CD18AF"/>
    <w:rsid w:val="00CE16DD"/>
    <w:rsid w:val="00CE4C67"/>
    <w:rsid w:val="00CE5FD9"/>
    <w:rsid w:val="00CF0931"/>
    <w:rsid w:val="00CF12E7"/>
    <w:rsid w:val="00CF519B"/>
    <w:rsid w:val="00CF653E"/>
    <w:rsid w:val="00D07632"/>
    <w:rsid w:val="00D07EBE"/>
    <w:rsid w:val="00D100CD"/>
    <w:rsid w:val="00D26B7B"/>
    <w:rsid w:val="00D27468"/>
    <w:rsid w:val="00D34E77"/>
    <w:rsid w:val="00D36E40"/>
    <w:rsid w:val="00D41220"/>
    <w:rsid w:val="00D5082F"/>
    <w:rsid w:val="00D60859"/>
    <w:rsid w:val="00D62CB6"/>
    <w:rsid w:val="00D64EB4"/>
    <w:rsid w:val="00D82C83"/>
    <w:rsid w:val="00D90D76"/>
    <w:rsid w:val="00D955B5"/>
    <w:rsid w:val="00D95D2C"/>
    <w:rsid w:val="00D97CF5"/>
    <w:rsid w:val="00DA6D0D"/>
    <w:rsid w:val="00DC015B"/>
    <w:rsid w:val="00DC02D6"/>
    <w:rsid w:val="00DD4258"/>
    <w:rsid w:val="00DD5593"/>
    <w:rsid w:val="00DE47CF"/>
    <w:rsid w:val="00DF3FAF"/>
    <w:rsid w:val="00DF6C4D"/>
    <w:rsid w:val="00E02F57"/>
    <w:rsid w:val="00E07C46"/>
    <w:rsid w:val="00E07F13"/>
    <w:rsid w:val="00E11E7D"/>
    <w:rsid w:val="00E12096"/>
    <w:rsid w:val="00E12E89"/>
    <w:rsid w:val="00E161BA"/>
    <w:rsid w:val="00E31D41"/>
    <w:rsid w:val="00E33917"/>
    <w:rsid w:val="00E52FB2"/>
    <w:rsid w:val="00E54614"/>
    <w:rsid w:val="00E54904"/>
    <w:rsid w:val="00E57012"/>
    <w:rsid w:val="00E57DEA"/>
    <w:rsid w:val="00E65B19"/>
    <w:rsid w:val="00E73E87"/>
    <w:rsid w:val="00E80D13"/>
    <w:rsid w:val="00E93D13"/>
    <w:rsid w:val="00EA1774"/>
    <w:rsid w:val="00EB29D1"/>
    <w:rsid w:val="00EB67AD"/>
    <w:rsid w:val="00ED2116"/>
    <w:rsid w:val="00ED229D"/>
    <w:rsid w:val="00ED2E4B"/>
    <w:rsid w:val="00ED511A"/>
    <w:rsid w:val="00EE0818"/>
    <w:rsid w:val="00EE1A7E"/>
    <w:rsid w:val="00EE2BE0"/>
    <w:rsid w:val="00EF4402"/>
    <w:rsid w:val="00EF61A8"/>
    <w:rsid w:val="00F00928"/>
    <w:rsid w:val="00F009A4"/>
    <w:rsid w:val="00F242FD"/>
    <w:rsid w:val="00F27AED"/>
    <w:rsid w:val="00F37AE3"/>
    <w:rsid w:val="00F44E90"/>
    <w:rsid w:val="00F51DF3"/>
    <w:rsid w:val="00F53E1C"/>
    <w:rsid w:val="00F554F7"/>
    <w:rsid w:val="00F56A52"/>
    <w:rsid w:val="00F56ECA"/>
    <w:rsid w:val="00F57029"/>
    <w:rsid w:val="00F66DFF"/>
    <w:rsid w:val="00F746A6"/>
    <w:rsid w:val="00F931F9"/>
    <w:rsid w:val="00FB1902"/>
    <w:rsid w:val="00FC2977"/>
    <w:rsid w:val="00FD6375"/>
    <w:rsid w:val="00FE2F2B"/>
    <w:rsid w:val="00FE3B07"/>
    <w:rsid w:val="00FF16A8"/>
    <w:rsid w:val="00FF38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6A9F"/>
  <w15:docId w15:val="{F5E509CC-378D-48D7-9539-E5AE3B61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12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4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EE081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5">
    <w:name w:val="Strong"/>
    <w:basedOn w:val="a0"/>
    <w:uiPriority w:val="22"/>
    <w:qFormat/>
    <w:rsid w:val="00EE0818"/>
    <w:rPr>
      <w:b/>
      <w:bCs/>
    </w:rPr>
  </w:style>
  <w:style w:type="paragraph" w:customStyle="1" w:styleId="Default">
    <w:name w:val="Default"/>
    <w:rsid w:val="00EE0818"/>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6">
    <w:name w:val="List Paragraph"/>
    <w:aliases w:val="Scriptoria bullet points,HotarirePunct1,List Paragraph 1,Bullets,List Paragraph (numbered (a)),Numbered Paragraph,Main numbered paragraph,Akapit z listą BS,Lettre d'introduction,List Paragraph11,Lapis Bulleted List,Dot pt"/>
    <w:basedOn w:val="a"/>
    <w:link w:val="a7"/>
    <w:uiPriority w:val="34"/>
    <w:qFormat/>
    <w:rsid w:val="00C87EC8"/>
    <w:pPr>
      <w:spacing w:after="0" w:line="240" w:lineRule="auto"/>
      <w:ind w:left="720"/>
      <w:contextualSpacing/>
    </w:pPr>
    <w:rPr>
      <w:rFonts w:ascii="Times New Roman" w:eastAsia="Times New Roman" w:hAnsi="Times New Roman" w:cs="Times New Roman"/>
      <w:kern w:val="0"/>
      <w:sz w:val="20"/>
      <w:szCs w:val="20"/>
      <w:lang w:val="ro-RO" w:eastAsia="ru-RU"/>
    </w:rPr>
  </w:style>
  <w:style w:type="character" w:customStyle="1" w:styleId="a7">
    <w:name w:val="Абзац списка Знак"/>
    <w:aliases w:val="Scriptoria bullet points Знак,HotarirePunct1 Знак,List Paragraph 1 Знак,Bullets Знак,List Paragraph (numbered (a)) Знак,Numbered Paragraph Знак,Main numbered paragraph Знак,Akapit z listą BS Знак,Lettre d'introduction Знак,Dot pt Знак"/>
    <w:link w:val="a6"/>
    <w:uiPriority w:val="34"/>
    <w:qFormat/>
    <w:locked/>
    <w:rsid w:val="00C87EC8"/>
    <w:rPr>
      <w:rFonts w:ascii="Times New Roman" w:eastAsia="Times New Roman" w:hAnsi="Times New Roman" w:cs="Times New Roman"/>
      <w:kern w:val="0"/>
      <w:sz w:val="20"/>
      <w:szCs w:val="20"/>
      <w:lang w:val="ro-RO" w:eastAsia="ru-RU"/>
    </w:rPr>
  </w:style>
  <w:style w:type="paragraph" w:styleId="a8">
    <w:name w:val="header"/>
    <w:basedOn w:val="a"/>
    <w:link w:val="a9"/>
    <w:uiPriority w:val="99"/>
    <w:rsid w:val="003D575E"/>
    <w:pPr>
      <w:tabs>
        <w:tab w:val="center" w:pos="4680"/>
        <w:tab w:val="right" w:pos="9360"/>
      </w:tabs>
      <w:spacing w:after="0" w:line="240" w:lineRule="auto"/>
    </w:pPr>
    <w:rPr>
      <w:rFonts w:ascii="Calibri" w:eastAsia="Times New Roman" w:hAnsi="Calibri" w:cs="Times New Roman"/>
      <w:kern w:val="0"/>
      <w:szCs w:val="24"/>
      <w:lang w:val="en-US"/>
    </w:rPr>
  </w:style>
  <w:style w:type="character" w:customStyle="1" w:styleId="a9">
    <w:name w:val="Верхний колонтитул Знак"/>
    <w:basedOn w:val="a0"/>
    <w:link w:val="a8"/>
    <w:uiPriority w:val="99"/>
    <w:rsid w:val="003D575E"/>
    <w:rPr>
      <w:rFonts w:ascii="Calibri" w:eastAsia="Times New Roman" w:hAnsi="Calibri" w:cs="Times New Roman"/>
      <w:kern w:val="0"/>
      <w:szCs w:val="24"/>
      <w:lang w:val="en-US"/>
    </w:rPr>
  </w:style>
  <w:style w:type="character" w:styleId="aa">
    <w:name w:val="Hyperlink"/>
    <w:basedOn w:val="a0"/>
    <w:uiPriority w:val="99"/>
    <w:semiHidden/>
    <w:unhideWhenUsed/>
    <w:rsid w:val="00E570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949924">
      <w:bodyDiv w:val="1"/>
      <w:marLeft w:val="0"/>
      <w:marRight w:val="0"/>
      <w:marTop w:val="0"/>
      <w:marBottom w:val="0"/>
      <w:divBdr>
        <w:top w:val="none" w:sz="0" w:space="0" w:color="auto"/>
        <w:left w:val="none" w:sz="0" w:space="0" w:color="auto"/>
        <w:bottom w:val="none" w:sz="0" w:space="0" w:color="auto"/>
        <w:right w:val="none" w:sz="0" w:space="0" w:color="auto"/>
      </w:divBdr>
      <w:divsChild>
        <w:div w:id="968510690">
          <w:marLeft w:val="0"/>
          <w:marRight w:val="0"/>
          <w:marTop w:val="0"/>
          <w:marBottom w:val="0"/>
          <w:divBdr>
            <w:top w:val="none" w:sz="0" w:space="0" w:color="auto"/>
            <w:left w:val="none" w:sz="0" w:space="0" w:color="auto"/>
            <w:bottom w:val="none" w:sz="0" w:space="0" w:color="auto"/>
            <w:right w:val="none" w:sz="0" w:space="0" w:color="auto"/>
          </w:divBdr>
        </w:div>
      </w:divsChild>
    </w:div>
    <w:div w:id="801000946">
      <w:bodyDiv w:val="1"/>
      <w:marLeft w:val="0"/>
      <w:marRight w:val="0"/>
      <w:marTop w:val="0"/>
      <w:marBottom w:val="0"/>
      <w:divBdr>
        <w:top w:val="none" w:sz="0" w:space="0" w:color="auto"/>
        <w:left w:val="none" w:sz="0" w:space="0" w:color="auto"/>
        <w:bottom w:val="none" w:sz="0" w:space="0" w:color="auto"/>
        <w:right w:val="none" w:sz="0" w:space="0" w:color="auto"/>
      </w:divBdr>
      <w:divsChild>
        <w:div w:id="1955210023">
          <w:marLeft w:val="0"/>
          <w:marRight w:val="0"/>
          <w:marTop w:val="0"/>
          <w:marBottom w:val="0"/>
          <w:divBdr>
            <w:top w:val="none" w:sz="0" w:space="0" w:color="auto"/>
            <w:left w:val="none" w:sz="0" w:space="0" w:color="auto"/>
            <w:bottom w:val="none" w:sz="0" w:space="0" w:color="auto"/>
            <w:right w:val="none" w:sz="0" w:space="0" w:color="auto"/>
          </w:divBdr>
        </w:div>
      </w:divsChild>
    </w:div>
    <w:div w:id="946962381">
      <w:bodyDiv w:val="1"/>
      <w:marLeft w:val="0"/>
      <w:marRight w:val="0"/>
      <w:marTop w:val="0"/>
      <w:marBottom w:val="0"/>
      <w:divBdr>
        <w:top w:val="none" w:sz="0" w:space="0" w:color="auto"/>
        <w:left w:val="none" w:sz="0" w:space="0" w:color="auto"/>
        <w:bottom w:val="none" w:sz="0" w:space="0" w:color="auto"/>
        <w:right w:val="none" w:sz="0" w:space="0" w:color="auto"/>
      </w:divBdr>
    </w:div>
    <w:div w:id="1087339106">
      <w:bodyDiv w:val="1"/>
      <w:marLeft w:val="0"/>
      <w:marRight w:val="0"/>
      <w:marTop w:val="0"/>
      <w:marBottom w:val="0"/>
      <w:divBdr>
        <w:top w:val="none" w:sz="0" w:space="0" w:color="auto"/>
        <w:left w:val="none" w:sz="0" w:space="0" w:color="auto"/>
        <w:bottom w:val="none" w:sz="0" w:space="0" w:color="auto"/>
        <w:right w:val="none" w:sz="0" w:space="0" w:color="auto"/>
      </w:divBdr>
    </w:div>
    <w:div w:id="1287784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10F30-640D-4452-A05C-7E9EF6972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1838</TotalTime>
  <Pages>7</Pages>
  <Words>2584</Words>
  <Characters>14734</Characters>
  <Application>Microsoft Office Word</Application>
  <DocSecurity>0</DocSecurity>
  <Lines>122</Lines>
  <Paragraphs>34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Cusnir</dc:creator>
  <cp:keywords/>
  <dc:description/>
  <cp:lastModifiedBy>Lilian Mindov</cp:lastModifiedBy>
  <cp:revision>334</cp:revision>
  <dcterms:created xsi:type="dcterms:W3CDTF">2024-06-28T07:32:00Z</dcterms:created>
  <dcterms:modified xsi:type="dcterms:W3CDTF">2025-01-17T09:03:00Z</dcterms:modified>
</cp:coreProperties>
</file>