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7D24" w14:textId="77777777" w:rsidR="00AE73E4" w:rsidRPr="00580CC8" w:rsidRDefault="00AE73E4" w:rsidP="00AE73E4">
      <w:pPr>
        <w:spacing w:before="0"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580CC8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580CC8">
        <w:rPr>
          <w:rFonts w:ascii="Times New Roman" w:hAnsi="Times New Roman" w:cs="Times New Roman"/>
          <w:sz w:val="20"/>
          <w:szCs w:val="20"/>
        </w:rPr>
        <w:t xml:space="preserve"> nr. 1</w:t>
      </w:r>
    </w:p>
    <w:p w14:paraId="0AACC511" w14:textId="6D6F26F1" w:rsidR="00AE73E4" w:rsidRPr="00580CC8" w:rsidRDefault="00AE73E4" w:rsidP="00AE73E4">
      <w:pPr>
        <w:spacing w:before="0"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80CC8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580CC8">
        <w:rPr>
          <w:rFonts w:ascii="Times New Roman" w:hAnsi="Times New Roman" w:cs="Times New Roman"/>
          <w:sz w:val="20"/>
          <w:szCs w:val="20"/>
        </w:rPr>
        <w:t>Hotărâr</w:t>
      </w:r>
      <w:r w:rsidR="00862380" w:rsidRPr="00580CC8">
        <w:rPr>
          <w:rFonts w:ascii="Times New Roman" w:hAnsi="Times New Roman" w:cs="Times New Roman"/>
          <w:sz w:val="20"/>
          <w:szCs w:val="20"/>
        </w:rPr>
        <w:t>ea</w:t>
      </w:r>
      <w:proofErr w:type="spellEnd"/>
      <w:r w:rsidRPr="00580C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0CC8">
        <w:rPr>
          <w:rFonts w:ascii="Times New Roman" w:hAnsi="Times New Roman" w:cs="Times New Roman"/>
          <w:sz w:val="20"/>
          <w:szCs w:val="20"/>
        </w:rPr>
        <w:t>Guvernului</w:t>
      </w:r>
      <w:proofErr w:type="spellEnd"/>
      <w:r w:rsidRPr="00580CC8">
        <w:rPr>
          <w:rFonts w:ascii="Times New Roman" w:hAnsi="Times New Roman" w:cs="Times New Roman"/>
          <w:sz w:val="20"/>
          <w:szCs w:val="20"/>
        </w:rPr>
        <w:t xml:space="preserve"> nr. _______</w:t>
      </w:r>
      <w:r w:rsidR="00FE7C98">
        <w:rPr>
          <w:rFonts w:ascii="Times New Roman" w:hAnsi="Times New Roman" w:cs="Times New Roman"/>
          <w:sz w:val="20"/>
          <w:szCs w:val="20"/>
        </w:rPr>
        <w:t xml:space="preserve"> din  </w:t>
      </w:r>
      <w:r w:rsidRPr="00580CC8">
        <w:rPr>
          <w:rFonts w:ascii="Times New Roman" w:hAnsi="Times New Roman" w:cs="Times New Roman"/>
          <w:sz w:val="20"/>
          <w:szCs w:val="20"/>
        </w:rPr>
        <w:t>_______</w:t>
      </w:r>
      <w:r w:rsidR="00FE7C98">
        <w:rPr>
          <w:rFonts w:ascii="Times New Roman" w:hAnsi="Times New Roman" w:cs="Times New Roman"/>
          <w:sz w:val="20"/>
          <w:szCs w:val="20"/>
        </w:rPr>
        <w:t xml:space="preserve">__ 2025 </w:t>
      </w:r>
    </w:p>
    <w:p w14:paraId="2110E1BD" w14:textId="77777777" w:rsidR="00AE73E4" w:rsidRPr="00CF723B" w:rsidRDefault="00AE73E4" w:rsidP="00244C62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C62FA11" w14:textId="77777777" w:rsidR="00F43BB8" w:rsidRPr="00981066" w:rsidRDefault="00F43BB8" w:rsidP="00244C62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066">
        <w:rPr>
          <w:rFonts w:ascii="Times New Roman" w:hAnsi="Times New Roman" w:cs="Times New Roman"/>
          <w:b/>
          <w:sz w:val="28"/>
          <w:szCs w:val="28"/>
        </w:rPr>
        <w:t>METODOLOGIA</w:t>
      </w:r>
    </w:p>
    <w:p w14:paraId="5C203517" w14:textId="77777777" w:rsidR="00F43BB8" w:rsidRPr="00981066" w:rsidRDefault="00F43BB8" w:rsidP="00244C62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066">
        <w:rPr>
          <w:rFonts w:ascii="Times New Roman" w:hAnsi="Times New Roman" w:cs="Times New Roman"/>
          <w:b/>
          <w:sz w:val="28"/>
          <w:szCs w:val="28"/>
        </w:rPr>
        <w:t xml:space="preserve">de </w:t>
      </w:r>
      <w:proofErr w:type="spellStart"/>
      <w:r w:rsidRPr="00981066">
        <w:rPr>
          <w:rFonts w:ascii="Times New Roman" w:hAnsi="Times New Roman" w:cs="Times New Roman"/>
          <w:b/>
          <w:sz w:val="28"/>
          <w:szCs w:val="28"/>
        </w:rPr>
        <w:t>calculare</w:t>
      </w:r>
      <w:proofErr w:type="spellEnd"/>
      <w:r w:rsidRPr="00981066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981066">
        <w:rPr>
          <w:rFonts w:ascii="Times New Roman" w:hAnsi="Times New Roman" w:cs="Times New Roman"/>
          <w:b/>
          <w:sz w:val="28"/>
          <w:szCs w:val="28"/>
        </w:rPr>
        <w:t>tarifelor</w:t>
      </w:r>
      <w:proofErr w:type="spellEnd"/>
      <w:r w:rsidRPr="00981066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981066">
        <w:rPr>
          <w:rFonts w:ascii="Times New Roman" w:hAnsi="Times New Roman" w:cs="Times New Roman"/>
          <w:b/>
          <w:sz w:val="28"/>
          <w:szCs w:val="28"/>
        </w:rPr>
        <w:t>serviciile</w:t>
      </w:r>
      <w:proofErr w:type="spellEnd"/>
      <w:r w:rsidRPr="00981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b/>
          <w:sz w:val="28"/>
          <w:szCs w:val="28"/>
        </w:rPr>
        <w:t>prestate</w:t>
      </w:r>
      <w:proofErr w:type="spellEnd"/>
    </w:p>
    <w:p w14:paraId="5AA1A82B" w14:textId="77777777" w:rsidR="00F43BB8" w:rsidRPr="00981066" w:rsidRDefault="00F43BB8" w:rsidP="001E2EFE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066">
        <w:rPr>
          <w:rFonts w:ascii="Times New Roman" w:hAnsi="Times New Roman" w:cs="Times New Roman"/>
          <w:b/>
          <w:sz w:val="28"/>
          <w:szCs w:val="28"/>
        </w:rPr>
        <w:t xml:space="preserve">de </w:t>
      </w:r>
      <w:proofErr w:type="spellStart"/>
      <w:r w:rsidR="00AE73E4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="00AE73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b/>
          <w:sz w:val="28"/>
          <w:szCs w:val="28"/>
        </w:rPr>
        <w:t>Instituția</w:t>
      </w:r>
      <w:proofErr w:type="spellEnd"/>
      <w:r w:rsidR="001E2EFE" w:rsidRPr="00981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="001E2EFE" w:rsidRPr="00981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b/>
          <w:sz w:val="28"/>
          <w:szCs w:val="28"/>
        </w:rPr>
        <w:t>Cadastrul</w:t>
      </w:r>
      <w:proofErr w:type="spellEnd"/>
      <w:r w:rsidR="001E2EFE" w:rsidRPr="00981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b/>
          <w:sz w:val="28"/>
          <w:szCs w:val="28"/>
        </w:rPr>
        <w:t>Bunurilor</w:t>
      </w:r>
      <w:proofErr w:type="spellEnd"/>
      <w:r w:rsidR="001E2EFE" w:rsidRPr="00981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b/>
          <w:sz w:val="28"/>
          <w:szCs w:val="28"/>
        </w:rPr>
        <w:t>Imobile</w:t>
      </w:r>
      <w:proofErr w:type="spellEnd"/>
    </w:p>
    <w:p w14:paraId="06BD5A48" w14:textId="77777777" w:rsidR="00A400A2" w:rsidRPr="00CF723B" w:rsidRDefault="00A400A2" w:rsidP="00244C62">
      <w:pPr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93D3BC6" w14:textId="7BA1188E" w:rsidR="00F43BB8" w:rsidRPr="00376466" w:rsidRDefault="00F43BB8" w:rsidP="00376466">
      <w:pPr>
        <w:pStyle w:val="a3"/>
        <w:numPr>
          <w:ilvl w:val="0"/>
          <w:numId w:val="12"/>
        </w:num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466">
        <w:rPr>
          <w:rFonts w:ascii="Times New Roman" w:hAnsi="Times New Roman" w:cs="Times New Roman"/>
          <w:b/>
          <w:sz w:val="28"/>
          <w:szCs w:val="28"/>
        </w:rPr>
        <w:t>DISPOZIŢII GENERALE</w:t>
      </w:r>
    </w:p>
    <w:p w14:paraId="5A0B3946" w14:textId="77777777" w:rsidR="00376466" w:rsidRPr="00376466" w:rsidRDefault="00376466" w:rsidP="00376466">
      <w:pPr>
        <w:pStyle w:val="a3"/>
        <w:spacing w:before="0" w:after="0" w:line="240" w:lineRule="auto"/>
        <w:ind w:left="1428"/>
        <w:rPr>
          <w:rFonts w:ascii="Times New Roman" w:hAnsi="Times New Roman" w:cs="Times New Roman"/>
          <w:b/>
          <w:sz w:val="16"/>
          <w:szCs w:val="16"/>
        </w:rPr>
      </w:pPr>
    </w:p>
    <w:p w14:paraId="2D2AD693" w14:textId="77777777" w:rsidR="00244C62" w:rsidRPr="00981066" w:rsidRDefault="00F43BB8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metodologie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are ca scop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unice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calculare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ajustare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1E2EF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1E2EF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1E2EF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1E2EF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.</w:t>
      </w:r>
    </w:p>
    <w:p w14:paraId="5F768F5B" w14:textId="77777777" w:rsidR="00F43BB8" w:rsidRPr="00981066" w:rsidRDefault="00F43BB8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E2EF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sensul</w:t>
      </w:r>
      <w:proofErr w:type="spellEnd"/>
      <w:r w:rsidR="001E2EF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="001E2EF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Metodologii</w:t>
      </w:r>
      <w:proofErr w:type="spellEnd"/>
      <w:r w:rsidR="001E2EFE" w:rsidRPr="00981066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="001E2EF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1E2EF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EFE" w:rsidRPr="00981066">
        <w:rPr>
          <w:rFonts w:ascii="Times New Roman" w:hAnsi="Times New Roman" w:cs="Times New Roman"/>
          <w:sz w:val="28"/>
          <w:szCs w:val="28"/>
        </w:rPr>
        <w:t>noțiuni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:</w:t>
      </w:r>
    </w:p>
    <w:p w14:paraId="62667A9C" w14:textId="77777777" w:rsidR="00F43BB8" w:rsidRPr="00981066" w:rsidRDefault="00F43BB8" w:rsidP="0009206D">
      <w:pPr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i/>
          <w:sz w:val="28"/>
          <w:szCs w:val="28"/>
        </w:rPr>
        <w:t>tarif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sumă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C15" w:rsidRPr="00981066">
        <w:rPr>
          <w:rFonts w:ascii="Times New Roman" w:hAnsi="Times New Roman" w:cs="Times New Roman"/>
          <w:sz w:val="28"/>
          <w:szCs w:val="28"/>
        </w:rPr>
        <w:t>percepută</w:t>
      </w:r>
      <w:proofErr w:type="spellEnd"/>
      <w:r w:rsidR="00DC2C1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C15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DC2C1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C15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DC2C1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C15" w:rsidRPr="00981066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DC2C1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C15" w:rsidRPr="00981066">
        <w:rPr>
          <w:rFonts w:ascii="Times New Roman" w:hAnsi="Times New Roman" w:cs="Times New Roman"/>
          <w:sz w:val="28"/>
          <w:szCs w:val="28"/>
        </w:rPr>
        <w:t>unități</w:t>
      </w:r>
      <w:proofErr w:type="spellEnd"/>
      <w:r w:rsidR="00DC2C15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C2C15" w:rsidRPr="00981066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107AA9BC" w14:textId="77777777" w:rsidR="00DC2C15" w:rsidRPr="00981066" w:rsidRDefault="00DC2C15" w:rsidP="0009206D">
      <w:pPr>
        <w:pStyle w:val="ac"/>
        <w:tabs>
          <w:tab w:val="left" w:pos="993"/>
        </w:tabs>
        <w:spacing w:line="276" w:lineRule="auto"/>
        <w:ind w:left="0" w:firstLine="567"/>
        <w:jc w:val="both"/>
      </w:pPr>
      <w:proofErr w:type="spellStart"/>
      <w:r w:rsidRPr="00981066">
        <w:rPr>
          <w:i/>
        </w:rPr>
        <w:t>coeficient</w:t>
      </w:r>
      <w:proofErr w:type="spellEnd"/>
      <w:r w:rsidRPr="00981066">
        <w:rPr>
          <w:i/>
        </w:rPr>
        <w:t xml:space="preserve"> de </w:t>
      </w:r>
      <w:proofErr w:type="spellStart"/>
      <w:r w:rsidRPr="00981066">
        <w:rPr>
          <w:i/>
        </w:rPr>
        <w:t>majorare</w:t>
      </w:r>
      <w:proofErr w:type="spellEnd"/>
      <w:r w:rsidRPr="00981066">
        <w:t xml:space="preserve"> – factor numeric de </w:t>
      </w:r>
      <w:proofErr w:type="spellStart"/>
      <w:r w:rsidRPr="00981066">
        <w:t>majorare</w:t>
      </w:r>
      <w:proofErr w:type="spellEnd"/>
      <w:r w:rsidRPr="00981066">
        <w:t xml:space="preserve"> a </w:t>
      </w:r>
      <w:proofErr w:type="spellStart"/>
      <w:r w:rsidRPr="00981066">
        <w:t>tarifului</w:t>
      </w:r>
      <w:proofErr w:type="spellEnd"/>
      <w:r w:rsidRPr="00981066">
        <w:t xml:space="preserve">, </w:t>
      </w:r>
      <w:proofErr w:type="spellStart"/>
      <w:r w:rsidRPr="00981066">
        <w:t>stabilit</w:t>
      </w:r>
      <w:proofErr w:type="spellEnd"/>
      <w:r w:rsidRPr="00981066">
        <w:t xml:space="preserve"> </w:t>
      </w:r>
      <w:proofErr w:type="spellStart"/>
      <w:r w:rsidRPr="00981066">
        <w:t>în</w:t>
      </w:r>
      <w:proofErr w:type="spellEnd"/>
      <w:r w:rsidRPr="00981066">
        <w:t xml:space="preserve"> </w:t>
      </w:r>
      <w:proofErr w:type="spellStart"/>
      <w:r w:rsidRPr="00981066">
        <w:t>funcţie</w:t>
      </w:r>
      <w:proofErr w:type="spellEnd"/>
      <w:r w:rsidRPr="00981066">
        <w:t xml:space="preserve"> de </w:t>
      </w:r>
      <w:proofErr w:type="spellStart"/>
      <w:r w:rsidRPr="00981066">
        <w:t>opţiunile</w:t>
      </w:r>
      <w:proofErr w:type="spellEnd"/>
      <w:r w:rsidRPr="00981066">
        <w:t xml:space="preserve"> de </w:t>
      </w:r>
      <w:proofErr w:type="spellStart"/>
      <w:r w:rsidRPr="00981066">
        <w:t>prestare</w:t>
      </w:r>
      <w:proofErr w:type="spellEnd"/>
      <w:r w:rsidRPr="00981066">
        <w:t xml:space="preserve"> a </w:t>
      </w:r>
      <w:proofErr w:type="spellStart"/>
      <w:r w:rsidRPr="00981066">
        <w:t>serviciului</w:t>
      </w:r>
      <w:proofErr w:type="spellEnd"/>
      <w:r w:rsidRPr="00981066">
        <w:t>;</w:t>
      </w:r>
    </w:p>
    <w:p w14:paraId="4CCE5CD3" w14:textId="77777777" w:rsidR="00DC2C15" w:rsidRPr="00981066" w:rsidRDefault="00DC2C15" w:rsidP="0009206D">
      <w:pPr>
        <w:tabs>
          <w:tab w:val="left" w:pos="993"/>
        </w:tabs>
        <w:spacing w:before="0" w:after="0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81066">
        <w:rPr>
          <w:rFonts w:ascii="Times New Roman" w:eastAsia="Times New Roman" w:hAnsi="Times New Roman" w:cs="Times New Roman"/>
          <w:i/>
          <w:sz w:val="28"/>
          <w:szCs w:val="28"/>
        </w:rPr>
        <w:t>opțiuni</w:t>
      </w:r>
      <w:proofErr w:type="spellEnd"/>
      <w:r w:rsidRPr="00981066">
        <w:rPr>
          <w:rFonts w:ascii="Times New Roman" w:eastAsia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981066">
        <w:rPr>
          <w:rFonts w:ascii="Times New Roman" w:eastAsia="Times New Roman" w:hAnsi="Times New Roman" w:cs="Times New Roman"/>
          <w:i/>
          <w:sz w:val="28"/>
          <w:szCs w:val="28"/>
        </w:rPr>
        <w:t>prestare</w:t>
      </w:r>
      <w:proofErr w:type="spellEnd"/>
      <w:r w:rsidRPr="00981066">
        <w:rPr>
          <w:rFonts w:ascii="Times New Roman" w:eastAsia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981066">
        <w:rPr>
          <w:rFonts w:ascii="Times New Roman" w:eastAsia="Times New Roman" w:hAnsi="Times New Roman" w:cs="Times New Roman"/>
          <w:i/>
          <w:sz w:val="28"/>
          <w:szCs w:val="28"/>
        </w:rPr>
        <w:t>serviciului</w:t>
      </w:r>
      <w:proofErr w:type="spellEnd"/>
      <w:r w:rsidRPr="00981066">
        <w:rPr>
          <w:rFonts w:ascii="Times New Roman" w:eastAsia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A806DB" w:rsidRPr="00981066">
        <w:rPr>
          <w:rFonts w:ascii="Times New Roman" w:eastAsia="Times New Roman" w:hAnsi="Times New Roman" w:cs="Times New Roman"/>
          <w:sz w:val="28"/>
          <w:szCs w:val="28"/>
        </w:rPr>
        <w:t>opțiuni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variabile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stabilire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tarifelor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serviciu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funcție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termenul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prestare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acestuia</w:t>
      </w:r>
      <w:proofErr w:type="spellEnd"/>
      <w:r w:rsidRPr="00981066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23CBE817" w14:textId="77777777" w:rsidR="00DC2C15" w:rsidRPr="00981066" w:rsidRDefault="00DC2C15" w:rsidP="0009206D">
      <w:pPr>
        <w:tabs>
          <w:tab w:val="left" w:pos="993"/>
        </w:tabs>
        <w:spacing w:before="0" w:after="0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1066">
        <w:rPr>
          <w:rFonts w:ascii="Times New Roman" w:eastAsia="Times New Roman" w:hAnsi="Times New Roman" w:cs="Times New Roman"/>
          <w:i/>
          <w:sz w:val="28"/>
          <w:szCs w:val="28"/>
        </w:rPr>
        <w:t xml:space="preserve">norma de </w:t>
      </w:r>
      <w:proofErr w:type="spellStart"/>
      <w:r w:rsidRPr="00981066">
        <w:rPr>
          <w:rFonts w:ascii="Times New Roman" w:eastAsia="Times New Roman" w:hAnsi="Times New Roman" w:cs="Times New Roman"/>
          <w:i/>
          <w:sz w:val="28"/>
          <w:szCs w:val="28"/>
        </w:rPr>
        <w:t>timp</w:t>
      </w:r>
      <w:proofErr w:type="spellEnd"/>
      <w:r w:rsidRPr="00981066">
        <w:rPr>
          <w:rFonts w:ascii="Times New Roman" w:eastAsia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mărimea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consumului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timpului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muncă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stabilită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îndeplinirea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acţiuni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un salariat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grup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salariați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calificarea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respectivă</w:t>
      </w:r>
      <w:proofErr w:type="spellEnd"/>
      <w:r w:rsidR="00A806DB" w:rsidRPr="0098106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anumite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condiții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eastAsia="Times New Roman" w:hAnsi="Times New Roman" w:cs="Times New Roman"/>
          <w:sz w:val="28"/>
          <w:szCs w:val="28"/>
        </w:rPr>
        <w:t>tehnico-organizatorice</w:t>
      </w:r>
      <w:proofErr w:type="spellEnd"/>
      <w:r w:rsidRPr="009810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93813C" w14:textId="77777777" w:rsidR="00A806DB" w:rsidRPr="00981066" w:rsidRDefault="00F43BB8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metodologie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 w:rsidR="00A806DB" w:rsidRPr="00981066">
        <w:rPr>
          <w:rFonts w:ascii="Times New Roman" w:hAnsi="Times New Roman" w:cs="Times New Roman"/>
          <w:sz w:val="28"/>
          <w:szCs w:val="28"/>
        </w:rPr>
        <w:t>:</w:t>
      </w:r>
    </w:p>
    <w:p w14:paraId="15D1D48F" w14:textId="77777777" w:rsidR="00F43BB8" w:rsidRPr="00981066" w:rsidRDefault="00A806DB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calculare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2DD42BCC" w14:textId="77777777" w:rsidR="00F43BB8" w:rsidRPr="00981066" w:rsidRDefault="00A806DB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componenţa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determinare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E7DF1" w:rsidRPr="00981066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incluse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calculul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3FA0ED47" w14:textId="77777777" w:rsidR="00F43BB8" w:rsidRPr="00A14867" w:rsidRDefault="00FF59DF" w:rsidP="00CF723B">
      <w:pPr>
        <w:spacing w:before="0"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3)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modul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="00B94B6D">
        <w:rPr>
          <w:rFonts w:ascii="Times New Roman" w:hAnsi="Times New Roman" w:cs="Times New Roman"/>
          <w:i/>
          <w:iCs/>
          <w:sz w:val="28"/>
          <w:szCs w:val="28"/>
        </w:rPr>
        <w:t>stabilire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defalcărilor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pentru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crearea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Fondului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garanţie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scopul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asigurării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reparaţiei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unui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eventual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prejudiciu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cauzat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titularilor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drepturi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asupra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bunurilor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imobile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subdiviziunile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Instituției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Publice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Cadastrul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Bunurilor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59DF">
        <w:rPr>
          <w:rFonts w:ascii="Times New Roman" w:hAnsi="Times New Roman" w:cs="Times New Roman"/>
          <w:i/>
          <w:iCs/>
          <w:sz w:val="28"/>
          <w:szCs w:val="28"/>
        </w:rPr>
        <w:t>Imobile</w:t>
      </w:r>
      <w:proofErr w:type="spellEnd"/>
      <w:r w:rsidRPr="00FF59DF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BBB912A" w14:textId="77777777" w:rsidR="00F43BB8" w:rsidRPr="00981066" w:rsidRDefault="00A13C45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4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ajustare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05BCBFF8" w14:textId="77777777" w:rsidR="00F43BB8" w:rsidRPr="00981066" w:rsidRDefault="00F43BB8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Mecanismul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13C45" w:rsidRPr="00981066">
        <w:rPr>
          <w:rFonts w:ascii="Times New Roman" w:hAnsi="Times New Roman" w:cs="Times New Roman"/>
          <w:sz w:val="28"/>
          <w:szCs w:val="28"/>
        </w:rPr>
        <w:t>calcularea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reglementarea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are la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principii:</w:t>
      </w:r>
    </w:p>
    <w:p w14:paraId="351D3A0D" w14:textId="77777777" w:rsidR="001226D5" w:rsidRPr="00981066" w:rsidRDefault="001226D5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garantarea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condițiilor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echitabile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nediscriminatorii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3D48DDF6" w14:textId="77777777" w:rsidR="001226D5" w:rsidRPr="00981066" w:rsidRDefault="001226D5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beneficiari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costuri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reale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2F780D05" w14:textId="77777777" w:rsidR="00F43BB8" w:rsidRPr="00981066" w:rsidRDefault="001226D5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3</w:t>
      </w:r>
      <w:r w:rsidR="00E042B1" w:rsidRPr="0098106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acoperirea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FF0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7938B2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38B2" w:rsidRPr="00981066">
        <w:rPr>
          <w:rFonts w:ascii="Times New Roman" w:hAnsi="Times New Roman" w:cs="Times New Roman"/>
          <w:sz w:val="28"/>
          <w:szCs w:val="28"/>
        </w:rPr>
        <w:t>întru</w:t>
      </w:r>
      <w:proofErr w:type="spellEnd"/>
      <w:r w:rsidR="007938B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B2" w:rsidRPr="00981066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7938B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C24" w:rsidRPr="00981066"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 w:rsidR="004C7C24" w:rsidRPr="00981066">
        <w:rPr>
          <w:rFonts w:ascii="Times New Roman" w:hAnsi="Times New Roman" w:cs="Times New Roman"/>
          <w:sz w:val="28"/>
          <w:szCs w:val="28"/>
        </w:rPr>
        <w:t xml:space="preserve"> continue </w:t>
      </w:r>
      <w:proofErr w:type="spellStart"/>
      <w:r w:rsidR="004C7C24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C7C2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C24" w:rsidRPr="00981066">
        <w:rPr>
          <w:rFonts w:ascii="Times New Roman" w:hAnsi="Times New Roman" w:cs="Times New Roman"/>
          <w:sz w:val="28"/>
          <w:szCs w:val="28"/>
        </w:rPr>
        <w:t>durabile</w:t>
      </w:r>
      <w:proofErr w:type="spellEnd"/>
      <w:r w:rsidR="004C7C24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C7C24" w:rsidRPr="00981066">
        <w:rPr>
          <w:rFonts w:ascii="Times New Roman" w:hAnsi="Times New Roman" w:cs="Times New Roman"/>
          <w:sz w:val="28"/>
          <w:szCs w:val="28"/>
        </w:rPr>
        <w:t>entității</w:t>
      </w:r>
      <w:proofErr w:type="spellEnd"/>
      <w:r w:rsidR="004C7C24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2B984CD0" w14:textId="77777777" w:rsidR="00F43BB8" w:rsidRDefault="00F43BB8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metodologie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aplică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E73FDF" w:rsidRPr="00981066">
        <w:rPr>
          <w:rFonts w:ascii="Times New Roman" w:hAnsi="Times New Roman" w:cs="Times New Roman"/>
          <w:sz w:val="28"/>
          <w:szCs w:val="28"/>
        </w:rPr>
        <w:t>calcularea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836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ţin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competenţa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exclusivă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B5836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DB5836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836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DB5836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836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DB5836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836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DB5836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836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B554E5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4E5" w:rsidRPr="00981066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="00B554E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4E5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554E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4E5" w:rsidRPr="00981066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B554E5" w:rsidRPr="00981066">
        <w:rPr>
          <w:rFonts w:ascii="Times New Roman" w:hAnsi="Times New Roman" w:cs="Times New Roman"/>
          <w:sz w:val="28"/>
          <w:szCs w:val="28"/>
        </w:rPr>
        <w:t xml:space="preserve"> nr. 1</w:t>
      </w:r>
      <w:r w:rsidRPr="00981066">
        <w:rPr>
          <w:rFonts w:ascii="Times New Roman" w:hAnsi="Times New Roman" w:cs="Times New Roman"/>
          <w:sz w:val="28"/>
          <w:szCs w:val="28"/>
        </w:rPr>
        <w:t>.</w:t>
      </w:r>
    </w:p>
    <w:p w14:paraId="6B96F563" w14:textId="77777777" w:rsidR="00CF723B" w:rsidRPr="00CF723B" w:rsidRDefault="00CF723B" w:rsidP="00CF723B">
      <w:pPr>
        <w:spacing w:before="0" w:after="0"/>
        <w:rPr>
          <w:rFonts w:ascii="Times New Roman" w:hAnsi="Times New Roman" w:cs="Times New Roman"/>
          <w:sz w:val="16"/>
          <w:szCs w:val="16"/>
        </w:rPr>
      </w:pPr>
    </w:p>
    <w:p w14:paraId="1D04D2D7" w14:textId="77777777" w:rsidR="0009206D" w:rsidRDefault="00E042B1" w:rsidP="0009206D">
      <w:pPr>
        <w:spacing w:before="0"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81066">
        <w:rPr>
          <w:rFonts w:ascii="Times New Roman" w:hAnsi="Times New Roman" w:cs="Times New Roman"/>
          <w:b/>
          <w:sz w:val="28"/>
          <w:szCs w:val="28"/>
        </w:rPr>
        <w:t>II.</w:t>
      </w:r>
      <w:r w:rsidR="00F43BB8" w:rsidRPr="00981066">
        <w:rPr>
          <w:rFonts w:ascii="Times New Roman" w:hAnsi="Times New Roman" w:cs="Times New Roman"/>
          <w:b/>
          <w:sz w:val="28"/>
          <w:szCs w:val="28"/>
        </w:rPr>
        <w:t> </w:t>
      </w:r>
      <w:r w:rsidR="005A02EC" w:rsidRPr="00981066">
        <w:rPr>
          <w:rFonts w:ascii="Times New Roman" w:hAnsi="Times New Roman" w:cs="Times New Roman"/>
          <w:b/>
          <w:sz w:val="28"/>
          <w:szCs w:val="28"/>
        </w:rPr>
        <w:t>STRUCTURA TAR</w:t>
      </w:r>
      <w:r w:rsidR="00E945DA" w:rsidRPr="00981066">
        <w:rPr>
          <w:rFonts w:ascii="Times New Roman" w:hAnsi="Times New Roman" w:cs="Times New Roman"/>
          <w:b/>
          <w:sz w:val="28"/>
          <w:szCs w:val="28"/>
        </w:rPr>
        <w:t>I</w:t>
      </w:r>
      <w:r w:rsidR="005A02EC" w:rsidRPr="00981066">
        <w:rPr>
          <w:rFonts w:ascii="Times New Roman" w:hAnsi="Times New Roman" w:cs="Times New Roman"/>
          <w:b/>
          <w:sz w:val="28"/>
          <w:szCs w:val="28"/>
        </w:rPr>
        <w:t>FULUI PENTRU SERVICIILE PRESTATE</w:t>
      </w:r>
    </w:p>
    <w:p w14:paraId="2F8A745D" w14:textId="77777777" w:rsidR="0009206D" w:rsidRDefault="0009206D" w:rsidP="0009206D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F1A911" w14:textId="5D1952CD" w:rsidR="00F43BB8" w:rsidRPr="00981066" w:rsidRDefault="005A02EC" w:rsidP="0009206D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6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Tariful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(T)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metodologii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include:</w:t>
      </w:r>
    </w:p>
    <w:tbl>
      <w:tblPr>
        <w:tblW w:w="0" w:type="auto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3"/>
        <w:gridCol w:w="835"/>
      </w:tblGrid>
      <w:tr w:rsidR="00F43BB8" w:rsidRPr="00981066" w14:paraId="01D10E9C" w14:textId="77777777" w:rsidTr="00A23E40">
        <w:trPr>
          <w:trHeight w:val="336"/>
        </w:trPr>
        <w:tc>
          <w:tcPr>
            <w:tcW w:w="6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C312" w14:textId="42542BB3" w:rsidR="00F43BB8" w:rsidRPr="00981066" w:rsidRDefault="005A02EC" w:rsidP="00F664F7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T = Ct + 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FF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FF0000"/>
                      <w:sz w:val="32"/>
                      <w:szCs w:val="32"/>
                    </w:rPr>
                    <m:t>Mc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FF0000"/>
                      <w:sz w:val="32"/>
                      <w:szCs w:val="32"/>
                    </w:rPr>
                    <m:t>100</m:t>
                  </m:r>
                </m:den>
              </m:f>
            </m:oMath>
            <w:r w:rsidR="00F664F7"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Ct </w:t>
            </w: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+ </w:t>
            </w:r>
            <w:r w:rsidR="00F43BB8"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DFG,</w:t>
            </w:r>
          </w:p>
        </w:tc>
        <w:tc>
          <w:tcPr>
            <w:tcW w:w="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7D5" w14:textId="77777777" w:rsidR="00F43BB8" w:rsidRPr="00981066" w:rsidRDefault="00F43BB8" w:rsidP="00A806DB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(1)</w:t>
            </w:r>
          </w:p>
        </w:tc>
      </w:tr>
    </w:tbl>
    <w:p w14:paraId="4C2A1D2F" w14:textId="77777777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care:</w:t>
      </w:r>
    </w:p>
    <w:p w14:paraId="06AE7BDB" w14:textId="77777777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Сt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</w:t>
      </w:r>
      <w:r w:rsidR="00C734BF" w:rsidRPr="00981066">
        <w:rPr>
          <w:rFonts w:ascii="Times New Roman" w:hAnsi="Times New Roman" w:cs="Times New Roman"/>
          <w:sz w:val="28"/>
          <w:szCs w:val="28"/>
        </w:rPr>
        <w:t>sturile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6ED23AA0" w14:textId="77777777" w:rsidR="00F43BB8" w:rsidRPr="00981066" w:rsidRDefault="000C7D1B" w:rsidP="00CF723B">
      <w:pPr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Mc -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marja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contingență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12200390" w14:textId="77777777" w:rsidR="00F43BB8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DFG –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defalcările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Fondul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garanţie</w:t>
      </w:r>
      <w:proofErr w:type="spellEnd"/>
      <w:r w:rsidR="004421F9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1F9" w:rsidRPr="00981066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4421F9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421F9" w:rsidRPr="00981066">
        <w:rPr>
          <w:rFonts w:ascii="Times New Roman" w:hAnsi="Times New Roman" w:cs="Times New Roman"/>
          <w:sz w:val="28"/>
          <w:szCs w:val="28"/>
        </w:rPr>
        <w:t>legislație</w:t>
      </w:r>
      <w:proofErr w:type="spellEnd"/>
      <w:r w:rsidR="004421F9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2A9B995D" w14:textId="77777777" w:rsidR="00E945DA" w:rsidRPr="00981066" w:rsidRDefault="00E945DA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7. Marja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contingență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relativă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variației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, determinate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influența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factorilor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neprevăzuți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incerţi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momentul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calculării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. Marja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contingență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considerată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calcularea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10%.</w:t>
      </w:r>
    </w:p>
    <w:p w14:paraId="2E574573" w14:textId="77777777" w:rsidR="00164561" w:rsidRPr="00981066" w:rsidRDefault="00164561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Tariful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calculat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formulei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rotunjit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întreg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zeci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lei.</w:t>
      </w:r>
    </w:p>
    <w:p w14:paraId="51F7E899" w14:textId="77777777" w:rsidR="007136B8" w:rsidRPr="007136B8" w:rsidRDefault="007136B8" w:rsidP="000B49E6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3EFD3D" w14:textId="08D7983C" w:rsidR="00F43BB8" w:rsidRDefault="00164561" w:rsidP="000B49E6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9C4">
        <w:rPr>
          <w:rFonts w:ascii="Times New Roman" w:hAnsi="Times New Roman" w:cs="Times New Roman"/>
          <w:b/>
          <w:sz w:val="28"/>
          <w:szCs w:val="28"/>
        </w:rPr>
        <w:t>III</w:t>
      </w:r>
      <w:r w:rsidR="00F43BB8" w:rsidRPr="009E69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E69C4">
        <w:rPr>
          <w:rFonts w:ascii="Times New Roman" w:hAnsi="Times New Roman" w:cs="Times New Roman"/>
          <w:b/>
          <w:sz w:val="28"/>
          <w:szCs w:val="28"/>
        </w:rPr>
        <w:t>STRUCTURA CO</w:t>
      </w:r>
      <w:r w:rsidR="006C08EA" w:rsidRPr="009E69C4">
        <w:rPr>
          <w:rFonts w:ascii="Times New Roman" w:hAnsi="Times New Roman" w:cs="Times New Roman"/>
          <w:b/>
          <w:sz w:val="28"/>
          <w:szCs w:val="28"/>
          <w:lang w:val="ro-RO"/>
        </w:rPr>
        <w:t>STU</w:t>
      </w:r>
      <w:r w:rsidRPr="009E69C4">
        <w:rPr>
          <w:rFonts w:ascii="Times New Roman" w:hAnsi="Times New Roman" w:cs="Times New Roman"/>
          <w:b/>
          <w:sz w:val="28"/>
          <w:szCs w:val="28"/>
        </w:rPr>
        <w:t>RILOR ȘI CHELTUIELILOR INCLUSE ÎN CALCULUL TARIFULUI</w:t>
      </w:r>
    </w:p>
    <w:p w14:paraId="1AD6A71D" w14:textId="77777777" w:rsidR="000B49E6" w:rsidRPr="000B49E6" w:rsidRDefault="000B49E6" w:rsidP="000B49E6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985D099" w14:textId="77777777" w:rsidR="00F43BB8" w:rsidRPr="00981066" w:rsidRDefault="006A4393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E69C4">
        <w:rPr>
          <w:rFonts w:ascii="Times New Roman" w:hAnsi="Times New Roman" w:cs="Times New Roman"/>
          <w:sz w:val="28"/>
          <w:szCs w:val="28"/>
        </w:rPr>
        <w:t>9</w:t>
      </w:r>
      <w:r w:rsidR="00F43BB8" w:rsidRPr="009E69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3BB8" w:rsidRPr="009E69C4"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 w:rsidR="00F43BB8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E69C4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="00F43BB8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E69C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E69C4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="00F43BB8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E69C4">
        <w:rPr>
          <w:rFonts w:ascii="Times New Roman" w:hAnsi="Times New Roman" w:cs="Times New Roman"/>
          <w:sz w:val="28"/>
          <w:szCs w:val="28"/>
        </w:rPr>
        <w:t>incluse</w:t>
      </w:r>
      <w:proofErr w:type="spellEnd"/>
      <w:r w:rsidR="00F43BB8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E69C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E69C4">
        <w:rPr>
          <w:rFonts w:ascii="Times New Roman" w:hAnsi="Times New Roman" w:cs="Times New Roman"/>
          <w:sz w:val="28"/>
          <w:szCs w:val="28"/>
        </w:rPr>
        <w:t>calculul</w:t>
      </w:r>
      <w:proofErr w:type="spellEnd"/>
      <w:r w:rsidR="00F43BB8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E69C4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="00F43BB8" w:rsidRPr="009E69C4">
        <w:rPr>
          <w:rFonts w:ascii="Times New Roman" w:hAnsi="Times New Roman" w:cs="Times New Roman"/>
          <w:sz w:val="28"/>
          <w:szCs w:val="28"/>
        </w:rPr>
        <w:t xml:space="preserve"> </w:t>
      </w:r>
      <w:r w:rsidR="00C734BF" w:rsidRPr="009E69C4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C734BF" w:rsidRPr="009E69C4">
        <w:rPr>
          <w:rFonts w:ascii="Times New Roman" w:hAnsi="Times New Roman" w:cs="Times New Roman"/>
          <w:sz w:val="28"/>
          <w:szCs w:val="28"/>
        </w:rPr>
        <w:t>determină</w:t>
      </w:r>
      <w:proofErr w:type="spellEnd"/>
      <w:r w:rsidR="00C734BF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E69C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734BF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E69C4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C734BF" w:rsidRPr="009E69C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C734BF" w:rsidRPr="009E69C4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C734BF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E69C4">
        <w:rPr>
          <w:rFonts w:ascii="Times New Roman" w:hAnsi="Times New Roman" w:cs="Times New Roman"/>
          <w:sz w:val="28"/>
          <w:szCs w:val="28"/>
        </w:rPr>
        <w:t>Standar</w:t>
      </w:r>
      <w:r w:rsidR="0067700E" w:rsidRPr="009E69C4">
        <w:rPr>
          <w:rFonts w:ascii="Times New Roman" w:hAnsi="Times New Roman" w:cs="Times New Roman"/>
          <w:sz w:val="28"/>
          <w:szCs w:val="28"/>
        </w:rPr>
        <w:t>d</w:t>
      </w:r>
      <w:r w:rsidR="00C734BF" w:rsidRPr="009E69C4">
        <w:rPr>
          <w:rFonts w:ascii="Times New Roman" w:hAnsi="Times New Roman" w:cs="Times New Roman"/>
          <w:sz w:val="28"/>
          <w:szCs w:val="28"/>
        </w:rPr>
        <w:t>elor</w:t>
      </w:r>
      <w:proofErr w:type="spellEnd"/>
      <w:r w:rsidR="00C734BF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E69C4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="00C734BF" w:rsidRPr="009E69C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734BF" w:rsidRPr="009E69C4"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 w:rsidR="00C734BF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E69C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734BF" w:rsidRPr="009E69C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C734BF" w:rsidRPr="009E69C4">
        <w:rPr>
          <w:rFonts w:ascii="Times New Roman" w:hAnsi="Times New Roman" w:cs="Times New Roman"/>
          <w:sz w:val="28"/>
          <w:szCs w:val="28"/>
        </w:rPr>
        <w:t>stabilesc</w:t>
      </w:r>
      <w:proofErr w:type="spellEnd"/>
      <w:r w:rsidR="00C734B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734B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81066">
        <w:rPr>
          <w:rFonts w:ascii="Times New Roman" w:hAnsi="Times New Roman" w:cs="Times New Roman"/>
          <w:sz w:val="28"/>
          <w:szCs w:val="28"/>
        </w:rPr>
        <w:t>Politicile</w:t>
      </w:r>
      <w:proofErr w:type="spellEnd"/>
      <w:r w:rsidR="00C734B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81066">
        <w:rPr>
          <w:rFonts w:ascii="Times New Roman" w:hAnsi="Times New Roman" w:cs="Times New Roman"/>
          <w:sz w:val="28"/>
          <w:szCs w:val="28"/>
        </w:rPr>
        <w:t>contabile</w:t>
      </w:r>
      <w:proofErr w:type="spellEnd"/>
      <w:r w:rsidR="00C734BF" w:rsidRPr="0098106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C734BF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C734B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C734B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C734B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C734B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C734B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4BF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734B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:</w:t>
      </w:r>
    </w:p>
    <w:p w14:paraId="0DA04358" w14:textId="77777777" w:rsidR="00F43BB8" w:rsidRPr="00964723" w:rsidRDefault="00C734BF" w:rsidP="00964723">
      <w:pPr>
        <w:pStyle w:val="a3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costuri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</w:rPr>
        <w:t xml:space="preserve"> cu </w:t>
      </w: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personalul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directe</w:t>
      </w:r>
      <w:proofErr w:type="spellEnd"/>
      <w:r w:rsidR="00F43BB8" w:rsidRPr="0096472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58443E90" w14:textId="77777777" w:rsidR="00F43BB8" w:rsidRPr="00964723" w:rsidRDefault="00C734BF" w:rsidP="00964723">
      <w:pPr>
        <w:pStyle w:val="a3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costuri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materiale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directe</w:t>
      </w:r>
      <w:proofErr w:type="spellEnd"/>
      <w:r w:rsidR="00F43BB8" w:rsidRPr="0096472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D2111F9" w14:textId="77777777" w:rsidR="00C734BF" w:rsidRPr="00964723" w:rsidRDefault="00C734BF" w:rsidP="00964723">
      <w:pPr>
        <w:pStyle w:val="a3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costuri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indirecte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producţie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</w:p>
    <w:p w14:paraId="08BB5A5F" w14:textId="77777777" w:rsidR="00C734BF" w:rsidRPr="00964723" w:rsidRDefault="00C734BF" w:rsidP="00964723">
      <w:pPr>
        <w:pStyle w:val="a3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cheltuieli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distribuire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686AAFB" w14:textId="77777777" w:rsidR="00C734BF" w:rsidRPr="00964723" w:rsidRDefault="00C734BF" w:rsidP="00964723">
      <w:pPr>
        <w:pStyle w:val="a3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</w:rPr>
        <w:t>cheltuieli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</w:rPr>
        <w:t xml:space="preserve"> administrative;</w:t>
      </w:r>
    </w:p>
    <w:p w14:paraId="475A2910" w14:textId="77777777" w:rsidR="00F43BB8" w:rsidRPr="00964723" w:rsidRDefault="00C734BF" w:rsidP="00964723">
      <w:pPr>
        <w:pStyle w:val="a3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alte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cheltuieli</w:t>
      </w:r>
      <w:proofErr w:type="spellEnd"/>
      <w:r w:rsidRPr="0096472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proofErr w:type="spellStart"/>
      <w:r w:rsidRPr="0096472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operaţionale</w:t>
      </w:r>
      <w:proofErr w:type="spellEnd"/>
      <w:r w:rsidR="00F43BB8" w:rsidRPr="0096472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.</w:t>
      </w:r>
    </w:p>
    <w:p w14:paraId="68E62865" w14:textId="77777777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 </w:t>
      </w:r>
      <w:r w:rsidR="006A4393" w:rsidRPr="00981066">
        <w:rPr>
          <w:rFonts w:ascii="Times New Roman" w:hAnsi="Times New Roman" w:cs="Times New Roman"/>
          <w:sz w:val="28"/>
          <w:szCs w:val="28"/>
        </w:rPr>
        <w:t>10</w:t>
      </w:r>
      <w:r w:rsidRPr="00981066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="002E7DF1" w:rsidRPr="00981066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2E7DF1" w:rsidRPr="009810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2E7DF1" w:rsidRPr="00981066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="002E7DF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DF1" w:rsidRPr="00981066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atribuie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:</w:t>
      </w:r>
    </w:p>
    <w:p w14:paraId="60A8A5DF" w14:textId="77777777" w:rsidR="00F43BB8" w:rsidRPr="00981066" w:rsidRDefault="006A4393" w:rsidP="00F86671">
      <w:pPr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E7DF1" w:rsidRPr="00981066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retribuirea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nemijlocit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40F04D87" w14:textId="77777777" w:rsidR="00F43BB8" w:rsidRPr="00981066" w:rsidRDefault="006A4393" w:rsidP="00F86671">
      <w:pPr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2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contribuţi</w:t>
      </w:r>
      <w:r w:rsidRPr="0098106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asigurări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obligatorii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aferent</w:t>
      </w:r>
      <w:r w:rsidRPr="00981066">
        <w:rPr>
          <w:rFonts w:ascii="Times New Roman" w:hAnsi="Times New Roman" w:cs="Times New Roman"/>
          <w:sz w:val="28"/>
          <w:szCs w:val="28"/>
        </w:rPr>
        <w:t>ă</w:t>
      </w:r>
      <w:r w:rsidR="002E7DF1" w:rsidRPr="00981066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retribuirea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nemijlocit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5DDB1500" w14:textId="77777777" w:rsidR="00F43BB8" w:rsidRPr="00981066" w:rsidRDefault="006A4393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11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="002E7DF1" w:rsidRPr="00981066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DF1" w:rsidRPr="00981066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2E7DF1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atribuie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materialelor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nemijlocit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prestare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38C17C7D" w14:textId="77777777" w:rsidR="00F43BB8" w:rsidRPr="00981066" w:rsidRDefault="006A4393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12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7DF1" w:rsidRPr="00981066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producţie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cuprind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gestiunii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deservirii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subdiviziunilor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prestare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71D198EE" w14:textId="77777777" w:rsidR="00245413" w:rsidRPr="00981066" w:rsidRDefault="00085822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13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Pr="00981066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distribuire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cuprind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aferentepromovării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comercializării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10E4D448" w14:textId="77777777" w:rsidR="00F43BB8" w:rsidRPr="00981066" w:rsidRDefault="008F49DF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14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administrative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includ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deservirii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gestionării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ansamblu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35B07E56" w14:textId="77777777" w:rsidR="00F43BB8" w:rsidRPr="00981066" w:rsidRDefault="008F49DF" w:rsidP="00CF72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15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 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operaţionale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includ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legate de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desfășurarea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413" w:rsidRPr="00981066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care </w:t>
      </w:r>
      <w:r w:rsidR="00245413" w:rsidRPr="009E69C4">
        <w:rPr>
          <w:rFonts w:ascii="Times New Roman" w:hAnsi="Times New Roman" w:cs="Times New Roman"/>
          <w:sz w:val="28"/>
          <w:szCs w:val="28"/>
        </w:rPr>
        <w:t xml:space="preserve">nu pot fi </w:t>
      </w:r>
      <w:proofErr w:type="spellStart"/>
      <w:r w:rsidR="00245413" w:rsidRPr="009E69C4">
        <w:rPr>
          <w:rFonts w:ascii="Times New Roman" w:hAnsi="Times New Roman" w:cs="Times New Roman"/>
          <w:sz w:val="28"/>
          <w:szCs w:val="28"/>
        </w:rPr>
        <w:t>atribuite</w:t>
      </w:r>
      <w:proofErr w:type="spellEnd"/>
      <w:r w:rsidR="00245413" w:rsidRPr="009E69C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45413" w:rsidRPr="009E69C4">
        <w:rPr>
          <w:rFonts w:ascii="Times New Roman" w:hAnsi="Times New Roman" w:cs="Times New Roman"/>
          <w:sz w:val="28"/>
          <w:szCs w:val="28"/>
        </w:rPr>
        <w:t>costul</w:t>
      </w:r>
      <w:proofErr w:type="spellEnd"/>
      <w:r w:rsidR="00245413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E69C4">
        <w:rPr>
          <w:rFonts w:ascii="Times New Roman" w:hAnsi="Times New Roman" w:cs="Times New Roman"/>
          <w:sz w:val="28"/>
          <w:szCs w:val="28"/>
        </w:rPr>
        <w:t>vînzărilor</w:t>
      </w:r>
      <w:proofErr w:type="spellEnd"/>
      <w:r w:rsidR="00245413" w:rsidRPr="009E69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413" w:rsidRPr="009E69C4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245413" w:rsidRPr="009E69C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D5BEB" w:rsidRPr="009E69C4">
        <w:rPr>
          <w:rFonts w:ascii="Times New Roman" w:hAnsi="Times New Roman" w:cs="Times New Roman"/>
          <w:sz w:val="28"/>
          <w:szCs w:val="28"/>
        </w:rPr>
        <w:t>distribu</w:t>
      </w:r>
      <w:r w:rsidR="00245413" w:rsidRPr="009E69C4">
        <w:rPr>
          <w:rFonts w:ascii="Times New Roman" w:hAnsi="Times New Roman" w:cs="Times New Roman"/>
          <w:sz w:val="28"/>
          <w:szCs w:val="28"/>
        </w:rPr>
        <w:t>ire</w:t>
      </w:r>
      <w:proofErr w:type="spellEnd"/>
      <w:r w:rsidR="00245413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E69C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45413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413" w:rsidRPr="009E69C4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245413" w:rsidRPr="00981066">
        <w:rPr>
          <w:rFonts w:ascii="Times New Roman" w:hAnsi="Times New Roman" w:cs="Times New Roman"/>
          <w:sz w:val="28"/>
          <w:szCs w:val="28"/>
        </w:rPr>
        <w:t xml:space="preserve"> administrative.</w:t>
      </w:r>
    </w:p>
    <w:p w14:paraId="4EEB7B37" w14:textId="77777777" w:rsidR="00F43BB8" w:rsidRPr="00981066" w:rsidRDefault="00561F62" w:rsidP="00581B95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981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IV</w:t>
      </w:r>
      <w:r w:rsidR="00F43BB8" w:rsidRPr="00981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43BB8" w:rsidRPr="00981066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Determinarea </w:t>
      </w:r>
      <w:r w:rsidR="001B464E" w:rsidRPr="00981066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costurilor</w:t>
      </w:r>
      <w:r w:rsidR="00F43BB8" w:rsidRPr="00981066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şi cheltuielilor incluse în calculul tarifului</w:t>
      </w:r>
    </w:p>
    <w:p w14:paraId="3AE2BBE1" w14:textId="77777777" w:rsidR="00F43BB8" w:rsidRPr="00981066" w:rsidRDefault="00561F62" w:rsidP="00A806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16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464E" w:rsidRPr="00981066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(Ct)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includ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tarif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determină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formulei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751" w:type="dxa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2765"/>
        <w:gridCol w:w="580"/>
      </w:tblGrid>
      <w:tr w:rsidR="00393995" w:rsidRPr="00981066" w14:paraId="1CFC4A46" w14:textId="77777777" w:rsidTr="00393995">
        <w:trPr>
          <w:trHeight w:val="734"/>
        </w:trPr>
        <w:tc>
          <w:tcPr>
            <w:tcW w:w="1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8AD8" w14:textId="1EFEFA68" w:rsidR="00F43BB8" w:rsidRPr="00981066" w:rsidRDefault="00F43BB8" w:rsidP="001B464E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Ct =  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color w:val="FF0000"/>
                      <w:sz w:val="30"/>
                      <w:szCs w:val="3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Times New Roman" w:cs="Times New Roman"/>
                          <w:color w:val="FF0000"/>
                          <w:sz w:val="30"/>
                          <w:szCs w:val="3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FF0000"/>
                          <w:sz w:val="30"/>
                          <w:szCs w:val="30"/>
                        </w:rPr>
                        <m:t>1+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FF0000"/>
                          <w:sz w:val="30"/>
                          <w:szCs w:val="30"/>
                        </w:rPr>
                        <m:t>Icio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  <w:sz w:val="30"/>
                      <w:szCs w:val="30"/>
                    </w:rPr>
                    <m:t>xCRMU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FF0000"/>
                      <w:sz w:val="30"/>
                      <w:szCs w:val="3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  <w:sz w:val="30"/>
                      <w:szCs w:val="30"/>
                    </w:rPr>
                    <m:t>-Icm</m:t>
                  </m:r>
                </m:den>
              </m:f>
            </m:oMath>
          </w:p>
        </w:tc>
        <w:tc>
          <w:tcPr>
            <w:tcW w:w="3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4DB9" w14:textId="77777777" w:rsidR="00F43BB8" w:rsidRPr="00981066" w:rsidRDefault="00F43BB8" w:rsidP="00A806DB">
            <w:pPr>
              <w:spacing w:line="240" w:lineRule="auto"/>
              <w:rPr>
                <w:rFonts w:ascii="Cambria Math" w:hAnsi="Cambria Math" w:cs="Times New Roman"/>
                <w:color w:val="FF0000"/>
                <w:sz w:val="28"/>
                <w:szCs w:val="28"/>
                <w:oMath/>
              </w:rPr>
            </w:pPr>
          </w:p>
        </w:tc>
        <w:tc>
          <w:tcPr>
            <w:tcW w:w="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7018" w14:textId="77777777" w:rsidR="00F43BB8" w:rsidRPr="00981066" w:rsidRDefault="00F43BB8" w:rsidP="00A806D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(2)</w:t>
            </w:r>
          </w:p>
        </w:tc>
      </w:tr>
    </w:tbl>
    <w:p w14:paraId="15BA1528" w14:textId="77777777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care:    </w:t>
      </w:r>
    </w:p>
    <w:p w14:paraId="1ECA5C13" w14:textId="77777777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CRMU – </w:t>
      </w:r>
      <w:proofErr w:type="spellStart"/>
      <w:r w:rsidR="00981066" w:rsidRPr="00981066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r w:rsidR="00981066" w:rsidRPr="00981066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981066" w:rsidRPr="00981066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="00981066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66" w:rsidRPr="00981066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543B15C0" w14:textId="77777777" w:rsidR="00F325B3" w:rsidRPr="00981066" w:rsidRDefault="00F325B3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Icio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indicele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total pe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79BE4036" w14:textId="77777777" w:rsidR="00F325B3" w:rsidRPr="00981066" w:rsidRDefault="00F325B3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Icm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indicele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66" w:rsidRPr="00981066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981066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total pe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.</w:t>
      </w:r>
    </w:p>
    <w:p w14:paraId="12B2532D" w14:textId="77777777" w:rsidR="00F43BB8" w:rsidRPr="00981066" w:rsidRDefault="00561F62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17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325B3" w:rsidRPr="00981066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clasifică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grupuri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formulei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669"/>
      </w:tblGrid>
      <w:tr w:rsidR="00F43BB8" w:rsidRPr="00981066" w14:paraId="64260005" w14:textId="77777777" w:rsidTr="00393995">
        <w:trPr>
          <w:trHeight w:val="626"/>
        </w:trPr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DAD0D" w14:textId="36D91796" w:rsidR="00F43BB8" w:rsidRPr="00981066" w:rsidRDefault="00F43BB8" w:rsidP="00A806DB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CT = CM + CRM + CI</w:t>
            </w:r>
            <w:r w:rsid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C569" w14:textId="77777777" w:rsidR="00F43BB8" w:rsidRPr="00981066" w:rsidRDefault="00F43BB8" w:rsidP="00A806DB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(3)</w:t>
            </w:r>
          </w:p>
        </w:tc>
      </w:tr>
    </w:tbl>
    <w:p w14:paraId="20DBA678" w14:textId="77777777" w:rsidR="00F43BB8" w:rsidRPr="00981066" w:rsidRDefault="00393995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care:</w:t>
      </w:r>
    </w:p>
    <w:p w14:paraId="258E1D97" w14:textId="77777777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CT – </w:t>
      </w:r>
      <w:proofErr w:type="spellStart"/>
      <w:r w:rsidR="00981066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66" w:rsidRPr="00244C62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66" w:rsidRPr="00244C62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="00981066" w:rsidRPr="00244C6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5811F515" w14:textId="77777777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CM – </w:t>
      </w:r>
      <w:proofErr w:type="spellStart"/>
      <w:r w:rsidR="00957076">
        <w:rPr>
          <w:rFonts w:ascii="Times New Roman" w:hAnsi="Times New Roman" w:cs="Times New Roman"/>
          <w:sz w:val="28"/>
          <w:szCs w:val="28"/>
        </w:rPr>
        <w:t>costuri</w:t>
      </w:r>
      <w:r w:rsidR="00786A47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material </w:t>
      </w:r>
      <w:proofErr w:type="spellStart"/>
      <w:r w:rsidR="00957076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76" w:rsidRPr="00244C62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="00957076" w:rsidRPr="00244C6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95707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7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7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7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7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43F40E8E" w14:textId="77777777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CRM – </w:t>
      </w:r>
      <w:proofErr w:type="spellStart"/>
      <w:r w:rsidR="00957076">
        <w:rPr>
          <w:rFonts w:ascii="Times New Roman" w:hAnsi="Times New Roman" w:cs="Times New Roman"/>
          <w:sz w:val="28"/>
          <w:szCs w:val="28"/>
        </w:rPr>
        <w:t>costuri</w:t>
      </w:r>
      <w:r w:rsidR="00786A47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95707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957076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="00957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76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contribuţi</w:t>
      </w:r>
      <w:r w:rsidR="00561F62" w:rsidRPr="0098106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asigurări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obligatorii</w:t>
      </w:r>
      <w:proofErr w:type="spellEnd"/>
      <w:r w:rsidR="00957076">
        <w:rPr>
          <w:rFonts w:ascii="Times New Roman" w:hAnsi="Times New Roman" w:cs="Times New Roman"/>
          <w:sz w:val="28"/>
          <w:szCs w:val="28"/>
        </w:rPr>
        <w:t>,</w:t>
      </w:r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total pe </w:t>
      </w:r>
      <w:proofErr w:type="spellStart"/>
      <w:r w:rsidR="00561F62"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561F6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62"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561F6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62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561F6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62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561F6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62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04DF34F5" w14:textId="77777777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CI</w:t>
      </w:r>
      <w:r w:rsidR="006E1348">
        <w:rPr>
          <w:rFonts w:ascii="Times New Roman" w:hAnsi="Times New Roman" w:cs="Times New Roman"/>
          <w:sz w:val="28"/>
          <w:szCs w:val="28"/>
        </w:rPr>
        <w:t>O</w:t>
      </w:r>
      <w:r w:rsidRPr="00981066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="00957076" w:rsidRPr="00981066">
        <w:rPr>
          <w:rFonts w:ascii="Times New Roman" w:hAnsi="Times New Roman" w:cs="Times New Roman"/>
          <w:sz w:val="28"/>
          <w:szCs w:val="28"/>
        </w:rPr>
        <w:t>costuri</w:t>
      </w:r>
      <w:r w:rsidR="00786A47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957076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76" w:rsidRPr="00981066"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="00957076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A47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561F62"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561F6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62"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561F6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62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561F6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62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561F6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62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.</w:t>
      </w:r>
    </w:p>
    <w:p w14:paraId="01FF468B" w14:textId="77777777" w:rsidR="00F43BB8" w:rsidRPr="009E69C4" w:rsidRDefault="00561F62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18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Din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nemijlocit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fac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registratorii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inginerii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cadastrali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0A39" w:rsidRPr="00981066">
        <w:rPr>
          <w:rFonts w:ascii="Times New Roman" w:hAnsi="Times New Roman" w:cs="Times New Roman"/>
          <w:sz w:val="28"/>
          <w:szCs w:val="28"/>
        </w:rPr>
        <w:t>evaluatorii</w:t>
      </w:r>
      <w:proofErr w:type="spellEnd"/>
      <w:r w:rsidR="00630A39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A39" w:rsidRPr="00981066">
        <w:rPr>
          <w:rFonts w:ascii="Times New Roman" w:hAnsi="Times New Roman" w:cs="Times New Roman"/>
          <w:sz w:val="28"/>
          <w:szCs w:val="28"/>
        </w:rPr>
        <w:t>imobiliari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arhivarii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0A39" w:rsidRPr="00981066">
        <w:rPr>
          <w:rFonts w:ascii="Times New Roman" w:hAnsi="Times New Roman" w:cs="Times New Roman"/>
          <w:sz w:val="28"/>
          <w:szCs w:val="28"/>
        </w:rPr>
        <w:t>specialiștii</w:t>
      </w:r>
      <w:proofErr w:type="spellEnd"/>
      <w:r w:rsidR="00630A39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A39" w:rsidRPr="00981066">
        <w:rPr>
          <w:rFonts w:ascii="Times New Roman" w:hAnsi="Times New Roman" w:cs="Times New Roman"/>
          <w:sz w:val="28"/>
          <w:szCs w:val="28"/>
        </w:rPr>
        <w:t>sisteme</w:t>
      </w:r>
      <w:proofErr w:type="spellEnd"/>
      <w:r w:rsidR="00630A39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A39" w:rsidRPr="009E69C4">
        <w:rPr>
          <w:rFonts w:ascii="Times New Roman" w:hAnsi="Times New Roman" w:cs="Times New Roman"/>
          <w:sz w:val="28"/>
          <w:szCs w:val="28"/>
        </w:rPr>
        <w:t>informaționale</w:t>
      </w:r>
      <w:proofErr w:type="spellEnd"/>
      <w:r w:rsidR="00630A39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A39" w:rsidRPr="009E69C4">
        <w:rPr>
          <w:rFonts w:ascii="Times New Roman" w:hAnsi="Times New Roman" w:cs="Times New Roman"/>
          <w:sz w:val="28"/>
          <w:szCs w:val="28"/>
        </w:rPr>
        <w:t>geografice</w:t>
      </w:r>
      <w:proofErr w:type="spellEnd"/>
      <w:r w:rsidR="00630A39" w:rsidRPr="009E69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0A39" w:rsidRPr="009E69C4">
        <w:rPr>
          <w:rFonts w:ascii="Times New Roman" w:hAnsi="Times New Roman" w:cs="Times New Roman"/>
          <w:sz w:val="28"/>
          <w:szCs w:val="28"/>
        </w:rPr>
        <w:t>specialiștii</w:t>
      </w:r>
      <w:proofErr w:type="spellEnd"/>
      <w:r w:rsidR="00F43BB8" w:rsidRPr="009E69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0A39" w:rsidRPr="009E69C4">
        <w:rPr>
          <w:rFonts w:ascii="Times New Roman" w:hAnsi="Times New Roman" w:cs="Times New Roman"/>
          <w:sz w:val="28"/>
          <w:szCs w:val="28"/>
        </w:rPr>
        <w:t>jurisconsulții</w:t>
      </w:r>
      <w:r w:rsidR="0012284E" w:rsidRPr="009E69C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2284E" w:rsidRPr="009E69C4">
        <w:rPr>
          <w:rFonts w:ascii="Times New Roman" w:hAnsi="Times New Roman" w:cs="Times New Roman"/>
          <w:sz w:val="28"/>
          <w:szCs w:val="28"/>
        </w:rPr>
        <w:t xml:space="preserve"> alt personal </w:t>
      </w:r>
      <w:proofErr w:type="spellStart"/>
      <w:r w:rsidR="0012284E" w:rsidRPr="009E69C4">
        <w:rPr>
          <w:rFonts w:ascii="Times New Roman" w:hAnsi="Times New Roman" w:cs="Times New Roman"/>
          <w:sz w:val="28"/>
          <w:szCs w:val="28"/>
        </w:rPr>
        <w:t>implicat</w:t>
      </w:r>
      <w:proofErr w:type="spellEnd"/>
      <w:r w:rsidR="0012284E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84E" w:rsidRPr="009E69C4">
        <w:rPr>
          <w:rFonts w:ascii="Times New Roman" w:hAnsi="Times New Roman" w:cs="Times New Roman"/>
          <w:sz w:val="28"/>
          <w:szCs w:val="28"/>
        </w:rPr>
        <w:t>nemijlocit</w:t>
      </w:r>
      <w:proofErr w:type="spellEnd"/>
      <w:r w:rsidR="0012284E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84E" w:rsidRPr="009E69C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2284E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84E" w:rsidRPr="009E69C4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12284E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84E" w:rsidRPr="009E69C4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F43BB8" w:rsidRPr="009E69C4">
        <w:rPr>
          <w:rFonts w:ascii="Times New Roman" w:hAnsi="Times New Roman" w:cs="Times New Roman"/>
          <w:sz w:val="28"/>
          <w:szCs w:val="28"/>
        </w:rPr>
        <w:t>.</w:t>
      </w:r>
    </w:p>
    <w:p w14:paraId="3941E411" w14:textId="421DD8CC" w:rsidR="00F43BB8" w:rsidRPr="00981066" w:rsidRDefault="00630A39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19.</w:t>
      </w:r>
      <w:r w:rsidR="00382FBD">
        <w:rPr>
          <w:rFonts w:ascii="Times New Roman" w:hAnsi="Times New Roman" w:cs="Times New Roman"/>
          <w:sz w:val="28"/>
          <w:szCs w:val="28"/>
        </w:rPr>
        <w:t>Costurile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retribuirea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nemijlocit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(CRMD),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includ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calculul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tarifului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cuprind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adaosurile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AE1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24AE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AE1" w:rsidRPr="00981066">
        <w:rPr>
          <w:rFonts w:ascii="Times New Roman" w:hAnsi="Times New Roman" w:cs="Times New Roman"/>
          <w:sz w:val="28"/>
          <w:szCs w:val="28"/>
        </w:rPr>
        <w:t>sporurile</w:t>
      </w:r>
      <w:proofErr w:type="spellEnd"/>
      <w:r w:rsidR="00024AE1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salariu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primele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plăţi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indemnizaţiile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concediu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848"/>
      </w:tblGrid>
      <w:tr w:rsidR="00F43BB8" w:rsidRPr="00981066" w14:paraId="5410294C" w14:textId="77777777" w:rsidTr="002A14E0">
        <w:trPr>
          <w:trHeight w:val="637"/>
        </w:trPr>
        <w:tc>
          <w:tcPr>
            <w:tcW w:w="66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220B" w14:textId="3A537D01" w:rsidR="00F43BB8" w:rsidRPr="00981066" w:rsidRDefault="00F43BB8" w:rsidP="002B1B49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CRMD = (1+ C</w:t>
            </w:r>
            <w:r w:rsidR="002B1B49"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as + Cp</w:t>
            </w: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 </w:t>
            </w:r>
            <w:r w:rsidR="00393995"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</w:t>
            </w: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(1+ Cc) </w:t>
            </w:r>
            <w:r w:rsidR="00393995"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</w:t>
            </w: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CRMB,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BD83" w14:textId="77777777" w:rsidR="00F43BB8" w:rsidRPr="00981066" w:rsidRDefault="00F43BB8" w:rsidP="00A806DB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(4)</w:t>
            </w:r>
          </w:p>
        </w:tc>
      </w:tr>
    </w:tbl>
    <w:p w14:paraId="0B0D393B" w14:textId="77777777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care:</w:t>
      </w:r>
    </w:p>
    <w:p w14:paraId="15594023" w14:textId="172BF015" w:rsidR="00F43BB8" w:rsidRPr="00981066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CRMB –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nemijlocit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1BFE3EEE" w14:textId="77777777" w:rsidR="00407747" w:rsidRPr="00BF17A0" w:rsidRDefault="002B1B49" w:rsidP="00CF723B">
      <w:pPr>
        <w:spacing w:before="0" w:after="0" w:line="240" w:lineRule="auto"/>
        <w:rPr>
          <w:rFonts w:ascii="Times New Roman" w:hAnsi="Times New Roman" w:cs="Times New Roman"/>
          <w:sz w:val="12"/>
          <w:szCs w:val="12"/>
        </w:rPr>
      </w:pPr>
      <w:r w:rsidRPr="00AE6055">
        <w:rPr>
          <w:rFonts w:ascii="Times New Roman" w:hAnsi="Times New Roman" w:cs="Times New Roman"/>
          <w:sz w:val="28"/>
          <w:szCs w:val="28"/>
        </w:rPr>
        <w:t>Cas</w:t>
      </w:r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r w:rsidR="007D47C2" w:rsidRPr="00981066">
        <w:rPr>
          <w:rFonts w:ascii="Times New Roman" w:hAnsi="Times New Roman" w:cs="Times New Roman"/>
          <w:sz w:val="28"/>
          <w:szCs w:val="28"/>
        </w:rPr>
        <w:t>–</w:t>
      </w:r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adaosurilor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sporurilor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plăți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garantate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legislație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colectiv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salarizare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salariaților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7C2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7D47C2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03C0FD7E" w14:textId="77777777" w:rsidR="00407747" w:rsidRPr="00BF17A0" w:rsidRDefault="00F43BB8" w:rsidP="00CF723B">
      <w:pPr>
        <w:spacing w:before="0" w:after="0" w:line="240" w:lineRule="auto"/>
        <w:rPr>
          <w:rFonts w:ascii="Times New Roman" w:hAnsi="Times New Roman" w:cs="Times New Roman"/>
          <w:sz w:val="12"/>
          <w:szCs w:val="12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Cp –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primelor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plăţi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stimulare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legislație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colectiv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salarizare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salariaților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1DC973C3" w14:textId="077B8420" w:rsidR="00F43BB8" w:rsidRDefault="00F43BB8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lastRenderedPageBreak/>
        <w:t xml:space="preserve">Cc –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indemnizaţiilor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concediu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 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indemnizaţiile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concediu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includ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tarif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mărime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12% din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adaosurile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sporurile</w:t>
      </w:r>
      <w:proofErr w:type="spellEnd"/>
      <w:r w:rsidR="00AC4AB7"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C4AB7" w:rsidRPr="00981066">
        <w:rPr>
          <w:rFonts w:ascii="Times New Roman" w:hAnsi="Times New Roman" w:cs="Times New Roman"/>
          <w:sz w:val="28"/>
          <w:szCs w:val="28"/>
        </w:rPr>
        <w:t>salariu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primele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plăţi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nemijlocit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.</w:t>
      </w:r>
    </w:p>
    <w:p w14:paraId="1E7C046F" w14:textId="77777777" w:rsidR="00F43BB8" w:rsidRPr="00981066" w:rsidRDefault="00630A39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20.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 CRMB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determină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DAD" w:rsidRPr="00981066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A54DAD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DAD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54DAD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DAD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A54DAD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DAD"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Geodezie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Cartografie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Cadastru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mărimii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="00567D8C" w:rsidRPr="00981066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a</w:t>
      </w:r>
      <w:r w:rsidR="006E4EC5" w:rsidRPr="00981066">
        <w:rPr>
          <w:rFonts w:ascii="Times New Roman" w:hAnsi="Times New Roman" w:cs="Times New Roman"/>
          <w:sz w:val="28"/>
          <w:szCs w:val="28"/>
        </w:rPr>
        <w:t>l</w:t>
      </w:r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salariaților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implicați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nemijlocit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D8C" w:rsidRPr="00981066">
        <w:rPr>
          <w:rFonts w:ascii="Times New Roman" w:hAnsi="Times New Roman" w:cs="Times New Roman"/>
          <w:sz w:val="28"/>
          <w:szCs w:val="28"/>
        </w:rPr>
        <w:t>statele</w:t>
      </w:r>
      <w:proofErr w:type="spellEnd"/>
      <w:r w:rsidR="00567D8C" w:rsidRPr="00981066">
        <w:rPr>
          <w:rFonts w:ascii="Times New Roman" w:hAnsi="Times New Roman" w:cs="Times New Roman"/>
          <w:sz w:val="28"/>
          <w:szCs w:val="28"/>
        </w:rPr>
        <w:t xml:space="preserve"> de personal</w:t>
      </w:r>
      <w:r w:rsidR="00F43BB8" w:rsidRPr="00981066">
        <w:rPr>
          <w:rFonts w:ascii="Times New Roman" w:hAnsi="Times New Roman" w:cs="Times New Roman"/>
          <w:sz w:val="28"/>
          <w:szCs w:val="28"/>
        </w:rPr>
        <w:t>.</w:t>
      </w:r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EC5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E4E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EC5" w:rsidRPr="00981066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6E4E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EC5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E4EC5" w:rsidRPr="00981066">
        <w:rPr>
          <w:rFonts w:ascii="Times New Roman" w:hAnsi="Times New Roman" w:cs="Times New Roman"/>
          <w:sz w:val="28"/>
          <w:szCs w:val="28"/>
        </w:rPr>
        <w:t xml:space="preserve"> care la </w:t>
      </w:r>
      <w:proofErr w:type="spellStart"/>
      <w:r w:rsidR="006E4EC5" w:rsidRPr="00981066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="006E4E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EC5" w:rsidRPr="00981066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6E4E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EC5" w:rsidRPr="00981066">
        <w:rPr>
          <w:rFonts w:ascii="Times New Roman" w:hAnsi="Times New Roman" w:cs="Times New Roman"/>
          <w:sz w:val="28"/>
          <w:szCs w:val="28"/>
        </w:rPr>
        <w:t>operațiuni</w:t>
      </w:r>
      <w:proofErr w:type="spellEnd"/>
      <w:r w:rsidR="006E4EC5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E4EC5" w:rsidRPr="00981066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="006E4EC5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E4EC5" w:rsidRPr="00981066">
        <w:rPr>
          <w:rFonts w:ascii="Times New Roman" w:hAnsi="Times New Roman" w:cs="Times New Roman"/>
          <w:sz w:val="28"/>
          <w:szCs w:val="28"/>
        </w:rPr>
        <w:t>prestare</w:t>
      </w:r>
      <w:proofErr w:type="spellEnd"/>
      <w:r w:rsidR="006E4EC5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E4EC5" w:rsidRPr="0098106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6E4E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EC5" w:rsidRPr="00981066">
        <w:rPr>
          <w:rFonts w:ascii="Times New Roman" w:hAnsi="Times New Roman" w:cs="Times New Roman"/>
          <w:sz w:val="28"/>
          <w:szCs w:val="28"/>
        </w:rPr>
        <w:t>participă</w:t>
      </w:r>
      <w:proofErr w:type="spellEnd"/>
      <w:r w:rsidR="006E4E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DD3" w:rsidRPr="00981066">
        <w:rPr>
          <w:rFonts w:ascii="Times New Roman" w:hAnsi="Times New Roman" w:cs="Times New Roman"/>
          <w:sz w:val="28"/>
          <w:szCs w:val="28"/>
        </w:rPr>
        <w:t>salariați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DD3" w:rsidRPr="00981066">
        <w:rPr>
          <w:rFonts w:ascii="Times New Roman" w:hAnsi="Times New Roman" w:cs="Times New Roman"/>
          <w:sz w:val="28"/>
          <w:szCs w:val="28"/>
        </w:rPr>
        <w:t>specialități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8AA" w:rsidRPr="00981066"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 w:rsidR="000828AA" w:rsidRPr="00981066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0828AA" w:rsidRPr="0098106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828A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8AA" w:rsidRPr="00981066">
        <w:rPr>
          <w:rFonts w:ascii="Times New Roman" w:hAnsi="Times New Roman" w:cs="Times New Roman"/>
          <w:sz w:val="28"/>
          <w:szCs w:val="28"/>
        </w:rPr>
        <w:t>calcula</w:t>
      </w:r>
      <w:proofErr w:type="spellEnd"/>
      <w:r w:rsidR="000828A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8AA" w:rsidRPr="00981066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="000828A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8AA" w:rsidRPr="00981066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="000828AA" w:rsidRPr="0098106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0828AA" w:rsidRPr="00981066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0828AA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16C2D677" w14:textId="77777777" w:rsidR="00834E45" w:rsidRPr="00981066" w:rsidRDefault="00834E45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determină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nr.98/2013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normării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ramurile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economiei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="00EF55CE" w:rsidRPr="0098106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EF55CE" w:rsidRPr="00981066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="00EF55CE" w:rsidRPr="00981066">
        <w:rPr>
          <w:rFonts w:ascii="Times New Roman" w:hAnsi="Times New Roman" w:cs="Times New Roman"/>
          <w:sz w:val="28"/>
          <w:szCs w:val="28"/>
        </w:rPr>
        <w:t xml:space="preserve"> Moldova nr. 154/2003</w:t>
      </w:r>
      <w:r w:rsidRPr="009810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AA594A" w14:textId="77777777" w:rsidR="00F43BB8" w:rsidRPr="00981066" w:rsidRDefault="00630A39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2</w:t>
      </w:r>
      <w:r w:rsidR="00A43E71">
        <w:rPr>
          <w:rFonts w:ascii="Times New Roman" w:hAnsi="Times New Roman" w:cs="Times New Roman"/>
          <w:sz w:val="28"/>
          <w:szCs w:val="28"/>
        </w:rPr>
        <w:t>2</w:t>
      </w:r>
      <w:r w:rsidRPr="00981066">
        <w:rPr>
          <w:rFonts w:ascii="Times New Roman" w:hAnsi="Times New Roman" w:cs="Times New Roman"/>
          <w:sz w:val="28"/>
          <w:szCs w:val="28"/>
        </w:rPr>
        <w:t>.</w:t>
      </w:r>
      <w:r w:rsidR="00382FBD">
        <w:rPr>
          <w:rFonts w:ascii="Times New Roman" w:hAnsi="Times New Roman" w:cs="Times New Roman"/>
          <w:sz w:val="28"/>
          <w:szCs w:val="28"/>
        </w:rPr>
        <w:t xml:space="preserve">Costurile cu </w:t>
      </w:r>
      <w:proofErr w:type="spellStart"/>
      <w:r w:rsidR="00382FBD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="0038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FBD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(CRMU),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includ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calculul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tarifului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calculează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formulei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7141" w:type="dxa"/>
        <w:tblInd w:w="13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6"/>
        <w:gridCol w:w="805"/>
      </w:tblGrid>
      <w:tr w:rsidR="00F43BB8" w:rsidRPr="00981066" w14:paraId="4CDAB76C" w14:textId="77777777" w:rsidTr="002A14E0">
        <w:trPr>
          <w:trHeight w:val="624"/>
        </w:trPr>
        <w:tc>
          <w:tcPr>
            <w:tcW w:w="6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3F5A" w14:textId="2FEF71BF" w:rsidR="00F43BB8" w:rsidRPr="00981066" w:rsidRDefault="00F43BB8" w:rsidP="00AE6055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CRMU = </w:t>
            </w:r>
            <w:r w:rsidR="00630A39"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(1+ </w:t>
            </w:r>
            <w:proofErr w:type="spellStart"/>
            <w:r w:rsidR="00630A39"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="00AE60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co</w:t>
            </w:r>
            <w:proofErr w:type="spellEnd"/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 </w:t>
            </w:r>
            <w:r w:rsidR="002A14E0"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</w:t>
            </w: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CRMD,</w:t>
            </w:r>
          </w:p>
        </w:tc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46E0" w14:textId="77777777" w:rsidR="00F43BB8" w:rsidRPr="00981066" w:rsidRDefault="00F43BB8" w:rsidP="00A806DB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10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(5)</w:t>
            </w:r>
          </w:p>
        </w:tc>
      </w:tr>
    </w:tbl>
    <w:p w14:paraId="7DBB7EFA" w14:textId="77777777" w:rsidR="00F43BB8" w:rsidRPr="00981066" w:rsidRDefault="00F43BB8" w:rsidP="00A806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care: </w:t>
      </w:r>
    </w:p>
    <w:p w14:paraId="1D03275F" w14:textId="77777777" w:rsidR="00F43BB8" w:rsidRPr="00981066" w:rsidRDefault="00F43BB8" w:rsidP="00A806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</w:t>
      </w:r>
      <w:r w:rsidR="00AE605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contribuţi</w:t>
      </w:r>
      <w:r w:rsidR="00630A39" w:rsidRPr="0098106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asigurări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890" w:rsidRPr="00981066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A03890" w:rsidRPr="00981066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="00A03890" w:rsidRPr="00981066">
        <w:rPr>
          <w:rFonts w:ascii="Times New Roman" w:hAnsi="Times New Roman" w:cs="Times New Roman"/>
          <w:sz w:val="28"/>
          <w:szCs w:val="28"/>
        </w:rPr>
        <w:t>obligatorii</w:t>
      </w:r>
      <w:proofErr w:type="spellEnd"/>
      <w:r w:rsidR="00382FBD">
        <w:rPr>
          <w:rFonts w:ascii="Times New Roman" w:hAnsi="Times New Roman" w:cs="Times New Roman"/>
          <w:sz w:val="28"/>
          <w:szCs w:val="28"/>
        </w:rPr>
        <w:t>.</w:t>
      </w:r>
    </w:p>
    <w:p w14:paraId="1D0A2661" w14:textId="77777777" w:rsidR="00F43BB8" w:rsidRPr="00981066" w:rsidRDefault="00221E8A" w:rsidP="00AE62A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221E8A">
        <w:rPr>
          <w:rFonts w:ascii="Times New Roman" w:hAnsi="Times New Roman" w:cs="Times New Roman"/>
          <w:sz w:val="28"/>
          <w:szCs w:val="28"/>
        </w:rPr>
        <w:t>2</w:t>
      </w:r>
      <w:r w:rsidR="00A43E71">
        <w:rPr>
          <w:rFonts w:ascii="Times New Roman" w:hAnsi="Times New Roman" w:cs="Times New Roman"/>
          <w:sz w:val="28"/>
          <w:szCs w:val="28"/>
        </w:rPr>
        <w:t>3</w:t>
      </w:r>
      <w:r w:rsidR="00F43BB8" w:rsidRPr="00221E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1E8A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indirect </w:t>
      </w:r>
      <w:proofErr w:type="spellStart"/>
      <w:r w:rsidRPr="00221E8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E8A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E8A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E8A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221E8A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221E8A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E8A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include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producţie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distribuire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r w:rsidRPr="00244C62">
        <w:rPr>
          <w:rFonts w:ascii="Times New Roman" w:hAnsi="Times New Roman" w:cs="Times New Roman"/>
          <w:sz w:val="28"/>
          <w:szCs w:val="28"/>
        </w:rPr>
        <w:t xml:space="preserve">administrative,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operaţional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calculează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formulei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7616" w:type="dxa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5"/>
        <w:gridCol w:w="861"/>
      </w:tblGrid>
      <w:tr w:rsidR="00F43BB8" w:rsidRPr="00AE62AF" w14:paraId="5C4C095C" w14:textId="77777777" w:rsidTr="002A14E0">
        <w:trPr>
          <w:trHeight w:val="614"/>
        </w:trPr>
        <w:tc>
          <w:tcPr>
            <w:tcW w:w="6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19ED" w14:textId="77777777" w:rsidR="00F43BB8" w:rsidRPr="00AE62AF" w:rsidRDefault="00F43BB8" w:rsidP="00221E8A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62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CI</w:t>
            </w:r>
            <w:r w:rsidR="00221E8A" w:rsidRPr="00AE62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  <w:r w:rsidRPr="00AE62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= CIP + C</w:t>
            </w:r>
            <w:r w:rsidR="00221E8A" w:rsidRPr="00AE62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</w:t>
            </w:r>
            <w:r w:rsidRPr="00AE62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+ CA + CO</w:t>
            </w:r>
          </w:p>
        </w:tc>
        <w:tc>
          <w:tcPr>
            <w:tcW w:w="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265E7" w14:textId="77777777" w:rsidR="00F43BB8" w:rsidRPr="00AE62AF" w:rsidRDefault="00F43BB8" w:rsidP="00A806DB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62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(6)</w:t>
            </w:r>
          </w:p>
        </w:tc>
      </w:tr>
    </w:tbl>
    <w:p w14:paraId="6C100255" w14:textId="77777777" w:rsidR="00F43BB8" w:rsidRPr="00AE62AF" w:rsidRDefault="00F43BB8" w:rsidP="00A806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62A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care:</w:t>
      </w:r>
    </w:p>
    <w:p w14:paraId="3D367702" w14:textId="77777777" w:rsidR="00AE62AF" w:rsidRPr="00AE62AF" w:rsidRDefault="00AE62AF" w:rsidP="00AE62AF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E62AF">
        <w:rPr>
          <w:rFonts w:ascii="Times New Roman" w:hAnsi="Times New Roman" w:cs="Times New Roman"/>
          <w:sz w:val="28"/>
          <w:szCs w:val="28"/>
        </w:rPr>
        <w:t xml:space="preserve">CIP –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producţie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>;</w:t>
      </w:r>
    </w:p>
    <w:p w14:paraId="6D805294" w14:textId="77777777" w:rsidR="00AE62AF" w:rsidRPr="00AE62AF" w:rsidRDefault="00AE62AF" w:rsidP="00AE62AF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E62AF">
        <w:rPr>
          <w:rFonts w:ascii="Times New Roman" w:hAnsi="Times New Roman" w:cs="Times New Roman"/>
          <w:sz w:val="28"/>
          <w:szCs w:val="28"/>
        </w:rPr>
        <w:t xml:space="preserve">CD –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distribuire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>;</w:t>
      </w:r>
    </w:p>
    <w:p w14:paraId="6EECE336" w14:textId="77777777" w:rsidR="00AE62AF" w:rsidRPr="00AE62AF" w:rsidRDefault="00AE62AF" w:rsidP="00AE62AF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E62AF">
        <w:rPr>
          <w:rFonts w:ascii="Times New Roman" w:hAnsi="Times New Roman" w:cs="Times New Roman"/>
          <w:sz w:val="28"/>
          <w:szCs w:val="28"/>
        </w:rPr>
        <w:t xml:space="preserve">CA –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>;</w:t>
      </w:r>
    </w:p>
    <w:p w14:paraId="10D57ABE" w14:textId="77777777" w:rsidR="00AE62AF" w:rsidRPr="00AE62AF" w:rsidRDefault="00AE62AF" w:rsidP="00CF723B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E62AF">
        <w:rPr>
          <w:rFonts w:ascii="Times New Roman" w:hAnsi="Times New Roman" w:cs="Times New Roman"/>
          <w:sz w:val="28"/>
          <w:szCs w:val="28"/>
        </w:rPr>
        <w:t xml:space="preserve">CO –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operaţionale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>.</w:t>
      </w:r>
    </w:p>
    <w:p w14:paraId="68D282B1" w14:textId="77777777" w:rsidR="00AE62AF" w:rsidRPr="00AE62AF" w:rsidRDefault="00AE62AF" w:rsidP="00F8667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E62AF">
        <w:rPr>
          <w:rFonts w:ascii="Times New Roman" w:hAnsi="Times New Roman" w:cs="Times New Roman"/>
          <w:sz w:val="28"/>
          <w:szCs w:val="28"/>
        </w:rPr>
        <w:t xml:space="preserve"> 2</w:t>
      </w:r>
      <w:r w:rsidR="002E0D83">
        <w:rPr>
          <w:rFonts w:ascii="Times New Roman" w:hAnsi="Times New Roman" w:cs="Times New Roman"/>
          <w:sz w:val="28"/>
          <w:szCs w:val="28"/>
        </w:rPr>
        <w:t>4</w:t>
      </w:r>
      <w:r w:rsidRPr="00AE62AF">
        <w:rPr>
          <w:rFonts w:ascii="Times New Roman" w:hAnsi="Times New Roman" w:cs="Times New Roman"/>
          <w:sz w:val="28"/>
          <w:szCs w:val="28"/>
        </w:rPr>
        <w:t>.Costurile</w:t>
      </w:r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nu pot fi determinate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tip de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deoarece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sînt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comune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metodologie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prevede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calcul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>:</w:t>
      </w:r>
    </w:p>
    <w:p w14:paraId="6EECBEED" w14:textId="77777777" w:rsidR="00F43BB8" w:rsidRPr="00981066" w:rsidRDefault="00AE62AF" w:rsidP="00F86671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AE62AF">
        <w:rPr>
          <w:rFonts w:ascii="Times New Roman" w:hAnsi="Times New Roman" w:cs="Times New Roman"/>
          <w:sz w:val="28"/>
          <w:szCs w:val="28"/>
        </w:rPr>
        <w:t>1</w:t>
      </w:r>
      <w:r w:rsidR="00F43BB8" w:rsidRPr="00AE62AF">
        <w:rPr>
          <w:rFonts w:ascii="Times New Roman" w:hAnsi="Times New Roman" w:cs="Times New Roman"/>
          <w:sz w:val="28"/>
          <w:szCs w:val="28"/>
        </w:rPr>
        <w:t xml:space="preserve">) </w:t>
      </w:r>
      <w:r w:rsidRPr="00AE62AF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calculează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precedent conform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formulei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(6)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658941" w14:textId="77777777" w:rsidR="00F43BB8" w:rsidRPr="00981066" w:rsidRDefault="00AE62AF" w:rsidP="00F86671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AE62AF">
        <w:rPr>
          <w:rFonts w:ascii="Times New Roman" w:hAnsi="Times New Roman" w:cs="Times New Roman"/>
          <w:sz w:val="28"/>
          <w:szCs w:val="28"/>
        </w:rPr>
        <w:t>2</w:t>
      </w:r>
      <w:r w:rsidR="00F43BB8" w:rsidRPr="00AE62AF">
        <w:rPr>
          <w:rFonts w:ascii="Times New Roman" w:hAnsi="Times New Roman" w:cs="Times New Roman"/>
          <w:sz w:val="28"/>
          <w:szCs w:val="28"/>
        </w:rPr>
        <w:t xml:space="preserve">) </w:t>
      </w:r>
      <w:r w:rsidRPr="00AE62AF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calculează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indicele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AF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AE62AF">
        <w:rPr>
          <w:rFonts w:ascii="Times New Roman" w:hAnsi="Times New Roman" w:cs="Times New Roman"/>
          <w:sz w:val="28"/>
          <w:szCs w:val="28"/>
        </w:rPr>
        <w:t xml:space="preserve"> pe</w:t>
      </w:r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Ic</w:t>
      </w:r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) ca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r w:rsidRPr="00244C62">
        <w:rPr>
          <w:rFonts w:ascii="Times New Roman" w:hAnsi="Times New Roman" w:cs="Times New Roman"/>
          <w:sz w:val="28"/>
          <w:szCs w:val="28"/>
        </w:rPr>
        <w:t xml:space="preserve">determinate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alineatului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44C62">
        <w:rPr>
          <w:rFonts w:ascii="Times New Roman" w:hAnsi="Times New Roman" w:cs="Times New Roman"/>
          <w:sz w:val="28"/>
          <w:szCs w:val="28"/>
        </w:rPr>
        <w:t>) a</w:t>
      </w:r>
      <w:r>
        <w:rPr>
          <w:rFonts w:ascii="Times New Roman" w:hAnsi="Times New Roman" w:cs="Times New Roman"/>
          <w:sz w:val="28"/>
          <w:szCs w:val="28"/>
        </w:rPr>
        <w:t>l</w:t>
      </w:r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precedent:</w:t>
      </w:r>
    </w:p>
    <w:tbl>
      <w:tblPr>
        <w:tblW w:w="6652" w:type="dxa"/>
        <w:tblInd w:w="1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755"/>
      </w:tblGrid>
      <w:tr w:rsidR="00F43BB8" w:rsidRPr="00981066" w14:paraId="3CC61E28" w14:textId="77777777" w:rsidTr="002A14E0">
        <w:trPr>
          <w:trHeight w:val="576"/>
        </w:trPr>
        <w:tc>
          <w:tcPr>
            <w:tcW w:w="5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3F87" w14:textId="77777777" w:rsidR="00F43BB8" w:rsidRPr="007C5F0F" w:rsidRDefault="00F43BB8" w:rsidP="006E1348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Ic</w:t>
            </w:r>
            <w:r w:rsidR="006E13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io</w:t>
            </w:r>
            <w:proofErr w:type="spellEnd"/>
            <w:r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= 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FF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  <w:sz w:val="32"/>
                      <w:szCs w:val="32"/>
                    </w:rPr>
                    <m:t>CIO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  <w:sz w:val="32"/>
                      <w:szCs w:val="32"/>
                    </w:rPr>
                    <m:t>CRM</m:t>
                  </m:r>
                </m:den>
              </m:f>
            </m:oMath>
            <w:r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;</w:t>
            </w:r>
          </w:p>
        </w:tc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11BB" w14:textId="77777777" w:rsidR="00F43BB8" w:rsidRPr="007C5F0F" w:rsidRDefault="00F43BB8" w:rsidP="00A806DB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(7)</w:t>
            </w:r>
          </w:p>
        </w:tc>
      </w:tr>
    </w:tbl>
    <w:p w14:paraId="177FBB9A" w14:textId="77777777" w:rsidR="00F43BB8" w:rsidRPr="007C5F0F" w:rsidRDefault="007C5F0F" w:rsidP="00A806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43BB8" w:rsidRPr="007C5F0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r w:rsidRPr="00244C62">
        <w:rPr>
          <w:rFonts w:ascii="Times New Roman" w:hAnsi="Times New Roman" w:cs="Times New Roman"/>
          <w:sz w:val="28"/>
          <w:szCs w:val="28"/>
        </w:rPr>
        <w:t>(C</w:t>
      </w:r>
      <w:r>
        <w:rPr>
          <w:rFonts w:ascii="Times New Roman" w:hAnsi="Times New Roman" w:cs="Times New Roman"/>
          <w:sz w:val="28"/>
          <w:szCs w:val="28"/>
        </w:rPr>
        <w:t>IO</w:t>
      </w:r>
      <w:r w:rsidRPr="00244C62">
        <w:rPr>
          <w:rFonts w:ascii="Times New Roman" w:hAnsi="Times New Roman" w:cs="Times New Roman"/>
          <w:sz w:val="28"/>
          <w:szCs w:val="28"/>
        </w:rPr>
        <w:t xml:space="preserve">U) se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includ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tariful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indicele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indirecte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r w:rsidRPr="00244C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Ic</w:t>
      </w:r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(CRMU) la un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formulei</w:t>
      </w:r>
      <w:proofErr w:type="spellEnd"/>
      <w:r w:rsidR="00F43BB8" w:rsidRPr="007C5F0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6628" w:type="dxa"/>
        <w:tblInd w:w="1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7"/>
        <w:gridCol w:w="751"/>
      </w:tblGrid>
      <w:tr w:rsidR="00F43BB8" w:rsidRPr="00981066" w14:paraId="7AAB93F3" w14:textId="77777777" w:rsidTr="002A14E0">
        <w:trPr>
          <w:trHeight w:val="663"/>
        </w:trPr>
        <w:tc>
          <w:tcPr>
            <w:tcW w:w="5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B8F9" w14:textId="77777777" w:rsidR="00F43BB8" w:rsidRPr="007C5F0F" w:rsidRDefault="00F43BB8" w:rsidP="00A806D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CI</w:t>
            </w:r>
            <w:r w:rsidR="006E13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  <w:r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 = </w:t>
            </w:r>
            <w:proofErr w:type="spellStart"/>
            <w:r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Ici</w:t>
            </w:r>
            <w:r w:rsidR="00464F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  <w:proofErr w:type="spellEnd"/>
            <w:r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="002A14E0"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</w:t>
            </w:r>
            <w:r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CRMU.</w:t>
            </w: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DA83" w14:textId="77777777" w:rsidR="00F43BB8" w:rsidRPr="007C5F0F" w:rsidRDefault="00F43BB8" w:rsidP="00A806D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(8)</w:t>
            </w:r>
          </w:p>
        </w:tc>
      </w:tr>
    </w:tbl>
    <w:p w14:paraId="2357D29B" w14:textId="77777777" w:rsidR="00F43BB8" w:rsidRPr="00A701B2" w:rsidRDefault="00F43BB8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A701B2">
        <w:rPr>
          <w:rFonts w:ascii="Times New Roman" w:hAnsi="Times New Roman" w:cs="Times New Roman"/>
          <w:sz w:val="28"/>
          <w:szCs w:val="28"/>
        </w:rPr>
        <w:t>2</w:t>
      </w:r>
      <w:r w:rsidR="002E0D83">
        <w:rPr>
          <w:rFonts w:ascii="Times New Roman" w:hAnsi="Times New Roman" w:cs="Times New Roman"/>
          <w:sz w:val="28"/>
          <w:szCs w:val="28"/>
        </w:rPr>
        <w:t>5</w:t>
      </w:r>
      <w:r w:rsidRPr="00A701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r w:rsidR="00A701B2" w:rsidRPr="00244C62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B94B6D">
        <w:rPr>
          <w:rFonts w:ascii="Times New Roman" w:hAnsi="Times New Roman" w:cs="Times New Roman"/>
          <w:sz w:val="28"/>
          <w:szCs w:val="28"/>
        </w:rPr>
        <w:t xml:space="preserve"> </w:t>
      </w:r>
      <w:r w:rsidR="00A701B2" w:rsidRPr="00244C62">
        <w:rPr>
          <w:rFonts w:ascii="Times New Roman" w:hAnsi="Times New Roman" w:cs="Times New Roman"/>
          <w:sz w:val="28"/>
          <w:szCs w:val="28"/>
        </w:rPr>
        <w:t xml:space="preserve">nu pot fi determinate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="00A701B2" w:rsidRPr="00244C62">
        <w:rPr>
          <w:rFonts w:ascii="Times New Roman" w:hAnsi="Times New Roman" w:cs="Times New Roman"/>
          <w:sz w:val="28"/>
          <w:szCs w:val="28"/>
        </w:rPr>
        <w:t xml:space="preserve"> tip de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="00A701B2" w:rsidRPr="00244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deoarece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costuri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sînt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comune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A701B2" w:rsidRPr="00244C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metodologie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prevede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 w:rsidR="00A701B2" w:rsidRPr="00244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calcul</w:t>
      </w:r>
      <w:proofErr w:type="spellEnd"/>
      <w:r w:rsidRPr="00A701B2">
        <w:rPr>
          <w:rFonts w:ascii="Times New Roman" w:hAnsi="Times New Roman" w:cs="Times New Roman"/>
          <w:sz w:val="28"/>
          <w:szCs w:val="28"/>
        </w:rPr>
        <w:t>:</w:t>
      </w:r>
    </w:p>
    <w:p w14:paraId="7B374B90" w14:textId="77777777" w:rsidR="00F43BB8" w:rsidRPr="00A701B2" w:rsidRDefault="00A701B2" w:rsidP="00CF723B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A701B2">
        <w:rPr>
          <w:rFonts w:ascii="Times New Roman" w:hAnsi="Times New Roman" w:cs="Times New Roman"/>
          <w:sz w:val="28"/>
          <w:szCs w:val="28"/>
        </w:rPr>
        <w:t>1</w:t>
      </w:r>
      <w:r w:rsidR="00F43BB8" w:rsidRPr="00A701B2">
        <w:rPr>
          <w:rFonts w:ascii="Times New Roman" w:hAnsi="Times New Roman" w:cs="Times New Roman"/>
          <w:sz w:val="28"/>
          <w:szCs w:val="28"/>
        </w:rPr>
        <w:t xml:space="preserve">) </w:t>
      </w:r>
      <w:r w:rsidRPr="00A701B2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determină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A701B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 pe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r w:rsidRPr="00A701B2">
        <w:rPr>
          <w:rFonts w:ascii="Times New Roman" w:hAnsi="Times New Roman" w:cs="Times New Roman"/>
          <w:sz w:val="28"/>
          <w:szCs w:val="28"/>
        </w:rPr>
        <w:t>precedent</w:t>
      </w:r>
      <w:r w:rsidR="00F43BB8" w:rsidRPr="00A701B2">
        <w:rPr>
          <w:rFonts w:ascii="Times New Roman" w:hAnsi="Times New Roman" w:cs="Times New Roman"/>
          <w:sz w:val="28"/>
          <w:szCs w:val="28"/>
        </w:rPr>
        <w:t>;</w:t>
      </w:r>
    </w:p>
    <w:p w14:paraId="135AC98D" w14:textId="77777777" w:rsidR="00F43BB8" w:rsidRPr="00981066" w:rsidRDefault="00A701B2" w:rsidP="00CF723B">
      <w:pPr>
        <w:spacing w:before="0"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A701B2">
        <w:rPr>
          <w:rFonts w:ascii="Times New Roman" w:hAnsi="Times New Roman" w:cs="Times New Roman"/>
          <w:sz w:val="28"/>
          <w:szCs w:val="28"/>
        </w:rPr>
        <w:t>2</w:t>
      </w:r>
      <w:r w:rsidR="00F43BB8" w:rsidRPr="00A701B2">
        <w:rPr>
          <w:rFonts w:ascii="Times New Roman" w:hAnsi="Times New Roman" w:cs="Times New Roman"/>
          <w:sz w:val="28"/>
          <w:szCs w:val="28"/>
        </w:rPr>
        <w:t xml:space="preserve">) </w:t>
      </w:r>
      <w:r w:rsidRPr="00A701B2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calculează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indicele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A701B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1B2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r w:rsidRPr="00244C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Icm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) ca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r w:rsidRPr="00244C62">
        <w:rPr>
          <w:rFonts w:ascii="Times New Roman" w:hAnsi="Times New Roman" w:cs="Times New Roman"/>
          <w:sz w:val="28"/>
          <w:szCs w:val="28"/>
        </w:rPr>
        <w:t xml:space="preserve">determinate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alineatului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44C62">
        <w:rPr>
          <w:rFonts w:ascii="Times New Roman" w:hAnsi="Times New Roman" w:cs="Times New Roman"/>
          <w:sz w:val="28"/>
          <w:szCs w:val="28"/>
        </w:rPr>
        <w:t>) a</w:t>
      </w:r>
      <w:r>
        <w:rPr>
          <w:rFonts w:ascii="Times New Roman" w:hAnsi="Times New Roman" w:cs="Times New Roman"/>
          <w:sz w:val="28"/>
          <w:szCs w:val="28"/>
        </w:rPr>
        <w:t>l</w:t>
      </w:r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C62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244C62">
        <w:rPr>
          <w:rFonts w:ascii="Times New Roman" w:hAnsi="Times New Roman" w:cs="Times New Roman"/>
          <w:sz w:val="28"/>
          <w:szCs w:val="28"/>
        </w:rPr>
        <w:t xml:space="preserve"> precedent</w:t>
      </w:r>
      <w:r w:rsidR="00E70B7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4"/>
        <w:gridCol w:w="787"/>
      </w:tblGrid>
      <w:tr w:rsidR="00F43BB8" w:rsidRPr="00981066" w14:paraId="57E5A5FE" w14:textId="77777777" w:rsidTr="002A14E0">
        <w:trPr>
          <w:trHeight w:val="485"/>
        </w:trPr>
        <w:tc>
          <w:tcPr>
            <w:tcW w:w="6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F1FA" w14:textId="7B061D69" w:rsidR="00F43BB8" w:rsidRPr="00A701B2" w:rsidRDefault="00F43BB8" w:rsidP="00A806D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A701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Icm</w:t>
            </w:r>
            <w:proofErr w:type="spellEnd"/>
            <w:r w:rsidRPr="00A701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= 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FF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  <w:sz w:val="32"/>
                      <w:szCs w:val="32"/>
                    </w:rPr>
                    <m:t>CM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FF0000"/>
                      <w:sz w:val="32"/>
                      <w:szCs w:val="32"/>
                    </w:rPr>
                    <m:t>CT</m:t>
                  </m:r>
                </m:den>
              </m:f>
            </m:oMath>
            <w:r w:rsidRPr="00A701B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;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CFCD" w14:textId="77777777" w:rsidR="00F43BB8" w:rsidRPr="00A701B2" w:rsidRDefault="00F43BB8" w:rsidP="00A806D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1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(9)</w:t>
            </w:r>
          </w:p>
        </w:tc>
      </w:tr>
    </w:tbl>
    <w:p w14:paraId="201DD5CB" w14:textId="77777777" w:rsidR="00A701B2" w:rsidRPr="00244C62" w:rsidRDefault="00A658EC" w:rsidP="00D30C9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3BB8" w:rsidRPr="00E70B7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70B75">
        <w:rPr>
          <w:rFonts w:ascii="Times New Roman" w:hAnsi="Times New Roman" w:cs="Times New Roman"/>
          <w:sz w:val="28"/>
          <w:szCs w:val="28"/>
        </w:rPr>
        <w:t>c</w:t>
      </w:r>
      <w:r w:rsidR="00A701B2" w:rsidRPr="00E70B75">
        <w:rPr>
          <w:rFonts w:ascii="Times New Roman" w:hAnsi="Times New Roman" w:cs="Times New Roman"/>
          <w:sz w:val="28"/>
          <w:szCs w:val="28"/>
        </w:rPr>
        <w:t>osturile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B75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E70B75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E70B75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r w:rsidR="00A701B2" w:rsidRPr="00244C62">
        <w:rPr>
          <w:rFonts w:ascii="Times New Roman" w:hAnsi="Times New Roman" w:cs="Times New Roman"/>
          <w:sz w:val="28"/>
          <w:szCs w:val="28"/>
        </w:rPr>
        <w:t xml:space="preserve">(CMU),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incluse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A701B2" w:rsidRPr="00244C62">
        <w:rPr>
          <w:rFonts w:ascii="Times New Roman" w:hAnsi="Times New Roman" w:cs="Times New Roman"/>
          <w:sz w:val="28"/>
          <w:szCs w:val="28"/>
        </w:rPr>
        <w:t xml:space="preserve"> (Ct)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serviciu</w:t>
      </w:r>
      <w:r w:rsidR="00E70B75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="00A701B2" w:rsidRPr="00244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indicele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B75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r w:rsidR="00A701B2" w:rsidRPr="00244C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Icm</w:t>
      </w:r>
      <w:proofErr w:type="spellEnd"/>
      <w:r w:rsidR="00A701B2" w:rsidRPr="00244C62">
        <w:rPr>
          <w:rFonts w:ascii="Times New Roman" w:hAnsi="Times New Roman" w:cs="Times New Roman"/>
          <w:sz w:val="28"/>
          <w:szCs w:val="28"/>
        </w:rPr>
        <w:t xml:space="preserve">), se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calculează</w:t>
      </w:r>
      <w:proofErr w:type="spellEnd"/>
      <w:r w:rsidR="00A701B2" w:rsidRPr="00244C62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A701B2" w:rsidRPr="00244C62">
        <w:rPr>
          <w:rFonts w:ascii="Times New Roman" w:hAnsi="Times New Roman" w:cs="Times New Roman"/>
          <w:sz w:val="28"/>
          <w:szCs w:val="28"/>
        </w:rPr>
        <w:t>formulei</w:t>
      </w:r>
      <w:proofErr w:type="spellEnd"/>
      <w:r w:rsidR="00A701B2" w:rsidRPr="00244C6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6843" w:type="dxa"/>
        <w:tblInd w:w="1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777"/>
      </w:tblGrid>
      <w:tr w:rsidR="00F43BB8" w:rsidRPr="00981066" w14:paraId="54ADECC5" w14:textId="77777777" w:rsidTr="002A14E0">
        <w:trPr>
          <w:trHeight w:val="765"/>
        </w:trPr>
        <w:tc>
          <w:tcPr>
            <w:tcW w:w="6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FA264" w14:textId="77777777" w:rsidR="00F43BB8" w:rsidRPr="000D41EC" w:rsidRDefault="00F43BB8" w:rsidP="00A806D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41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CMU = </w:t>
            </w:r>
            <w:proofErr w:type="spellStart"/>
            <w:r w:rsidRPr="000D41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Icm</w:t>
            </w:r>
            <w:proofErr w:type="spellEnd"/>
            <w:r w:rsidRPr="000D41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="002A14E0" w:rsidRPr="000D41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</w:t>
            </w:r>
            <w:r w:rsidRPr="000D41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Ct.</w:t>
            </w:r>
          </w:p>
        </w:tc>
        <w:tc>
          <w:tcPr>
            <w:tcW w:w="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A169" w14:textId="77777777" w:rsidR="00F43BB8" w:rsidRPr="000D41EC" w:rsidRDefault="00F43BB8" w:rsidP="00A806DB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41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(10)</w:t>
            </w:r>
          </w:p>
        </w:tc>
      </w:tr>
    </w:tbl>
    <w:p w14:paraId="2F61212D" w14:textId="288879C6" w:rsidR="000D41EC" w:rsidRPr="002164CC" w:rsidRDefault="002E0D83" w:rsidP="00D30C91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164CC">
        <w:rPr>
          <w:rFonts w:ascii="Times New Roman" w:hAnsi="Times New Roman" w:cs="Times New Roman"/>
          <w:sz w:val="28"/>
          <w:szCs w:val="28"/>
        </w:rPr>
        <w:t>26</w:t>
      </w:r>
      <w:r w:rsidR="000D41EC" w:rsidRPr="00216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tarife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includ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amenzile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penalităţile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acoperirea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lipsurilor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pierderilor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despăgubirile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clauzelor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contractual</w:t>
      </w:r>
      <w:r w:rsidR="00A658EC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scopuri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caritate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41EC" w:rsidRPr="002164CC">
        <w:rPr>
          <w:rFonts w:ascii="Times New Roman" w:hAnsi="Times New Roman" w:cs="Times New Roman"/>
          <w:sz w:val="28"/>
          <w:szCs w:val="28"/>
        </w:rPr>
        <w:t>sponsorizare</w:t>
      </w:r>
      <w:proofErr w:type="spellEnd"/>
      <w:r w:rsidR="000D41EC" w:rsidRPr="002164CC">
        <w:rPr>
          <w:rFonts w:ascii="Times New Roman" w:hAnsi="Times New Roman" w:cs="Times New Roman"/>
          <w:sz w:val="28"/>
          <w:szCs w:val="28"/>
        </w:rPr>
        <w:t>.</w:t>
      </w:r>
    </w:p>
    <w:p w14:paraId="3C428C7F" w14:textId="77777777" w:rsidR="00D30C91" w:rsidRPr="00662AC7" w:rsidRDefault="00D30C91" w:rsidP="00D30C91">
      <w:pPr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014B31C" w14:textId="77777777" w:rsidR="00F43BB8" w:rsidRPr="004110FC" w:rsidRDefault="00BE158C" w:rsidP="002E0D83">
      <w:pPr>
        <w:spacing w:after="120" w:line="240" w:lineRule="auto"/>
        <w:ind w:firstLine="708"/>
        <w:rPr>
          <w:rFonts w:ascii="Times New Roman" w:hAnsi="Times New Roman" w:cs="Times New Roman"/>
          <w:b/>
          <w:caps/>
          <w:sz w:val="28"/>
          <w:szCs w:val="28"/>
        </w:rPr>
      </w:pPr>
      <w:r w:rsidRPr="00981066">
        <w:rPr>
          <w:rFonts w:ascii="Times New Roman" w:hAnsi="Times New Roman" w:cs="Times New Roman"/>
          <w:b/>
          <w:sz w:val="28"/>
          <w:szCs w:val="28"/>
        </w:rPr>
        <w:t>V</w:t>
      </w:r>
      <w:r w:rsidR="00F43BB8" w:rsidRPr="009810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3BB8" w:rsidRPr="004110FC">
        <w:rPr>
          <w:rFonts w:ascii="Times New Roman" w:hAnsi="Times New Roman" w:cs="Times New Roman"/>
          <w:b/>
          <w:caps/>
          <w:sz w:val="28"/>
          <w:szCs w:val="28"/>
        </w:rPr>
        <w:t>Cuantumul defalcărilor în Fondul de garanţie</w:t>
      </w:r>
    </w:p>
    <w:p w14:paraId="40034E04" w14:textId="16B4699B" w:rsidR="00F43BB8" w:rsidRDefault="00F43BB8" w:rsidP="00407747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2</w:t>
      </w:r>
      <w:r w:rsidR="002E0D83">
        <w:rPr>
          <w:rFonts w:ascii="Times New Roman" w:hAnsi="Times New Roman" w:cs="Times New Roman"/>
          <w:sz w:val="28"/>
          <w:szCs w:val="28"/>
        </w:rPr>
        <w:t>7</w:t>
      </w:r>
      <w:r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Cuantumul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defalcărilor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Fondul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garanţie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C" w:rsidRPr="0098106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BE15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C" w:rsidRPr="00981066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="00BE158C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E158C" w:rsidRPr="00981066">
        <w:rPr>
          <w:rFonts w:ascii="Times New Roman" w:hAnsi="Times New Roman" w:cs="Times New Roman"/>
          <w:sz w:val="28"/>
          <w:szCs w:val="28"/>
        </w:rPr>
        <w:t>Guvern</w:t>
      </w:r>
      <w:proofErr w:type="spellEnd"/>
      <w:r w:rsidR="00BE158C" w:rsidRPr="00981066">
        <w:rPr>
          <w:rFonts w:ascii="Times New Roman" w:hAnsi="Times New Roman" w:cs="Times New Roman"/>
          <w:sz w:val="28"/>
          <w:szCs w:val="28"/>
        </w:rPr>
        <w:t>.</w:t>
      </w:r>
      <w:r w:rsidR="00BF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8C" w:rsidRPr="00981066">
        <w:rPr>
          <w:rFonts w:ascii="Times New Roman" w:hAnsi="Times New Roman" w:cs="Times New Roman"/>
          <w:sz w:val="28"/>
          <w:szCs w:val="28"/>
        </w:rPr>
        <w:t>Defalcările</w:t>
      </w:r>
      <w:proofErr w:type="spellEnd"/>
      <w:r w:rsidR="00BE158C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BE158C" w:rsidRPr="00981066"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 w:rsidR="00BE158C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Pr="00981066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tariful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patrimoniale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curente</w:t>
      </w:r>
      <w:proofErr w:type="spellEnd"/>
      <w:r w:rsidR="00BE158C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garanţie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reparaţiei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eventual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prejudiciu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cauzat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titularilor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Pr="00981066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5D041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1A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.</w:t>
      </w:r>
    </w:p>
    <w:p w14:paraId="59D4D415" w14:textId="77777777" w:rsidR="009D0DDE" w:rsidRPr="009D0DDE" w:rsidRDefault="009D0DDE" w:rsidP="00407747">
      <w:pPr>
        <w:spacing w:before="0"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4D9014B" w14:textId="77777777" w:rsidR="002E0D83" w:rsidRPr="007B3AA0" w:rsidRDefault="002E0D83" w:rsidP="002E0D83">
      <w:pPr>
        <w:pStyle w:val="1"/>
        <w:tabs>
          <w:tab w:val="left" w:pos="567"/>
          <w:tab w:val="left" w:pos="993"/>
          <w:tab w:val="left" w:pos="2127"/>
          <w:tab w:val="left" w:pos="3330"/>
        </w:tabs>
        <w:spacing w:before="0" w:beforeAutospacing="0" w:after="0" w:afterAutospacing="0"/>
        <w:ind w:firstLine="567"/>
        <w:rPr>
          <w:sz w:val="12"/>
          <w:szCs w:val="12"/>
          <w:lang w:val="en-US"/>
        </w:rPr>
      </w:pPr>
    </w:p>
    <w:p w14:paraId="24138805" w14:textId="77777777" w:rsidR="009A2334" w:rsidRPr="007B3AA0" w:rsidRDefault="009A2334" w:rsidP="00662AC7">
      <w:pPr>
        <w:pStyle w:val="1"/>
        <w:tabs>
          <w:tab w:val="left" w:pos="567"/>
          <w:tab w:val="left" w:pos="993"/>
          <w:tab w:val="left" w:pos="2127"/>
          <w:tab w:val="left" w:pos="3330"/>
        </w:tabs>
        <w:spacing w:before="0" w:beforeAutospacing="0"/>
        <w:ind w:firstLine="567"/>
        <w:jc w:val="center"/>
        <w:rPr>
          <w:sz w:val="28"/>
          <w:szCs w:val="28"/>
          <w:lang w:val="en-US"/>
        </w:rPr>
      </w:pPr>
      <w:r w:rsidRPr="007B3AA0">
        <w:rPr>
          <w:sz w:val="28"/>
          <w:szCs w:val="28"/>
          <w:lang w:val="en-US"/>
        </w:rPr>
        <w:t>V</w:t>
      </w:r>
      <w:r w:rsidR="002E0D83" w:rsidRPr="007B3AA0">
        <w:rPr>
          <w:sz w:val="28"/>
          <w:szCs w:val="28"/>
          <w:lang w:val="en-US"/>
        </w:rPr>
        <w:t>I</w:t>
      </w:r>
      <w:r w:rsidRPr="007B3AA0">
        <w:rPr>
          <w:sz w:val="28"/>
          <w:szCs w:val="28"/>
          <w:lang w:val="en-US"/>
        </w:rPr>
        <w:t>. STABILIREA OPȚIUNILOR SERVICIILOR</w:t>
      </w:r>
    </w:p>
    <w:p w14:paraId="1C55DF44" w14:textId="77777777" w:rsidR="009A2334" w:rsidRPr="002E0D83" w:rsidRDefault="002E0D83" w:rsidP="002B4454">
      <w:pPr>
        <w:widowControl w:val="0"/>
        <w:tabs>
          <w:tab w:val="left" w:pos="993"/>
          <w:tab w:val="left" w:pos="2127"/>
        </w:tabs>
        <w:spacing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, pot fi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stabilte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opțiuni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>:</w:t>
      </w:r>
    </w:p>
    <w:p w14:paraId="2562F711" w14:textId="77777777" w:rsidR="009A2334" w:rsidRPr="00981066" w:rsidRDefault="009A2334" w:rsidP="002B4454">
      <w:pPr>
        <w:pStyle w:val="ac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eastAsiaTheme="minorEastAsia"/>
        </w:rPr>
      </w:pPr>
      <w:proofErr w:type="spellStart"/>
      <w:r w:rsidRPr="00981066">
        <w:rPr>
          <w:rFonts w:eastAsiaTheme="minorEastAsia"/>
          <w:i/>
        </w:rPr>
        <w:t>Opțiunea</w:t>
      </w:r>
      <w:proofErr w:type="spellEnd"/>
      <w:r w:rsidRPr="00981066">
        <w:rPr>
          <w:rFonts w:eastAsiaTheme="minorEastAsia"/>
          <w:i/>
        </w:rPr>
        <w:t xml:space="preserve"> de </w:t>
      </w:r>
      <w:proofErr w:type="spellStart"/>
      <w:r w:rsidRPr="00981066">
        <w:rPr>
          <w:rFonts w:eastAsiaTheme="minorEastAsia"/>
          <w:i/>
        </w:rPr>
        <w:t>bază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presupune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prestarea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serviciului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în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regim</w:t>
      </w:r>
      <w:proofErr w:type="spellEnd"/>
      <w:r w:rsidRPr="00981066">
        <w:rPr>
          <w:rFonts w:eastAsiaTheme="minorEastAsia"/>
        </w:rPr>
        <w:t xml:space="preserve"> normal de </w:t>
      </w:r>
      <w:proofErr w:type="spellStart"/>
      <w:r w:rsidRPr="00981066">
        <w:rPr>
          <w:rFonts w:eastAsiaTheme="minorEastAsia"/>
        </w:rPr>
        <w:t>lucru</w:t>
      </w:r>
      <w:proofErr w:type="spellEnd"/>
      <w:r w:rsidRPr="00981066">
        <w:rPr>
          <w:rFonts w:eastAsiaTheme="minorEastAsia"/>
        </w:rPr>
        <w:t xml:space="preserve">, </w:t>
      </w:r>
      <w:proofErr w:type="spellStart"/>
      <w:r w:rsidRPr="00981066">
        <w:rPr>
          <w:rFonts w:eastAsiaTheme="minorEastAsia"/>
        </w:rPr>
        <w:t>în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conformitate</w:t>
      </w:r>
      <w:proofErr w:type="spellEnd"/>
      <w:r w:rsidRPr="00981066">
        <w:rPr>
          <w:rFonts w:eastAsiaTheme="minorEastAsia"/>
        </w:rPr>
        <w:t xml:space="preserve"> cu </w:t>
      </w:r>
      <w:proofErr w:type="spellStart"/>
      <w:r w:rsidRPr="00981066">
        <w:rPr>
          <w:rFonts w:eastAsiaTheme="minorEastAsia"/>
        </w:rPr>
        <w:t>procesele</w:t>
      </w:r>
      <w:proofErr w:type="spellEnd"/>
      <w:r w:rsidRPr="00981066">
        <w:rPr>
          <w:rFonts w:eastAsiaTheme="minorEastAsia"/>
        </w:rPr>
        <w:t xml:space="preserve"> de </w:t>
      </w:r>
      <w:proofErr w:type="spellStart"/>
      <w:r w:rsidRPr="00981066">
        <w:rPr>
          <w:rFonts w:eastAsiaTheme="minorEastAsia"/>
        </w:rPr>
        <w:t>lucru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obișnuite</w:t>
      </w:r>
      <w:proofErr w:type="spellEnd"/>
      <w:r w:rsidRPr="00981066">
        <w:rPr>
          <w:rFonts w:eastAsiaTheme="minorEastAsia"/>
        </w:rPr>
        <w:t xml:space="preserve">, la un </w:t>
      </w:r>
      <w:proofErr w:type="spellStart"/>
      <w:r w:rsidRPr="00981066">
        <w:rPr>
          <w:rFonts w:eastAsiaTheme="minorEastAsia"/>
        </w:rPr>
        <w:t>tarif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echivalent</w:t>
      </w:r>
      <w:proofErr w:type="spellEnd"/>
      <w:r w:rsidRPr="00981066">
        <w:rPr>
          <w:rFonts w:eastAsiaTheme="minorEastAsia"/>
        </w:rPr>
        <w:t xml:space="preserve"> cu cel </w:t>
      </w:r>
      <w:proofErr w:type="spellStart"/>
      <w:r w:rsidRPr="00981066">
        <w:rPr>
          <w:rFonts w:eastAsiaTheme="minorEastAsia"/>
        </w:rPr>
        <w:t>obținut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prin</w:t>
      </w:r>
      <w:proofErr w:type="spellEnd"/>
      <w:r w:rsidRPr="00981066">
        <w:rPr>
          <w:rFonts w:eastAsiaTheme="minorEastAsia"/>
        </w:rPr>
        <w:t xml:space="preserve"> formula (1).</w:t>
      </w:r>
    </w:p>
    <w:p w14:paraId="60AD05F7" w14:textId="77777777" w:rsidR="009A2334" w:rsidRPr="00981066" w:rsidRDefault="009A2334" w:rsidP="002B4454">
      <w:pPr>
        <w:pStyle w:val="ac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eastAsiaTheme="minorEastAsia"/>
          <w:i/>
        </w:rPr>
      </w:pPr>
      <w:proofErr w:type="spellStart"/>
      <w:r w:rsidRPr="00981066">
        <w:rPr>
          <w:rFonts w:eastAsiaTheme="minorEastAsia"/>
          <w:i/>
        </w:rPr>
        <w:t>Opțiunea</w:t>
      </w:r>
      <w:proofErr w:type="spellEnd"/>
      <w:r w:rsidRPr="00981066">
        <w:rPr>
          <w:rFonts w:eastAsiaTheme="minorEastAsia"/>
          <w:i/>
        </w:rPr>
        <w:t xml:space="preserve"> de </w:t>
      </w:r>
      <w:proofErr w:type="spellStart"/>
      <w:r w:rsidRPr="00981066">
        <w:rPr>
          <w:rFonts w:eastAsiaTheme="minorEastAsia"/>
          <w:i/>
        </w:rPr>
        <w:t>urgență</w:t>
      </w:r>
      <w:proofErr w:type="spellEnd"/>
      <w:r w:rsidRPr="00981066">
        <w:rPr>
          <w:rFonts w:eastAsiaTheme="minorEastAsia"/>
          <w:i/>
        </w:rPr>
        <w:t xml:space="preserve"> </w:t>
      </w:r>
      <w:proofErr w:type="spellStart"/>
      <w:r w:rsidRPr="00981066">
        <w:rPr>
          <w:rFonts w:eastAsiaTheme="minorEastAsia"/>
        </w:rPr>
        <w:t>presupune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prestarea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serviciului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în</w:t>
      </w:r>
      <w:proofErr w:type="spellEnd"/>
      <w:r w:rsidRPr="00981066">
        <w:rPr>
          <w:rFonts w:eastAsiaTheme="minorEastAsia"/>
        </w:rPr>
        <w:t xml:space="preserve"> termen </w:t>
      </w:r>
      <w:proofErr w:type="spellStart"/>
      <w:r w:rsidRPr="00981066">
        <w:rPr>
          <w:rFonts w:eastAsiaTheme="minorEastAsia"/>
        </w:rPr>
        <w:t>restrâns</w:t>
      </w:r>
      <w:proofErr w:type="spellEnd"/>
      <w:r w:rsidRPr="00981066">
        <w:rPr>
          <w:rFonts w:eastAsiaTheme="minorEastAsia"/>
        </w:rPr>
        <w:t xml:space="preserve">, </w:t>
      </w:r>
      <w:proofErr w:type="spellStart"/>
      <w:r w:rsidRPr="00981066">
        <w:rPr>
          <w:rFonts w:eastAsiaTheme="minorEastAsia"/>
        </w:rPr>
        <w:lastRenderedPageBreak/>
        <w:t>prin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mobilizarea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efortului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prestatorului</w:t>
      </w:r>
      <w:proofErr w:type="spellEnd"/>
      <w:r w:rsidRPr="00981066">
        <w:rPr>
          <w:rFonts w:eastAsiaTheme="minorEastAsia"/>
        </w:rPr>
        <w:t xml:space="preserve">, </w:t>
      </w:r>
      <w:proofErr w:type="spellStart"/>
      <w:r w:rsidRPr="00981066">
        <w:rPr>
          <w:rFonts w:eastAsiaTheme="minorEastAsia"/>
        </w:rPr>
        <w:t>şi</w:t>
      </w:r>
      <w:proofErr w:type="spellEnd"/>
      <w:r w:rsidRPr="00981066">
        <w:rPr>
          <w:rFonts w:eastAsiaTheme="minorEastAsia"/>
        </w:rPr>
        <w:t xml:space="preserve"> </w:t>
      </w:r>
      <w:r w:rsidR="00636D7B" w:rsidRPr="00981066">
        <w:rPr>
          <w:rFonts w:eastAsiaTheme="minorEastAsia"/>
        </w:rPr>
        <w:t>are</w:t>
      </w:r>
      <w:r w:rsidRPr="00981066">
        <w:rPr>
          <w:rFonts w:eastAsiaTheme="minorEastAsia"/>
        </w:rPr>
        <w:t xml:space="preserve"> un </w:t>
      </w:r>
      <w:proofErr w:type="spellStart"/>
      <w:r w:rsidRPr="00981066">
        <w:rPr>
          <w:rFonts w:eastAsiaTheme="minorEastAsia"/>
        </w:rPr>
        <w:t>tarif</w:t>
      </w:r>
      <w:proofErr w:type="spellEnd"/>
      <w:r w:rsidRPr="00981066">
        <w:rPr>
          <w:rFonts w:eastAsiaTheme="minorEastAsia"/>
        </w:rPr>
        <w:t xml:space="preserve"> </w:t>
      </w:r>
      <w:proofErr w:type="spellStart"/>
      <w:r w:rsidRPr="00981066">
        <w:rPr>
          <w:rFonts w:eastAsiaTheme="minorEastAsia"/>
        </w:rPr>
        <w:t>majorat</w:t>
      </w:r>
      <w:proofErr w:type="spellEnd"/>
      <w:r w:rsidRPr="00981066">
        <w:rPr>
          <w:rFonts w:eastAsiaTheme="minorEastAsia"/>
        </w:rPr>
        <w:t>.</w:t>
      </w:r>
    </w:p>
    <w:p w14:paraId="68CAB6CF" w14:textId="77777777" w:rsidR="009A2334" w:rsidRPr="002E0D83" w:rsidRDefault="002E0D83" w:rsidP="006458E6">
      <w:pPr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Tariful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opțiunii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calculează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înmulțirea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tarifului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calculat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formulei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(1) din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metodologie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coeficientul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majorare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Coeficienții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majorare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="00636D7B" w:rsidRPr="002E0D83">
        <w:rPr>
          <w:rFonts w:ascii="Times New Roman" w:hAnsi="Times New Roman" w:cs="Times New Roman"/>
          <w:sz w:val="28"/>
          <w:szCs w:val="28"/>
        </w:rPr>
        <w:t>,</w:t>
      </w:r>
      <w:r w:rsidR="009A2334" w:rsidRPr="002E0D8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opțiunii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, sunt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prezenta</w:t>
      </w:r>
      <w:r w:rsidR="00636D7B" w:rsidRPr="002E0D83">
        <w:rPr>
          <w:rFonts w:ascii="Times New Roman" w:hAnsi="Times New Roman" w:cs="Times New Roman"/>
          <w:sz w:val="28"/>
          <w:szCs w:val="28"/>
        </w:rPr>
        <w:t>ți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27B" w:rsidRPr="002E0D83">
        <w:rPr>
          <w:rFonts w:ascii="Times New Roman" w:hAnsi="Times New Roman" w:cs="Times New Roman"/>
          <w:sz w:val="28"/>
          <w:szCs w:val="28"/>
        </w:rPr>
        <w:t>a</w:t>
      </w:r>
      <w:r w:rsidR="009A2334" w:rsidRPr="002E0D83">
        <w:rPr>
          <w:rFonts w:ascii="Times New Roman" w:hAnsi="Times New Roman" w:cs="Times New Roman"/>
          <w:sz w:val="28"/>
          <w:szCs w:val="28"/>
        </w:rPr>
        <w:t>nexa</w:t>
      </w:r>
      <w:proofErr w:type="spellEnd"/>
      <w:r w:rsidR="009A2334" w:rsidRPr="002E0D83">
        <w:rPr>
          <w:rFonts w:ascii="Times New Roman" w:hAnsi="Times New Roman" w:cs="Times New Roman"/>
          <w:sz w:val="28"/>
          <w:szCs w:val="28"/>
        </w:rPr>
        <w:t xml:space="preserve"> nr. </w:t>
      </w:r>
      <w:r w:rsidR="00D469C6">
        <w:rPr>
          <w:rFonts w:ascii="Times New Roman" w:hAnsi="Times New Roman" w:cs="Times New Roman"/>
          <w:sz w:val="28"/>
          <w:szCs w:val="28"/>
        </w:rPr>
        <w:t>5</w:t>
      </w:r>
      <w:r w:rsidR="009A2334" w:rsidRPr="002E0D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D41A7C" w14:textId="77777777" w:rsidR="009A2334" w:rsidRPr="00981066" w:rsidRDefault="002E0D83" w:rsidP="002B4454">
      <w:pPr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Adăugător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opțiunile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indicate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pct. </w:t>
      </w:r>
      <w:r w:rsidR="00CA41EE">
        <w:rPr>
          <w:rFonts w:ascii="Times New Roman" w:hAnsi="Times New Roman" w:cs="Times New Roman"/>
          <w:sz w:val="28"/>
          <w:szCs w:val="28"/>
        </w:rPr>
        <w:t>28</w:t>
      </w:r>
      <w:r w:rsidR="009A2334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opțiunea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prevede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regim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normal de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deservire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3E95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13E95" w:rsidRPr="00981066">
        <w:rPr>
          <w:rFonts w:ascii="Times New Roman" w:hAnsi="Times New Roman" w:cs="Times New Roman"/>
          <w:sz w:val="28"/>
          <w:szCs w:val="28"/>
        </w:rPr>
        <w:t xml:space="preserve"> termen maximal </w:t>
      </w:r>
      <w:proofErr w:type="spellStart"/>
      <w:r w:rsidR="00013E95" w:rsidRPr="00981066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="00013E9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E95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13E9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E95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013E9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E95" w:rsidRPr="0098106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013E95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combinat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cu un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tarif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redus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de cel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calculat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formulei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(1)</w:t>
      </w:r>
      <w:r w:rsidR="00A50D21" w:rsidRPr="00981066">
        <w:rPr>
          <w:rFonts w:ascii="Times New Roman" w:hAnsi="Times New Roman" w:cs="Times New Roman"/>
          <w:sz w:val="28"/>
          <w:szCs w:val="28"/>
        </w:rPr>
        <w:t>,</w:t>
      </w:r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2334" w:rsidRPr="002E0D83"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suportate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="001129A5" w:rsidRPr="00981066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tarif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redus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="009A2334" w:rsidRPr="00981066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acoperite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contul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veniturilor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1129A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A5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obținute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="009A233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334" w:rsidRPr="00981066">
        <w:rPr>
          <w:rFonts w:ascii="Times New Roman" w:hAnsi="Times New Roman" w:cs="Times New Roman"/>
          <w:sz w:val="28"/>
          <w:szCs w:val="28"/>
        </w:rPr>
        <w:t>serviciilor</w:t>
      </w:r>
      <w:r w:rsidR="00F151D6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151D6" w:rsidRPr="0098106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A50D21" w:rsidRPr="00981066">
        <w:rPr>
          <w:rFonts w:ascii="Times New Roman" w:hAnsi="Times New Roman" w:cs="Times New Roman"/>
          <w:sz w:val="28"/>
          <w:szCs w:val="28"/>
        </w:rPr>
        <w:t>contul</w:t>
      </w:r>
      <w:proofErr w:type="spellEnd"/>
      <w:r w:rsidR="00A50D2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D6" w:rsidRPr="00981066">
        <w:rPr>
          <w:rFonts w:ascii="Times New Roman" w:hAnsi="Times New Roman" w:cs="Times New Roman"/>
          <w:sz w:val="28"/>
          <w:szCs w:val="28"/>
        </w:rPr>
        <w:t>mijloacel</w:t>
      </w:r>
      <w:r w:rsidR="00A50D21" w:rsidRPr="00981066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F151D6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D6" w:rsidRPr="00981066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="00F151D6" w:rsidRPr="00981066">
        <w:rPr>
          <w:rFonts w:ascii="Times New Roman" w:hAnsi="Times New Roman" w:cs="Times New Roman"/>
          <w:sz w:val="28"/>
          <w:szCs w:val="28"/>
        </w:rPr>
        <w:t xml:space="preserve"> de stat</w:t>
      </w:r>
      <w:r w:rsidR="00F3155A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3B08E77B" w14:textId="77777777" w:rsidR="00F7627B" w:rsidRPr="009D0DDE" w:rsidRDefault="00FA7A1C" w:rsidP="002B4454">
      <w:pPr>
        <w:pStyle w:val="a3"/>
        <w:tabs>
          <w:tab w:val="left" w:pos="993"/>
          <w:tab w:val="left" w:pos="2127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Categoriile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înlesniri</w:t>
      </w:r>
      <w:proofErr w:type="spellEnd"/>
      <w:r w:rsidR="00F7627B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7627B" w:rsidRPr="00981066">
        <w:rPr>
          <w:rFonts w:ascii="Times New Roman" w:hAnsi="Times New Roman" w:cs="Times New Roman"/>
          <w:sz w:val="28"/>
          <w:szCs w:val="28"/>
        </w:rPr>
        <w:t>regăse</w:t>
      </w:r>
      <w:r w:rsidRPr="00981066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="00F7627B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27B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7627B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27B" w:rsidRPr="009D0DDE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F7627B" w:rsidRPr="009D0DDE">
        <w:rPr>
          <w:rFonts w:ascii="Times New Roman" w:hAnsi="Times New Roman" w:cs="Times New Roman"/>
          <w:sz w:val="28"/>
          <w:szCs w:val="28"/>
        </w:rPr>
        <w:t xml:space="preserve"> nr. </w:t>
      </w:r>
      <w:r w:rsidR="00D469C6" w:rsidRPr="009D0DDE">
        <w:rPr>
          <w:rFonts w:ascii="Times New Roman" w:hAnsi="Times New Roman" w:cs="Times New Roman"/>
          <w:sz w:val="28"/>
          <w:szCs w:val="28"/>
        </w:rPr>
        <w:t>6</w:t>
      </w:r>
      <w:r w:rsidR="00F7627B" w:rsidRPr="009D0DDE">
        <w:rPr>
          <w:rFonts w:ascii="Times New Roman" w:hAnsi="Times New Roman" w:cs="Times New Roman"/>
          <w:sz w:val="28"/>
          <w:szCs w:val="28"/>
        </w:rPr>
        <w:t>.</w:t>
      </w:r>
    </w:p>
    <w:p w14:paraId="5FA52AC1" w14:textId="77777777" w:rsidR="009A2334" w:rsidRPr="00981066" w:rsidRDefault="009A2334" w:rsidP="002B4454">
      <w:pPr>
        <w:pStyle w:val="a3"/>
        <w:tabs>
          <w:tab w:val="left" w:pos="993"/>
          <w:tab w:val="left" w:pos="2127"/>
        </w:tabs>
        <w:spacing w:before="0" w:after="12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atribuirii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competențe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indica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sursa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finanţare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.</w:t>
      </w:r>
    </w:p>
    <w:p w14:paraId="0E5F89E1" w14:textId="77777777" w:rsidR="00F43BB8" w:rsidRPr="00981066" w:rsidRDefault="00A50D21" w:rsidP="004B31B6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066">
        <w:rPr>
          <w:rFonts w:ascii="Times New Roman" w:hAnsi="Times New Roman" w:cs="Times New Roman"/>
          <w:b/>
          <w:sz w:val="28"/>
          <w:szCs w:val="28"/>
        </w:rPr>
        <w:t>VI</w:t>
      </w:r>
      <w:r w:rsidR="002E0D83">
        <w:rPr>
          <w:rFonts w:ascii="Times New Roman" w:hAnsi="Times New Roman" w:cs="Times New Roman"/>
          <w:b/>
          <w:sz w:val="28"/>
          <w:szCs w:val="28"/>
        </w:rPr>
        <w:t>I</w:t>
      </w:r>
      <w:r w:rsidR="00F43BB8" w:rsidRPr="009810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81066">
        <w:rPr>
          <w:rFonts w:ascii="Times New Roman" w:hAnsi="Times New Roman" w:cs="Times New Roman"/>
          <w:b/>
          <w:caps/>
          <w:sz w:val="28"/>
          <w:szCs w:val="28"/>
        </w:rPr>
        <w:t>M</w:t>
      </w:r>
      <w:r w:rsidR="00F43BB8" w:rsidRPr="00981066">
        <w:rPr>
          <w:rFonts w:ascii="Times New Roman" w:hAnsi="Times New Roman" w:cs="Times New Roman"/>
          <w:b/>
          <w:caps/>
          <w:sz w:val="28"/>
          <w:szCs w:val="28"/>
        </w:rPr>
        <w:t>odul şi sursele de achitare a plăţii pentru servicii</w:t>
      </w:r>
    </w:p>
    <w:p w14:paraId="0239457F" w14:textId="77777777" w:rsidR="00F43BB8" w:rsidRPr="00981066" w:rsidRDefault="002E0D83" w:rsidP="002B44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</w:t>
      </w:r>
      <w:r w:rsidR="0068176E" w:rsidRPr="00981066">
        <w:rPr>
          <w:rFonts w:ascii="Times New Roman" w:hAnsi="Times New Roman" w:cs="Times New Roman"/>
          <w:sz w:val="28"/>
          <w:szCs w:val="28"/>
        </w:rPr>
        <w:t xml:space="preserve">Plata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beneficiari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concomitent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prestare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excepția</w:t>
      </w:r>
      <w:proofErr w:type="spellEnd"/>
      <w:r w:rsidR="0068176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76E" w:rsidRPr="00981066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C824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4C5" w:rsidRPr="00981066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C824C5" w:rsidRPr="00981066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C824C5" w:rsidRPr="00981066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="00C824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4C5" w:rsidRPr="00981066">
        <w:rPr>
          <w:rFonts w:ascii="Times New Roman" w:hAnsi="Times New Roman" w:cs="Times New Roman"/>
          <w:sz w:val="28"/>
          <w:szCs w:val="28"/>
        </w:rPr>
        <w:t>contractuală</w:t>
      </w:r>
      <w:proofErr w:type="spellEnd"/>
      <w:r w:rsidR="00C824C5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4C5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C824C5" w:rsidRPr="0098106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C824C5" w:rsidRPr="00981066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="00C824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4C5" w:rsidRPr="00981066">
        <w:rPr>
          <w:rFonts w:ascii="Times New Roman" w:hAnsi="Times New Roman" w:cs="Times New Roman"/>
          <w:sz w:val="28"/>
          <w:szCs w:val="28"/>
        </w:rPr>
        <w:t>achitării</w:t>
      </w:r>
      <w:proofErr w:type="spellEnd"/>
      <w:r w:rsidR="00C824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4C5"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="00C824C5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C824C5" w:rsidRPr="00981066">
        <w:rPr>
          <w:rFonts w:ascii="Times New Roman" w:hAnsi="Times New Roman" w:cs="Times New Roman"/>
          <w:sz w:val="28"/>
          <w:szCs w:val="28"/>
        </w:rPr>
        <w:t>stabilesc</w:t>
      </w:r>
      <w:proofErr w:type="spellEnd"/>
      <w:r w:rsidR="00C824C5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4C5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824C5" w:rsidRPr="00981066">
        <w:rPr>
          <w:rFonts w:ascii="Times New Roman" w:hAnsi="Times New Roman" w:cs="Times New Roman"/>
          <w:sz w:val="28"/>
          <w:szCs w:val="28"/>
        </w:rPr>
        <w:t xml:space="preserve"> contract</w:t>
      </w:r>
      <w:r w:rsidR="00F43BB8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6A2BDAEC" w14:textId="77777777" w:rsidR="00F43BB8" w:rsidRPr="00981066" w:rsidRDefault="002E0D83" w:rsidP="002B44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824C5" w:rsidRPr="00981066">
        <w:rPr>
          <w:rFonts w:ascii="Times New Roman" w:hAnsi="Times New Roman" w:cs="Times New Roman"/>
          <w:sz w:val="28"/>
          <w:szCs w:val="28"/>
        </w:rPr>
        <w:t>.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 Plata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="00F3155A" w:rsidRPr="00981066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e</w:t>
      </w:r>
      <w:r w:rsidR="00F3155A" w:rsidRPr="00981066">
        <w:rPr>
          <w:rFonts w:ascii="Times New Roman" w:hAnsi="Times New Roman"/>
          <w:bCs/>
          <w:sz w:val="28"/>
          <w:szCs w:val="28"/>
        </w:rPr>
        <w:t>liberare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a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extraselor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din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resursele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informaționale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ale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, </w:t>
      </w:r>
      <w:r w:rsidR="00F3155A" w:rsidRPr="00981066">
        <w:rPr>
          <w:rFonts w:ascii="Times New Roman" w:hAnsi="Times New Roman"/>
          <w:bCs/>
          <w:i/>
          <w:sz w:val="28"/>
          <w:szCs w:val="28"/>
        </w:rPr>
        <w:t xml:space="preserve">pe </w:t>
      </w:r>
      <w:proofErr w:type="spellStart"/>
      <w:r w:rsidR="00F3155A" w:rsidRPr="00981066">
        <w:rPr>
          <w:rFonts w:ascii="Times New Roman" w:hAnsi="Times New Roman"/>
          <w:bCs/>
          <w:i/>
          <w:sz w:val="28"/>
          <w:szCs w:val="28"/>
        </w:rPr>
        <w:t>suport</w:t>
      </w:r>
      <w:proofErr w:type="spellEnd"/>
      <w:r w:rsidR="00F3155A" w:rsidRPr="00981066">
        <w:rPr>
          <w:rFonts w:ascii="Times New Roman" w:hAnsi="Times New Roman"/>
          <w:bCs/>
          <w:i/>
          <w:sz w:val="28"/>
          <w:szCs w:val="28"/>
        </w:rPr>
        <w:t xml:space="preserve"> de </w:t>
      </w:r>
      <w:proofErr w:type="spellStart"/>
      <w:r w:rsidR="00F3155A" w:rsidRPr="00981066">
        <w:rPr>
          <w:rFonts w:ascii="Times New Roman" w:hAnsi="Times New Roman"/>
          <w:bCs/>
          <w:i/>
          <w:sz w:val="28"/>
          <w:szCs w:val="28"/>
        </w:rPr>
        <w:t>hârtie</w:t>
      </w:r>
      <w:proofErr w:type="spellEnd"/>
      <w:r w:rsidR="00F3155A" w:rsidRPr="0098106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i/>
          <w:sz w:val="28"/>
          <w:szCs w:val="28"/>
        </w:rPr>
        <w:t>sau</w:t>
      </w:r>
      <w:proofErr w:type="spellEnd"/>
      <w:r w:rsidR="00F3155A" w:rsidRPr="00981066">
        <w:rPr>
          <w:rFonts w:ascii="Times New Roman" w:hAnsi="Times New Roman"/>
          <w:bCs/>
          <w:i/>
          <w:sz w:val="28"/>
          <w:szCs w:val="28"/>
        </w:rPr>
        <w:t xml:space="preserve"> sub </w:t>
      </w:r>
      <w:proofErr w:type="spellStart"/>
      <w:r w:rsidR="00F3155A" w:rsidRPr="00981066">
        <w:rPr>
          <w:rFonts w:ascii="Times New Roman" w:hAnsi="Times New Roman"/>
          <w:bCs/>
          <w:i/>
          <w:sz w:val="28"/>
          <w:szCs w:val="28"/>
        </w:rPr>
        <w:t>formă</w:t>
      </w:r>
      <w:proofErr w:type="spellEnd"/>
      <w:r w:rsidR="00F3155A" w:rsidRPr="00981066">
        <w:rPr>
          <w:rFonts w:ascii="Times New Roman" w:hAnsi="Times New Roman"/>
          <w:bCs/>
          <w:i/>
          <w:sz w:val="28"/>
          <w:szCs w:val="28"/>
        </w:rPr>
        <w:t xml:space="preserve"> de document electronic</w:t>
      </w:r>
      <w:r w:rsidR="00F3155A" w:rsidRPr="0098106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persoanelor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dizabilitate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severă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accentuată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sau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medie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, precum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pensionarilor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beneficiari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pensii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limită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vârstă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condițiile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Legii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nr.156/1998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privind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sistemul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 public de </w:t>
      </w:r>
      <w:proofErr w:type="spellStart"/>
      <w:r w:rsidR="00F3155A" w:rsidRPr="00981066">
        <w:rPr>
          <w:rFonts w:ascii="Times New Roman" w:hAnsi="Times New Roman"/>
          <w:bCs/>
          <w:sz w:val="28"/>
          <w:szCs w:val="28"/>
        </w:rPr>
        <w:t>pensii</w:t>
      </w:r>
      <w:proofErr w:type="spellEnd"/>
      <w:r w:rsidR="00F3155A" w:rsidRPr="0098106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D0DDE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F43BB8" w:rsidRPr="009D0DDE">
        <w:rPr>
          <w:rFonts w:ascii="Times New Roman" w:hAnsi="Times New Roman" w:cs="Times New Roman"/>
          <w:sz w:val="28"/>
          <w:szCs w:val="28"/>
        </w:rPr>
        <w:t xml:space="preserve"> nr.</w:t>
      </w:r>
      <w:r w:rsidR="00464FF0" w:rsidRPr="009D0DDE">
        <w:rPr>
          <w:rFonts w:ascii="Times New Roman" w:hAnsi="Times New Roman" w:cs="Times New Roman"/>
          <w:sz w:val="28"/>
          <w:szCs w:val="28"/>
        </w:rPr>
        <w:t>6</w:t>
      </w:r>
      <w:r w:rsidR="00F3155A" w:rsidRPr="009D0DDE">
        <w:rPr>
          <w:rFonts w:ascii="Times New Roman" w:hAnsi="Times New Roman" w:cs="Times New Roman"/>
          <w:sz w:val="28"/>
          <w:szCs w:val="28"/>
        </w:rPr>
        <w:t>,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 pct.4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="00F3155A" w:rsidRPr="00981066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contul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de stat,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Geodezie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Cartografie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5A" w:rsidRPr="00981066">
        <w:rPr>
          <w:rFonts w:ascii="Times New Roman" w:hAnsi="Times New Roman" w:cs="Times New Roman"/>
          <w:sz w:val="28"/>
          <w:szCs w:val="28"/>
        </w:rPr>
        <w:t>Cadastru</w:t>
      </w:r>
      <w:proofErr w:type="spellEnd"/>
      <w:r w:rsidR="00F3155A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2F7A7C02" w14:textId="77777777" w:rsidR="00F43BB8" w:rsidRPr="00981066" w:rsidRDefault="002E0D83" w:rsidP="002B44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E669D1" w:rsidRPr="00981066">
        <w:rPr>
          <w:rFonts w:ascii="Times New Roman" w:hAnsi="Times New Roman" w:cs="Times New Roman"/>
          <w:sz w:val="28"/>
          <w:szCs w:val="28"/>
        </w:rPr>
        <w:t>.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 Plata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furnizarea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informaţiei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sistematizate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cadastru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="00E669D1" w:rsidRPr="00981066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comandă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individuală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criterii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>,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baz</w:t>
      </w:r>
      <w:r w:rsidR="00E669D1" w:rsidRPr="00981066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contractual</w:t>
      </w:r>
      <w:r w:rsidR="00E669D1" w:rsidRPr="00981066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mărimea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tarifului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stabilindu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contract.</w:t>
      </w:r>
    </w:p>
    <w:p w14:paraId="08F43544" w14:textId="77777777" w:rsidR="00E669D1" w:rsidRPr="00981066" w:rsidRDefault="002E0D83" w:rsidP="002B44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E69C4">
        <w:rPr>
          <w:rFonts w:ascii="Times New Roman" w:hAnsi="Times New Roman" w:cs="Times New Roman"/>
          <w:sz w:val="28"/>
          <w:szCs w:val="28"/>
        </w:rPr>
        <w:t>34</w:t>
      </w:r>
      <w:r w:rsidR="00E669D1" w:rsidRPr="009E69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31C8" w:rsidRPr="009E69C4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="00E669D1" w:rsidRPr="009E69C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669D1" w:rsidRPr="009E69C4">
        <w:rPr>
          <w:rFonts w:ascii="Times New Roman" w:hAnsi="Times New Roman" w:cs="Times New Roman"/>
          <w:sz w:val="28"/>
          <w:szCs w:val="28"/>
        </w:rPr>
        <w:t>restituire</w:t>
      </w:r>
      <w:proofErr w:type="spellEnd"/>
      <w:r w:rsidR="00E669D1" w:rsidRPr="009E69C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669D1" w:rsidRPr="009E69C4">
        <w:rPr>
          <w:rFonts w:ascii="Times New Roman" w:hAnsi="Times New Roman" w:cs="Times New Roman"/>
          <w:sz w:val="28"/>
          <w:szCs w:val="28"/>
        </w:rPr>
        <w:t>plăților</w:t>
      </w:r>
      <w:proofErr w:type="spellEnd"/>
      <w:r w:rsidR="00E669D1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E69C4">
        <w:rPr>
          <w:rFonts w:ascii="Times New Roman" w:hAnsi="Times New Roman" w:cs="Times New Roman"/>
          <w:sz w:val="28"/>
          <w:szCs w:val="28"/>
        </w:rPr>
        <w:t>achitate</w:t>
      </w:r>
      <w:proofErr w:type="spellEnd"/>
      <w:r w:rsidR="00E669D1" w:rsidRPr="009E69C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669D1" w:rsidRPr="009E69C4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E669D1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E69C4">
        <w:rPr>
          <w:rFonts w:ascii="Times New Roman" w:hAnsi="Times New Roman" w:cs="Times New Roman"/>
          <w:sz w:val="28"/>
          <w:szCs w:val="28"/>
        </w:rPr>
        <w:t>solicitanții</w:t>
      </w:r>
      <w:proofErr w:type="spellEnd"/>
      <w:r w:rsidR="00E669D1" w:rsidRPr="009E6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E69C4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coordonarea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Geodezie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Cartografie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D1" w:rsidRPr="00981066">
        <w:rPr>
          <w:rFonts w:ascii="Times New Roman" w:hAnsi="Times New Roman" w:cs="Times New Roman"/>
          <w:sz w:val="28"/>
          <w:szCs w:val="28"/>
        </w:rPr>
        <w:t>Cadastru</w:t>
      </w:r>
      <w:proofErr w:type="spellEnd"/>
      <w:r w:rsidR="00E669D1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37FB31C9" w14:textId="77777777" w:rsidR="00F43BB8" w:rsidRPr="00981066" w:rsidRDefault="002E0D83" w:rsidP="004B31B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F43BB8" w:rsidRPr="00981066">
        <w:rPr>
          <w:rFonts w:ascii="Times New Roman" w:hAnsi="Times New Roman" w:cs="Times New Roman"/>
          <w:b/>
          <w:sz w:val="28"/>
          <w:szCs w:val="28"/>
        </w:rPr>
        <w:t>III. APROBAREA ŞI AJUSTAREA TARIFELOR</w:t>
      </w:r>
    </w:p>
    <w:p w14:paraId="3AB1C7BB" w14:textId="7CD9983B" w:rsidR="00F43BB8" w:rsidRPr="00AE6055" w:rsidRDefault="002E0D83" w:rsidP="002B44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7D331F" w:rsidRPr="00981066">
        <w:rPr>
          <w:rFonts w:ascii="Times New Roman" w:hAnsi="Times New Roman" w:cs="Times New Roman"/>
          <w:sz w:val="28"/>
          <w:szCs w:val="28"/>
        </w:rPr>
        <w:t>.T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arifele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calculează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metodologie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Agenţiei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Geodezie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Cartografie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Cadastru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F43BB8" w:rsidRPr="00AE6055">
        <w:rPr>
          <w:rFonts w:ascii="Times New Roman" w:hAnsi="Times New Roman" w:cs="Times New Roman"/>
          <w:sz w:val="28"/>
          <w:szCs w:val="28"/>
        </w:rPr>
        <w:t>anexelor</w:t>
      </w:r>
      <w:proofErr w:type="spellEnd"/>
      <w:r w:rsidR="00F43BB8" w:rsidRPr="00AE6055">
        <w:rPr>
          <w:rFonts w:ascii="Times New Roman" w:hAnsi="Times New Roman" w:cs="Times New Roman"/>
          <w:sz w:val="28"/>
          <w:szCs w:val="28"/>
        </w:rPr>
        <w:t xml:space="preserve"> nr.</w:t>
      </w:r>
      <w:r w:rsidR="004B31B6">
        <w:rPr>
          <w:rFonts w:ascii="Times New Roman" w:hAnsi="Times New Roman" w:cs="Times New Roman"/>
          <w:sz w:val="28"/>
          <w:szCs w:val="28"/>
        </w:rPr>
        <w:t xml:space="preserve"> </w:t>
      </w:r>
      <w:r w:rsidR="00F43BB8" w:rsidRPr="00AE6055">
        <w:rPr>
          <w:rFonts w:ascii="Times New Roman" w:hAnsi="Times New Roman" w:cs="Times New Roman"/>
          <w:sz w:val="28"/>
          <w:szCs w:val="28"/>
        </w:rPr>
        <w:t>2–</w:t>
      </w:r>
      <w:r w:rsidR="00D469C6" w:rsidRPr="00AE6055">
        <w:rPr>
          <w:rFonts w:ascii="Times New Roman" w:hAnsi="Times New Roman" w:cs="Times New Roman"/>
          <w:sz w:val="28"/>
          <w:szCs w:val="28"/>
        </w:rPr>
        <w:t>4</w:t>
      </w:r>
      <w:r w:rsidR="00F43BB8" w:rsidRPr="00AE6055">
        <w:rPr>
          <w:rFonts w:ascii="Times New Roman" w:hAnsi="Times New Roman" w:cs="Times New Roman"/>
          <w:sz w:val="28"/>
          <w:szCs w:val="28"/>
        </w:rPr>
        <w:t>.</w:t>
      </w:r>
    </w:p>
    <w:p w14:paraId="5148375C" w14:textId="77777777" w:rsidR="00F43BB8" w:rsidRPr="00981066" w:rsidRDefault="002E0D83" w:rsidP="002B44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7D331F" w:rsidRPr="00981066">
        <w:rPr>
          <w:rFonts w:ascii="Times New Roman" w:hAnsi="Times New Roman" w:cs="Times New Roman"/>
          <w:sz w:val="28"/>
          <w:szCs w:val="28"/>
        </w:rPr>
        <w:t>.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Agenţia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Geodezie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Cartografie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Cadastru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coordonarea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servicii</w:t>
      </w:r>
      <w:r w:rsidR="007C4083" w:rsidRPr="00981066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r w:rsidR="007C4083" w:rsidRPr="00981066">
        <w:rPr>
          <w:rFonts w:ascii="Times New Roman" w:hAnsi="Times New Roman" w:cs="Times New Roman"/>
          <w:sz w:val="28"/>
          <w:szCs w:val="28"/>
        </w:rPr>
        <w:t>l</w:t>
      </w:r>
      <w:r w:rsidR="007D331F" w:rsidRPr="00981066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remit</w:t>
      </w:r>
      <w:r w:rsidR="007C4083" w:rsidRPr="00981066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coordonare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31F" w:rsidRPr="00981066">
        <w:rPr>
          <w:rFonts w:ascii="Times New Roman" w:hAnsi="Times New Roman" w:cs="Times New Roman"/>
          <w:sz w:val="28"/>
          <w:szCs w:val="28"/>
        </w:rPr>
        <w:t>ministerelor</w:t>
      </w:r>
      <w:proofErr w:type="spellEnd"/>
      <w:r w:rsidR="007D331F" w:rsidRPr="00981066">
        <w:rPr>
          <w:rFonts w:ascii="Times New Roman" w:hAnsi="Times New Roman" w:cs="Times New Roman"/>
          <w:sz w:val="28"/>
          <w:szCs w:val="28"/>
        </w:rPr>
        <w:t xml:space="preserve"> de resort</w:t>
      </w:r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, ulterior,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5A80A9E0" w14:textId="77777777" w:rsidR="00F43BB8" w:rsidRPr="00981066" w:rsidRDefault="002E0D83" w:rsidP="002B44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Tarifele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Guvern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1501CDF8" w14:textId="77777777" w:rsidR="007C4083" w:rsidRPr="00981066" w:rsidRDefault="002E0D83" w:rsidP="002B44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Tarifele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ajustează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avînd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următorii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83" w:rsidRPr="00981066">
        <w:rPr>
          <w:rFonts w:ascii="Times New Roman" w:hAnsi="Times New Roman" w:cs="Times New Roman"/>
          <w:sz w:val="28"/>
          <w:szCs w:val="28"/>
        </w:rPr>
        <w:t>factori</w:t>
      </w:r>
      <w:proofErr w:type="spellEnd"/>
      <w:r w:rsidR="007C4083" w:rsidRPr="00981066">
        <w:rPr>
          <w:rFonts w:ascii="Times New Roman" w:hAnsi="Times New Roman" w:cs="Times New Roman"/>
          <w:sz w:val="28"/>
          <w:szCs w:val="28"/>
        </w:rPr>
        <w:t>:</w:t>
      </w:r>
    </w:p>
    <w:p w14:paraId="01476389" w14:textId="77777777" w:rsidR="007C4083" w:rsidRPr="00981066" w:rsidRDefault="007C4083" w:rsidP="002B44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1) la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calcularea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de personal –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ajustarea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>;</w:t>
      </w:r>
    </w:p>
    <w:p w14:paraId="2AC23A57" w14:textId="77777777" w:rsidR="007C4083" w:rsidRDefault="007C4083" w:rsidP="002B4454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2) l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calcularea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D30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C91">
        <w:rPr>
          <w:rFonts w:ascii="Times New Roman" w:hAnsi="Times New Roman" w:cs="Times New Roman"/>
          <w:sz w:val="28"/>
          <w:szCs w:val="28"/>
        </w:rPr>
        <w:t>directe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4D8F" w:rsidRPr="00AE6055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="00BB4D8F" w:rsidRPr="00AE6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D8F" w:rsidRPr="00AE6055">
        <w:rPr>
          <w:rFonts w:ascii="Times New Roman" w:hAnsi="Times New Roman" w:cs="Times New Roman"/>
          <w:sz w:val="28"/>
          <w:szCs w:val="28"/>
        </w:rPr>
        <w:t>indirecte</w:t>
      </w:r>
      <w:r w:rsidR="00BB4D8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D8F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D8F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B4D8F" w:rsidRPr="0098106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B4D8F" w:rsidRPr="00981066">
        <w:rPr>
          <w:rFonts w:ascii="Times New Roman" w:hAnsi="Times New Roman" w:cs="Times New Roman"/>
          <w:sz w:val="28"/>
          <w:szCs w:val="28"/>
        </w:rPr>
        <w:t>exceptînd</w:t>
      </w:r>
      <w:proofErr w:type="spellEnd"/>
      <w:r w:rsidR="00BB4D8F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D8F">
        <w:rPr>
          <w:rFonts w:ascii="Times New Roman" w:hAnsi="Times New Roman" w:cs="Times New Roman"/>
          <w:sz w:val="28"/>
          <w:szCs w:val="28"/>
        </w:rPr>
        <w:t>amortizarea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D8F">
        <w:rPr>
          <w:rFonts w:ascii="Times New Roman" w:hAnsi="Times New Roman" w:cs="Times New Roman"/>
          <w:sz w:val="28"/>
          <w:szCs w:val="28"/>
        </w:rPr>
        <w:t>activelor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D8F">
        <w:rPr>
          <w:rFonts w:ascii="Times New Roman" w:hAnsi="Times New Roman" w:cs="Times New Roman"/>
          <w:sz w:val="28"/>
          <w:szCs w:val="28"/>
        </w:rPr>
        <w:t>corporale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D8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D8F">
        <w:rPr>
          <w:rFonts w:ascii="Times New Roman" w:hAnsi="Times New Roman" w:cs="Times New Roman"/>
          <w:sz w:val="28"/>
          <w:szCs w:val="28"/>
        </w:rPr>
        <w:t>necorporale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4D8F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 xml:space="preserve"> de personal</w:t>
      </w:r>
      <w:r w:rsidR="00BB4D8F" w:rsidRPr="00981066">
        <w:rPr>
          <w:rFonts w:ascii="Times New Roman" w:hAnsi="Times New Roman" w:cs="Times New Roman"/>
          <w:sz w:val="28"/>
          <w:szCs w:val="28"/>
        </w:rPr>
        <w:t>)</w:t>
      </w:r>
      <w:r w:rsidR="00D30C91">
        <w:rPr>
          <w:rFonts w:ascii="Times New Roman" w:hAnsi="Times New Roman" w:cs="Times New Roman"/>
          <w:sz w:val="28"/>
          <w:szCs w:val="28"/>
        </w:rPr>
        <w:t>-</w:t>
      </w:r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indicele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preţurilor</w:t>
      </w:r>
      <w:proofErr w:type="spellEnd"/>
      <w:r w:rsidR="00F43BB8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3BB8" w:rsidRPr="00981066">
        <w:rPr>
          <w:rFonts w:ascii="Times New Roman" w:hAnsi="Times New Roman" w:cs="Times New Roman"/>
          <w:sz w:val="28"/>
          <w:szCs w:val="28"/>
        </w:rPr>
        <w:t>consum</w:t>
      </w:r>
      <w:proofErr w:type="spellEnd"/>
      <w:r w:rsidR="00BB4D8F">
        <w:rPr>
          <w:rFonts w:ascii="Times New Roman" w:hAnsi="Times New Roman" w:cs="Times New Roman"/>
          <w:sz w:val="28"/>
          <w:szCs w:val="28"/>
        </w:rPr>
        <w:t>.</w:t>
      </w:r>
    </w:p>
    <w:p w14:paraId="051C3B09" w14:textId="77777777" w:rsidR="000C3CE9" w:rsidRPr="00FF5926" w:rsidRDefault="000C3CE9" w:rsidP="000D2029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FF5926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nr.1</w:t>
      </w:r>
      <w:r w:rsidRPr="00FF5926">
        <w:rPr>
          <w:rFonts w:ascii="Times New Roman" w:hAnsi="Times New Roman" w:cs="Times New Roman"/>
          <w:sz w:val="20"/>
          <w:szCs w:val="20"/>
        </w:rPr>
        <w:br/>
        <w:t xml:space="preserve">la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Metodologia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calculare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tarifelor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br/>
        <w:t xml:space="preserve">la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prestate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47B" w:rsidRPr="00FF5926">
        <w:rPr>
          <w:rFonts w:ascii="Times New Roman" w:hAnsi="Times New Roman" w:cs="Times New Roman"/>
          <w:sz w:val="20"/>
          <w:szCs w:val="20"/>
        </w:rPr>
        <w:t>Instituția</w:t>
      </w:r>
      <w:proofErr w:type="spellEnd"/>
      <w:r w:rsidR="0061547B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47B" w:rsidRPr="00FF5926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="0061547B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47B" w:rsidRPr="00FF5926">
        <w:rPr>
          <w:rFonts w:ascii="Times New Roman" w:hAnsi="Times New Roman" w:cs="Times New Roman"/>
          <w:sz w:val="20"/>
          <w:szCs w:val="20"/>
        </w:rPr>
        <w:t>Cadastrul</w:t>
      </w:r>
      <w:proofErr w:type="spellEnd"/>
      <w:r w:rsidR="0061547B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47B" w:rsidRPr="00FF5926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="0061547B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47B" w:rsidRPr="00FF5926">
        <w:rPr>
          <w:rFonts w:ascii="Times New Roman" w:hAnsi="Times New Roman" w:cs="Times New Roman"/>
          <w:sz w:val="20"/>
          <w:szCs w:val="20"/>
        </w:rPr>
        <w:t>Imobile</w:t>
      </w:r>
      <w:proofErr w:type="spellEnd"/>
    </w:p>
    <w:p w14:paraId="271180FE" w14:textId="77777777" w:rsidR="00596E2C" w:rsidRPr="00FF5926" w:rsidRDefault="00596E2C" w:rsidP="000D2029">
      <w:pPr>
        <w:spacing w:after="12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8E5701" w14:textId="5ED9F7CC" w:rsidR="000C3CE9" w:rsidRPr="00981066" w:rsidRDefault="000C3CE9" w:rsidP="000D202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066">
        <w:rPr>
          <w:rFonts w:ascii="Times New Roman" w:hAnsi="Times New Roman" w:cs="Times New Roman"/>
          <w:b/>
          <w:sz w:val="28"/>
          <w:szCs w:val="28"/>
        </w:rPr>
        <w:t xml:space="preserve">LISTA </w:t>
      </w:r>
      <w:r w:rsidR="009C34B7" w:rsidRPr="00981066">
        <w:rPr>
          <w:rFonts w:ascii="Times New Roman" w:hAnsi="Times New Roman" w:cs="Times New Roman"/>
          <w:b/>
          <w:caps/>
          <w:sz w:val="28"/>
          <w:szCs w:val="28"/>
        </w:rPr>
        <w:t>categoriilor</w:t>
      </w:r>
      <w:r w:rsidR="006D2AF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981066">
        <w:rPr>
          <w:rFonts w:ascii="Times New Roman" w:hAnsi="Times New Roman" w:cs="Times New Roman"/>
          <w:b/>
          <w:sz w:val="28"/>
          <w:szCs w:val="28"/>
        </w:rPr>
        <w:t>SERVICIILOR</w:t>
      </w:r>
    </w:p>
    <w:p w14:paraId="20ACAD30" w14:textId="77777777" w:rsidR="000C3CE9" w:rsidRPr="00981066" w:rsidRDefault="000C3CE9" w:rsidP="00667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1066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981066">
        <w:rPr>
          <w:rFonts w:ascii="Times New Roman" w:hAnsi="Times New Roman" w:cs="Times New Roman"/>
          <w:b/>
          <w:sz w:val="28"/>
          <w:szCs w:val="28"/>
        </w:rPr>
        <w:t xml:space="preserve"> care se </w:t>
      </w:r>
      <w:proofErr w:type="spellStart"/>
      <w:r w:rsidRPr="00981066">
        <w:rPr>
          <w:rFonts w:ascii="Times New Roman" w:hAnsi="Times New Roman" w:cs="Times New Roman"/>
          <w:b/>
          <w:sz w:val="28"/>
          <w:szCs w:val="28"/>
        </w:rPr>
        <w:t>aplică</w:t>
      </w:r>
      <w:proofErr w:type="spellEnd"/>
      <w:r w:rsidRPr="00981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b/>
          <w:sz w:val="28"/>
          <w:szCs w:val="28"/>
        </w:rPr>
        <w:t>prezenta</w:t>
      </w:r>
      <w:proofErr w:type="spellEnd"/>
      <w:r w:rsidRPr="00981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1066">
        <w:rPr>
          <w:rFonts w:ascii="Times New Roman" w:hAnsi="Times New Roman" w:cs="Times New Roman"/>
          <w:b/>
          <w:sz w:val="28"/>
          <w:szCs w:val="28"/>
        </w:rPr>
        <w:t>metodologie</w:t>
      </w:r>
      <w:proofErr w:type="spellEnd"/>
    </w:p>
    <w:p w14:paraId="1B7CCC87" w14:textId="77777777" w:rsidR="00667B0E" w:rsidRPr="00981066" w:rsidRDefault="000C3CE9" w:rsidP="005E2410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lor;</w:t>
      </w:r>
    </w:p>
    <w:p w14:paraId="1DBF1277" w14:textId="77777777" w:rsidR="00667B0E" w:rsidRPr="00981066" w:rsidRDefault="000C3CE9" w:rsidP="005E2410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  <w:lang w:eastAsia="ru-RU"/>
        </w:rPr>
        <w:t>Recepția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  <w:lang w:eastAsia="ru-RU"/>
        </w:rPr>
        <w:t>lucrărilor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  <w:lang w:eastAsia="ru-RU"/>
        </w:rPr>
        <w:t>cadastrale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6341448" w14:textId="77777777" w:rsidR="00217875" w:rsidRPr="00981066" w:rsidRDefault="00217875" w:rsidP="005E2410">
      <w:pPr>
        <w:spacing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8106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Actualizarea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bazei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de date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grafice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baza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schemei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amplasare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bunului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imobil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în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scopul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înregistrării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primare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66">
        <w:rPr>
          <w:rFonts w:ascii="Times New Roman" w:hAnsi="Times New Roman" w:cs="Times New Roman"/>
          <w:sz w:val="28"/>
          <w:szCs w:val="28"/>
          <w:lang w:eastAsia="ru-RU"/>
        </w:rPr>
        <w:t>provizorii</w:t>
      </w:r>
      <w:proofErr w:type="spellEnd"/>
      <w:r w:rsidRPr="0098106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6FAD8B5" w14:textId="77777777" w:rsidR="00667B0E" w:rsidRPr="00981066" w:rsidRDefault="00B52A46" w:rsidP="005E2410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3CE9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reevaluarea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264" w:rsidRPr="00981066">
        <w:rPr>
          <w:rFonts w:ascii="Times New Roman" w:hAnsi="Times New Roman" w:cs="Times New Roman"/>
          <w:sz w:val="28"/>
          <w:szCs w:val="28"/>
        </w:rPr>
        <w:t>impozitării</w:t>
      </w:r>
      <w:proofErr w:type="spellEnd"/>
      <w:r w:rsidR="005A4264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70588DB0" w14:textId="77777777" w:rsidR="005A4264" w:rsidRPr="00981066" w:rsidRDefault="00B52A46" w:rsidP="005E2410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4264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confiscate,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naționalizate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scoase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alt mod din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posesia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supuse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represiunilor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politice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10409566" w14:textId="77777777" w:rsidR="00D40A31" w:rsidRPr="00981066" w:rsidRDefault="00B52A46" w:rsidP="005E2410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0A31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Furnizarea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informației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18B0124B" w14:textId="77777777" w:rsidR="00D40A31" w:rsidRPr="00981066" w:rsidRDefault="00B52A46" w:rsidP="005E2410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40A31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Consultarea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 xml:space="preserve"> bun </w:t>
      </w:r>
      <w:proofErr w:type="spellStart"/>
      <w:r w:rsidR="00D40A31" w:rsidRPr="00981066">
        <w:rPr>
          <w:rFonts w:ascii="Times New Roman" w:hAnsi="Times New Roman" w:cs="Times New Roman"/>
          <w:sz w:val="28"/>
          <w:szCs w:val="28"/>
        </w:rPr>
        <w:t>imobil</w:t>
      </w:r>
      <w:proofErr w:type="spellEnd"/>
      <w:r w:rsidR="00D40A31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35BA8F7A" w14:textId="77777777" w:rsidR="00596E2C" w:rsidRPr="00981066" w:rsidRDefault="00B52A46" w:rsidP="005E2410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6E2C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ținerea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de stat al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unităților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adreselor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511F190E" w14:textId="77777777" w:rsidR="00D40A31" w:rsidRPr="00981066" w:rsidRDefault="00B52A46" w:rsidP="005E2410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34774" w:rsidRPr="009810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accesului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F3D"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 w:rsidR="00375F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75F3D">
        <w:rPr>
          <w:rFonts w:ascii="Times New Roman" w:hAnsi="Times New Roman" w:cs="Times New Roman"/>
          <w:sz w:val="28"/>
          <w:szCs w:val="28"/>
        </w:rPr>
        <w:t>legislație</w:t>
      </w:r>
      <w:proofErr w:type="spellEnd"/>
      <w:r w:rsidR="00375F3D">
        <w:rPr>
          <w:rFonts w:ascii="Times New Roman" w:hAnsi="Times New Roman" w:cs="Times New Roman"/>
          <w:sz w:val="28"/>
          <w:szCs w:val="28"/>
        </w:rPr>
        <w:t xml:space="preserve"> </w:t>
      </w:r>
      <w:r w:rsidR="00596E2C" w:rsidRPr="00981066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375F3D"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 w:rsidR="00375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F3D">
        <w:rPr>
          <w:rFonts w:ascii="Times New Roman" w:hAnsi="Times New Roman" w:cs="Times New Roman"/>
          <w:sz w:val="28"/>
          <w:szCs w:val="28"/>
        </w:rPr>
        <w:t>informaționale</w:t>
      </w:r>
      <w:proofErr w:type="spellEnd"/>
      <w:r w:rsidR="00375F3D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cadastrul</w:t>
      </w:r>
      <w:r w:rsidR="00375F3D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E2C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596E2C" w:rsidRPr="00981066">
        <w:rPr>
          <w:rFonts w:ascii="Times New Roman" w:hAnsi="Times New Roman" w:cs="Times New Roman"/>
          <w:sz w:val="28"/>
          <w:szCs w:val="28"/>
        </w:rPr>
        <w:t>;</w:t>
      </w:r>
    </w:p>
    <w:p w14:paraId="311110D8" w14:textId="77777777" w:rsidR="00596E2C" w:rsidRPr="00981066" w:rsidRDefault="00C66CCD" w:rsidP="005E2410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981066">
        <w:rPr>
          <w:rFonts w:ascii="Times New Roman" w:hAnsi="Times New Roman" w:cs="Times New Roman"/>
          <w:sz w:val="28"/>
          <w:szCs w:val="28"/>
        </w:rPr>
        <w:t>1</w:t>
      </w:r>
      <w:r w:rsidR="00B52A46">
        <w:rPr>
          <w:rFonts w:ascii="Times New Roman" w:hAnsi="Times New Roman" w:cs="Times New Roman"/>
          <w:sz w:val="28"/>
          <w:szCs w:val="28"/>
        </w:rPr>
        <w:t>0</w:t>
      </w:r>
      <w:r w:rsidR="00596E2C" w:rsidRPr="00981066">
        <w:rPr>
          <w:rFonts w:ascii="Times New Roman" w:hAnsi="Times New Roman" w:cs="Times New Roman"/>
          <w:sz w:val="28"/>
          <w:szCs w:val="28"/>
        </w:rPr>
        <w:t xml:space="preserve">. </w:t>
      </w:r>
      <w:r w:rsidR="00B83BAE" w:rsidRPr="00981066">
        <w:rPr>
          <w:rFonts w:ascii="Times New Roman" w:hAnsi="Times New Roman" w:cs="Times New Roman"/>
          <w:sz w:val="28"/>
          <w:szCs w:val="28"/>
        </w:rPr>
        <w:t xml:space="preserve">Alte </w:t>
      </w:r>
      <w:proofErr w:type="spellStart"/>
      <w:r w:rsidR="00B83BAE" w:rsidRPr="00981066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B83BA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BAE" w:rsidRPr="0098106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B83BA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BAE" w:rsidRPr="00981066">
        <w:rPr>
          <w:rFonts w:ascii="Times New Roman" w:hAnsi="Times New Roman" w:cs="Times New Roman"/>
          <w:sz w:val="28"/>
          <w:szCs w:val="28"/>
        </w:rPr>
        <w:t>țin</w:t>
      </w:r>
      <w:proofErr w:type="spellEnd"/>
      <w:r w:rsidR="00B83BAE" w:rsidRPr="00981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83BAE" w:rsidRPr="00981066">
        <w:rPr>
          <w:rFonts w:ascii="Times New Roman" w:hAnsi="Times New Roman" w:cs="Times New Roman"/>
          <w:sz w:val="28"/>
          <w:szCs w:val="28"/>
        </w:rPr>
        <w:t>competența</w:t>
      </w:r>
      <w:proofErr w:type="spellEnd"/>
      <w:r w:rsidR="00B83BA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BAE" w:rsidRPr="00981066">
        <w:rPr>
          <w:rFonts w:ascii="Times New Roman" w:hAnsi="Times New Roman" w:cs="Times New Roman"/>
          <w:sz w:val="28"/>
          <w:szCs w:val="28"/>
        </w:rPr>
        <w:t>exclusivă</w:t>
      </w:r>
      <w:proofErr w:type="spellEnd"/>
      <w:r w:rsidR="00B83BAE" w:rsidRPr="00981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83BAE" w:rsidRPr="00981066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B83BA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BAE" w:rsidRPr="009810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B83BA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BAE" w:rsidRPr="00981066">
        <w:rPr>
          <w:rFonts w:ascii="Times New Roman" w:hAnsi="Times New Roman" w:cs="Times New Roman"/>
          <w:sz w:val="28"/>
          <w:szCs w:val="28"/>
        </w:rPr>
        <w:t>Cadastrul</w:t>
      </w:r>
      <w:proofErr w:type="spellEnd"/>
      <w:r w:rsidR="00B83BA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BAE" w:rsidRPr="00981066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B83BAE" w:rsidRPr="0098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BAE" w:rsidRPr="00981066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="00B83BAE" w:rsidRPr="00981066">
        <w:rPr>
          <w:rFonts w:ascii="Times New Roman" w:hAnsi="Times New Roman" w:cs="Times New Roman"/>
          <w:sz w:val="28"/>
          <w:szCs w:val="28"/>
        </w:rPr>
        <w:t>.</w:t>
      </w:r>
    </w:p>
    <w:p w14:paraId="1D288C5C" w14:textId="77777777" w:rsidR="008F1609" w:rsidRDefault="008F1609" w:rsidP="004F4B98">
      <w:pPr>
        <w:spacing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C25CD2F" w14:textId="77777777" w:rsidR="008F1609" w:rsidRDefault="008F1609" w:rsidP="004F4B98">
      <w:pPr>
        <w:spacing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667A3785" w14:textId="77777777" w:rsidR="008F1609" w:rsidRDefault="008F1609" w:rsidP="004F4B98">
      <w:pPr>
        <w:spacing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4FF1383" w14:textId="413D4483" w:rsidR="00F43BB8" w:rsidRPr="00FF5926" w:rsidRDefault="00F43BB8" w:rsidP="004F4B98">
      <w:pPr>
        <w:spacing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FF5926">
        <w:rPr>
          <w:rFonts w:ascii="Times New Roman" w:hAnsi="Times New Roman" w:cs="Times New Roman"/>
          <w:sz w:val="20"/>
          <w:szCs w:val="20"/>
        </w:rPr>
        <w:lastRenderedPageBreak/>
        <w:t>Anexa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nr.2</w:t>
      </w:r>
    </w:p>
    <w:p w14:paraId="689C6114" w14:textId="77777777" w:rsidR="00266FD1" w:rsidRPr="00FF5926" w:rsidRDefault="00266FD1" w:rsidP="004F4B98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FF592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Metodologia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calculare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tarifelor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br/>
      </w:r>
      <w:r w:rsidR="000B7BBE" w:rsidRPr="00FF592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prestate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Instituția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Cadastrul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Imobile</w:t>
      </w:r>
      <w:proofErr w:type="spellEnd"/>
    </w:p>
    <w:p w14:paraId="0F8EAC70" w14:textId="77777777" w:rsidR="008F1609" w:rsidRPr="008F1609" w:rsidRDefault="008F1609" w:rsidP="008F1609">
      <w:pPr>
        <w:spacing w:before="0"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2679936" w14:textId="79B0D2AA" w:rsidR="00266FD1" w:rsidRDefault="00266FD1" w:rsidP="00140CC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Calculul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indicilor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costurilor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material</w:t>
      </w:r>
      <w:r w:rsidR="00E67F9D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directe</w:t>
      </w:r>
      <w:proofErr w:type="spellEnd"/>
      <w:r w:rsidRPr="0045001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costurilor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indirecte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cheltuielilor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operaționale</w:t>
      </w:r>
      <w:proofErr w:type="spellEnd"/>
      <w:r w:rsidRPr="0045001A">
        <w:rPr>
          <w:rFonts w:ascii="Times New Roman" w:hAnsi="Times New Roman" w:cs="Times New Roman"/>
          <w:b/>
          <w:sz w:val="24"/>
          <w:szCs w:val="24"/>
        </w:rPr>
        <w:t xml:space="preserve">, care </w:t>
      </w: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stau</w:t>
      </w:r>
      <w:proofErr w:type="spellEnd"/>
      <w:r w:rsidRPr="0045001A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calculării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tarifelor</w:t>
      </w:r>
      <w:proofErr w:type="spellEnd"/>
      <w:r w:rsidRPr="0045001A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01A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45001A">
        <w:rPr>
          <w:rFonts w:ascii="Times New Roman" w:hAnsi="Times New Roman" w:cs="Times New Roman"/>
          <w:b/>
          <w:sz w:val="24"/>
          <w:szCs w:val="24"/>
        </w:rPr>
        <w:t xml:space="preserve"> _______</w:t>
      </w:r>
    </w:p>
    <w:p w14:paraId="659C5647" w14:textId="77777777" w:rsidR="00140CCC" w:rsidRPr="00140CCC" w:rsidRDefault="00140CCC" w:rsidP="00140CCC">
      <w:pPr>
        <w:spacing w:before="0"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1276"/>
        <w:gridCol w:w="1099"/>
      </w:tblGrid>
      <w:tr w:rsidR="00266FD1" w:rsidRPr="00940822" w14:paraId="3F0A09D0" w14:textId="77777777" w:rsidTr="00DB503F">
        <w:tc>
          <w:tcPr>
            <w:tcW w:w="959" w:type="dxa"/>
            <w:vAlign w:val="center"/>
          </w:tcPr>
          <w:p w14:paraId="715C44EA" w14:textId="77777777" w:rsidR="00851CF7" w:rsidRPr="00940822" w:rsidRDefault="00266FD1" w:rsidP="00DB503F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 xml:space="preserve">Nr. </w:t>
            </w:r>
          </w:p>
          <w:p w14:paraId="1B6D741A" w14:textId="58B6A171" w:rsidR="00266FD1" w:rsidRPr="00940822" w:rsidRDefault="00851CF7" w:rsidP="00DB503F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d/o</w:t>
            </w:r>
          </w:p>
        </w:tc>
        <w:tc>
          <w:tcPr>
            <w:tcW w:w="6237" w:type="dxa"/>
            <w:vAlign w:val="center"/>
          </w:tcPr>
          <w:p w14:paraId="510BC7DC" w14:textId="77777777" w:rsidR="00266FD1" w:rsidRPr="00940822" w:rsidRDefault="00266FD1" w:rsidP="00DB503F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Indicatorii</w:t>
            </w:r>
            <w:proofErr w:type="spellEnd"/>
          </w:p>
        </w:tc>
        <w:tc>
          <w:tcPr>
            <w:tcW w:w="1276" w:type="dxa"/>
            <w:vAlign w:val="center"/>
          </w:tcPr>
          <w:p w14:paraId="4BFF2886" w14:textId="77777777" w:rsidR="00266FD1" w:rsidRPr="00940822" w:rsidRDefault="00266FD1" w:rsidP="00DB503F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Unitatea</w:t>
            </w:r>
            <w:proofErr w:type="spellEnd"/>
            <w:r w:rsidRPr="0094082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40822">
              <w:rPr>
                <w:rFonts w:ascii="Times New Roman" w:hAnsi="Times New Roman" w:cs="Times New Roman"/>
              </w:rPr>
              <w:t>măsură</w:t>
            </w:r>
            <w:proofErr w:type="spellEnd"/>
          </w:p>
        </w:tc>
        <w:tc>
          <w:tcPr>
            <w:tcW w:w="1099" w:type="dxa"/>
            <w:vAlign w:val="center"/>
          </w:tcPr>
          <w:p w14:paraId="16C28236" w14:textId="77777777" w:rsidR="00266FD1" w:rsidRPr="00940822" w:rsidRDefault="00266FD1" w:rsidP="00DB503F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Mărimea</w:t>
            </w:r>
            <w:proofErr w:type="spellEnd"/>
          </w:p>
        </w:tc>
      </w:tr>
      <w:tr w:rsidR="00266FD1" w:rsidRPr="00940822" w14:paraId="74DAC354" w14:textId="77777777" w:rsidTr="00DB503F">
        <w:tc>
          <w:tcPr>
            <w:tcW w:w="959" w:type="dxa"/>
            <w:vAlign w:val="center"/>
          </w:tcPr>
          <w:p w14:paraId="7F27533D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14:paraId="22B153D5" w14:textId="5E65E25F" w:rsidR="00266FD1" w:rsidRPr="00940822" w:rsidRDefault="00266FD1" w:rsidP="00266F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Costurile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şi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cheltuielile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totale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pentru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prestarea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serviciilor</w:t>
            </w:r>
            <w:proofErr w:type="spellEnd"/>
            <w:r w:rsidRPr="00940822">
              <w:rPr>
                <w:rFonts w:ascii="Times New Roman" w:hAnsi="Times New Roman" w:cs="Times New Roman"/>
              </w:rPr>
              <w:t xml:space="preserve"> – total pe </w:t>
            </w:r>
            <w:proofErr w:type="spellStart"/>
            <w:r w:rsidRPr="00940822">
              <w:rPr>
                <w:rFonts w:ascii="Times New Roman" w:hAnsi="Times New Roman" w:cs="Times New Roman"/>
              </w:rPr>
              <w:t>Instituția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Publică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Cadastrul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Bunurilor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Imobile</w:t>
            </w:r>
            <w:proofErr w:type="spellEnd"/>
          </w:p>
        </w:tc>
        <w:tc>
          <w:tcPr>
            <w:tcW w:w="1276" w:type="dxa"/>
            <w:vAlign w:val="center"/>
          </w:tcPr>
          <w:p w14:paraId="07E9D1D9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leu</w:t>
            </w:r>
          </w:p>
        </w:tc>
        <w:tc>
          <w:tcPr>
            <w:tcW w:w="1099" w:type="dxa"/>
            <w:vAlign w:val="center"/>
          </w:tcPr>
          <w:p w14:paraId="30241F8A" w14:textId="77777777" w:rsidR="00266FD1" w:rsidRPr="00940822" w:rsidRDefault="00266FD1" w:rsidP="00DB503F">
            <w:pPr>
              <w:spacing w:after="120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  <w:tr w:rsidR="00266FD1" w:rsidRPr="00940822" w14:paraId="0E7DD0D0" w14:textId="77777777" w:rsidTr="00DB503F">
        <w:tc>
          <w:tcPr>
            <w:tcW w:w="959" w:type="dxa"/>
            <w:vAlign w:val="center"/>
          </w:tcPr>
          <w:p w14:paraId="07845153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14:paraId="7A308E87" w14:textId="61513B92" w:rsidR="00266FD1" w:rsidRPr="00940822" w:rsidRDefault="00266FD1" w:rsidP="00266F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Costurile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materiale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directe</w:t>
            </w:r>
            <w:proofErr w:type="spellEnd"/>
            <w:r w:rsidRPr="00940822">
              <w:rPr>
                <w:rFonts w:ascii="Times New Roman" w:hAnsi="Times New Roman" w:cs="Times New Roman"/>
              </w:rPr>
              <w:t xml:space="preserve"> – total pe </w:t>
            </w:r>
            <w:proofErr w:type="spellStart"/>
            <w:r w:rsidRPr="00940822">
              <w:rPr>
                <w:rFonts w:ascii="Times New Roman" w:hAnsi="Times New Roman" w:cs="Times New Roman"/>
              </w:rPr>
              <w:t>Instituția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Publică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Cadastrul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Bunurilor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Imobile</w:t>
            </w:r>
            <w:proofErr w:type="spellEnd"/>
          </w:p>
        </w:tc>
        <w:tc>
          <w:tcPr>
            <w:tcW w:w="1276" w:type="dxa"/>
            <w:vAlign w:val="center"/>
          </w:tcPr>
          <w:p w14:paraId="33D8C5C8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leu</w:t>
            </w:r>
          </w:p>
        </w:tc>
        <w:tc>
          <w:tcPr>
            <w:tcW w:w="1099" w:type="dxa"/>
            <w:vAlign w:val="center"/>
          </w:tcPr>
          <w:p w14:paraId="1E28637F" w14:textId="77777777" w:rsidR="00266FD1" w:rsidRPr="00940822" w:rsidRDefault="00266FD1" w:rsidP="00DB503F">
            <w:pPr>
              <w:spacing w:after="120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  <w:tr w:rsidR="00266FD1" w:rsidRPr="00940822" w14:paraId="5399CF85" w14:textId="77777777" w:rsidTr="00DB503F">
        <w:tc>
          <w:tcPr>
            <w:tcW w:w="959" w:type="dxa"/>
            <w:vAlign w:val="center"/>
          </w:tcPr>
          <w:p w14:paraId="0BC06E98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14:paraId="705F6514" w14:textId="6BD0CBCA" w:rsidR="00266FD1" w:rsidRPr="00940822" w:rsidRDefault="00E63BF6" w:rsidP="00266F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Costurile</w:t>
            </w:r>
            <w:proofErr w:type="spellEnd"/>
            <w:r w:rsidRPr="0094082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940822">
              <w:rPr>
                <w:rFonts w:ascii="Times New Roman" w:hAnsi="Times New Roman" w:cs="Times New Roman"/>
              </w:rPr>
              <w:t>personalul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directe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r w:rsidR="00266FD1" w:rsidRPr="00940822">
              <w:rPr>
                <w:rFonts w:ascii="Times New Roman" w:hAnsi="Times New Roman" w:cs="Times New Roman"/>
              </w:rPr>
              <w:t>–</w:t>
            </w:r>
            <w:r w:rsidRPr="00940822">
              <w:rPr>
                <w:rFonts w:ascii="Times New Roman" w:hAnsi="Times New Roman" w:cs="Times New Roman"/>
              </w:rPr>
              <w:t xml:space="preserve"> total pe</w:t>
            </w:r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6FD1" w:rsidRPr="00940822">
              <w:rPr>
                <w:rFonts w:ascii="Times New Roman" w:hAnsi="Times New Roman" w:cs="Times New Roman"/>
              </w:rPr>
              <w:t>Instituția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6FD1" w:rsidRPr="00940822">
              <w:rPr>
                <w:rFonts w:ascii="Times New Roman" w:hAnsi="Times New Roman" w:cs="Times New Roman"/>
              </w:rPr>
              <w:t>Publică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6FD1" w:rsidRPr="00940822">
              <w:rPr>
                <w:rFonts w:ascii="Times New Roman" w:hAnsi="Times New Roman" w:cs="Times New Roman"/>
              </w:rPr>
              <w:t>Cadastrul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6FD1" w:rsidRPr="00940822">
              <w:rPr>
                <w:rFonts w:ascii="Times New Roman" w:hAnsi="Times New Roman" w:cs="Times New Roman"/>
              </w:rPr>
              <w:t>Bunurilor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6FD1" w:rsidRPr="00940822">
              <w:rPr>
                <w:rFonts w:ascii="Times New Roman" w:hAnsi="Times New Roman" w:cs="Times New Roman"/>
              </w:rPr>
              <w:t>Imobile</w:t>
            </w:r>
            <w:proofErr w:type="spellEnd"/>
          </w:p>
        </w:tc>
        <w:tc>
          <w:tcPr>
            <w:tcW w:w="1276" w:type="dxa"/>
            <w:vAlign w:val="center"/>
          </w:tcPr>
          <w:p w14:paraId="16B5A262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leu</w:t>
            </w:r>
          </w:p>
        </w:tc>
        <w:tc>
          <w:tcPr>
            <w:tcW w:w="1099" w:type="dxa"/>
            <w:vAlign w:val="center"/>
          </w:tcPr>
          <w:p w14:paraId="512355A7" w14:textId="77777777" w:rsidR="00266FD1" w:rsidRPr="00940822" w:rsidRDefault="00266FD1" w:rsidP="00DB503F">
            <w:pPr>
              <w:spacing w:after="120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  <w:tr w:rsidR="00266FD1" w:rsidRPr="00940822" w14:paraId="17E151BC" w14:textId="77777777" w:rsidTr="00DB503F">
        <w:tc>
          <w:tcPr>
            <w:tcW w:w="959" w:type="dxa"/>
            <w:vAlign w:val="center"/>
          </w:tcPr>
          <w:p w14:paraId="4EBAF1B7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14:paraId="74D7CF7F" w14:textId="280B07DE" w:rsidR="00266FD1" w:rsidRPr="00940822" w:rsidRDefault="00266FD1" w:rsidP="00266F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Costurile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indirecte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și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cheltuielile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operaționale</w:t>
            </w:r>
            <w:proofErr w:type="spellEnd"/>
            <w:r w:rsidRPr="00940822">
              <w:rPr>
                <w:rFonts w:ascii="Times New Roman" w:hAnsi="Times New Roman" w:cs="Times New Roman"/>
              </w:rPr>
              <w:t xml:space="preserve"> – total pe </w:t>
            </w:r>
            <w:proofErr w:type="spellStart"/>
            <w:r w:rsidRPr="00940822">
              <w:rPr>
                <w:rFonts w:ascii="Times New Roman" w:hAnsi="Times New Roman" w:cs="Times New Roman"/>
              </w:rPr>
              <w:t>Instituția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Publică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Cadastrul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Bunurilor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Imobile</w:t>
            </w:r>
            <w:proofErr w:type="spellEnd"/>
          </w:p>
        </w:tc>
        <w:tc>
          <w:tcPr>
            <w:tcW w:w="1276" w:type="dxa"/>
            <w:vAlign w:val="center"/>
          </w:tcPr>
          <w:p w14:paraId="1640290F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leu</w:t>
            </w:r>
          </w:p>
        </w:tc>
        <w:tc>
          <w:tcPr>
            <w:tcW w:w="1099" w:type="dxa"/>
            <w:vAlign w:val="center"/>
          </w:tcPr>
          <w:p w14:paraId="3673E9E9" w14:textId="77777777" w:rsidR="00266FD1" w:rsidRPr="00940822" w:rsidRDefault="00266FD1" w:rsidP="00DB503F">
            <w:pPr>
              <w:spacing w:after="120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  <w:tr w:rsidR="00266FD1" w:rsidRPr="00940822" w14:paraId="0A28D377" w14:textId="77777777" w:rsidTr="00DB503F">
        <w:tc>
          <w:tcPr>
            <w:tcW w:w="959" w:type="dxa"/>
            <w:vAlign w:val="center"/>
          </w:tcPr>
          <w:p w14:paraId="3A0954B7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14:paraId="1303CBE5" w14:textId="1F0EED18" w:rsidR="00266FD1" w:rsidRPr="00940822" w:rsidRDefault="00266FD1" w:rsidP="00266F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Indicele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costurilor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materiale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3BF6" w:rsidRPr="00940822">
              <w:rPr>
                <w:rFonts w:ascii="Times New Roman" w:hAnsi="Times New Roman" w:cs="Times New Roman"/>
              </w:rPr>
              <w:t>directe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r w:rsidRPr="00940822">
              <w:rPr>
                <w:rFonts w:ascii="Times New Roman" w:hAnsi="Times New Roman" w:cs="Times New Roman"/>
              </w:rPr>
              <w:t>(</w:t>
            </w:r>
            <w:proofErr w:type="spellStart"/>
            <w:r w:rsidRPr="00940822">
              <w:rPr>
                <w:rFonts w:ascii="Times New Roman" w:hAnsi="Times New Roman" w:cs="Times New Roman"/>
              </w:rPr>
              <w:t>rîndul</w:t>
            </w:r>
            <w:proofErr w:type="spellEnd"/>
            <w:r w:rsidRPr="00940822">
              <w:rPr>
                <w:rFonts w:ascii="Times New Roman" w:hAnsi="Times New Roman" w:cs="Times New Roman"/>
              </w:rPr>
              <w:t xml:space="preserve"> 2: </w:t>
            </w:r>
            <w:proofErr w:type="spellStart"/>
            <w:r w:rsidRPr="00940822">
              <w:rPr>
                <w:rFonts w:ascii="Times New Roman" w:hAnsi="Times New Roman" w:cs="Times New Roman"/>
              </w:rPr>
              <w:t>rîndul</w:t>
            </w:r>
            <w:proofErr w:type="spellEnd"/>
            <w:r w:rsidRPr="00940822"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14:paraId="13B1DAC0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coeficient</w:t>
            </w:r>
            <w:proofErr w:type="spellEnd"/>
          </w:p>
        </w:tc>
        <w:tc>
          <w:tcPr>
            <w:tcW w:w="1099" w:type="dxa"/>
            <w:vAlign w:val="center"/>
          </w:tcPr>
          <w:p w14:paraId="2921A0F6" w14:textId="77777777" w:rsidR="00266FD1" w:rsidRPr="00940822" w:rsidRDefault="00266FD1" w:rsidP="00DB503F">
            <w:pPr>
              <w:spacing w:after="120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  <w:tr w:rsidR="00266FD1" w:rsidRPr="00940822" w14:paraId="592694B3" w14:textId="77777777" w:rsidTr="00DB503F">
        <w:tc>
          <w:tcPr>
            <w:tcW w:w="959" w:type="dxa"/>
            <w:vAlign w:val="center"/>
          </w:tcPr>
          <w:p w14:paraId="5B452464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vAlign w:val="center"/>
          </w:tcPr>
          <w:p w14:paraId="0691F7F5" w14:textId="1A6FFAA4" w:rsidR="00266FD1" w:rsidRPr="00940822" w:rsidRDefault="00266FD1" w:rsidP="00266FD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Indicele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costurilor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indirecte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şi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cheltuielil</w:t>
            </w:r>
            <w:proofErr w:type="spellEnd"/>
            <w:r w:rsidR="00C0595F" w:rsidRPr="00940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822">
              <w:rPr>
                <w:rFonts w:ascii="Times New Roman" w:hAnsi="Times New Roman" w:cs="Times New Roman"/>
              </w:rPr>
              <w:t>oroperaționale</w:t>
            </w:r>
            <w:proofErr w:type="spellEnd"/>
          </w:p>
          <w:p w14:paraId="28E22D80" w14:textId="1AAA7D2D" w:rsidR="00266FD1" w:rsidRPr="00940822" w:rsidRDefault="00266FD1" w:rsidP="00266FD1">
            <w:pPr>
              <w:contextualSpacing/>
              <w:rPr>
                <w:rFonts w:ascii="Times New Roman" w:hAnsi="Times New Roman" w:cs="Times New Roman"/>
              </w:rPr>
            </w:pPr>
            <w:r w:rsidRPr="00940822">
              <w:rPr>
                <w:rFonts w:ascii="Times New Roman" w:hAnsi="Times New Roman" w:cs="Times New Roman"/>
              </w:rPr>
              <w:t>(</w:t>
            </w:r>
            <w:proofErr w:type="spellStart"/>
            <w:r w:rsidRPr="00940822">
              <w:rPr>
                <w:rFonts w:ascii="Times New Roman" w:hAnsi="Times New Roman" w:cs="Times New Roman"/>
              </w:rPr>
              <w:t>rîndul</w:t>
            </w:r>
            <w:proofErr w:type="spellEnd"/>
            <w:r w:rsidRPr="00940822">
              <w:rPr>
                <w:rFonts w:ascii="Times New Roman" w:hAnsi="Times New Roman" w:cs="Times New Roman"/>
              </w:rPr>
              <w:t xml:space="preserve"> 4: </w:t>
            </w:r>
            <w:proofErr w:type="spellStart"/>
            <w:r w:rsidRPr="00940822">
              <w:rPr>
                <w:rFonts w:ascii="Times New Roman" w:hAnsi="Times New Roman" w:cs="Times New Roman"/>
              </w:rPr>
              <w:t>rîndul</w:t>
            </w:r>
            <w:proofErr w:type="spellEnd"/>
            <w:r w:rsidRPr="00940822">
              <w:rPr>
                <w:rFonts w:ascii="Times New Roman" w:hAnsi="Times New Roman" w:cs="Times New Roman"/>
              </w:rPr>
              <w:t xml:space="preserve"> 3)</w:t>
            </w:r>
          </w:p>
        </w:tc>
        <w:tc>
          <w:tcPr>
            <w:tcW w:w="1276" w:type="dxa"/>
            <w:vAlign w:val="center"/>
          </w:tcPr>
          <w:p w14:paraId="07F84385" w14:textId="77777777" w:rsidR="00266FD1" w:rsidRPr="00940822" w:rsidRDefault="00266FD1" w:rsidP="00DB5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0822">
              <w:rPr>
                <w:rFonts w:ascii="Times New Roman" w:hAnsi="Times New Roman" w:cs="Times New Roman"/>
              </w:rPr>
              <w:t>coeficient</w:t>
            </w:r>
            <w:proofErr w:type="spellEnd"/>
          </w:p>
        </w:tc>
        <w:tc>
          <w:tcPr>
            <w:tcW w:w="1099" w:type="dxa"/>
            <w:vAlign w:val="center"/>
          </w:tcPr>
          <w:p w14:paraId="5A430BBF" w14:textId="77777777" w:rsidR="00266FD1" w:rsidRPr="00940822" w:rsidRDefault="00266FD1" w:rsidP="00DB503F">
            <w:pPr>
              <w:spacing w:after="120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8236999" w14:textId="77777777" w:rsidR="00667B0E" w:rsidRPr="00981066" w:rsidRDefault="00667B0E" w:rsidP="00A400A2">
      <w:pPr>
        <w:rPr>
          <w:rFonts w:ascii="Times New Roman" w:hAnsi="Times New Roman" w:cs="Times New Roman"/>
          <w:sz w:val="24"/>
          <w:szCs w:val="24"/>
        </w:rPr>
      </w:pPr>
    </w:p>
    <w:p w14:paraId="56EFF1C8" w14:textId="1E959E44" w:rsidR="00F43BB8" w:rsidRPr="00FF5926" w:rsidRDefault="00F43BB8" w:rsidP="000E45C3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98106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nr.</w:t>
      </w:r>
      <w:r w:rsidR="0021531C" w:rsidRPr="00FF5926">
        <w:rPr>
          <w:rFonts w:ascii="Times New Roman" w:hAnsi="Times New Roman" w:cs="Times New Roman"/>
          <w:sz w:val="20"/>
          <w:szCs w:val="20"/>
        </w:rPr>
        <w:t>3</w:t>
      </w:r>
    </w:p>
    <w:p w14:paraId="4E1B7C44" w14:textId="77777777" w:rsidR="00F43BB8" w:rsidRPr="00FF5926" w:rsidRDefault="00E63BF6" w:rsidP="00B45696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FF592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Metodologia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calculare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tarifelor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br/>
      </w:r>
      <w:r w:rsidR="000B7BBE" w:rsidRPr="00FF592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prestate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Instituția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Cadastrul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Imobile</w:t>
      </w:r>
      <w:proofErr w:type="spellEnd"/>
      <w:r w:rsidR="00F43BB8" w:rsidRPr="00FF5926">
        <w:rPr>
          <w:rFonts w:ascii="Times New Roman" w:hAnsi="Times New Roman" w:cs="Times New Roman"/>
          <w:sz w:val="20"/>
          <w:szCs w:val="20"/>
        </w:rPr>
        <w:t> </w:t>
      </w:r>
    </w:p>
    <w:p w14:paraId="555A0C65" w14:textId="77777777" w:rsidR="0000620B" w:rsidRPr="0000620B" w:rsidRDefault="0000620B" w:rsidP="007515D3">
      <w:pPr>
        <w:spacing w:after="12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33209B" w14:textId="228B4EC8" w:rsidR="00F43BB8" w:rsidRPr="00981066" w:rsidRDefault="00F43BB8" w:rsidP="007515D3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Calculul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0E76">
        <w:rPr>
          <w:rFonts w:ascii="Times New Roman" w:hAnsi="Times New Roman" w:cs="Times New Roman"/>
          <w:b/>
          <w:sz w:val="24"/>
          <w:szCs w:val="24"/>
        </w:rPr>
        <w:t>costurilor</w:t>
      </w:r>
      <w:proofErr w:type="spellEnd"/>
      <w:r w:rsidR="00C05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B00"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155B00">
        <w:rPr>
          <w:rFonts w:ascii="Times New Roman" w:hAnsi="Times New Roman" w:cs="Times New Roman"/>
          <w:b/>
          <w:sz w:val="24"/>
          <w:szCs w:val="24"/>
        </w:rPr>
        <w:t>personalul</w:t>
      </w:r>
      <w:proofErr w:type="spellEnd"/>
      <w:r w:rsidR="00155B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B00">
        <w:rPr>
          <w:rFonts w:ascii="Times New Roman" w:hAnsi="Times New Roman" w:cs="Times New Roman"/>
          <w:b/>
          <w:sz w:val="24"/>
          <w:szCs w:val="24"/>
        </w:rPr>
        <w:t>directe</w:t>
      </w:r>
      <w:proofErr w:type="spellEnd"/>
      <w:r w:rsidR="00280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03AF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2803AF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2803AF">
        <w:rPr>
          <w:rFonts w:ascii="Times New Roman" w:hAnsi="Times New Roman" w:cs="Times New Roman"/>
          <w:b/>
          <w:sz w:val="24"/>
          <w:szCs w:val="24"/>
        </w:rPr>
        <w:t>includ</w:t>
      </w:r>
      <w:proofErr w:type="spellEnd"/>
      <w:r w:rsidR="00280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03A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280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03AF">
        <w:rPr>
          <w:rFonts w:ascii="Times New Roman" w:hAnsi="Times New Roman" w:cs="Times New Roman"/>
          <w:b/>
          <w:sz w:val="24"/>
          <w:szCs w:val="24"/>
        </w:rPr>
        <w:t>calculul</w:t>
      </w:r>
      <w:proofErr w:type="spellEnd"/>
      <w:r w:rsidR="00280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03AF">
        <w:rPr>
          <w:rFonts w:ascii="Times New Roman" w:hAnsi="Times New Roman" w:cs="Times New Roman"/>
          <w:b/>
          <w:sz w:val="24"/>
          <w:szCs w:val="24"/>
        </w:rPr>
        <w:t>tarifelor</w:t>
      </w:r>
      <w:proofErr w:type="spellEnd"/>
    </w:p>
    <w:p w14:paraId="5B769EF1" w14:textId="77777777" w:rsidR="00F43BB8" w:rsidRPr="00981066" w:rsidRDefault="00F43BB8" w:rsidP="007515D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____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92"/>
        <w:gridCol w:w="850"/>
        <w:gridCol w:w="993"/>
        <w:gridCol w:w="992"/>
        <w:gridCol w:w="1134"/>
        <w:gridCol w:w="992"/>
        <w:gridCol w:w="1134"/>
        <w:gridCol w:w="992"/>
      </w:tblGrid>
      <w:tr w:rsidR="00155B00" w:rsidRPr="00155B00" w14:paraId="517E8837" w14:textId="77777777" w:rsidTr="00B523A0">
        <w:tc>
          <w:tcPr>
            <w:tcW w:w="534" w:type="dxa"/>
          </w:tcPr>
          <w:p w14:paraId="4E45E1D9" w14:textId="77777777" w:rsidR="0000620B" w:rsidRDefault="0000620B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C0EDF1" w14:textId="77777777" w:rsidR="0000620B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Nr. </w:t>
            </w:r>
          </w:p>
          <w:p w14:paraId="078B14A9" w14:textId="6A3A9F31" w:rsidR="00155B00" w:rsidRPr="00155B00" w:rsidRDefault="00E653DD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d/o</w:t>
            </w:r>
          </w:p>
        </w:tc>
        <w:tc>
          <w:tcPr>
            <w:tcW w:w="1134" w:type="dxa"/>
          </w:tcPr>
          <w:p w14:paraId="7DA43F54" w14:textId="77777777" w:rsidR="00155B00" w:rsidRPr="00155B00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Denumirea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serviciului</w:t>
            </w:r>
            <w:proofErr w:type="spellEnd"/>
          </w:p>
          <w:p w14:paraId="211E729A" w14:textId="77777777" w:rsidR="00155B00" w:rsidRPr="00155B00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1F45CE" w14:textId="77777777" w:rsidR="00155B00" w:rsidRPr="00155B00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Norma de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timp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, minute</w:t>
            </w:r>
          </w:p>
        </w:tc>
        <w:tc>
          <w:tcPr>
            <w:tcW w:w="850" w:type="dxa"/>
          </w:tcPr>
          <w:p w14:paraId="52C5AABB" w14:textId="77777777" w:rsidR="00155B00" w:rsidRPr="00155B00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Salariul</w:t>
            </w:r>
            <w:proofErr w:type="spellEnd"/>
          </w:p>
          <w:p w14:paraId="043398EF" w14:textId="77777777" w:rsidR="00155B00" w:rsidRPr="00155B00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bază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, lei</w:t>
            </w:r>
          </w:p>
        </w:tc>
        <w:tc>
          <w:tcPr>
            <w:tcW w:w="993" w:type="dxa"/>
          </w:tcPr>
          <w:p w14:paraId="4A7EC9DD" w14:textId="77777777" w:rsidR="00155B00" w:rsidRPr="00155B00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Adaosuri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sporuri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alte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plăți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garantate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, lei</w:t>
            </w:r>
          </w:p>
        </w:tc>
        <w:tc>
          <w:tcPr>
            <w:tcW w:w="992" w:type="dxa"/>
          </w:tcPr>
          <w:p w14:paraId="7D12F03C" w14:textId="77777777" w:rsidR="00155B00" w:rsidRPr="00155B00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Prima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alte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plăți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stimulare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, lei</w:t>
            </w:r>
          </w:p>
          <w:p w14:paraId="5A971C8A" w14:textId="77777777" w:rsidR="00155B00" w:rsidRPr="00155B00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2EC5F4" w14:textId="77777777" w:rsidR="00155B00" w:rsidRPr="00155B00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Indemnizaţii</w:t>
            </w:r>
            <w:proofErr w:type="spellEnd"/>
          </w:p>
          <w:p w14:paraId="076D0A18" w14:textId="77777777" w:rsidR="00155B00" w:rsidRPr="00155B00" w:rsidRDefault="00155B00" w:rsidP="00060E76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concediu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(12%), lei</w:t>
            </w:r>
          </w:p>
        </w:tc>
        <w:tc>
          <w:tcPr>
            <w:tcW w:w="992" w:type="dxa"/>
          </w:tcPr>
          <w:p w14:paraId="7D28F649" w14:textId="77777777" w:rsidR="00155B00" w:rsidRPr="00155B00" w:rsidRDefault="00155B00" w:rsidP="0021531C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Costuri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privind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retribuirea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muncii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, lei</w:t>
            </w:r>
          </w:p>
        </w:tc>
        <w:tc>
          <w:tcPr>
            <w:tcW w:w="1134" w:type="dxa"/>
          </w:tcPr>
          <w:p w14:paraId="277D37DF" w14:textId="77777777" w:rsidR="00155B00" w:rsidRPr="00155B00" w:rsidRDefault="00155B00" w:rsidP="00B94B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Contribuţia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asigurări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</w:p>
        </w:tc>
        <w:tc>
          <w:tcPr>
            <w:tcW w:w="992" w:type="dxa"/>
          </w:tcPr>
          <w:p w14:paraId="09D5287A" w14:textId="77777777" w:rsidR="00155B00" w:rsidRPr="00155B00" w:rsidRDefault="00155B00" w:rsidP="00B94B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Costuri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cu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personalul</w:t>
            </w:r>
            <w:proofErr w:type="spellEnd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directe</w:t>
            </w:r>
            <w:proofErr w:type="spellEnd"/>
          </w:p>
        </w:tc>
      </w:tr>
      <w:tr w:rsidR="00155B00" w:rsidRPr="00155B00" w14:paraId="4E8DD85E" w14:textId="77777777" w:rsidTr="00B523A0">
        <w:tc>
          <w:tcPr>
            <w:tcW w:w="534" w:type="dxa"/>
          </w:tcPr>
          <w:p w14:paraId="7E3C9326" w14:textId="77777777" w:rsidR="00155B00" w:rsidRPr="00155B00" w:rsidRDefault="00155B00" w:rsidP="002C5D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4E60B98" w14:textId="77777777" w:rsidR="00155B00" w:rsidRPr="00155B00" w:rsidRDefault="00155B00" w:rsidP="002C5D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857AA8C" w14:textId="77777777" w:rsidR="00155B00" w:rsidRPr="00155B00" w:rsidRDefault="00155B00" w:rsidP="002C5D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16369F18" w14:textId="77777777" w:rsidR="00155B00" w:rsidRPr="00155B00" w:rsidRDefault="00155B00" w:rsidP="002C5D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48821437" w14:textId="77777777" w:rsidR="00155B00" w:rsidRPr="00155B00" w:rsidRDefault="00155B00" w:rsidP="002C5D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5 = col.4 x Cas</w:t>
            </w:r>
          </w:p>
        </w:tc>
        <w:tc>
          <w:tcPr>
            <w:tcW w:w="992" w:type="dxa"/>
          </w:tcPr>
          <w:p w14:paraId="414E5A2C" w14:textId="77777777" w:rsidR="00155B00" w:rsidRPr="00155B00" w:rsidRDefault="00155B00" w:rsidP="00060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6 = col.4 x Cp</w:t>
            </w:r>
          </w:p>
        </w:tc>
        <w:tc>
          <w:tcPr>
            <w:tcW w:w="1134" w:type="dxa"/>
          </w:tcPr>
          <w:p w14:paraId="75E61BCE" w14:textId="77777777" w:rsidR="00155B00" w:rsidRPr="00155B00" w:rsidRDefault="00155B00" w:rsidP="003C624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7 = (col. 4 + 5 + 6) x Cc</w:t>
            </w:r>
          </w:p>
        </w:tc>
        <w:tc>
          <w:tcPr>
            <w:tcW w:w="992" w:type="dxa"/>
          </w:tcPr>
          <w:p w14:paraId="17C5952A" w14:textId="77777777" w:rsidR="00155B00" w:rsidRPr="00155B00" w:rsidRDefault="00155B00" w:rsidP="002153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B00">
              <w:rPr>
                <w:rFonts w:ascii="Times New Roman" w:hAnsi="Times New Roman" w:cs="Times New Roman"/>
                <w:sz w:val="18"/>
                <w:szCs w:val="18"/>
              </w:rPr>
              <w:t>8 = 4+5+6+7</w:t>
            </w:r>
          </w:p>
        </w:tc>
        <w:tc>
          <w:tcPr>
            <w:tcW w:w="1134" w:type="dxa"/>
          </w:tcPr>
          <w:p w14:paraId="11F83252" w14:textId="77777777" w:rsidR="00155B00" w:rsidRPr="00155B00" w:rsidRDefault="00155B00" w:rsidP="00155B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= col. 8*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Cco</w:t>
            </w:r>
            <w:proofErr w:type="spellEnd"/>
          </w:p>
        </w:tc>
        <w:tc>
          <w:tcPr>
            <w:tcW w:w="992" w:type="dxa"/>
          </w:tcPr>
          <w:p w14:paraId="79AF20E5" w14:textId="77777777" w:rsidR="00155B00" w:rsidRPr="00155B00" w:rsidRDefault="00155B00" w:rsidP="002153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= col. 8 + col. 9</w:t>
            </w:r>
          </w:p>
        </w:tc>
      </w:tr>
      <w:tr w:rsidR="00155B00" w:rsidRPr="00981066" w14:paraId="320F167B" w14:textId="77777777" w:rsidTr="00B523A0">
        <w:tc>
          <w:tcPr>
            <w:tcW w:w="534" w:type="dxa"/>
          </w:tcPr>
          <w:p w14:paraId="32B26CA2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E5E91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7EA0BE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E9581E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E63F22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10B2B9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545F6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79D7A4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529048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7614F7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B00" w:rsidRPr="00981066" w14:paraId="53E086B7" w14:textId="77777777" w:rsidTr="00B523A0">
        <w:tc>
          <w:tcPr>
            <w:tcW w:w="534" w:type="dxa"/>
          </w:tcPr>
          <w:p w14:paraId="07DE42DB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77AB0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EA9571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73F248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229304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6ED8CA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FC381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7C0B19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C292C1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84B354" w14:textId="77777777" w:rsidR="00155B00" w:rsidRPr="00981066" w:rsidRDefault="00155B00" w:rsidP="002C5D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F8D5D6" w14:textId="77777777" w:rsidR="00B4254D" w:rsidRDefault="00B4254D" w:rsidP="0045001A">
      <w:pPr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0878F5" w14:textId="77777777" w:rsidR="00E653DD" w:rsidRDefault="00E653DD" w:rsidP="0045001A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9872578" w14:textId="7AAD57A6" w:rsidR="00F43BB8" w:rsidRPr="00FF5926" w:rsidRDefault="00F43BB8" w:rsidP="0045001A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FF5926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nr.</w:t>
      </w:r>
      <w:r w:rsidR="0021531C" w:rsidRPr="00FF5926">
        <w:rPr>
          <w:rFonts w:ascii="Times New Roman" w:hAnsi="Times New Roman" w:cs="Times New Roman"/>
          <w:sz w:val="20"/>
          <w:szCs w:val="20"/>
        </w:rPr>
        <w:t>4</w:t>
      </w:r>
    </w:p>
    <w:p w14:paraId="10B547EF" w14:textId="77777777" w:rsidR="000B7BBE" w:rsidRPr="00FF5926" w:rsidRDefault="004C4672" w:rsidP="00FF5926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FF592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Metodologia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calculare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F5926">
        <w:rPr>
          <w:rFonts w:ascii="Times New Roman" w:hAnsi="Times New Roman" w:cs="Times New Roman"/>
          <w:sz w:val="20"/>
          <w:szCs w:val="20"/>
        </w:rPr>
        <w:t>tarifelor</w:t>
      </w:r>
      <w:proofErr w:type="spellEnd"/>
      <w:r w:rsidRPr="00FF5926">
        <w:rPr>
          <w:rFonts w:ascii="Times New Roman" w:hAnsi="Times New Roman" w:cs="Times New Roman"/>
          <w:sz w:val="20"/>
          <w:szCs w:val="20"/>
        </w:rPr>
        <w:br/>
      </w:r>
      <w:r w:rsidR="000B7BBE" w:rsidRPr="00FF5926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prestate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Instituția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Cadastrul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="000B7BBE" w:rsidRPr="00FF5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FF5926">
        <w:rPr>
          <w:rFonts w:ascii="Times New Roman" w:hAnsi="Times New Roman" w:cs="Times New Roman"/>
          <w:sz w:val="20"/>
          <w:szCs w:val="20"/>
        </w:rPr>
        <w:t>Imobile</w:t>
      </w:r>
      <w:proofErr w:type="spellEnd"/>
    </w:p>
    <w:p w14:paraId="1F672713" w14:textId="77777777" w:rsidR="0000620B" w:rsidRPr="0000620B" w:rsidRDefault="0000620B" w:rsidP="0000620B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7A12D8" w14:textId="0F7F3D81" w:rsidR="00F43BB8" w:rsidRPr="00981066" w:rsidRDefault="00F43BB8" w:rsidP="0045001A">
      <w:pPr>
        <w:spacing w:before="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Calculul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tarifelor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serviciile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prestate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1531C">
        <w:rPr>
          <w:rFonts w:ascii="Times New Roman" w:hAnsi="Times New Roman" w:cs="Times New Roman"/>
          <w:b/>
          <w:sz w:val="24"/>
          <w:szCs w:val="24"/>
        </w:rPr>
        <w:t>Instituția</w:t>
      </w:r>
      <w:proofErr w:type="spellEnd"/>
      <w:r w:rsidR="002153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531C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="002153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531C">
        <w:rPr>
          <w:rFonts w:ascii="Times New Roman" w:hAnsi="Times New Roman" w:cs="Times New Roman"/>
          <w:b/>
          <w:sz w:val="24"/>
          <w:szCs w:val="24"/>
        </w:rPr>
        <w:t>Cadastru</w:t>
      </w:r>
      <w:proofErr w:type="spellEnd"/>
      <w:r w:rsidR="003E608A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2153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531C">
        <w:rPr>
          <w:rFonts w:ascii="Times New Roman" w:hAnsi="Times New Roman" w:cs="Times New Roman"/>
          <w:b/>
          <w:sz w:val="24"/>
          <w:szCs w:val="24"/>
        </w:rPr>
        <w:t>Bunurilor</w:t>
      </w:r>
      <w:proofErr w:type="spellEnd"/>
      <w:r w:rsidR="002153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531C">
        <w:rPr>
          <w:rFonts w:ascii="Times New Roman" w:hAnsi="Times New Roman" w:cs="Times New Roman"/>
          <w:b/>
          <w:sz w:val="24"/>
          <w:szCs w:val="24"/>
        </w:rPr>
        <w:t>Imobile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14:paraId="4C3197D3" w14:textId="77777777" w:rsidR="00F43BB8" w:rsidRPr="00981066" w:rsidRDefault="0045001A" w:rsidP="0045001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981066">
        <w:rPr>
          <w:rFonts w:ascii="Times New Roman" w:hAnsi="Times New Roman" w:cs="Times New Roman"/>
          <w:sz w:val="24"/>
          <w:szCs w:val="24"/>
        </w:rPr>
        <w:t>- lei - </w:t>
      </w:r>
    </w:p>
    <w:tbl>
      <w:tblPr>
        <w:tblStyle w:val="ab"/>
        <w:tblW w:w="99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992"/>
        <w:gridCol w:w="1418"/>
        <w:gridCol w:w="1167"/>
        <w:gridCol w:w="1122"/>
        <w:gridCol w:w="1282"/>
        <w:gridCol w:w="1147"/>
      </w:tblGrid>
      <w:tr w:rsidR="002803AF" w:rsidRPr="002803AF" w14:paraId="33A2BF75" w14:textId="77777777" w:rsidTr="00C3212B">
        <w:trPr>
          <w:trHeight w:val="1036"/>
        </w:trPr>
        <w:tc>
          <w:tcPr>
            <w:tcW w:w="567" w:type="dxa"/>
          </w:tcPr>
          <w:p w14:paraId="426FDAA3" w14:textId="77777777" w:rsidR="00E653DD" w:rsidRDefault="00E653DD" w:rsidP="00C673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A4BB3" w14:textId="65F9FD1B" w:rsidR="002803AF" w:rsidRPr="002803AF" w:rsidRDefault="002803AF" w:rsidP="00C673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2B56E7E6" w14:textId="43B0137D" w:rsidR="002803AF" w:rsidRPr="002803AF" w:rsidRDefault="00E653DD" w:rsidP="00C673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d/o</w:t>
            </w:r>
          </w:p>
        </w:tc>
        <w:tc>
          <w:tcPr>
            <w:tcW w:w="1135" w:type="dxa"/>
          </w:tcPr>
          <w:p w14:paraId="400B1C2D" w14:textId="77777777" w:rsidR="002803AF" w:rsidRPr="002803AF" w:rsidRDefault="002803AF" w:rsidP="00C673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Denumirea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serviciului</w:t>
            </w:r>
            <w:proofErr w:type="spellEnd"/>
          </w:p>
        </w:tc>
        <w:tc>
          <w:tcPr>
            <w:tcW w:w="1134" w:type="dxa"/>
          </w:tcPr>
          <w:p w14:paraId="0544B7FA" w14:textId="77777777" w:rsidR="002803AF" w:rsidRPr="002803AF" w:rsidRDefault="002803AF" w:rsidP="006810C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Costuri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cu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personalul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directe</w:t>
            </w:r>
            <w:proofErr w:type="spellEnd"/>
          </w:p>
        </w:tc>
        <w:tc>
          <w:tcPr>
            <w:tcW w:w="992" w:type="dxa"/>
          </w:tcPr>
          <w:p w14:paraId="3852AC31" w14:textId="77777777" w:rsidR="002803AF" w:rsidRPr="002803AF" w:rsidRDefault="002803AF" w:rsidP="00D175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Costuri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materiale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directe</w:t>
            </w:r>
            <w:proofErr w:type="spellEnd"/>
          </w:p>
        </w:tc>
        <w:tc>
          <w:tcPr>
            <w:tcW w:w="1418" w:type="dxa"/>
          </w:tcPr>
          <w:p w14:paraId="56A49A62" w14:textId="77777777" w:rsidR="002803AF" w:rsidRPr="002803AF" w:rsidRDefault="002803AF" w:rsidP="002C49F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Costuri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indirecte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cheltuieli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operaționale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, total</w:t>
            </w:r>
          </w:p>
        </w:tc>
        <w:tc>
          <w:tcPr>
            <w:tcW w:w="1167" w:type="dxa"/>
          </w:tcPr>
          <w:p w14:paraId="03C37F7E" w14:textId="77777777" w:rsidR="002803AF" w:rsidRPr="002803AF" w:rsidRDefault="002803AF" w:rsidP="00C673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Costuri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cheltuieli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totale</w:t>
            </w:r>
            <w:proofErr w:type="spellEnd"/>
          </w:p>
        </w:tc>
        <w:tc>
          <w:tcPr>
            <w:tcW w:w="1122" w:type="dxa"/>
          </w:tcPr>
          <w:p w14:paraId="7DFEA8BC" w14:textId="77777777" w:rsidR="002803AF" w:rsidRPr="002803AF" w:rsidRDefault="002803AF" w:rsidP="00C673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Marja de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contingență</w:t>
            </w:r>
            <w:proofErr w:type="spellEnd"/>
          </w:p>
        </w:tc>
        <w:tc>
          <w:tcPr>
            <w:tcW w:w="1282" w:type="dxa"/>
          </w:tcPr>
          <w:p w14:paraId="2D9C3BB2" w14:textId="77777777" w:rsidR="002803AF" w:rsidRPr="002803AF" w:rsidRDefault="002803AF" w:rsidP="00C673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Defalcări</w:t>
            </w:r>
            <w:proofErr w:type="spellEnd"/>
          </w:p>
          <w:p w14:paraId="5DAAD7D4" w14:textId="77777777" w:rsidR="002803AF" w:rsidRPr="002803AF" w:rsidRDefault="002803AF" w:rsidP="00C673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 xml:space="preserve"> Fondul de </w:t>
            </w: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garanţie</w:t>
            </w:r>
            <w:proofErr w:type="spellEnd"/>
          </w:p>
        </w:tc>
        <w:tc>
          <w:tcPr>
            <w:tcW w:w="1147" w:type="dxa"/>
          </w:tcPr>
          <w:p w14:paraId="7E26DABF" w14:textId="77777777" w:rsidR="002803AF" w:rsidRPr="002803AF" w:rsidRDefault="002803AF" w:rsidP="00C673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03AF">
              <w:rPr>
                <w:rFonts w:ascii="Times New Roman" w:hAnsi="Times New Roman" w:cs="Times New Roman"/>
                <w:sz w:val="18"/>
                <w:szCs w:val="18"/>
              </w:rPr>
              <w:t>Tariful</w:t>
            </w:r>
            <w:proofErr w:type="spellEnd"/>
          </w:p>
        </w:tc>
      </w:tr>
      <w:tr w:rsidR="002803AF" w:rsidRPr="00981066" w14:paraId="0F573FC3" w14:textId="77777777" w:rsidTr="00B523A0">
        <w:trPr>
          <w:trHeight w:val="334"/>
        </w:trPr>
        <w:tc>
          <w:tcPr>
            <w:tcW w:w="567" w:type="dxa"/>
          </w:tcPr>
          <w:p w14:paraId="0597BEE7" w14:textId="77777777" w:rsidR="002803AF" w:rsidRPr="00981066" w:rsidRDefault="002803AF" w:rsidP="004C4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29835DC4" w14:textId="77777777" w:rsidR="002803AF" w:rsidRPr="00981066" w:rsidRDefault="002803AF" w:rsidP="004C4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B0E45F" w14:textId="77777777" w:rsidR="002803AF" w:rsidRDefault="002803AF" w:rsidP="004C4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035E4E2" w14:textId="77777777" w:rsidR="002803AF" w:rsidRPr="00981066" w:rsidRDefault="002803AF" w:rsidP="00280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E9A79CF" w14:textId="77777777" w:rsidR="002803AF" w:rsidRPr="00981066" w:rsidRDefault="002803AF" w:rsidP="004C4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7" w:type="dxa"/>
          </w:tcPr>
          <w:p w14:paraId="273FCD85" w14:textId="77777777" w:rsidR="002803AF" w:rsidRPr="00981066" w:rsidRDefault="002803AF" w:rsidP="004C4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55BC408E" w14:textId="77777777" w:rsidR="002803AF" w:rsidRPr="00981066" w:rsidRDefault="002803AF" w:rsidP="004C4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</w:tcPr>
          <w:p w14:paraId="32056E3D" w14:textId="77777777" w:rsidR="002803AF" w:rsidRPr="00981066" w:rsidRDefault="002803AF" w:rsidP="004C4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</w:tcPr>
          <w:p w14:paraId="1562EE28" w14:textId="77777777" w:rsidR="002803AF" w:rsidRPr="00981066" w:rsidRDefault="002803AF" w:rsidP="004C46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03AF" w:rsidRPr="00981066" w14:paraId="22BA7116" w14:textId="77777777" w:rsidTr="00B523A0">
        <w:trPr>
          <w:trHeight w:val="334"/>
        </w:trPr>
        <w:tc>
          <w:tcPr>
            <w:tcW w:w="567" w:type="dxa"/>
          </w:tcPr>
          <w:p w14:paraId="2135DD68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A7B8FC9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7E3EA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FF764E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6A5032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5938167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6D83458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F5CEB55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ABD1423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3AF" w:rsidRPr="00981066" w14:paraId="48C022B1" w14:textId="77777777" w:rsidTr="00B523A0">
        <w:trPr>
          <w:trHeight w:val="334"/>
        </w:trPr>
        <w:tc>
          <w:tcPr>
            <w:tcW w:w="567" w:type="dxa"/>
          </w:tcPr>
          <w:p w14:paraId="659121D2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BCB6469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7D1EF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D83BC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388D4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5351C6E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1190ABFD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622BE7B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DF27004" w14:textId="77777777" w:rsidR="002803AF" w:rsidRPr="00981066" w:rsidRDefault="002803AF" w:rsidP="004500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FC6F5" w14:textId="77777777" w:rsidR="00F43BB8" w:rsidRPr="00981066" w:rsidRDefault="00F43BB8" w:rsidP="0045001A">
      <w:pPr>
        <w:contextualSpacing/>
        <w:rPr>
          <w:rFonts w:ascii="Times New Roman" w:hAnsi="Times New Roman" w:cs="Times New Roman"/>
          <w:sz w:val="24"/>
          <w:szCs w:val="24"/>
        </w:rPr>
      </w:pPr>
      <w:r w:rsidRPr="00981066">
        <w:rPr>
          <w:rFonts w:ascii="Times New Roman" w:hAnsi="Times New Roman" w:cs="Times New Roman"/>
          <w:sz w:val="24"/>
          <w:szCs w:val="24"/>
        </w:rPr>
        <w:t> </w:t>
      </w:r>
    </w:p>
    <w:p w14:paraId="5DEF0271" w14:textId="15AB28F2" w:rsidR="00B4254D" w:rsidRPr="0000620B" w:rsidRDefault="00B4254D" w:rsidP="00B4254D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0620B">
        <w:rPr>
          <w:rFonts w:ascii="Times New Roman" w:hAnsi="Times New Roman" w:cs="Times New Roman"/>
          <w:sz w:val="20"/>
          <w:szCs w:val="20"/>
        </w:rPr>
        <w:lastRenderedPageBreak/>
        <w:t>Anexa</w:t>
      </w:r>
      <w:proofErr w:type="spellEnd"/>
      <w:r w:rsidRPr="0000620B">
        <w:rPr>
          <w:rFonts w:ascii="Times New Roman" w:hAnsi="Times New Roman" w:cs="Times New Roman"/>
          <w:sz w:val="20"/>
          <w:szCs w:val="20"/>
        </w:rPr>
        <w:t xml:space="preserve"> nr.5</w:t>
      </w:r>
    </w:p>
    <w:p w14:paraId="353D90FA" w14:textId="77777777" w:rsidR="00423F97" w:rsidRPr="0000620B" w:rsidRDefault="00B4254D" w:rsidP="0000620B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00620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00620B">
        <w:rPr>
          <w:rFonts w:ascii="Times New Roman" w:hAnsi="Times New Roman" w:cs="Times New Roman"/>
          <w:sz w:val="20"/>
          <w:szCs w:val="20"/>
        </w:rPr>
        <w:t>Metodologia</w:t>
      </w:r>
      <w:proofErr w:type="spellEnd"/>
      <w:r w:rsidRPr="0000620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0620B">
        <w:rPr>
          <w:rFonts w:ascii="Times New Roman" w:hAnsi="Times New Roman" w:cs="Times New Roman"/>
          <w:sz w:val="20"/>
          <w:szCs w:val="20"/>
        </w:rPr>
        <w:t>calculare</w:t>
      </w:r>
      <w:proofErr w:type="spellEnd"/>
      <w:r w:rsidRPr="0000620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00620B">
        <w:rPr>
          <w:rFonts w:ascii="Times New Roman" w:hAnsi="Times New Roman" w:cs="Times New Roman"/>
          <w:sz w:val="20"/>
          <w:szCs w:val="20"/>
        </w:rPr>
        <w:t>tarifelor</w:t>
      </w:r>
      <w:proofErr w:type="spellEnd"/>
      <w:r w:rsidRPr="0000620B">
        <w:rPr>
          <w:rFonts w:ascii="Times New Roman" w:hAnsi="Times New Roman" w:cs="Times New Roman"/>
          <w:sz w:val="20"/>
          <w:szCs w:val="20"/>
        </w:rPr>
        <w:br/>
      </w:r>
      <w:r w:rsidR="000B7BBE" w:rsidRPr="0000620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prestate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Instituția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Cadastrul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Imobile</w:t>
      </w:r>
      <w:proofErr w:type="spellEnd"/>
    </w:p>
    <w:p w14:paraId="24946956" w14:textId="77777777" w:rsidR="00423F97" w:rsidRPr="00DB503F" w:rsidRDefault="00423F97" w:rsidP="00423F9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503F">
        <w:rPr>
          <w:rFonts w:ascii="Times New Roman" w:hAnsi="Times New Roman" w:cs="Times New Roman"/>
          <w:b/>
          <w:sz w:val="24"/>
          <w:szCs w:val="24"/>
          <w:lang w:val="ro-RO"/>
        </w:rPr>
        <w:t>Coeficienții de majorare a tarifelor la serviciile prestate conform opțiunii de urgență</w:t>
      </w:r>
    </w:p>
    <w:tbl>
      <w:tblPr>
        <w:tblpPr w:leftFromText="180" w:rightFromText="180" w:vertAnchor="text" w:horzAnchor="margin" w:tblpY="137"/>
        <w:tblW w:w="8755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417"/>
        <w:gridCol w:w="1418"/>
        <w:gridCol w:w="1417"/>
      </w:tblGrid>
      <w:tr w:rsidR="00423F97" w:rsidRPr="008E3782" w14:paraId="49DE704E" w14:textId="77777777" w:rsidTr="00B94B6D">
        <w:trPr>
          <w:trHeight w:val="963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63D41035" w14:textId="77777777" w:rsidR="00423F97" w:rsidRPr="008E3782" w:rsidRDefault="00423F97" w:rsidP="0000620B">
            <w:pPr>
              <w:spacing w:before="0" w:after="0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Termen maximal contra </w:t>
            </w:r>
            <w:r w:rsidRPr="008E3782">
              <w:rPr>
                <w:rFonts w:ascii="Times New Roman" w:hAnsi="Times New Roman" w:cs="Times New Roman"/>
                <w:b/>
                <w:bCs/>
                <w:lang w:val="ro-RO" w:eastAsia="ru-RU"/>
              </w:rPr>
              <w:br/>
            </w:r>
            <w:proofErr w:type="spellStart"/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plată</w:t>
            </w:r>
            <w:proofErr w:type="spellEnd"/>
          </w:p>
          <w:p w14:paraId="597EB491" w14:textId="77777777" w:rsidR="00423F97" w:rsidRPr="008E3782" w:rsidRDefault="00423F97" w:rsidP="0000620B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val="ro-RO" w:eastAsia="ru-RU"/>
              </w:rPr>
              <w:t>Termene disponibile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76059DF" w14:textId="77777777" w:rsidR="0000620B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o-MD"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15 zi</w:t>
            </w:r>
            <w:proofErr w:type="spellStart"/>
            <w:r w:rsidRPr="008E3782">
              <w:rPr>
                <w:rFonts w:ascii="Times New Roman" w:hAnsi="Times New Roman" w:cs="Times New Roman"/>
                <w:b/>
                <w:bCs/>
                <w:lang w:val="ru-RU" w:eastAsia="ru-RU"/>
              </w:rPr>
              <w:t>le</w:t>
            </w:r>
            <w:proofErr w:type="spellEnd"/>
          </w:p>
          <w:p w14:paraId="6CE20D6B" w14:textId="4B8062EF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val="ro-RO" w:eastAsia="ru-RU"/>
              </w:rPr>
              <w:t>lucrătoare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729AD8B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val="ro-RO" w:eastAsia="ru-RU"/>
              </w:rPr>
              <w:t>10 zile lucrătoare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4F38815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val="ro-RO" w:eastAsia="ru-RU"/>
              </w:rPr>
              <w:t>7 zile lucrătoare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DB87EA0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zile</w:t>
            </w:r>
            <w:proofErr w:type="spellEnd"/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E3782">
              <w:rPr>
                <w:rFonts w:ascii="Times New Roman" w:hAnsi="Times New Roman" w:cs="Times New Roman"/>
                <w:b/>
                <w:bCs/>
                <w:lang w:val="ro-RO" w:eastAsia="ru-RU"/>
              </w:rPr>
              <w:t>lucrătoare</w:t>
            </w:r>
          </w:p>
        </w:tc>
      </w:tr>
      <w:tr w:rsidR="00423F97" w:rsidRPr="008E3782" w14:paraId="4336C74E" w14:textId="77777777" w:rsidTr="00B94B6D">
        <w:trPr>
          <w:trHeight w:val="466"/>
        </w:trPr>
        <w:tc>
          <w:tcPr>
            <w:tcW w:w="30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324E" w14:textId="58FDE1D9" w:rsidR="00423F97" w:rsidRPr="008E3782" w:rsidRDefault="00423F97" w:rsidP="0000620B">
            <w:pPr>
              <w:spacing w:before="0" w:after="0"/>
              <w:rPr>
                <w:rFonts w:ascii="Times New Roman" w:hAnsi="Times New Roman" w:cs="Times New Roman"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 xml:space="preserve">15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zile</w:t>
            </w:r>
            <w:proofErr w:type="spellEnd"/>
            <w:r w:rsidR="00F43ECC" w:rsidRPr="008E3782">
              <w:rPr>
                <w:rFonts w:ascii="Times New Roman" w:hAnsi="Times New Roman" w:cs="Times New Roman"/>
                <w:bCs/>
                <w:lang w:val="ro-MD" w:eastAsia="ru-RU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lucr</w:t>
            </w:r>
            <w:r w:rsidRPr="008E3782">
              <w:rPr>
                <w:rFonts w:ascii="Times New Roman" w:hAnsi="Times New Roman" w:cs="Times New Roman"/>
                <w:bCs/>
                <w:lang w:eastAsia="ru-RU"/>
              </w:rPr>
              <w:t>ătoare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CF99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604C4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810E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FC95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423F97" w:rsidRPr="008E3782" w14:paraId="058A4CF6" w14:textId="77777777" w:rsidTr="00B94B6D">
        <w:trPr>
          <w:trHeight w:val="11"/>
        </w:trPr>
        <w:tc>
          <w:tcPr>
            <w:tcW w:w="30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D9BF" w14:textId="1ECE1587" w:rsidR="00423F97" w:rsidRPr="008E3782" w:rsidRDefault="00423F97" w:rsidP="0000620B">
            <w:pPr>
              <w:spacing w:before="0" w:after="0"/>
              <w:rPr>
                <w:rFonts w:ascii="Times New Roman" w:hAnsi="Times New Roman" w:cs="Times New Roman"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 xml:space="preserve">10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zile</w:t>
            </w:r>
            <w:proofErr w:type="spellEnd"/>
            <w:r w:rsidR="00F43ECC" w:rsidRPr="008E3782">
              <w:rPr>
                <w:rFonts w:ascii="Times New Roman" w:hAnsi="Times New Roman" w:cs="Times New Roman"/>
                <w:bCs/>
                <w:lang w:val="ro-MD" w:eastAsia="ru-RU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lucr</w:t>
            </w:r>
            <w:r w:rsidRPr="008E3782">
              <w:rPr>
                <w:rFonts w:ascii="Times New Roman" w:hAnsi="Times New Roman" w:cs="Times New Roman"/>
                <w:bCs/>
                <w:lang w:eastAsia="ru-RU"/>
              </w:rPr>
              <w:t>ătoare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921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618A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val="ro-RO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A9DA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2C4F1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423F97" w:rsidRPr="008E3782" w14:paraId="63649845" w14:textId="77777777" w:rsidTr="00B94B6D">
        <w:trPr>
          <w:trHeight w:val="11"/>
        </w:trPr>
        <w:tc>
          <w:tcPr>
            <w:tcW w:w="30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3324" w14:textId="631CB1C2" w:rsidR="00423F97" w:rsidRPr="008E3782" w:rsidRDefault="00423F97" w:rsidP="0000620B">
            <w:pPr>
              <w:spacing w:before="0" w:after="0"/>
              <w:rPr>
                <w:rFonts w:ascii="Times New Roman" w:hAnsi="Times New Roman" w:cs="Times New Roman"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 xml:space="preserve">7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zile</w:t>
            </w:r>
            <w:proofErr w:type="spellEnd"/>
            <w:r w:rsidR="00F43ECC" w:rsidRPr="008E3782">
              <w:rPr>
                <w:rFonts w:ascii="Times New Roman" w:hAnsi="Times New Roman" w:cs="Times New Roman"/>
                <w:bCs/>
                <w:lang w:val="ro-MD" w:eastAsia="ru-RU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lucr</w:t>
            </w:r>
            <w:r w:rsidRPr="008E3782">
              <w:rPr>
                <w:rFonts w:ascii="Times New Roman" w:hAnsi="Times New Roman" w:cs="Times New Roman"/>
                <w:bCs/>
                <w:lang w:eastAsia="ru-RU"/>
              </w:rPr>
              <w:t>ătoare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A148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4F949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CDA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8C6B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423F97" w:rsidRPr="008E3782" w14:paraId="339678C9" w14:textId="77777777" w:rsidTr="00B94B6D">
        <w:trPr>
          <w:trHeight w:val="11"/>
        </w:trPr>
        <w:tc>
          <w:tcPr>
            <w:tcW w:w="30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8023" w14:textId="5EDC57E3" w:rsidR="00423F97" w:rsidRPr="008E3782" w:rsidRDefault="00423F97" w:rsidP="0000620B">
            <w:pPr>
              <w:spacing w:before="0" w:after="0"/>
              <w:rPr>
                <w:rFonts w:ascii="Times New Roman" w:hAnsi="Times New Roman" w:cs="Times New Roman"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 xml:space="preserve">3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zile</w:t>
            </w:r>
            <w:proofErr w:type="spellEnd"/>
            <w:r w:rsidR="00F43ECC" w:rsidRPr="008E3782">
              <w:rPr>
                <w:rFonts w:ascii="Times New Roman" w:hAnsi="Times New Roman" w:cs="Times New Roman"/>
                <w:bCs/>
                <w:lang w:val="ro-MD" w:eastAsia="ru-RU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lucr</w:t>
            </w:r>
            <w:r w:rsidRPr="008E3782">
              <w:rPr>
                <w:rFonts w:ascii="Times New Roman" w:hAnsi="Times New Roman" w:cs="Times New Roman"/>
                <w:bCs/>
                <w:lang w:eastAsia="ru-RU"/>
              </w:rPr>
              <w:t>ătoare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75DD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86D23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6FD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87F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423F97" w:rsidRPr="008E3782" w14:paraId="3AE5F6FF" w14:textId="77777777" w:rsidTr="00B94B6D">
        <w:trPr>
          <w:trHeight w:val="11"/>
        </w:trPr>
        <w:tc>
          <w:tcPr>
            <w:tcW w:w="30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76C9" w14:textId="46247555" w:rsidR="00423F97" w:rsidRPr="008E3782" w:rsidRDefault="00423F97" w:rsidP="0000620B">
            <w:pPr>
              <w:spacing w:before="0" w:after="0"/>
              <w:rPr>
                <w:rFonts w:ascii="Times New Roman" w:hAnsi="Times New Roman" w:cs="Times New Roman"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 xml:space="preserve">1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zi</w:t>
            </w:r>
            <w:proofErr w:type="spellEnd"/>
            <w:r w:rsidR="00F43ECC" w:rsidRPr="008E3782">
              <w:rPr>
                <w:rFonts w:ascii="Times New Roman" w:hAnsi="Times New Roman" w:cs="Times New Roman"/>
                <w:bCs/>
                <w:lang w:val="ro-MD" w:eastAsia="ru-RU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lucr</w:t>
            </w:r>
            <w:r w:rsidRPr="008E3782">
              <w:rPr>
                <w:rFonts w:ascii="Times New Roman" w:hAnsi="Times New Roman" w:cs="Times New Roman"/>
                <w:bCs/>
                <w:lang w:eastAsia="ru-RU"/>
              </w:rPr>
              <w:t>ătoare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C699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3A8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val="ro-RO"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E96A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31D8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423F97" w:rsidRPr="008E3782" w14:paraId="32295F76" w14:textId="77777777" w:rsidTr="00B94B6D">
        <w:trPr>
          <w:trHeight w:val="11"/>
        </w:trPr>
        <w:tc>
          <w:tcPr>
            <w:tcW w:w="30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7213" w14:textId="08A474EA" w:rsidR="00423F97" w:rsidRPr="008E3782" w:rsidRDefault="00423F97" w:rsidP="0000620B">
            <w:pPr>
              <w:spacing w:before="0" w:after="0"/>
              <w:rPr>
                <w:rFonts w:ascii="Times New Roman" w:hAnsi="Times New Roman" w:cs="Times New Roman"/>
                <w:bCs/>
                <w:lang w:val="ru-RU" w:eastAsia="ru-RU"/>
              </w:rPr>
            </w:pP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În</w:t>
            </w:r>
            <w:proofErr w:type="spellEnd"/>
            <w:r w:rsidR="00F43ECC" w:rsidRPr="008E3782">
              <w:rPr>
                <w:rFonts w:ascii="Times New Roman" w:hAnsi="Times New Roman" w:cs="Times New Roman"/>
                <w:bCs/>
                <w:lang w:val="ro-MD" w:eastAsia="ru-RU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ziua</w:t>
            </w:r>
            <w:proofErr w:type="spellEnd"/>
            <w:r w:rsidR="00F43ECC" w:rsidRPr="008E3782">
              <w:rPr>
                <w:rFonts w:ascii="Times New Roman" w:hAnsi="Times New Roman" w:cs="Times New Roman"/>
                <w:bCs/>
                <w:lang w:val="ro-MD" w:eastAsia="ru-RU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lang w:val="ru-RU" w:eastAsia="ru-RU"/>
              </w:rPr>
              <w:t>adresării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09C9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376A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BDB8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F802" w14:textId="77777777" w:rsidR="00423F97" w:rsidRPr="008E3782" w:rsidRDefault="00423F97" w:rsidP="000062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3782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</w:tbl>
    <w:p w14:paraId="783FF9B8" w14:textId="77777777" w:rsidR="00423F97" w:rsidRDefault="00423F97" w:rsidP="00B425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5C0F77" w14:textId="77777777" w:rsidR="00423F97" w:rsidRDefault="00423F97" w:rsidP="00B425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CA1960" w14:textId="77777777" w:rsidR="00423F97" w:rsidRDefault="00423F97" w:rsidP="00B425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3C6D36" w14:textId="77777777" w:rsidR="00423F97" w:rsidRDefault="00423F97" w:rsidP="00B425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369BD8" w14:textId="77777777" w:rsidR="00423F97" w:rsidRDefault="00423F97" w:rsidP="00B425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055E2C" w14:textId="77777777" w:rsidR="00423F97" w:rsidRDefault="00423F97" w:rsidP="00B425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79E103" w14:textId="77777777" w:rsidR="00FA7A1C" w:rsidRPr="0000620B" w:rsidRDefault="006C595D" w:rsidP="0000620B">
      <w:pPr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0620B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00620B">
        <w:rPr>
          <w:rFonts w:ascii="Times New Roman" w:hAnsi="Times New Roman" w:cs="Times New Roman"/>
          <w:sz w:val="20"/>
          <w:szCs w:val="20"/>
        </w:rPr>
        <w:t xml:space="preserve"> nr.</w:t>
      </w:r>
      <w:r w:rsidR="00407747" w:rsidRPr="0000620B">
        <w:rPr>
          <w:rFonts w:ascii="Times New Roman" w:hAnsi="Times New Roman" w:cs="Times New Roman"/>
          <w:sz w:val="20"/>
          <w:szCs w:val="20"/>
        </w:rPr>
        <w:t>6</w:t>
      </w:r>
      <w:r w:rsidRPr="0000620B">
        <w:rPr>
          <w:rFonts w:ascii="Times New Roman" w:hAnsi="Times New Roman" w:cs="Times New Roman"/>
          <w:sz w:val="20"/>
          <w:szCs w:val="20"/>
        </w:rPr>
        <w:br/>
        <w:t xml:space="preserve">la </w:t>
      </w:r>
      <w:proofErr w:type="spellStart"/>
      <w:r w:rsidRPr="0000620B">
        <w:rPr>
          <w:rFonts w:ascii="Times New Roman" w:hAnsi="Times New Roman" w:cs="Times New Roman"/>
          <w:sz w:val="20"/>
          <w:szCs w:val="20"/>
        </w:rPr>
        <w:t>Metodologia</w:t>
      </w:r>
      <w:proofErr w:type="spellEnd"/>
      <w:r w:rsidRPr="0000620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0620B">
        <w:rPr>
          <w:rFonts w:ascii="Times New Roman" w:hAnsi="Times New Roman" w:cs="Times New Roman"/>
          <w:sz w:val="20"/>
          <w:szCs w:val="20"/>
        </w:rPr>
        <w:t>calculare</w:t>
      </w:r>
      <w:proofErr w:type="spellEnd"/>
      <w:r w:rsidRPr="0000620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00620B">
        <w:rPr>
          <w:rFonts w:ascii="Times New Roman" w:hAnsi="Times New Roman" w:cs="Times New Roman"/>
          <w:sz w:val="20"/>
          <w:szCs w:val="20"/>
        </w:rPr>
        <w:t>tarifelor</w:t>
      </w:r>
      <w:proofErr w:type="spellEnd"/>
      <w:r w:rsidRPr="0000620B">
        <w:rPr>
          <w:rFonts w:ascii="Times New Roman" w:hAnsi="Times New Roman" w:cs="Times New Roman"/>
          <w:sz w:val="20"/>
          <w:szCs w:val="20"/>
        </w:rPr>
        <w:br/>
      </w:r>
      <w:r w:rsidR="000B7BBE" w:rsidRPr="0000620B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prestate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Instituția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Cadastrul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="000B7BBE" w:rsidRPr="00006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7BBE" w:rsidRPr="0000620B">
        <w:rPr>
          <w:rFonts w:ascii="Times New Roman" w:hAnsi="Times New Roman" w:cs="Times New Roman"/>
          <w:sz w:val="20"/>
          <w:szCs w:val="20"/>
        </w:rPr>
        <w:t>Imobile</w:t>
      </w:r>
      <w:proofErr w:type="spellEnd"/>
    </w:p>
    <w:p w14:paraId="17520AD7" w14:textId="77777777" w:rsidR="008E3782" w:rsidRPr="008E3782" w:rsidRDefault="008E3782" w:rsidP="008E3782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7DD3C1" w14:textId="2E0BD75E" w:rsidR="006C595D" w:rsidRDefault="00FA7A1C" w:rsidP="008E3782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Categoriile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prestate</w:t>
      </w:r>
      <w:proofErr w:type="spellEnd"/>
      <w:r w:rsidRPr="00981066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981066">
        <w:rPr>
          <w:rFonts w:ascii="Times New Roman" w:hAnsi="Times New Roman" w:cs="Times New Roman"/>
          <w:b/>
          <w:sz w:val="24"/>
          <w:szCs w:val="24"/>
        </w:rPr>
        <w:t>înlesniri</w:t>
      </w:r>
      <w:proofErr w:type="spellEnd"/>
    </w:p>
    <w:p w14:paraId="76EAF026" w14:textId="77777777" w:rsidR="008E3782" w:rsidRPr="008E3782" w:rsidRDefault="008E3782" w:rsidP="008E3782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268"/>
      </w:tblGrid>
      <w:tr w:rsidR="00013E95" w:rsidRPr="008E3782" w14:paraId="24204BE4" w14:textId="77777777" w:rsidTr="002E299B">
        <w:tc>
          <w:tcPr>
            <w:tcW w:w="534" w:type="dxa"/>
          </w:tcPr>
          <w:p w14:paraId="63317E7C" w14:textId="77777777" w:rsidR="00013E95" w:rsidRPr="008E3782" w:rsidRDefault="00013E95" w:rsidP="002E299B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 xml:space="preserve">Nr. </w:t>
            </w:r>
            <w:r w:rsidR="00760438" w:rsidRPr="008E3782">
              <w:rPr>
                <w:rFonts w:ascii="Times New Roman" w:hAnsi="Times New Roman" w:cs="Times New Roman"/>
              </w:rPr>
              <w:t>d/o</w:t>
            </w:r>
          </w:p>
        </w:tc>
        <w:tc>
          <w:tcPr>
            <w:tcW w:w="6662" w:type="dxa"/>
          </w:tcPr>
          <w:p w14:paraId="7CCE400C" w14:textId="77777777" w:rsidR="00013E95" w:rsidRPr="008E3782" w:rsidRDefault="00760438" w:rsidP="002E299B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Denumirea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34B7" w:rsidRPr="008E3782">
              <w:rPr>
                <w:rFonts w:ascii="Times New Roman" w:hAnsi="Times New Roman" w:cs="Times New Roman"/>
              </w:rPr>
              <w:t>categoriilor</w:t>
            </w:r>
            <w:proofErr w:type="spellEnd"/>
            <w:r w:rsidR="009C34B7"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serviciilor</w:t>
            </w:r>
            <w:proofErr w:type="spellEnd"/>
          </w:p>
        </w:tc>
        <w:tc>
          <w:tcPr>
            <w:tcW w:w="2268" w:type="dxa"/>
          </w:tcPr>
          <w:p w14:paraId="0F7C06DF" w14:textId="77777777" w:rsidR="00013E95" w:rsidRPr="008E3782" w:rsidRDefault="00760438" w:rsidP="002E299B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Tariful</w:t>
            </w:r>
            <w:proofErr w:type="spellEnd"/>
          </w:p>
        </w:tc>
      </w:tr>
      <w:tr w:rsidR="00013E95" w:rsidRPr="008E3782" w14:paraId="6E9250CB" w14:textId="77777777" w:rsidTr="002E299B">
        <w:tc>
          <w:tcPr>
            <w:tcW w:w="534" w:type="dxa"/>
            <w:vAlign w:val="center"/>
          </w:tcPr>
          <w:p w14:paraId="060C2A1F" w14:textId="77777777" w:rsidR="00013E95" w:rsidRPr="008E3782" w:rsidRDefault="00013E95" w:rsidP="002E29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vAlign w:val="center"/>
          </w:tcPr>
          <w:p w14:paraId="1BB894E5" w14:textId="77777777" w:rsidR="00013E95" w:rsidRPr="008E3782" w:rsidRDefault="00760438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Înregistrarea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dreptului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proprietate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în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temeiul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certificatului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moştenitor</w:t>
            </w:r>
            <w:proofErr w:type="spellEnd"/>
          </w:p>
        </w:tc>
        <w:tc>
          <w:tcPr>
            <w:tcW w:w="2268" w:type="dxa"/>
            <w:vAlign w:val="center"/>
          </w:tcPr>
          <w:p w14:paraId="1334E06C" w14:textId="77777777" w:rsidR="00013E95" w:rsidRPr="008E3782" w:rsidRDefault="00760438" w:rsidP="002E299B">
            <w:pPr>
              <w:contextualSpacing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 xml:space="preserve">Cu </w:t>
            </w:r>
            <w:proofErr w:type="spellStart"/>
            <w:r w:rsidRPr="008E3782">
              <w:rPr>
                <w:rFonts w:ascii="Times New Roman" w:hAnsi="Times New Roman" w:cs="Times New Roman"/>
              </w:rPr>
              <w:t>reducere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50 la </w:t>
            </w:r>
            <w:proofErr w:type="spellStart"/>
            <w:r w:rsidRPr="008E3782">
              <w:rPr>
                <w:rFonts w:ascii="Times New Roman" w:hAnsi="Times New Roman" w:cs="Times New Roman"/>
              </w:rPr>
              <w:t>sută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E3782">
              <w:rPr>
                <w:rFonts w:ascii="Times New Roman" w:hAnsi="Times New Roman" w:cs="Times New Roman"/>
              </w:rPr>
              <w:t>tariful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stabilit</w:t>
            </w:r>
            <w:proofErr w:type="spellEnd"/>
          </w:p>
        </w:tc>
      </w:tr>
      <w:tr w:rsidR="00760438" w:rsidRPr="008E3782" w14:paraId="3B01DC62" w14:textId="77777777" w:rsidTr="002E299B">
        <w:tc>
          <w:tcPr>
            <w:tcW w:w="534" w:type="dxa"/>
            <w:vAlign w:val="center"/>
          </w:tcPr>
          <w:p w14:paraId="7E327979" w14:textId="77777777" w:rsidR="00760438" w:rsidRPr="008E3782" w:rsidRDefault="00760438" w:rsidP="002E29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vAlign w:val="center"/>
          </w:tcPr>
          <w:p w14:paraId="716B0F5D" w14:textId="77777777" w:rsidR="00760438" w:rsidRPr="008E3782" w:rsidRDefault="00760438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Înregistrarea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ipotecii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pentru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8E3782">
              <w:rPr>
                <w:rFonts w:ascii="Times New Roman" w:hAnsi="Times New Roman" w:cs="Times New Roman"/>
              </w:rPr>
              <w:t>şi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mai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multe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terenuri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destinaţie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agricolă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aceluiaşi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2268" w:type="dxa"/>
            <w:vAlign w:val="center"/>
          </w:tcPr>
          <w:p w14:paraId="33395F18" w14:textId="77777777" w:rsidR="00760438" w:rsidRPr="008E3782" w:rsidRDefault="00760438" w:rsidP="002E299B">
            <w:pPr>
              <w:contextualSpacing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 xml:space="preserve">Cu </w:t>
            </w:r>
            <w:proofErr w:type="spellStart"/>
            <w:r w:rsidRPr="008E3782">
              <w:rPr>
                <w:rFonts w:ascii="Times New Roman" w:hAnsi="Times New Roman" w:cs="Times New Roman"/>
              </w:rPr>
              <w:t>reducere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50 la </w:t>
            </w:r>
            <w:proofErr w:type="spellStart"/>
            <w:r w:rsidRPr="008E3782">
              <w:rPr>
                <w:rFonts w:ascii="Times New Roman" w:hAnsi="Times New Roman" w:cs="Times New Roman"/>
              </w:rPr>
              <w:t>sută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E3782">
              <w:rPr>
                <w:rFonts w:ascii="Times New Roman" w:hAnsi="Times New Roman" w:cs="Times New Roman"/>
              </w:rPr>
              <w:t>tariful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stabilit</w:t>
            </w:r>
            <w:proofErr w:type="spellEnd"/>
          </w:p>
        </w:tc>
      </w:tr>
      <w:tr w:rsidR="00700BFE" w:rsidRPr="008E3782" w14:paraId="44FFA576" w14:textId="77777777" w:rsidTr="002E299B">
        <w:tc>
          <w:tcPr>
            <w:tcW w:w="534" w:type="dxa"/>
            <w:vAlign w:val="center"/>
          </w:tcPr>
          <w:p w14:paraId="51706C13" w14:textId="77777777" w:rsidR="00700BFE" w:rsidRPr="008E3782" w:rsidRDefault="00700BFE" w:rsidP="002E29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  <w:vAlign w:val="center"/>
          </w:tcPr>
          <w:p w14:paraId="60EEF1E3" w14:textId="77777777" w:rsidR="00700BFE" w:rsidRPr="008E3782" w:rsidRDefault="00700BFE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Notarea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arendei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asupra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două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şi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mai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multe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terenuri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agricolă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aceluiaşi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2268" w:type="dxa"/>
            <w:vAlign w:val="center"/>
          </w:tcPr>
          <w:p w14:paraId="49C27B43" w14:textId="77777777" w:rsidR="00700BFE" w:rsidRPr="008E3782" w:rsidRDefault="00700BFE" w:rsidP="002E299B">
            <w:pPr>
              <w:contextualSpacing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 xml:space="preserve">Cu </w:t>
            </w:r>
            <w:proofErr w:type="spellStart"/>
            <w:r w:rsidRPr="008E3782">
              <w:rPr>
                <w:rFonts w:ascii="Times New Roman" w:hAnsi="Times New Roman" w:cs="Times New Roman"/>
              </w:rPr>
              <w:t>reducere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50 la </w:t>
            </w:r>
            <w:proofErr w:type="spellStart"/>
            <w:r w:rsidRPr="008E3782">
              <w:rPr>
                <w:rFonts w:ascii="Times New Roman" w:hAnsi="Times New Roman" w:cs="Times New Roman"/>
              </w:rPr>
              <w:t>sută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E3782">
              <w:rPr>
                <w:rFonts w:ascii="Times New Roman" w:hAnsi="Times New Roman" w:cs="Times New Roman"/>
              </w:rPr>
              <w:t>tariful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stabilit</w:t>
            </w:r>
            <w:proofErr w:type="spellEnd"/>
          </w:p>
        </w:tc>
      </w:tr>
      <w:tr w:rsidR="00700BFE" w:rsidRPr="008E3782" w14:paraId="67403F4A" w14:textId="77777777" w:rsidTr="002E299B">
        <w:tc>
          <w:tcPr>
            <w:tcW w:w="534" w:type="dxa"/>
            <w:vAlign w:val="center"/>
          </w:tcPr>
          <w:p w14:paraId="1E7B7DD4" w14:textId="77777777" w:rsidR="00700BFE" w:rsidRPr="008E3782" w:rsidRDefault="004D1C3C" w:rsidP="002E29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  <w:vAlign w:val="center"/>
          </w:tcPr>
          <w:p w14:paraId="0296FF51" w14:textId="77777777" w:rsidR="00700BFE" w:rsidRPr="008E3782" w:rsidRDefault="00B30C63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Eliberarea</w:t>
            </w:r>
            <w:proofErr w:type="spellEnd"/>
            <w:r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extrasel</w:t>
            </w:r>
            <w:r w:rsidR="004D1C3C" w:rsidRPr="008E3782">
              <w:rPr>
                <w:rFonts w:ascii="Times New Roman" w:hAnsi="Times New Roman" w:cs="Times New Roman"/>
                <w:bCs/>
              </w:rPr>
              <w:t>or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resursele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informaționale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ale </w:t>
            </w:r>
            <w:proofErr w:type="spellStart"/>
            <w:r w:rsidR="004D1C3C" w:rsidRPr="008E3782">
              <w:rPr>
                <w:rFonts w:ascii="Times New Roman" w:hAnsi="Times New Roman" w:cs="Times New Roman"/>
              </w:rPr>
              <w:t>Instituției</w:t>
            </w:r>
            <w:proofErr w:type="spellEnd"/>
            <w:r w:rsidR="004D1C3C"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</w:rPr>
              <w:t>Publice</w:t>
            </w:r>
            <w:proofErr w:type="spellEnd"/>
            <w:r w:rsidR="004D1C3C"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</w:rPr>
              <w:t>Cadastrul</w:t>
            </w:r>
            <w:proofErr w:type="spellEnd"/>
            <w:r w:rsidR="004D1C3C"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</w:rPr>
              <w:t>Bunurilor</w:t>
            </w:r>
            <w:proofErr w:type="spellEnd"/>
            <w:r w:rsidR="004D1C3C"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</w:rPr>
              <w:t>Imobile</w:t>
            </w:r>
            <w:proofErr w:type="spellEnd"/>
            <w:r w:rsidRPr="008E3782">
              <w:rPr>
                <w:rFonts w:ascii="Times New Roman" w:hAnsi="Times New Roman" w:cs="Times New Roman"/>
                <w:bCs/>
              </w:rPr>
              <w:t xml:space="preserve">, </w:t>
            </w:r>
            <w:r w:rsidRPr="008E3782">
              <w:rPr>
                <w:rFonts w:ascii="Times New Roman" w:hAnsi="Times New Roman" w:cs="Times New Roman"/>
                <w:bCs/>
                <w:i/>
              </w:rPr>
              <w:t xml:space="preserve">pe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i/>
              </w:rPr>
              <w:t>suport</w:t>
            </w:r>
            <w:proofErr w:type="spellEnd"/>
            <w:r w:rsidRPr="008E3782">
              <w:rPr>
                <w:rFonts w:ascii="Times New Roman" w:hAnsi="Times New Roman" w:cs="Times New Roman"/>
                <w:bCs/>
                <w:i/>
              </w:rPr>
              <w:t xml:space="preserve"> de </w:t>
            </w:r>
            <w:proofErr w:type="spellStart"/>
            <w:r w:rsidRPr="008E3782">
              <w:rPr>
                <w:rFonts w:ascii="Times New Roman" w:hAnsi="Times New Roman" w:cs="Times New Roman"/>
                <w:bCs/>
                <w:i/>
              </w:rPr>
              <w:t>hârtie</w:t>
            </w:r>
            <w:proofErr w:type="spellEnd"/>
            <w:r w:rsidR="009E7AF1" w:rsidRPr="008E378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9E7AF1" w:rsidRPr="008E3782">
              <w:rPr>
                <w:rFonts w:ascii="Times New Roman" w:hAnsi="Times New Roman" w:cs="Times New Roman"/>
                <w:bCs/>
                <w:i/>
              </w:rPr>
              <w:t>sau</w:t>
            </w:r>
            <w:proofErr w:type="spellEnd"/>
            <w:r w:rsidR="009E7AF1" w:rsidRPr="008E3782">
              <w:rPr>
                <w:rFonts w:ascii="Times New Roman" w:hAnsi="Times New Roman" w:cs="Times New Roman"/>
                <w:bCs/>
                <w:i/>
              </w:rPr>
              <w:t xml:space="preserve"> sub </w:t>
            </w:r>
            <w:proofErr w:type="spellStart"/>
            <w:r w:rsidR="009E7AF1" w:rsidRPr="008E3782">
              <w:rPr>
                <w:rFonts w:ascii="Times New Roman" w:hAnsi="Times New Roman" w:cs="Times New Roman"/>
                <w:bCs/>
                <w:i/>
              </w:rPr>
              <w:t>formă</w:t>
            </w:r>
            <w:proofErr w:type="spellEnd"/>
            <w:r w:rsidR="009E7AF1" w:rsidRPr="008E3782">
              <w:rPr>
                <w:rFonts w:ascii="Times New Roman" w:hAnsi="Times New Roman" w:cs="Times New Roman"/>
                <w:bCs/>
                <w:i/>
              </w:rPr>
              <w:t xml:space="preserve"> de document electronic</w:t>
            </w:r>
            <w:r w:rsidR="004D1C3C" w:rsidRPr="008E378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persoanelor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dizabilitate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severă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accentuată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sau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medie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, precum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şi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pensionarilor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beneficiari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pensii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limită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vârstă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condițiile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Legii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nr.156/1998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privind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sistemul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 public de </w:t>
            </w:r>
            <w:proofErr w:type="spellStart"/>
            <w:r w:rsidR="004D1C3C" w:rsidRPr="008E3782">
              <w:rPr>
                <w:rFonts w:ascii="Times New Roman" w:hAnsi="Times New Roman" w:cs="Times New Roman"/>
                <w:bCs/>
              </w:rPr>
              <w:t>pensii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bunurile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imobile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care sunt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înregistrați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domiciliu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, precum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terenurile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agricole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grădini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deținute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="009C72CE"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C72CE" w:rsidRPr="008E3782">
              <w:rPr>
                <w:rFonts w:ascii="Times New Roman" w:hAnsi="Times New Roman" w:cs="Times New Roman"/>
                <w:bCs/>
              </w:rPr>
              <w:t>proprietate</w:t>
            </w:r>
            <w:proofErr w:type="spellEnd"/>
            <w:r w:rsidR="004D1C3C" w:rsidRPr="008E3782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2268" w:type="dxa"/>
            <w:vAlign w:val="center"/>
          </w:tcPr>
          <w:p w14:paraId="75CD7CF8" w14:textId="77777777" w:rsidR="00700BFE" w:rsidRPr="008E3782" w:rsidRDefault="00700BFE" w:rsidP="002E29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00BFE" w:rsidRPr="008E3782" w14:paraId="61025946" w14:textId="77777777" w:rsidTr="002E299B">
        <w:tc>
          <w:tcPr>
            <w:tcW w:w="534" w:type="dxa"/>
            <w:vAlign w:val="center"/>
          </w:tcPr>
          <w:p w14:paraId="26C8DAC4" w14:textId="77777777" w:rsidR="00700BFE" w:rsidRPr="00240554" w:rsidRDefault="004D1C3C" w:rsidP="002E299B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0554">
              <w:rPr>
                <w:rFonts w:ascii="Times New Roman" w:hAnsi="Times New Roman" w:cs="Times New Roman"/>
                <w:i/>
                <w:iCs/>
              </w:rPr>
              <w:t>4.1</w:t>
            </w:r>
          </w:p>
        </w:tc>
        <w:tc>
          <w:tcPr>
            <w:tcW w:w="6662" w:type="dxa"/>
            <w:vAlign w:val="center"/>
          </w:tcPr>
          <w:p w14:paraId="027D65BA" w14:textId="77777777" w:rsidR="00700BFE" w:rsidRPr="00240554" w:rsidRDefault="004D1C3C" w:rsidP="002E299B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Eliberarea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extrasului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din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registrul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bunurilor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imobile</w:t>
            </w:r>
            <w:proofErr w:type="spellEnd"/>
          </w:p>
        </w:tc>
        <w:tc>
          <w:tcPr>
            <w:tcW w:w="2268" w:type="dxa"/>
            <w:vAlign w:val="center"/>
          </w:tcPr>
          <w:p w14:paraId="1FB43FDA" w14:textId="77777777" w:rsidR="00700BFE" w:rsidRPr="00240554" w:rsidRDefault="004D1C3C" w:rsidP="002E299B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gratuit</w:t>
            </w:r>
            <w:proofErr w:type="spellEnd"/>
          </w:p>
        </w:tc>
      </w:tr>
      <w:tr w:rsidR="004D1C3C" w:rsidRPr="008E3782" w14:paraId="03854F9B" w14:textId="77777777" w:rsidTr="002E299B">
        <w:tc>
          <w:tcPr>
            <w:tcW w:w="534" w:type="dxa"/>
            <w:vAlign w:val="center"/>
          </w:tcPr>
          <w:p w14:paraId="3227C36C" w14:textId="77777777" w:rsidR="004D1C3C" w:rsidRPr="00240554" w:rsidRDefault="004D1C3C" w:rsidP="002E299B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0554">
              <w:rPr>
                <w:rFonts w:ascii="Times New Roman" w:hAnsi="Times New Roman" w:cs="Times New Roman"/>
                <w:i/>
                <w:iCs/>
              </w:rPr>
              <w:t>4.2</w:t>
            </w:r>
          </w:p>
        </w:tc>
        <w:tc>
          <w:tcPr>
            <w:tcW w:w="6662" w:type="dxa"/>
            <w:vAlign w:val="center"/>
          </w:tcPr>
          <w:p w14:paraId="3A80DCC7" w14:textId="77777777" w:rsidR="004D1C3C" w:rsidRPr="00240554" w:rsidRDefault="004D1C3C" w:rsidP="002E299B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Eliberarea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extrasului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din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capitolul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supliment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al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registrului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bunu</w:t>
            </w:r>
            <w:r w:rsidR="00256621" w:rsidRPr="00240554">
              <w:rPr>
                <w:rFonts w:ascii="Times New Roman" w:hAnsi="Times New Roman" w:cs="Times New Roman"/>
                <w:i/>
                <w:iCs/>
              </w:rPr>
              <w:t>rilor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imobil</w:t>
            </w:r>
            <w:r w:rsidR="00256621" w:rsidRPr="00240554">
              <w:rPr>
                <w:rFonts w:ascii="Times New Roman" w:hAnsi="Times New Roman" w:cs="Times New Roman"/>
                <w:i/>
                <w:iCs/>
              </w:rPr>
              <w:t>e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valoarea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bunului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imobil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268" w:type="dxa"/>
            <w:vAlign w:val="center"/>
          </w:tcPr>
          <w:p w14:paraId="7CA29043" w14:textId="77777777" w:rsidR="004D1C3C" w:rsidRPr="00240554" w:rsidRDefault="004D1C3C" w:rsidP="002E299B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gratuit</w:t>
            </w:r>
            <w:proofErr w:type="spellEnd"/>
          </w:p>
        </w:tc>
      </w:tr>
      <w:tr w:rsidR="004D1C3C" w:rsidRPr="008E3782" w14:paraId="0212A396" w14:textId="77777777" w:rsidTr="002E299B">
        <w:tc>
          <w:tcPr>
            <w:tcW w:w="534" w:type="dxa"/>
            <w:vAlign w:val="center"/>
          </w:tcPr>
          <w:p w14:paraId="2C4BAB20" w14:textId="77777777" w:rsidR="004D1C3C" w:rsidRPr="00240554" w:rsidRDefault="004D1C3C" w:rsidP="002E299B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0554">
              <w:rPr>
                <w:rFonts w:ascii="Times New Roman" w:hAnsi="Times New Roman" w:cs="Times New Roman"/>
                <w:i/>
                <w:iCs/>
              </w:rPr>
              <w:t>4.3</w:t>
            </w:r>
          </w:p>
        </w:tc>
        <w:tc>
          <w:tcPr>
            <w:tcW w:w="6662" w:type="dxa"/>
            <w:vAlign w:val="center"/>
          </w:tcPr>
          <w:p w14:paraId="6DF0BED8" w14:textId="77777777" w:rsidR="004D1C3C" w:rsidRPr="00240554" w:rsidRDefault="004D1C3C" w:rsidP="002E299B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Eliberarea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certificatului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privind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înscrierile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în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registrul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bunurilor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imobile</w:t>
            </w:r>
            <w:proofErr w:type="spellEnd"/>
          </w:p>
        </w:tc>
        <w:tc>
          <w:tcPr>
            <w:tcW w:w="2268" w:type="dxa"/>
            <w:vAlign w:val="center"/>
          </w:tcPr>
          <w:p w14:paraId="47D6449A" w14:textId="77777777" w:rsidR="004D1C3C" w:rsidRPr="00240554" w:rsidRDefault="004D1C3C" w:rsidP="002E299B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gratuit</w:t>
            </w:r>
            <w:proofErr w:type="spellEnd"/>
          </w:p>
        </w:tc>
      </w:tr>
      <w:tr w:rsidR="004D1C3C" w:rsidRPr="008E3782" w14:paraId="68C8EBF2" w14:textId="77777777" w:rsidTr="002E299B">
        <w:tc>
          <w:tcPr>
            <w:tcW w:w="534" w:type="dxa"/>
            <w:vAlign w:val="center"/>
          </w:tcPr>
          <w:p w14:paraId="201A6A97" w14:textId="77777777" w:rsidR="004D1C3C" w:rsidRPr="00240554" w:rsidRDefault="004D1C3C" w:rsidP="002E299B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0554">
              <w:rPr>
                <w:rFonts w:ascii="Times New Roman" w:hAnsi="Times New Roman" w:cs="Times New Roman"/>
                <w:i/>
                <w:iCs/>
              </w:rPr>
              <w:t>4.4</w:t>
            </w:r>
          </w:p>
        </w:tc>
        <w:tc>
          <w:tcPr>
            <w:tcW w:w="6662" w:type="dxa"/>
            <w:vAlign w:val="center"/>
          </w:tcPr>
          <w:p w14:paraId="3077E612" w14:textId="77777777" w:rsidR="004D1C3C" w:rsidRPr="00240554" w:rsidRDefault="004D1C3C" w:rsidP="002E299B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Eliberarea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extrasului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din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Registrul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de stat al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unităților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administrativ-teritoriale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și</w:t>
            </w:r>
            <w:proofErr w:type="spellEnd"/>
            <w:r w:rsidRPr="00240554">
              <w:rPr>
                <w:rFonts w:ascii="Times New Roman" w:hAnsi="Times New Roman" w:cs="Times New Roman"/>
                <w:i/>
                <w:iCs/>
              </w:rPr>
              <w:t xml:space="preserve"> al </w:t>
            </w: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adreselor</w:t>
            </w:r>
            <w:proofErr w:type="spellEnd"/>
          </w:p>
        </w:tc>
        <w:tc>
          <w:tcPr>
            <w:tcW w:w="2268" w:type="dxa"/>
            <w:vAlign w:val="center"/>
          </w:tcPr>
          <w:p w14:paraId="02C20866" w14:textId="77777777" w:rsidR="004D1C3C" w:rsidRPr="00240554" w:rsidRDefault="004D1C3C" w:rsidP="002E299B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40554">
              <w:rPr>
                <w:rFonts w:ascii="Times New Roman" w:hAnsi="Times New Roman" w:cs="Times New Roman"/>
                <w:i/>
                <w:iCs/>
              </w:rPr>
              <w:t>gratuit</w:t>
            </w:r>
            <w:proofErr w:type="spellEnd"/>
          </w:p>
        </w:tc>
      </w:tr>
      <w:tr w:rsidR="004D1C3C" w:rsidRPr="008E3782" w14:paraId="63F0BF90" w14:textId="77777777" w:rsidTr="002E299B">
        <w:tc>
          <w:tcPr>
            <w:tcW w:w="534" w:type="dxa"/>
            <w:vAlign w:val="center"/>
          </w:tcPr>
          <w:p w14:paraId="7F109A46" w14:textId="77777777" w:rsidR="004D1C3C" w:rsidRPr="008E3782" w:rsidRDefault="00E3562C" w:rsidP="002E29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  <w:vAlign w:val="center"/>
          </w:tcPr>
          <w:p w14:paraId="3AFB6DD6" w14:textId="77777777" w:rsidR="004D1C3C" w:rsidRPr="008E3782" w:rsidRDefault="00B22C15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Furnizarea</w:t>
            </w:r>
            <w:proofErr w:type="spellEnd"/>
            <w:r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informației</w:t>
            </w:r>
            <w:proofErr w:type="spellEnd"/>
            <w:r w:rsidRPr="008E3782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cadastru</w:t>
            </w:r>
            <w:proofErr w:type="spellEnd"/>
            <w:r w:rsidR="00E3562C" w:rsidRPr="008E3782">
              <w:rPr>
                <w:rFonts w:ascii="Times New Roman" w:hAnsi="Times New Roman" w:cs="Times New Roman"/>
                <w:bCs/>
              </w:rPr>
              <w:t xml:space="preserve">, </w:t>
            </w:r>
            <w:r w:rsidR="00E3562C" w:rsidRPr="008E3782">
              <w:rPr>
                <w:rFonts w:ascii="Times New Roman" w:hAnsi="Times New Roman" w:cs="Times New Roman"/>
                <w:bCs/>
                <w:i/>
              </w:rPr>
              <w:t xml:space="preserve">pe </w:t>
            </w:r>
            <w:proofErr w:type="spellStart"/>
            <w:r w:rsidR="00E3562C" w:rsidRPr="008E3782">
              <w:rPr>
                <w:rFonts w:ascii="Times New Roman" w:hAnsi="Times New Roman" w:cs="Times New Roman"/>
                <w:bCs/>
                <w:i/>
              </w:rPr>
              <w:t>suport</w:t>
            </w:r>
            <w:proofErr w:type="spellEnd"/>
            <w:r w:rsidR="00E3562C" w:rsidRPr="008E3782">
              <w:rPr>
                <w:rFonts w:ascii="Times New Roman" w:hAnsi="Times New Roman" w:cs="Times New Roman"/>
                <w:bCs/>
                <w:i/>
              </w:rPr>
              <w:t xml:space="preserve"> de </w:t>
            </w:r>
            <w:proofErr w:type="spellStart"/>
            <w:r w:rsidR="00E3562C" w:rsidRPr="008E3782">
              <w:rPr>
                <w:rFonts w:ascii="Times New Roman" w:hAnsi="Times New Roman" w:cs="Times New Roman"/>
                <w:bCs/>
                <w:i/>
              </w:rPr>
              <w:t>hârtie</w:t>
            </w:r>
            <w:proofErr w:type="spellEnd"/>
            <w:r w:rsidR="00E3562C" w:rsidRPr="008E378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E3562C" w:rsidRPr="008E3782">
              <w:rPr>
                <w:rFonts w:ascii="Times New Roman" w:hAnsi="Times New Roman" w:cs="Times New Roman"/>
                <w:bCs/>
                <w:i/>
              </w:rPr>
              <w:t>sau</w:t>
            </w:r>
            <w:proofErr w:type="spellEnd"/>
            <w:r w:rsidR="00E3562C" w:rsidRPr="008E3782">
              <w:rPr>
                <w:rFonts w:ascii="Times New Roman" w:hAnsi="Times New Roman" w:cs="Times New Roman"/>
                <w:bCs/>
                <w:i/>
              </w:rPr>
              <w:t xml:space="preserve"> sub </w:t>
            </w:r>
            <w:proofErr w:type="spellStart"/>
            <w:r w:rsidR="00E3562C" w:rsidRPr="008E3782">
              <w:rPr>
                <w:rFonts w:ascii="Times New Roman" w:hAnsi="Times New Roman" w:cs="Times New Roman"/>
                <w:bCs/>
                <w:i/>
              </w:rPr>
              <w:t>formă</w:t>
            </w:r>
            <w:proofErr w:type="spellEnd"/>
            <w:r w:rsidR="00E3562C" w:rsidRPr="008E3782">
              <w:rPr>
                <w:rFonts w:ascii="Times New Roman" w:hAnsi="Times New Roman" w:cs="Times New Roman"/>
                <w:bCs/>
                <w:i/>
              </w:rPr>
              <w:t xml:space="preserve"> de document electronic</w:t>
            </w:r>
            <w:r w:rsidRPr="008E3782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entităților</w:t>
            </w:r>
            <w:proofErr w:type="spellEnd"/>
            <w:r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stabilite</w:t>
            </w:r>
            <w:proofErr w:type="spellEnd"/>
            <w:r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lege</w:t>
            </w:r>
            <w:proofErr w:type="spellEnd"/>
          </w:p>
        </w:tc>
        <w:tc>
          <w:tcPr>
            <w:tcW w:w="2268" w:type="dxa"/>
            <w:vAlign w:val="center"/>
          </w:tcPr>
          <w:p w14:paraId="5AB16EB3" w14:textId="1393466C" w:rsidR="004D1C3C" w:rsidRPr="008E3782" w:rsidRDefault="00363B77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gratuit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dacă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este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expres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  <w:sz w:val="20"/>
                <w:szCs w:val="20"/>
              </w:rPr>
              <w:t>stabilit</w:t>
            </w:r>
            <w:proofErr w:type="spellEnd"/>
            <w:r w:rsidRPr="00240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</w:rPr>
              <w:t>prin</w:t>
            </w:r>
            <w:proofErr w:type="spellEnd"/>
            <w:r w:rsidRPr="002405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554">
              <w:rPr>
                <w:rFonts w:ascii="Times New Roman" w:hAnsi="Times New Roman" w:cs="Times New Roman"/>
              </w:rPr>
              <w:t>lege</w:t>
            </w:r>
            <w:proofErr w:type="spellEnd"/>
          </w:p>
        </w:tc>
      </w:tr>
      <w:tr w:rsidR="00CB66D2" w:rsidRPr="008E3782" w14:paraId="0EB2CE45" w14:textId="77777777" w:rsidTr="002E299B">
        <w:tc>
          <w:tcPr>
            <w:tcW w:w="534" w:type="dxa"/>
            <w:vAlign w:val="center"/>
          </w:tcPr>
          <w:p w14:paraId="25F1DECA" w14:textId="77777777" w:rsidR="00CB66D2" w:rsidRPr="008E3782" w:rsidRDefault="00CB66D2" w:rsidP="002E29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  <w:vAlign w:val="center"/>
          </w:tcPr>
          <w:p w14:paraId="4AFCBF4D" w14:textId="77777777" w:rsidR="00CB66D2" w:rsidRPr="008E3782" w:rsidRDefault="00CB66D2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Acordarea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accesului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4FC7" w:rsidRPr="008E3782">
              <w:rPr>
                <w:rFonts w:ascii="Times New Roman" w:hAnsi="Times New Roman" w:cs="Times New Roman"/>
              </w:rPr>
              <w:t>prevăzut</w:t>
            </w:r>
            <w:proofErr w:type="spellEnd"/>
            <w:r w:rsidR="00514FC7" w:rsidRPr="008E378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514FC7" w:rsidRPr="008E3782">
              <w:rPr>
                <w:rFonts w:ascii="Times New Roman" w:hAnsi="Times New Roman" w:cs="Times New Roman"/>
              </w:rPr>
              <w:t>legislație</w:t>
            </w:r>
            <w:proofErr w:type="spellEnd"/>
            <w:r w:rsidR="00514FC7" w:rsidRPr="008E378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514FC7" w:rsidRPr="008E3782">
              <w:rPr>
                <w:rFonts w:ascii="Times New Roman" w:hAnsi="Times New Roman" w:cs="Times New Roman"/>
              </w:rPr>
              <w:t>resursele</w:t>
            </w:r>
            <w:proofErr w:type="spellEnd"/>
            <w:r w:rsidR="00514FC7"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4FC7" w:rsidRPr="008E3782">
              <w:rPr>
                <w:rFonts w:ascii="Times New Roman" w:hAnsi="Times New Roman" w:cs="Times New Roman"/>
              </w:rPr>
              <w:t>informaționale</w:t>
            </w:r>
            <w:proofErr w:type="spellEnd"/>
            <w:r w:rsidR="00514FC7" w:rsidRPr="008E378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="00514FC7" w:rsidRPr="008E3782">
              <w:rPr>
                <w:rFonts w:ascii="Times New Roman" w:hAnsi="Times New Roman" w:cs="Times New Roman"/>
              </w:rPr>
              <w:t>cadastrului</w:t>
            </w:r>
            <w:proofErr w:type="spellEnd"/>
            <w:r w:rsidR="00514FC7"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4FC7" w:rsidRPr="008E3782">
              <w:rPr>
                <w:rFonts w:ascii="Times New Roman" w:hAnsi="Times New Roman" w:cs="Times New Roman"/>
              </w:rPr>
              <w:t>bunurilor</w:t>
            </w:r>
            <w:proofErr w:type="spellEnd"/>
            <w:r w:rsidR="00514FC7"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4FC7" w:rsidRPr="008E3782">
              <w:rPr>
                <w:rFonts w:ascii="Times New Roman" w:hAnsi="Times New Roman" w:cs="Times New Roman"/>
              </w:rPr>
              <w:t>imobile</w:t>
            </w:r>
            <w:r w:rsidRPr="008E3782">
              <w:rPr>
                <w:rFonts w:ascii="Times New Roman" w:hAnsi="Times New Roman" w:cs="Times New Roman"/>
                <w:bCs/>
              </w:rPr>
              <w:t>entităților</w:t>
            </w:r>
            <w:proofErr w:type="spellEnd"/>
            <w:r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stabilite</w:t>
            </w:r>
            <w:proofErr w:type="spellEnd"/>
            <w:r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 w:rsidRPr="008E37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  <w:bCs/>
              </w:rPr>
              <w:t>lege</w:t>
            </w:r>
            <w:proofErr w:type="spellEnd"/>
          </w:p>
        </w:tc>
        <w:tc>
          <w:tcPr>
            <w:tcW w:w="2268" w:type="dxa"/>
            <w:vAlign w:val="center"/>
          </w:tcPr>
          <w:p w14:paraId="5D43D798" w14:textId="77777777" w:rsidR="00CB66D2" w:rsidRPr="008E3782" w:rsidRDefault="00CB66D2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gratuit</w:t>
            </w:r>
            <w:proofErr w:type="spellEnd"/>
          </w:p>
        </w:tc>
      </w:tr>
      <w:tr w:rsidR="00CB66D2" w:rsidRPr="008E3782" w14:paraId="15329529" w14:textId="77777777" w:rsidTr="002E299B">
        <w:tc>
          <w:tcPr>
            <w:tcW w:w="534" w:type="dxa"/>
            <w:vAlign w:val="center"/>
          </w:tcPr>
          <w:p w14:paraId="7C9FDDB1" w14:textId="77777777" w:rsidR="00CB66D2" w:rsidRPr="008E3782" w:rsidRDefault="00CB66D2" w:rsidP="002E29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>7</w:t>
            </w:r>
          </w:p>
          <w:p w14:paraId="1C08CB16" w14:textId="77777777" w:rsidR="00CB66D2" w:rsidRPr="008E3782" w:rsidRDefault="00CB66D2" w:rsidP="002E299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center"/>
          </w:tcPr>
          <w:p w14:paraId="1863C12B" w14:textId="77777777" w:rsidR="00CB66D2" w:rsidRPr="008E3782" w:rsidRDefault="00CB66D2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Notarea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în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temeiul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documentelor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emise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instanţele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judecătoreşti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3782">
              <w:rPr>
                <w:rFonts w:ascii="Times New Roman" w:hAnsi="Times New Roman" w:cs="Times New Roman"/>
              </w:rPr>
              <w:t>executorii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judecătoreşti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3782">
              <w:rPr>
                <w:rFonts w:ascii="Times New Roman" w:hAnsi="Times New Roman" w:cs="Times New Roman"/>
              </w:rPr>
              <w:t>organele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fiscale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3782">
              <w:rPr>
                <w:rFonts w:ascii="Times New Roman" w:hAnsi="Times New Roman" w:cs="Times New Roman"/>
              </w:rPr>
              <w:t>organele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drept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8E3782">
              <w:rPr>
                <w:rFonts w:ascii="Times New Roman" w:hAnsi="Times New Roman" w:cs="Times New Roman"/>
              </w:rPr>
              <w:t>notarea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avizului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despre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exercitarea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dreptului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ipotecă</w:t>
            </w:r>
            <w:proofErr w:type="spellEnd"/>
          </w:p>
        </w:tc>
        <w:tc>
          <w:tcPr>
            <w:tcW w:w="2268" w:type="dxa"/>
            <w:vAlign w:val="center"/>
          </w:tcPr>
          <w:p w14:paraId="45F64E9C" w14:textId="77777777" w:rsidR="00CB66D2" w:rsidRPr="008E3782" w:rsidRDefault="00CB66D2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gratuit</w:t>
            </w:r>
            <w:proofErr w:type="spellEnd"/>
          </w:p>
        </w:tc>
      </w:tr>
      <w:tr w:rsidR="00CB66D2" w:rsidRPr="008E3782" w14:paraId="7B952785" w14:textId="77777777" w:rsidTr="002E299B">
        <w:tc>
          <w:tcPr>
            <w:tcW w:w="534" w:type="dxa"/>
            <w:vAlign w:val="center"/>
          </w:tcPr>
          <w:p w14:paraId="5090FB3E" w14:textId="77777777" w:rsidR="00CB66D2" w:rsidRPr="008E3782" w:rsidRDefault="00CB66D2" w:rsidP="002E29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E3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  <w:vAlign w:val="center"/>
          </w:tcPr>
          <w:p w14:paraId="65035FF3" w14:textId="77777777" w:rsidR="00CB66D2" w:rsidRPr="008E3782" w:rsidRDefault="00CB66D2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Radierea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sechestrului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8E3782">
              <w:rPr>
                <w:rFonts w:ascii="Times New Roman" w:hAnsi="Times New Roman" w:cs="Times New Roman"/>
              </w:rPr>
              <w:t>interdicției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în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temeiul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actelor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depuse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/ expediate de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instanțele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judecată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E3782">
              <w:rPr>
                <w:rFonts w:ascii="Times New Roman" w:hAnsi="Times New Roman" w:cs="Times New Roman"/>
              </w:rPr>
              <w:t>organele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drept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sau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executorii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judecătorești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, precum </w:t>
            </w:r>
            <w:proofErr w:type="spellStart"/>
            <w:r w:rsidRPr="008E3782">
              <w:rPr>
                <w:rFonts w:ascii="Times New Roman" w:hAnsi="Times New Roman" w:cs="Times New Roman"/>
              </w:rPr>
              <w:t>și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radierea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interdicţiei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aplicate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în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temeiul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legii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E3782">
              <w:rPr>
                <w:rFonts w:ascii="Times New Roman" w:hAnsi="Times New Roman" w:cs="Times New Roman"/>
              </w:rPr>
              <w:t>către</w:t>
            </w:r>
            <w:proofErr w:type="spellEnd"/>
            <w:r w:rsidRPr="008E3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782">
              <w:rPr>
                <w:rFonts w:ascii="Times New Roman" w:hAnsi="Times New Roman" w:cs="Times New Roman"/>
              </w:rPr>
              <w:t>registrator</w:t>
            </w:r>
            <w:proofErr w:type="spellEnd"/>
          </w:p>
        </w:tc>
        <w:tc>
          <w:tcPr>
            <w:tcW w:w="2268" w:type="dxa"/>
            <w:vAlign w:val="center"/>
          </w:tcPr>
          <w:p w14:paraId="4D84D2BB" w14:textId="77777777" w:rsidR="00CB66D2" w:rsidRPr="008E3782" w:rsidRDefault="00CB66D2" w:rsidP="002E299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E3782">
              <w:rPr>
                <w:rFonts w:ascii="Times New Roman" w:hAnsi="Times New Roman" w:cs="Times New Roman"/>
              </w:rPr>
              <w:t>gratuit</w:t>
            </w:r>
            <w:proofErr w:type="spellEnd"/>
          </w:p>
        </w:tc>
      </w:tr>
    </w:tbl>
    <w:p w14:paraId="241A267C" w14:textId="77777777" w:rsidR="00F43BB8" w:rsidRPr="009C72CE" w:rsidRDefault="00F43BB8" w:rsidP="009C72CE">
      <w:pPr>
        <w:rPr>
          <w:rFonts w:ascii="Times New Roman" w:hAnsi="Times New Roman" w:cs="Times New Roman"/>
          <w:sz w:val="2"/>
          <w:szCs w:val="2"/>
        </w:rPr>
      </w:pPr>
    </w:p>
    <w:sectPr w:rsidR="00F43BB8" w:rsidRPr="009C72CE" w:rsidSect="00E61782">
      <w:footerReference w:type="default" r:id="rId8"/>
      <w:pgSz w:w="11906" w:h="16838"/>
      <w:pgMar w:top="709" w:right="850" w:bottom="1134" w:left="1701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B140" w14:textId="77777777" w:rsidR="00662644" w:rsidRDefault="00662644" w:rsidP="00DA2F44">
      <w:pPr>
        <w:spacing w:before="0" w:after="0" w:line="240" w:lineRule="auto"/>
      </w:pPr>
      <w:r>
        <w:separator/>
      </w:r>
    </w:p>
  </w:endnote>
  <w:endnote w:type="continuationSeparator" w:id="0">
    <w:p w14:paraId="3816AC99" w14:textId="77777777" w:rsidR="00662644" w:rsidRDefault="00662644" w:rsidP="00DA2F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42063"/>
      <w:docPartObj>
        <w:docPartGallery w:val="Page Numbers (Bottom of Page)"/>
        <w:docPartUnique/>
      </w:docPartObj>
    </w:sdtPr>
    <w:sdtContent>
      <w:p w14:paraId="52C960BC" w14:textId="77777777" w:rsidR="00B94B6D" w:rsidRDefault="006601E4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290F80C" w14:textId="77777777" w:rsidR="00B94B6D" w:rsidRDefault="00B94B6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C0A6" w14:textId="77777777" w:rsidR="00662644" w:rsidRDefault="00662644" w:rsidP="00DA2F44">
      <w:pPr>
        <w:spacing w:before="0" w:after="0" w:line="240" w:lineRule="auto"/>
      </w:pPr>
      <w:r>
        <w:separator/>
      </w:r>
    </w:p>
  </w:footnote>
  <w:footnote w:type="continuationSeparator" w:id="0">
    <w:p w14:paraId="66EFD258" w14:textId="77777777" w:rsidR="00662644" w:rsidRDefault="00662644" w:rsidP="00DA2F4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9D2"/>
    <w:multiLevelType w:val="multilevel"/>
    <w:tmpl w:val="339438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4238D"/>
    <w:multiLevelType w:val="hybridMultilevel"/>
    <w:tmpl w:val="1C068856"/>
    <w:lvl w:ilvl="0" w:tplc="0419000F">
      <w:start w:val="1"/>
      <w:numFmt w:val="decimal"/>
      <w:lvlText w:val="%1."/>
      <w:lvlJc w:val="left"/>
      <w:pPr>
        <w:ind w:left="1442" w:hanging="732"/>
      </w:pPr>
      <w:rPr>
        <w:rFonts w:hint="default"/>
        <w:b/>
        <w:i w:val="0"/>
        <w:spacing w:val="0"/>
        <w:w w:val="100"/>
        <w:sz w:val="28"/>
        <w:szCs w:val="28"/>
      </w:rPr>
    </w:lvl>
    <w:lvl w:ilvl="1" w:tplc="365E2F30">
      <w:numFmt w:val="bullet"/>
      <w:lvlText w:val="•"/>
      <w:lvlJc w:val="left"/>
      <w:pPr>
        <w:ind w:left="71" w:hanging="732"/>
      </w:pPr>
      <w:rPr>
        <w:rFonts w:hint="default"/>
      </w:rPr>
    </w:lvl>
    <w:lvl w:ilvl="2" w:tplc="BC104E08">
      <w:numFmt w:val="bullet"/>
      <w:lvlText w:val="•"/>
      <w:lvlJc w:val="left"/>
      <w:pPr>
        <w:ind w:left="996" w:hanging="732"/>
      </w:pPr>
      <w:rPr>
        <w:rFonts w:hint="default"/>
      </w:rPr>
    </w:lvl>
    <w:lvl w:ilvl="3" w:tplc="0382FEF4">
      <w:numFmt w:val="bullet"/>
      <w:lvlText w:val="•"/>
      <w:lvlJc w:val="left"/>
      <w:pPr>
        <w:ind w:left="1920" w:hanging="732"/>
      </w:pPr>
      <w:rPr>
        <w:rFonts w:hint="default"/>
      </w:rPr>
    </w:lvl>
    <w:lvl w:ilvl="4" w:tplc="61AC59A8">
      <w:numFmt w:val="bullet"/>
      <w:lvlText w:val="•"/>
      <w:lvlJc w:val="left"/>
      <w:pPr>
        <w:ind w:left="2845" w:hanging="732"/>
      </w:pPr>
      <w:rPr>
        <w:rFonts w:hint="default"/>
      </w:rPr>
    </w:lvl>
    <w:lvl w:ilvl="5" w:tplc="ECC4C1EC">
      <w:numFmt w:val="bullet"/>
      <w:lvlText w:val="•"/>
      <w:lvlJc w:val="left"/>
      <w:pPr>
        <w:ind w:left="3770" w:hanging="732"/>
      </w:pPr>
      <w:rPr>
        <w:rFonts w:hint="default"/>
      </w:rPr>
    </w:lvl>
    <w:lvl w:ilvl="6" w:tplc="F7B6C104">
      <w:numFmt w:val="bullet"/>
      <w:lvlText w:val="•"/>
      <w:lvlJc w:val="left"/>
      <w:pPr>
        <w:ind w:left="4694" w:hanging="732"/>
      </w:pPr>
      <w:rPr>
        <w:rFonts w:hint="default"/>
      </w:rPr>
    </w:lvl>
    <w:lvl w:ilvl="7" w:tplc="28AA4D68">
      <w:numFmt w:val="bullet"/>
      <w:lvlText w:val="•"/>
      <w:lvlJc w:val="left"/>
      <w:pPr>
        <w:ind w:left="5619" w:hanging="732"/>
      </w:pPr>
      <w:rPr>
        <w:rFonts w:hint="default"/>
      </w:rPr>
    </w:lvl>
    <w:lvl w:ilvl="8" w:tplc="DD70B272">
      <w:numFmt w:val="bullet"/>
      <w:lvlText w:val="•"/>
      <w:lvlJc w:val="left"/>
      <w:pPr>
        <w:ind w:left="6544" w:hanging="732"/>
      </w:pPr>
      <w:rPr>
        <w:rFonts w:hint="default"/>
      </w:rPr>
    </w:lvl>
  </w:abstractNum>
  <w:abstractNum w:abstractNumId="2" w15:restartNumberingAfterBreak="0">
    <w:nsid w:val="1BE96A81"/>
    <w:multiLevelType w:val="multilevel"/>
    <w:tmpl w:val="43A0A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14812"/>
    <w:multiLevelType w:val="hybridMultilevel"/>
    <w:tmpl w:val="3642D69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5F7D2F"/>
    <w:multiLevelType w:val="hybridMultilevel"/>
    <w:tmpl w:val="5D563A9C"/>
    <w:lvl w:ilvl="0" w:tplc="7990FBA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BC667B"/>
    <w:multiLevelType w:val="hybridMultilevel"/>
    <w:tmpl w:val="B67A111E"/>
    <w:lvl w:ilvl="0" w:tplc="6922C748">
      <w:start w:val="29"/>
      <w:numFmt w:val="decimal"/>
      <w:lvlText w:val="%1."/>
      <w:lvlJc w:val="left"/>
      <w:pPr>
        <w:ind w:left="1085" w:hanging="375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F584DD7"/>
    <w:multiLevelType w:val="hybridMultilevel"/>
    <w:tmpl w:val="D4A68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C49DE"/>
    <w:multiLevelType w:val="multilevel"/>
    <w:tmpl w:val="239C90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9270E"/>
    <w:multiLevelType w:val="multilevel"/>
    <w:tmpl w:val="767A91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44FF7"/>
    <w:multiLevelType w:val="multilevel"/>
    <w:tmpl w:val="E7926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D0877"/>
    <w:multiLevelType w:val="hybridMultilevel"/>
    <w:tmpl w:val="6CEE5E5A"/>
    <w:lvl w:ilvl="0" w:tplc="3BDA8BFA">
      <w:start w:val="40"/>
      <w:numFmt w:val="decimal"/>
      <w:lvlText w:val="%1."/>
      <w:lvlJc w:val="left"/>
      <w:pPr>
        <w:ind w:left="1085" w:hanging="375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D7870AA"/>
    <w:multiLevelType w:val="hybridMultilevel"/>
    <w:tmpl w:val="F872E4A6"/>
    <w:lvl w:ilvl="0" w:tplc="2F32D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8C4B71"/>
    <w:multiLevelType w:val="multilevel"/>
    <w:tmpl w:val="FB3830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470615">
    <w:abstractNumId w:val="8"/>
  </w:num>
  <w:num w:numId="2" w16cid:durableId="471946631">
    <w:abstractNumId w:val="12"/>
  </w:num>
  <w:num w:numId="3" w16cid:durableId="1766850693">
    <w:abstractNumId w:val="7"/>
  </w:num>
  <w:num w:numId="4" w16cid:durableId="988749949">
    <w:abstractNumId w:val="9"/>
  </w:num>
  <w:num w:numId="5" w16cid:durableId="1392192647">
    <w:abstractNumId w:val="2"/>
  </w:num>
  <w:num w:numId="6" w16cid:durableId="1431969256">
    <w:abstractNumId w:val="0"/>
  </w:num>
  <w:num w:numId="7" w16cid:durableId="69933099">
    <w:abstractNumId w:val="6"/>
  </w:num>
  <w:num w:numId="8" w16cid:durableId="908658173">
    <w:abstractNumId w:val="1"/>
  </w:num>
  <w:num w:numId="9" w16cid:durableId="1712916757">
    <w:abstractNumId w:val="10"/>
  </w:num>
  <w:num w:numId="10" w16cid:durableId="1515608623">
    <w:abstractNumId w:val="11"/>
  </w:num>
  <w:num w:numId="11" w16cid:durableId="2043508290">
    <w:abstractNumId w:val="5"/>
  </w:num>
  <w:num w:numId="12" w16cid:durableId="1248422046">
    <w:abstractNumId w:val="4"/>
  </w:num>
  <w:num w:numId="13" w16cid:durableId="678049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BB8"/>
    <w:rsid w:val="0000620B"/>
    <w:rsid w:val="00013E95"/>
    <w:rsid w:val="00024AE1"/>
    <w:rsid w:val="00040677"/>
    <w:rsid w:val="00054AC1"/>
    <w:rsid w:val="00057280"/>
    <w:rsid w:val="00060E76"/>
    <w:rsid w:val="00067A3D"/>
    <w:rsid w:val="000740DC"/>
    <w:rsid w:val="000828AA"/>
    <w:rsid w:val="00085822"/>
    <w:rsid w:val="0009073A"/>
    <w:rsid w:val="0009206D"/>
    <w:rsid w:val="0009755B"/>
    <w:rsid w:val="000B49E6"/>
    <w:rsid w:val="000B7BBE"/>
    <w:rsid w:val="000C3AD8"/>
    <w:rsid w:val="000C3CE9"/>
    <w:rsid w:val="000C7D1B"/>
    <w:rsid w:val="000D2029"/>
    <w:rsid w:val="000D41EC"/>
    <w:rsid w:val="000E45C3"/>
    <w:rsid w:val="001129A5"/>
    <w:rsid w:val="001226D5"/>
    <w:rsid w:val="0012284E"/>
    <w:rsid w:val="00140CCC"/>
    <w:rsid w:val="0014378F"/>
    <w:rsid w:val="0014504B"/>
    <w:rsid w:val="00155B00"/>
    <w:rsid w:val="00164561"/>
    <w:rsid w:val="00165A4D"/>
    <w:rsid w:val="00190E22"/>
    <w:rsid w:val="001B3BBD"/>
    <w:rsid w:val="001B464E"/>
    <w:rsid w:val="001D0BAA"/>
    <w:rsid w:val="001E2EFE"/>
    <w:rsid w:val="001E3225"/>
    <w:rsid w:val="001E6095"/>
    <w:rsid w:val="001F1CD7"/>
    <w:rsid w:val="0021531C"/>
    <w:rsid w:val="002164CC"/>
    <w:rsid w:val="00217875"/>
    <w:rsid w:val="00221E8A"/>
    <w:rsid w:val="00240554"/>
    <w:rsid w:val="00244C62"/>
    <w:rsid w:val="00245413"/>
    <w:rsid w:val="00250A1C"/>
    <w:rsid w:val="00256621"/>
    <w:rsid w:val="00256BD3"/>
    <w:rsid w:val="0026357A"/>
    <w:rsid w:val="00266FD1"/>
    <w:rsid w:val="00275F7B"/>
    <w:rsid w:val="002803AF"/>
    <w:rsid w:val="00287D50"/>
    <w:rsid w:val="002A14E0"/>
    <w:rsid w:val="002B1B49"/>
    <w:rsid w:val="002B3DEF"/>
    <w:rsid w:val="002B4454"/>
    <w:rsid w:val="002C49FC"/>
    <w:rsid w:val="002C5D73"/>
    <w:rsid w:val="002D5BEB"/>
    <w:rsid w:val="002E0D83"/>
    <w:rsid w:val="002E299B"/>
    <w:rsid w:val="002E700D"/>
    <w:rsid w:val="002E7DF1"/>
    <w:rsid w:val="002F72E7"/>
    <w:rsid w:val="00301812"/>
    <w:rsid w:val="00345A6B"/>
    <w:rsid w:val="00363B77"/>
    <w:rsid w:val="003732F3"/>
    <w:rsid w:val="00375F3D"/>
    <w:rsid w:val="00376466"/>
    <w:rsid w:val="00382FBD"/>
    <w:rsid w:val="003852E7"/>
    <w:rsid w:val="0038591D"/>
    <w:rsid w:val="00393995"/>
    <w:rsid w:val="003C4743"/>
    <w:rsid w:val="003C6247"/>
    <w:rsid w:val="003C6A05"/>
    <w:rsid w:val="003E1FB2"/>
    <w:rsid w:val="003E608A"/>
    <w:rsid w:val="00407747"/>
    <w:rsid w:val="004110FC"/>
    <w:rsid w:val="00411F31"/>
    <w:rsid w:val="0041569E"/>
    <w:rsid w:val="00423F97"/>
    <w:rsid w:val="00424B0D"/>
    <w:rsid w:val="00430A26"/>
    <w:rsid w:val="004320C1"/>
    <w:rsid w:val="004421F9"/>
    <w:rsid w:val="0045001A"/>
    <w:rsid w:val="00464FF0"/>
    <w:rsid w:val="00471EB2"/>
    <w:rsid w:val="00495251"/>
    <w:rsid w:val="004A49F5"/>
    <w:rsid w:val="004B31B6"/>
    <w:rsid w:val="004C4672"/>
    <w:rsid w:val="004C7C24"/>
    <w:rsid w:val="004D1C3C"/>
    <w:rsid w:val="004E722D"/>
    <w:rsid w:val="004F4B98"/>
    <w:rsid w:val="00503A9E"/>
    <w:rsid w:val="005070AE"/>
    <w:rsid w:val="00514FC7"/>
    <w:rsid w:val="00542824"/>
    <w:rsid w:val="00543858"/>
    <w:rsid w:val="005461D3"/>
    <w:rsid w:val="0056025A"/>
    <w:rsid w:val="00561F62"/>
    <w:rsid w:val="00567D8C"/>
    <w:rsid w:val="00571E82"/>
    <w:rsid w:val="005777DF"/>
    <w:rsid w:val="00580CC8"/>
    <w:rsid w:val="00581B95"/>
    <w:rsid w:val="00596E2C"/>
    <w:rsid w:val="005A02EC"/>
    <w:rsid w:val="005A4264"/>
    <w:rsid w:val="005C3573"/>
    <w:rsid w:val="005D041A"/>
    <w:rsid w:val="005E031C"/>
    <w:rsid w:val="005E2410"/>
    <w:rsid w:val="005F5735"/>
    <w:rsid w:val="00605B40"/>
    <w:rsid w:val="0061547B"/>
    <w:rsid w:val="00625C6A"/>
    <w:rsid w:val="00630A39"/>
    <w:rsid w:val="00632893"/>
    <w:rsid w:val="00634659"/>
    <w:rsid w:val="00636D7B"/>
    <w:rsid w:val="00643BC3"/>
    <w:rsid w:val="006458E6"/>
    <w:rsid w:val="006601E4"/>
    <w:rsid w:val="00662644"/>
    <w:rsid w:val="00662AC7"/>
    <w:rsid w:val="00667B0E"/>
    <w:rsid w:val="0067700E"/>
    <w:rsid w:val="006810CB"/>
    <w:rsid w:val="0068176E"/>
    <w:rsid w:val="00685D42"/>
    <w:rsid w:val="006945F2"/>
    <w:rsid w:val="006A1378"/>
    <w:rsid w:val="006A4393"/>
    <w:rsid w:val="006C08EA"/>
    <w:rsid w:val="006C595D"/>
    <w:rsid w:val="006C5976"/>
    <w:rsid w:val="006D2AFA"/>
    <w:rsid w:val="006E1348"/>
    <w:rsid w:val="006E4EC5"/>
    <w:rsid w:val="00700BFE"/>
    <w:rsid w:val="00704273"/>
    <w:rsid w:val="007136B8"/>
    <w:rsid w:val="00714D3A"/>
    <w:rsid w:val="00732769"/>
    <w:rsid w:val="007515D3"/>
    <w:rsid w:val="0075429E"/>
    <w:rsid w:val="00760438"/>
    <w:rsid w:val="00763E06"/>
    <w:rsid w:val="00786A47"/>
    <w:rsid w:val="007938B2"/>
    <w:rsid w:val="007A4239"/>
    <w:rsid w:val="007A507A"/>
    <w:rsid w:val="007B3AA0"/>
    <w:rsid w:val="007B6076"/>
    <w:rsid w:val="007C4083"/>
    <w:rsid w:val="007C5F0F"/>
    <w:rsid w:val="007D331F"/>
    <w:rsid w:val="007D47C2"/>
    <w:rsid w:val="007F4117"/>
    <w:rsid w:val="0080713B"/>
    <w:rsid w:val="00834E45"/>
    <w:rsid w:val="00851CF7"/>
    <w:rsid w:val="008554D5"/>
    <w:rsid w:val="00862380"/>
    <w:rsid w:val="00871143"/>
    <w:rsid w:val="008D1B33"/>
    <w:rsid w:val="008E3782"/>
    <w:rsid w:val="008F1609"/>
    <w:rsid w:val="008F49DF"/>
    <w:rsid w:val="008F61DA"/>
    <w:rsid w:val="0091397F"/>
    <w:rsid w:val="00914E61"/>
    <w:rsid w:val="00937824"/>
    <w:rsid w:val="00940822"/>
    <w:rsid w:val="00951201"/>
    <w:rsid w:val="00954846"/>
    <w:rsid w:val="00957076"/>
    <w:rsid w:val="00964723"/>
    <w:rsid w:val="00981066"/>
    <w:rsid w:val="00992A22"/>
    <w:rsid w:val="00996618"/>
    <w:rsid w:val="009A2334"/>
    <w:rsid w:val="009A5357"/>
    <w:rsid w:val="009C34B7"/>
    <w:rsid w:val="009C72CE"/>
    <w:rsid w:val="009C7A3C"/>
    <w:rsid w:val="009D0DDE"/>
    <w:rsid w:val="009D13FF"/>
    <w:rsid w:val="009D3A14"/>
    <w:rsid w:val="009E69C4"/>
    <w:rsid w:val="009E7AF1"/>
    <w:rsid w:val="00A03890"/>
    <w:rsid w:val="00A13C45"/>
    <w:rsid w:val="00A14867"/>
    <w:rsid w:val="00A23E40"/>
    <w:rsid w:val="00A400A2"/>
    <w:rsid w:val="00A43E71"/>
    <w:rsid w:val="00A50D21"/>
    <w:rsid w:val="00A54DAD"/>
    <w:rsid w:val="00A658EC"/>
    <w:rsid w:val="00A701B2"/>
    <w:rsid w:val="00A707B9"/>
    <w:rsid w:val="00A806DB"/>
    <w:rsid w:val="00A83942"/>
    <w:rsid w:val="00AC4AB7"/>
    <w:rsid w:val="00AD3235"/>
    <w:rsid w:val="00AD506C"/>
    <w:rsid w:val="00AD63CC"/>
    <w:rsid w:val="00AE3E67"/>
    <w:rsid w:val="00AE6055"/>
    <w:rsid w:val="00AE62AF"/>
    <w:rsid w:val="00AE73E4"/>
    <w:rsid w:val="00B21F6F"/>
    <w:rsid w:val="00B22C15"/>
    <w:rsid w:val="00B30C63"/>
    <w:rsid w:val="00B34774"/>
    <w:rsid w:val="00B4254D"/>
    <w:rsid w:val="00B45696"/>
    <w:rsid w:val="00B523A0"/>
    <w:rsid w:val="00B52A46"/>
    <w:rsid w:val="00B554E5"/>
    <w:rsid w:val="00B662D4"/>
    <w:rsid w:val="00B83BAE"/>
    <w:rsid w:val="00B94B6D"/>
    <w:rsid w:val="00B95849"/>
    <w:rsid w:val="00BA51EE"/>
    <w:rsid w:val="00BB4D8F"/>
    <w:rsid w:val="00BD6E5A"/>
    <w:rsid w:val="00BE158C"/>
    <w:rsid w:val="00BF17A0"/>
    <w:rsid w:val="00C0595F"/>
    <w:rsid w:val="00C05C19"/>
    <w:rsid w:val="00C16321"/>
    <w:rsid w:val="00C20810"/>
    <w:rsid w:val="00C2213E"/>
    <w:rsid w:val="00C30970"/>
    <w:rsid w:val="00C3212B"/>
    <w:rsid w:val="00C325B1"/>
    <w:rsid w:val="00C364E7"/>
    <w:rsid w:val="00C440C9"/>
    <w:rsid w:val="00C44EE3"/>
    <w:rsid w:val="00C66CCD"/>
    <w:rsid w:val="00C673A4"/>
    <w:rsid w:val="00C71FE4"/>
    <w:rsid w:val="00C72DAA"/>
    <w:rsid w:val="00C734BF"/>
    <w:rsid w:val="00C824C5"/>
    <w:rsid w:val="00C97727"/>
    <w:rsid w:val="00CA41EE"/>
    <w:rsid w:val="00CB432C"/>
    <w:rsid w:val="00CB50F5"/>
    <w:rsid w:val="00CB522E"/>
    <w:rsid w:val="00CB66D2"/>
    <w:rsid w:val="00CC10ED"/>
    <w:rsid w:val="00CD7739"/>
    <w:rsid w:val="00CE039C"/>
    <w:rsid w:val="00CF723B"/>
    <w:rsid w:val="00CF79D5"/>
    <w:rsid w:val="00D16DAE"/>
    <w:rsid w:val="00D17372"/>
    <w:rsid w:val="00D175CE"/>
    <w:rsid w:val="00D1779F"/>
    <w:rsid w:val="00D30C91"/>
    <w:rsid w:val="00D40A31"/>
    <w:rsid w:val="00D40FEB"/>
    <w:rsid w:val="00D469C6"/>
    <w:rsid w:val="00D531C8"/>
    <w:rsid w:val="00D65453"/>
    <w:rsid w:val="00D76FDC"/>
    <w:rsid w:val="00D956CC"/>
    <w:rsid w:val="00DA2F44"/>
    <w:rsid w:val="00DB3DC7"/>
    <w:rsid w:val="00DB503F"/>
    <w:rsid w:val="00DB5836"/>
    <w:rsid w:val="00DC1453"/>
    <w:rsid w:val="00DC2C15"/>
    <w:rsid w:val="00DD1322"/>
    <w:rsid w:val="00E042B1"/>
    <w:rsid w:val="00E175F7"/>
    <w:rsid w:val="00E3562C"/>
    <w:rsid w:val="00E45373"/>
    <w:rsid w:val="00E61558"/>
    <w:rsid w:val="00E61782"/>
    <w:rsid w:val="00E63271"/>
    <w:rsid w:val="00E63BF6"/>
    <w:rsid w:val="00E653DD"/>
    <w:rsid w:val="00E669D1"/>
    <w:rsid w:val="00E67D3C"/>
    <w:rsid w:val="00E67F9D"/>
    <w:rsid w:val="00E70B75"/>
    <w:rsid w:val="00E73FDF"/>
    <w:rsid w:val="00E91469"/>
    <w:rsid w:val="00E945DA"/>
    <w:rsid w:val="00EF55CE"/>
    <w:rsid w:val="00EF5964"/>
    <w:rsid w:val="00F048BE"/>
    <w:rsid w:val="00F151D6"/>
    <w:rsid w:val="00F17F07"/>
    <w:rsid w:val="00F22E83"/>
    <w:rsid w:val="00F27DD3"/>
    <w:rsid w:val="00F3155A"/>
    <w:rsid w:val="00F325B3"/>
    <w:rsid w:val="00F41807"/>
    <w:rsid w:val="00F43BB8"/>
    <w:rsid w:val="00F43ECC"/>
    <w:rsid w:val="00F5398B"/>
    <w:rsid w:val="00F664F7"/>
    <w:rsid w:val="00F7413C"/>
    <w:rsid w:val="00F7627B"/>
    <w:rsid w:val="00F86671"/>
    <w:rsid w:val="00FA67F9"/>
    <w:rsid w:val="00FA7A1C"/>
    <w:rsid w:val="00FB62FC"/>
    <w:rsid w:val="00FE7C98"/>
    <w:rsid w:val="00FF2338"/>
    <w:rsid w:val="00FF5926"/>
    <w:rsid w:val="00FF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52E0B"/>
  <w15:docId w15:val="{CDFE459D-7502-4AB2-A0BD-57D93848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43BB8"/>
    <w:pPr>
      <w:spacing w:before="120" w:after="240"/>
      <w:jc w:val="both"/>
    </w:pPr>
    <w:rPr>
      <w:rFonts w:eastAsiaTheme="minorEastAsia"/>
      <w:lang w:val="en-US"/>
    </w:rPr>
  </w:style>
  <w:style w:type="paragraph" w:styleId="1">
    <w:name w:val="heading 1"/>
    <w:basedOn w:val="a"/>
    <w:link w:val="10"/>
    <w:uiPriority w:val="9"/>
    <w:qFormat/>
    <w:rsid w:val="00F43BB8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5398B"/>
    <w:pPr>
      <w:keepNext/>
      <w:keepLines/>
      <w:spacing w:before="40" w:after="0" w:line="240" w:lineRule="auto"/>
      <w:contextualSpacing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link w:val="30"/>
    <w:uiPriority w:val="9"/>
    <w:qFormat/>
    <w:rsid w:val="00F43BB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F43BB8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398B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aliases w:val="Scriptoria bullet points,HotarirePunct1"/>
    <w:basedOn w:val="a"/>
    <w:link w:val="a4"/>
    <w:uiPriority w:val="34"/>
    <w:qFormat/>
    <w:rsid w:val="00F539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B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3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3BB8"/>
    <w:rPr>
      <w:b/>
      <w:bCs/>
    </w:rPr>
  </w:style>
  <w:style w:type="paragraph" w:styleId="a6">
    <w:name w:val="Normal (Web)"/>
    <w:basedOn w:val="a"/>
    <w:uiPriority w:val="99"/>
    <w:unhideWhenUsed/>
    <w:rsid w:val="00F43B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F43BB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173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372"/>
    <w:rPr>
      <w:rFonts w:ascii="Tahoma" w:eastAsiaTheme="minorEastAsia" w:hAnsi="Tahoma" w:cs="Tahoma"/>
      <w:sz w:val="16"/>
      <w:szCs w:val="16"/>
      <w:lang w:val="en-US"/>
    </w:rPr>
  </w:style>
  <w:style w:type="character" w:styleId="aa">
    <w:name w:val="Placeholder Text"/>
    <w:basedOn w:val="a0"/>
    <w:uiPriority w:val="99"/>
    <w:semiHidden/>
    <w:rsid w:val="00393995"/>
    <w:rPr>
      <w:color w:val="808080"/>
    </w:rPr>
  </w:style>
  <w:style w:type="table" w:styleId="ab">
    <w:name w:val="Table Grid"/>
    <w:basedOn w:val="a1"/>
    <w:uiPriority w:val="59"/>
    <w:rsid w:val="00667B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uiPriority w:val="1"/>
    <w:qFormat/>
    <w:rsid w:val="00DC2C15"/>
    <w:pPr>
      <w:widowControl w:val="0"/>
      <w:spacing w:before="0" w:after="0" w:line="240" w:lineRule="auto"/>
      <w:ind w:left="134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C2C1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Абзац списка Знак"/>
    <w:aliases w:val="Scriptoria bullet points Знак,HotarirePunct1 Знак"/>
    <w:link w:val="a3"/>
    <w:uiPriority w:val="34"/>
    <w:locked/>
    <w:rsid w:val="001226D5"/>
    <w:rPr>
      <w:rFonts w:eastAsiaTheme="minorEastAsia"/>
      <w:lang w:val="en-US"/>
    </w:rPr>
  </w:style>
  <w:style w:type="character" w:styleId="ae">
    <w:name w:val="Hyperlink"/>
    <w:basedOn w:val="a0"/>
    <w:uiPriority w:val="99"/>
    <w:unhideWhenUsed/>
    <w:rsid w:val="005D041A"/>
    <w:rPr>
      <w:color w:val="0000FF"/>
      <w:u w:val="single"/>
    </w:rPr>
  </w:style>
  <w:style w:type="character" w:customStyle="1" w:styleId="11">
    <w:name w:val="Основной шрифт абзаца1"/>
    <w:rsid w:val="00596E2C"/>
  </w:style>
  <w:style w:type="paragraph" w:styleId="af">
    <w:name w:val="header"/>
    <w:basedOn w:val="a"/>
    <w:link w:val="af0"/>
    <w:uiPriority w:val="99"/>
    <w:unhideWhenUsed/>
    <w:rsid w:val="00DA2F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A2F44"/>
    <w:rPr>
      <w:rFonts w:eastAsiaTheme="minorEastAsia"/>
      <w:lang w:val="en-US"/>
    </w:rPr>
  </w:style>
  <w:style w:type="paragraph" w:styleId="af1">
    <w:name w:val="footer"/>
    <w:basedOn w:val="a"/>
    <w:link w:val="af2"/>
    <w:uiPriority w:val="99"/>
    <w:unhideWhenUsed/>
    <w:rsid w:val="00DA2F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2F44"/>
    <w:rPr>
      <w:rFonts w:eastAsiaTheme="minorEastAsia"/>
      <w:lang w:val="en-US"/>
    </w:rPr>
  </w:style>
  <w:style w:type="paragraph" w:styleId="af3">
    <w:name w:val="Revision"/>
    <w:hidden/>
    <w:uiPriority w:val="99"/>
    <w:semiHidden/>
    <w:rsid w:val="00A14867"/>
    <w:pPr>
      <w:spacing w:after="0" w:line="240" w:lineRule="auto"/>
    </w:pPr>
    <w:rPr>
      <w:rFonts w:eastAsiaTheme="minorEastAsia"/>
      <w:lang w:val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14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754EA-D511-4E01-8878-75EF5AEA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ABodiu</dc:creator>
  <cp:lastModifiedBy>Lilian Mindov</cp:lastModifiedBy>
  <cp:revision>91</cp:revision>
  <cp:lastPrinted>2024-11-18T11:50:00Z</cp:lastPrinted>
  <dcterms:created xsi:type="dcterms:W3CDTF">2024-10-25T11:16:00Z</dcterms:created>
  <dcterms:modified xsi:type="dcterms:W3CDTF">2025-01-17T09:04:00Z</dcterms:modified>
</cp:coreProperties>
</file>