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04" w:rsidRPr="00BB3BE5" w:rsidRDefault="00AC4E04" w:rsidP="00BF7DB7">
      <w:pPr>
        <w:spacing w:after="0" w:line="240" w:lineRule="auto"/>
        <w:ind w:right="-567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Proiect</w:t>
      </w:r>
    </w:p>
    <w:p w:rsidR="00AC4E04" w:rsidRPr="00BB3BE5" w:rsidRDefault="00AC4E04" w:rsidP="00BF7DB7">
      <w:pPr>
        <w:spacing w:after="0" w:line="240" w:lineRule="auto"/>
        <w:ind w:right="-56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GUVERNUL REPUBLICII MOLDOVA</w:t>
      </w: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HOTĂRÂRE</w:t>
      </w: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cu privire la modificarea  Hotărârii Guvernului nr. 985/2020 cu privire la aprobarea Regulamentului privind  condițiile și procedura de acordare a subvențiilor în avans pentru proiectele investiționale de îmbunătățiri funciare întru implementarea Programului de îmbunătățiri funciare în scopul asigurării managementului durabil al resurselor de sol pentru anii 2021-2025</w:t>
      </w: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nr.</w:t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______ din ___________2024</w:t>
      </w:r>
    </w:p>
    <w:p w:rsidR="00AC4E04" w:rsidRPr="00BB3BE5" w:rsidRDefault="00AC4E04" w:rsidP="00BF7DB7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BF7DB7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În temeiul art. 5 din Codul funciar nr. 22/2024 (Publicat în Monitorul Oficial al Republicii Moldova,</w:t>
      </w:r>
      <w:r w:rsidR="00E551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anul 2024,</w:t>
      </w:r>
      <w:r w:rsidR="00141F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nr.</w:t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93-95</w:t>
      </w:r>
      <w:r w:rsidR="00E551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art. 137), cu modificările ulterioare, Guvernul HOTĂRĂŞTE:</w:t>
      </w:r>
    </w:p>
    <w:p w:rsidR="00DF5489" w:rsidRPr="00BB3BE5" w:rsidRDefault="00DF5489" w:rsidP="00213F3E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E04" w:rsidRPr="00BB3BE5" w:rsidRDefault="00AC4E04" w:rsidP="00213F3E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Hotărârea Guvernului nr.985/2020 cu privire la aprobarea </w:t>
      </w:r>
      <w:r w:rsidRPr="00BB3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Regulamentului privind </w:t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condițiile și procedura de acordare a subvențiilor în avans pentru proiectele investiționale de îmbunătățiri funciare </w:t>
      </w:r>
      <w:r w:rsidR="00141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întru implementarea Programului </w:t>
      </w:r>
      <w:r w:rsidRPr="00BB3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 îmbunătățiri funciare în scopul asigurării managementului durabil al resurselor de sol pentru anii 2021-2025, (Monitorul Oficial al Republicii Moldova, 2021, nr. 22-32, art. 33), se modifică după cum urmează.</w:t>
      </w:r>
    </w:p>
    <w:p w:rsidR="00DF5489" w:rsidRPr="00BB3BE5" w:rsidRDefault="00DF5489" w:rsidP="00213F3E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7642" w:rsidRPr="00FC24E0" w:rsidRDefault="008D3642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A07642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la Regulament:</w:t>
      </w:r>
    </w:p>
    <w:p w:rsidR="00A07642" w:rsidRPr="00FC24E0" w:rsidRDefault="008D3642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="00A0764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punctele 2, 4 și 5:</w:t>
      </w:r>
    </w:p>
    <w:p w:rsidR="00A07642" w:rsidRPr="00FC24E0" w:rsidRDefault="00A07642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textul „2021-2023” se substituie cu textul „2024-2025”;</w:t>
      </w:r>
    </w:p>
    <w:p w:rsidR="003450AE" w:rsidRPr="00FC24E0" w:rsidRDefault="008D3642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1.1.2.</w:t>
      </w:r>
      <w:r w:rsidR="0062378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A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7, subpunctu</w:t>
      </w:r>
      <w:r w:rsidR="00690EC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l 4</w:t>
      </w:r>
      <w:r w:rsidR="00690ECC" w:rsidRPr="00FC24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5397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) după cuvântul „</w:t>
      </w:r>
      <w:r w:rsidR="00753979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acesteia</w:t>
      </w:r>
      <w:r w:rsidR="0075397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0062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74E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se completează cu:</w:t>
      </w:r>
    </w:p>
    <w:p w:rsidR="006C74E3" w:rsidRPr="00FC24E0" w:rsidRDefault="006C74E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 în cazul în care măsurile și tipurile de lucrări cad sub incidența pct.10 lit. o), g) și pct.11 lit. k) , din anexa nr. 2, al Legii nr.86/2014 privind evaluarea impactului asupra mediului”;</w:t>
      </w:r>
    </w:p>
    <w:p w:rsidR="003A628F" w:rsidRPr="00FC24E0" w:rsidRDefault="00F96BFF" w:rsidP="003A628F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1.1.3</w:t>
      </w:r>
      <w:r w:rsidR="00F82FD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C0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4679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ubpunctul 11) </w:t>
      </w:r>
      <w:r w:rsidR="003A628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după cuvântul „</w:t>
      </w:r>
      <w:r w:rsidR="003A628F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acesteia</w:t>
      </w:r>
      <w:r w:rsidR="003A628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”, se completează cu:</w:t>
      </w:r>
    </w:p>
    <w:p w:rsidR="00546790" w:rsidRPr="00FC24E0" w:rsidRDefault="003A628F" w:rsidP="003A628F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="0054679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„</w:t>
      </w:r>
      <w:r w:rsidR="00F96BF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="0054679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în cazul în care măsurile și tipurile de lucrări cad sub incidența pct.10 lit. o), g) și pct.11 lit. k), din anexa nr. 2”</w:t>
      </w:r>
      <w:r w:rsidR="00F06C0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;</w:t>
      </w:r>
    </w:p>
    <w:p w:rsidR="00083151" w:rsidRPr="00FC24E0" w:rsidRDefault="0024465B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1.1.4. </w:t>
      </w:r>
      <w:r w:rsidR="00DB515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titlu măsurii</w:t>
      </w:r>
      <w:r w:rsidR="00DD50F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nr.2</w:t>
      </w:r>
      <w:r w:rsidR="00037FAA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15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va avea următorul conținut:</w:t>
      </w:r>
    </w:p>
    <w:p w:rsidR="00083151" w:rsidRPr="00FC24E0" w:rsidRDefault="00083151" w:rsidP="00BF1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FC2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o-RO"/>
        </w:rPr>
        <w:t>Aplicarea măsurilor de ameliorare chimică și/sau organică a solurilor</w:t>
      </w:r>
      <w:r w:rsidR="00097E43" w:rsidRPr="00FC2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o-RO"/>
        </w:rPr>
        <w:t>”;</w:t>
      </w:r>
    </w:p>
    <w:p w:rsidR="004B24AC" w:rsidRPr="00FC24E0" w:rsidRDefault="0024465B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1.1.5</w:t>
      </w:r>
      <w:r w:rsidR="004B24A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10:</w:t>
      </w:r>
    </w:p>
    <w:p w:rsidR="006C74E3" w:rsidRPr="00FC24E0" w:rsidRDefault="00037FAA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după cuvântul „chimică” se completează </w:t>
      </w:r>
      <w:r w:rsidR="003F3BC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 cuvintele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3F3BC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și/sau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organică”;</w:t>
      </w:r>
    </w:p>
    <w:p w:rsidR="004B24AC" w:rsidRPr="00FC24E0" w:rsidRDefault="0024465B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1.1.6</w:t>
      </w:r>
      <w:r w:rsidR="00573FA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11:</w:t>
      </w:r>
    </w:p>
    <w:p w:rsidR="008D2A0A" w:rsidRPr="00FC24E0" w:rsidRDefault="00FA7E90" w:rsidP="008D2A0A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subpunctul 11)</w:t>
      </w:r>
      <w:r w:rsidR="008D2A0A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, după cuvântul „</w:t>
      </w:r>
      <w:r w:rsidR="008D2A0A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investiției</w:t>
      </w:r>
      <w:r w:rsidR="008D2A0A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”, se completează cu</w:t>
      </w:r>
      <w:r w:rsidR="00442F3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cuvintele</w:t>
      </w:r>
      <w:r w:rsidR="008D2A0A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A0A" w:rsidRPr="00FC24E0" w:rsidRDefault="008D2A0A" w:rsidP="008D2A0A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 după caz” ;</w:t>
      </w:r>
    </w:p>
    <w:p w:rsidR="00231064" w:rsidRPr="00FC24E0" w:rsidRDefault="001E4E74" w:rsidP="00231064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A1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subpunctul 11</w:t>
      </w:r>
      <w:r w:rsidR="00266D01" w:rsidRPr="00FC24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66D0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3106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după cuvântul „</w:t>
      </w:r>
      <w:r w:rsidR="00231064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acesteia</w:t>
      </w:r>
      <w:r w:rsidR="0023106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”, se completează cu cuvintele:</w:t>
      </w:r>
    </w:p>
    <w:p w:rsidR="00DF5489" w:rsidRPr="00FC24E0" w:rsidRDefault="00231064" w:rsidP="00231064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E7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 după caz” </w:t>
      </w:r>
      <w:r w:rsidR="00FA7E9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6300" w:rsidRPr="00FC24E0" w:rsidRDefault="0024465B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1.1.7.</w:t>
      </w:r>
      <w:r w:rsidR="007550C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30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12:</w:t>
      </w:r>
    </w:p>
    <w:p w:rsidR="00D66300" w:rsidRPr="00FC24E0" w:rsidRDefault="00D66300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subpunctul 8) se abrogă;</w:t>
      </w:r>
    </w:p>
    <w:p w:rsidR="00CE1085" w:rsidRPr="00FC24E0" w:rsidRDefault="00B40FD5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1.1.8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FC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08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punctul 19:</w:t>
      </w:r>
    </w:p>
    <w:p w:rsidR="000B4D1E" w:rsidRPr="00FC24E0" w:rsidRDefault="00D67267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subpunctul 1) </w:t>
      </w:r>
      <w:r w:rsidR="000B4D1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va avea următorul cuprins:</w:t>
      </w:r>
    </w:p>
    <w:p w:rsidR="006D3B30" w:rsidRPr="00FC24E0" w:rsidRDefault="00B82C59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„</w:t>
      </w:r>
      <w:proofErr w:type="spellStart"/>
      <w:r w:rsidR="000B4D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achiziţionarea</w:t>
      </w:r>
      <w:proofErr w:type="spellEnd"/>
      <w:r w:rsidR="000B4D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de bunuri de la persoane/întreprinderi afiliate, cu excepția materialului semincer și/sau săditor, înregistrat conform legislației  ca producător de semințe și/sau material săditor”;</w:t>
      </w:r>
    </w:p>
    <w:p w:rsidR="003858B1" w:rsidRPr="00FC24E0" w:rsidRDefault="00B40FD5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1.1.9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4A3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40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se completează</w:t>
      </w:r>
      <w:r w:rsidR="0004325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punctul </w:t>
      </w:r>
      <w:r w:rsidR="0004325C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1</w:t>
      </w:r>
      <w:r w:rsidR="0004325C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o-RO"/>
        </w:rPr>
        <w:t>1</w:t>
      </w:r>
      <w:r w:rsidR="000B4D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)</w:t>
      </w:r>
      <w:r w:rsidR="0004325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40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 urmă</w:t>
      </w:r>
      <w:r w:rsidR="0004325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torul</w:t>
      </w:r>
      <w:r w:rsidR="003858B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cuprins:</w:t>
      </w:r>
    </w:p>
    <w:p w:rsidR="003858B1" w:rsidRPr="00FC24E0" w:rsidRDefault="003858B1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„1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o-RO"/>
        </w:rPr>
        <w:t>1</w:t>
      </w:r>
      <w:r w:rsidR="000B4D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)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achiziţionarea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de servicii de la persoane/întreprinderi afiliate, cu excepția lucrărilor efectuate în mod individual de către beneficiar, în baza costurilor elaborate de către Academia de Studii Economice din Moldova”;</w:t>
      </w:r>
    </w:p>
    <w:p w:rsidR="00250CF9" w:rsidRPr="00FC24E0" w:rsidRDefault="0063224D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364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EF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subpunctele 7) și 11)</w:t>
      </w:r>
      <w:r w:rsidR="00250CF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se abrogă;</w:t>
      </w:r>
    </w:p>
    <w:p w:rsidR="00572573" w:rsidRPr="00FC24E0" w:rsidRDefault="00EB248A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38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FD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57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AF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subpunctul 8) cuvintele </w:t>
      </w:r>
      <w:r w:rsidR="004024D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646AF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serviciile de transport și”</w:t>
      </w:r>
      <w:r w:rsidR="009F7E8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, se exclud;</w:t>
      </w:r>
    </w:p>
    <w:p w:rsidR="002F09A0" w:rsidRPr="00FC24E0" w:rsidRDefault="003F48D1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FA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FD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subpunctul 13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2F09A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 avea următorul cuprins:</w:t>
      </w:r>
    </w:p>
    <w:p w:rsidR="003F48D1" w:rsidRPr="00FC24E0" w:rsidRDefault="00903005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 „costurile (cheltuielile) suportate până la încheierea contractului de acordare a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subvenţiei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în avans dintre beneficiar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şi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Agenţie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”.</w:t>
      </w:r>
    </w:p>
    <w:p w:rsidR="00EB34B7" w:rsidRPr="00FC24E0" w:rsidRDefault="006D3B30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1.1.10.</w:t>
      </w:r>
      <w:r w:rsidR="00EB34B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20:</w:t>
      </w:r>
    </w:p>
    <w:p w:rsidR="00EB34B7" w:rsidRPr="00FC24E0" w:rsidRDefault="005E4A86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după cuvântul „</w:t>
      </w:r>
      <w:r w:rsidR="00FA635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proiect</w:t>
      </w:r>
      <w:r w:rsidR="009F7E8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ului</w:t>
      </w:r>
      <w:r w:rsidR="00FA635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se </w:t>
      </w:r>
      <w:r w:rsidR="001D0D4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35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completează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cuvântul</w:t>
      </w:r>
      <w:r w:rsidR="0071103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„investi</w:t>
      </w:r>
      <w:r w:rsidR="00706FD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țional”</w:t>
      </w:r>
      <w:r w:rsidR="00D44A3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3F2D" w:rsidRPr="00FC24E0" w:rsidRDefault="006D3B30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1.1.11.</w:t>
      </w:r>
      <w:r w:rsidR="00B82C5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CA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C2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punctul 28, se </w:t>
      </w:r>
      <w:r w:rsidR="0006488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completează</w:t>
      </w:r>
      <w:r w:rsidR="009F7C2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r w:rsidR="00BF4CA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punctul</w:t>
      </w:r>
      <w:r w:rsidR="00113F2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64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28</w:t>
      </w:r>
      <w:r w:rsidR="00DD764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o-RO"/>
        </w:rPr>
        <w:t>1</w:t>
      </w:r>
      <w:r w:rsidR="00DD764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="0006488D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cu următorul cuprins</w:t>
      </w:r>
      <w:r w:rsidR="00DD764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:</w:t>
      </w:r>
    </w:p>
    <w:p w:rsidR="00113F2D" w:rsidRPr="00FC24E0" w:rsidRDefault="00113F2D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„28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Agenția Națională de Îmbunătățiri Funciare, va elabora și aproba fișa tehnologică cu costul estimativ a lucrărilor de îmbunătățiri funciare, pentru fiecare măsură din Regulament”;</w:t>
      </w:r>
    </w:p>
    <w:p w:rsidR="00EF4A50" w:rsidRPr="00FC24E0" w:rsidRDefault="0006488D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6C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1.1.12.</w:t>
      </w:r>
      <w:r w:rsidR="008D750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C9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punctul </w:t>
      </w:r>
      <w:r w:rsidR="00EF4A5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29, va avea următorul cuprins:</w:t>
      </w:r>
    </w:p>
    <w:p w:rsidR="004E1BA3" w:rsidRPr="00FC24E0" w:rsidRDefault="004E1BA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„</w:t>
      </w:r>
      <w:r w:rsidR="008D7509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Cererea de solicitare a subvenției în avans este depusă de către solicitant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Agenția Națională de Îmbunătățiri Funciare, pe suport de </w:t>
      </w:r>
      <w:proofErr w:type="spellStart"/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hartie</w:t>
      </w:r>
      <w:proofErr w:type="spellEnd"/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sau electronic la adresa e-mail: </w:t>
      </w:r>
      <w:hyperlink r:id="rId4" w:history="1">
        <w:r w:rsidRPr="00FC24E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cancelaria@anif.gov.md</w:t>
        </w:r>
      </w:hyperlink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, a Agenției Naționale de Îmbunătățiri Funciare”;</w:t>
      </w:r>
    </w:p>
    <w:p w:rsidR="006A2C54" w:rsidRPr="00FC24E0" w:rsidRDefault="006D3B30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18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1.1.13.</w:t>
      </w:r>
      <w:r w:rsidR="008D750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C5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punctul 30:</w:t>
      </w:r>
    </w:p>
    <w:p w:rsidR="006A2C54" w:rsidRPr="00FC24E0" w:rsidRDefault="00A23D12" w:rsidP="00BF1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subpunctul</w:t>
      </w:r>
      <w:r w:rsidR="00D74FA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2), </w:t>
      </w:r>
      <w:r w:rsidR="00587F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cuvântul </w:t>
      </w:r>
      <w:r w:rsidR="00E54188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„ </w:t>
      </w:r>
      <w:r w:rsidR="0086189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d</w:t>
      </w:r>
      <w:r w:rsidR="008D7509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osar</w:t>
      </w:r>
      <w:r w:rsidR="0037193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ul</w:t>
      </w:r>
      <w:r w:rsidR="008D7509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”, se  </w:t>
      </w:r>
      <w:proofErr w:type="spellStart"/>
      <w:r w:rsidR="008D7509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substitue</w:t>
      </w:r>
      <w:proofErr w:type="spellEnd"/>
      <w:r w:rsidR="00587F1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cu textul „</w:t>
      </w:r>
      <w:r w:rsidR="00E5418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În cazul în care  se depune fizic, </w:t>
      </w:r>
      <w:r w:rsidR="00E54188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se înregistrează dosarul</w:t>
      </w:r>
      <w:r w:rsidR="00D74FA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”</w:t>
      </w:r>
      <w:r w:rsidR="00B4191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și textul „subdiviziunii teritoriale ale Agenției”, se va substitui cu textul „</w:t>
      </w:r>
      <w:r w:rsidR="00E54188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Agenției Naționale de Îmbunătățiri Funciare</w:t>
      </w:r>
      <w:r w:rsidR="0038446E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”; </w:t>
      </w:r>
    </w:p>
    <w:p w:rsidR="00EB2AA9" w:rsidRPr="00FC24E0" w:rsidRDefault="00C4741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18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1.1.14.</w:t>
      </w:r>
      <w:r w:rsidR="00EB2AA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3</w:t>
      </w:r>
      <w:r w:rsidR="00C9666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2AA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, va avea următorul cuprins:</w:t>
      </w:r>
    </w:p>
    <w:p w:rsidR="00EB2AA9" w:rsidRPr="00FC24E0" w:rsidRDefault="00EB2AA9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„</w:t>
      </w:r>
      <w:r w:rsidR="00C47413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="00297B8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L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 depunerea cererii  de solicitare a subvenției în avans,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9B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 suport de hârtie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r w:rsidR="0037193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/sau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online, 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solicitantul primește confirmarea care atestă recepționarea cererii de către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Agenția Națională de Îmbunătățiri Funciare”.</w:t>
      </w:r>
    </w:p>
    <w:p w:rsidR="008137F9" w:rsidRPr="00FC24E0" w:rsidRDefault="00B6118B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1.1.15.</w:t>
      </w:r>
      <w:r w:rsidR="00C9666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7F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punctul </w:t>
      </w:r>
      <w:r w:rsidR="00C9666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9666C" w:rsidRPr="00FC24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944CD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52B2" w:rsidRPr="00FC24E0" w:rsidRDefault="009F4BC1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textul</w:t>
      </w:r>
      <w:r w:rsidR="005912A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„subdiviziun</w:t>
      </w:r>
      <w:r w:rsidR="007762A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ea teritorială a Agenției” se</w:t>
      </w:r>
      <w:r w:rsidR="005912A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substitui</w:t>
      </w:r>
      <w:r w:rsidR="007762A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5912A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F5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 textul „ Agenția Națională de Îmbunătățiri Funciare”;</w:t>
      </w:r>
    </w:p>
    <w:p w:rsidR="00733D49" w:rsidRPr="00FC24E0" w:rsidRDefault="00E00497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18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1.1.16.</w:t>
      </w:r>
      <w:r w:rsidR="00D57E3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2E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punctele 32 și  33</w:t>
      </w:r>
      <w:r w:rsidR="00B5769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33D4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abrogă;</w:t>
      </w:r>
    </w:p>
    <w:p w:rsidR="00D72D0E" w:rsidRPr="00FC24E0" w:rsidRDefault="006D3B30" w:rsidP="00D72D0E">
      <w:pPr>
        <w:spacing w:after="0" w:line="240" w:lineRule="auto"/>
        <w:ind w:right="28" w:firstLine="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2D0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1.1.17 Punctul 35, va avea următorul cuprins:</w:t>
      </w:r>
    </w:p>
    <w:p w:rsidR="00D72D0E" w:rsidRPr="00FC24E0" w:rsidRDefault="00293C0A" w:rsidP="00D72D0E">
      <w:pPr>
        <w:spacing w:after="0" w:line="240" w:lineRule="auto"/>
        <w:ind w:right="28" w:firstLine="39"/>
        <w:jc w:val="both"/>
        <w:rPr>
          <w:rFonts w:ascii="Times New Roman" w:hAnsi="Times New Roman" w:cs="Times New Roman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D72D0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Solicitantul poate depune o cerere nouă în cadrul apelului în derulare sau în cadrul apelului următor, în cazul în care nu a întrunit </w:t>
      </w:r>
      <w:proofErr w:type="spellStart"/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condiţiile</w:t>
      </w:r>
      <w:proofErr w:type="spellEnd"/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necesare și în </w:t>
      </w:r>
      <w:proofErr w:type="spellStart"/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termenile</w:t>
      </w:r>
      <w:proofErr w:type="spellEnd"/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stabilite a fost declarat neeligibil în cadrul apelului precedent lansat de către Agenția Națională de Îmbunătățiri Funciare”.</w:t>
      </w:r>
    </w:p>
    <w:p w:rsidR="00D72D0E" w:rsidRPr="00FC24E0" w:rsidRDefault="00D72D0E" w:rsidP="00D72D0E">
      <w:pPr>
        <w:spacing w:after="0" w:line="240" w:lineRule="auto"/>
        <w:ind w:right="28" w:firstLine="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183" w:rsidRPr="00FC24E0" w:rsidRDefault="00D72D0E" w:rsidP="00D72D0E">
      <w:pPr>
        <w:spacing w:after="0" w:line="240" w:lineRule="auto"/>
        <w:ind w:right="28" w:firstLine="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D72D0E" w:rsidRPr="00FC24E0" w:rsidRDefault="00D72D0E" w:rsidP="000A4183">
      <w:pPr>
        <w:spacing w:after="0" w:line="240" w:lineRule="auto"/>
        <w:ind w:right="28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1.1.18. Punctul 36:</w:t>
      </w:r>
    </w:p>
    <w:p w:rsidR="006D3B30" w:rsidRPr="00FC24E0" w:rsidRDefault="00A23D12" w:rsidP="006D3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2D0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După cuvintele „aprobate de”, se completează cu cuvintele </w:t>
      </w:r>
      <w:r w:rsidR="00D72D0E" w:rsidRPr="00FC24E0">
        <w:rPr>
          <w:rFonts w:ascii="Times New Roman" w:hAnsi="Times New Roman" w:cs="Times New Roman"/>
          <w:sz w:val="28"/>
          <w:szCs w:val="28"/>
        </w:rPr>
        <w:t>”</w:t>
      </w:r>
      <w:r w:rsidR="00D72D0E" w:rsidRPr="00FC2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Agenția Națională de Îmbunătățiri Funciare.”</w:t>
      </w:r>
    </w:p>
    <w:p w:rsidR="00733D49" w:rsidRPr="00FC24E0" w:rsidRDefault="00E00497" w:rsidP="006D3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1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1.1.18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1DD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39</w:t>
      </w:r>
      <w:r w:rsidR="00733D4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05B8" w:rsidRPr="00FC24E0" w:rsidRDefault="00A81DD1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după textul „în termen de 20 zile”, se completează </w:t>
      </w:r>
      <w:r w:rsidR="00BF58C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 textul „după recepționarea acestora”</w:t>
      </w:r>
      <w:r w:rsidR="00A0305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3BDD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1.1.19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B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BD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42:</w:t>
      </w:r>
    </w:p>
    <w:p w:rsidR="00DD7641" w:rsidRPr="00FC24E0" w:rsidRDefault="00944CDF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textul „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I.P. Institutul de Pedologie, Agrochimie și Pedologie a Solului „N.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Dimo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” se substituie cu textul „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Institutului Național de Cercetări Aplicative în Agricultură și Medicină Veterinară”;</w:t>
      </w:r>
    </w:p>
    <w:p w:rsidR="00DD78EB" w:rsidRPr="00FC24E0" w:rsidRDefault="00A0305B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="00DD78E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cuvântul „Ag</w:t>
      </w:r>
      <w:r w:rsidR="00D5643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enție</w:t>
      </w:r>
      <w:r w:rsidR="008454F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i</w:t>
      </w:r>
      <w:r w:rsidR="00D5643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”, se </w:t>
      </w:r>
      <w:r w:rsidR="008454F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substituie </w:t>
      </w:r>
      <w:r w:rsidR="00D5643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cu cuvintele</w:t>
      </w:r>
      <w:r w:rsidR="00DD78E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„</w:t>
      </w:r>
      <w:r w:rsidR="008454F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Agenției</w:t>
      </w:r>
      <w:r w:rsidR="008454F0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r w:rsidR="00DD78EB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de Intervenții și Plăți pentru Agricultură</w:t>
      </w:r>
      <w:r w:rsidR="00FB59E7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”;</w:t>
      </w:r>
    </w:p>
    <w:p w:rsidR="007C68EF" w:rsidRPr="00FC24E0" w:rsidRDefault="00B11D38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1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1.1.20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AF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51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 completează</w:t>
      </w:r>
      <w:r w:rsidR="007C68E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punctul </w:t>
      </w:r>
      <w:r w:rsidR="007C68E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51</w:t>
      </w:r>
      <w:r w:rsidR="007C68E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o-RO"/>
        </w:rPr>
        <w:t>1</w:t>
      </w:r>
      <w:r w:rsidR="007C68E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cu următorul conținut:</w:t>
      </w:r>
    </w:p>
    <w:p w:rsidR="00E94085" w:rsidRPr="00FC24E0" w:rsidRDefault="00E94085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51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o-RO"/>
        </w:rPr>
        <w:t xml:space="preserve">1 </w:t>
      </w:r>
      <w:r w:rsidR="00A35705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După prezentarea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cofinanțării și calcului primei tranșe ( în baza unei fise de calcul)  Agenția Națională de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Imbunătățiri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Funciare, transmite în baza unui act de predare primire pachetul de acte Agenției de Intervenție și Plăți în Agricultură pentru perfectarea contractului de finanțare. </w:t>
      </w:r>
    </w:p>
    <w:p w:rsidR="00E94085" w:rsidRPr="00FC24E0" w:rsidRDefault="00E94085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Contractul se semnează între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Agenţia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de Intervenție și Plăți pentru Agricultură </w:t>
      </w:r>
      <w:proofErr w:type="spellStart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şi</w:t>
      </w:r>
      <w:proofErr w:type="spellEnd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beneficiar ”;</w:t>
      </w:r>
    </w:p>
    <w:p w:rsidR="00D45DBD" w:rsidRPr="00FC24E0" w:rsidRDefault="003637B5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1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1.1.21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DB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53:</w:t>
      </w:r>
    </w:p>
    <w:p w:rsidR="00D45DBD" w:rsidRPr="00FC24E0" w:rsidRDefault="003079C8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cuvântul</w:t>
      </w:r>
      <w:r w:rsidR="00CE455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„Agenție</w:t>
      </w:r>
      <w:r w:rsidR="00D45DB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="00CE455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substituie </w:t>
      </w:r>
      <w:r w:rsidR="00D45DB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cuvintele „</w:t>
      </w:r>
      <w:r w:rsidR="00CE455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Agenția </w:t>
      </w: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Națională de Îmbunătățiri Funciare”;</w:t>
      </w:r>
    </w:p>
    <w:p w:rsidR="003079C8" w:rsidRPr="00FC24E0" w:rsidRDefault="00950F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41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1.1.22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79C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punctul 54:</w:t>
      </w:r>
    </w:p>
    <w:p w:rsidR="00170E11" w:rsidRPr="00FC24E0" w:rsidRDefault="00EB1737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cuvintele</w:t>
      </w:r>
      <w:r w:rsidR="00170E1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 al instituției implementat</w:t>
      </w:r>
      <w:r w:rsidR="00DA69E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oare”, se va substitui cu cuvintele</w:t>
      </w:r>
      <w:r w:rsidR="00170E1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170E1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al </w:t>
      </w:r>
      <w:proofErr w:type="spellStart"/>
      <w:r w:rsidR="00170E1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Agenţiei</w:t>
      </w:r>
      <w:proofErr w:type="spellEnd"/>
      <w:r w:rsidR="00170E11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de Intervenț</w:t>
      </w:r>
      <w:r w:rsidR="00987A88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ie și Plăți pentru Agricultură”;</w:t>
      </w:r>
    </w:p>
    <w:p w:rsidR="00950F83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1.1.23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0F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punctul 55 :</w:t>
      </w:r>
    </w:p>
    <w:p w:rsidR="007B1AF2" w:rsidRPr="00FC24E0" w:rsidRDefault="00293C0A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subpunctul</w:t>
      </w:r>
      <w:r w:rsidR="00950F83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1), </w:t>
      </w:r>
      <w:r w:rsidR="008C07B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cuvântul </w:t>
      </w:r>
      <w:r w:rsidR="00987A8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3E4315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Agenția</w:t>
      </w:r>
      <w:r w:rsidR="008C07B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se </w:t>
      </w:r>
      <w:r w:rsidR="007119F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substituie</w:t>
      </w:r>
      <w:r w:rsidR="00987A8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9E4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cu cuvintele</w:t>
      </w:r>
      <w:r w:rsidR="00987A8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7119FC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7119FC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>Agenţia</w:t>
      </w:r>
      <w:proofErr w:type="spellEnd"/>
      <w:r w:rsidR="00987A88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o-RO"/>
        </w:rPr>
        <w:t xml:space="preserve"> de Intervenție și Plăți pentru Agricultură”;</w:t>
      </w:r>
    </w:p>
    <w:p w:rsidR="00C06D01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1.1.24</w:t>
      </w:r>
      <w:r w:rsidR="00D5054C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5E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5B8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punctul </w:t>
      </w:r>
      <w:r w:rsidR="005C5E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C06D01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05B8" w:rsidRPr="00FC24E0" w:rsidRDefault="00C06D01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cuvântul</w:t>
      </w:r>
      <w:r w:rsidR="005C5E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„Agenția”, se </w:t>
      </w:r>
      <w:r w:rsidR="004921F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substituie cu cuvintele </w:t>
      </w:r>
      <w:r w:rsidR="005C5E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8B123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Agenția </w:t>
      </w:r>
      <w:r w:rsidR="005C5EE9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Națională de Îmbunătățiri Funciare;</w:t>
      </w:r>
    </w:p>
    <w:p w:rsidR="00B461E4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  1.1.25</w:t>
      </w:r>
      <w:r w:rsidR="00D5054C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 w:rsidR="000E2CC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tabelul de la anexa nr. 2 din Regulament, măsura nr.1,</w:t>
      </w:r>
      <w:r w:rsidR="000E2CC7" w:rsidRPr="00FC24E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poziția 2, va avea următorul cuprins</w:t>
      </w:r>
      <w:r w:rsidR="000E2CC7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tbl>
      <w:tblPr>
        <w:tblW w:w="9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D1689" w:rsidRPr="00FC24E0" w:rsidTr="00727565">
        <w:trPr>
          <w:trHeight w:val="285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89" w:rsidRPr="003C6F5F" w:rsidRDefault="00727565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>„</w:t>
            </w:r>
            <w:r w:rsidR="00AD1689"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 xml:space="preserve">Măsuri hidrotehnice </w:t>
            </w:r>
            <w:proofErr w:type="spellStart"/>
            <w:r w:rsidR="00AD1689"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>antierozionale</w:t>
            </w:r>
            <w:proofErr w:type="spellEnd"/>
            <w:r w:rsidR="00AD1689"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 xml:space="preserve"> pe terenurile agricole</w:t>
            </w:r>
          </w:p>
        </w:tc>
      </w:tr>
      <w:tr w:rsidR="00AD1689" w:rsidRPr="00FC24E0" w:rsidTr="00727565">
        <w:trPr>
          <w:trHeight w:val="90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89" w:rsidRPr="00FC24E0" w:rsidRDefault="00AD1689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construcția de baraje și diguri de protecție</w:t>
            </w:r>
          </w:p>
        </w:tc>
      </w:tr>
      <w:tr w:rsidR="00AD1689" w:rsidRPr="00FC24E0" w:rsidTr="00727565">
        <w:trPr>
          <w:trHeight w:val="90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689" w:rsidRPr="00FC24E0" w:rsidRDefault="00AD1689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</w:pPr>
            <w:r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construcția pe fundul rigolelor a barajelor</w:t>
            </w:r>
          </w:p>
        </w:tc>
      </w:tr>
      <w:tr w:rsidR="00AD1689" w:rsidRPr="00FC24E0" w:rsidTr="00727565">
        <w:trPr>
          <w:trHeight w:val="225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89" w:rsidRPr="00FC24E0" w:rsidRDefault="00AD1689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terasare și terasamente hidrotehnice</w:t>
            </w:r>
          </w:p>
        </w:tc>
      </w:tr>
      <w:tr w:rsidR="00AD1689" w:rsidRPr="00FC24E0" w:rsidTr="00727565">
        <w:trPr>
          <w:trHeight w:val="225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89" w:rsidRPr="00FC24E0" w:rsidRDefault="00AD1689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gărdulețe de-a lungul curbelor de nivel pentru reducerea scurgerilor</w:t>
            </w:r>
          </w:p>
        </w:tc>
      </w:tr>
      <w:tr w:rsidR="00AD1689" w:rsidRPr="00FC24E0" w:rsidTr="00727565">
        <w:trPr>
          <w:trHeight w:val="240"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89" w:rsidRPr="00FC24E0" w:rsidRDefault="00AD1689" w:rsidP="0094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treceri tubulare</w:t>
            </w:r>
            <w:r w:rsidR="00727565" w:rsidRPr="00FC2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o-RO"/>
              </w:rPr>
              <w:t>”;</w:t>
            </w:r>
          </w:p>
        </w:tc>
      </w:tr>
    </w:tbl>
    <w:p w:rsidR="005F4EBB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  1.1.26</w:t>
      </w:r>
      <w:r w:rsidR="00A426F2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>.</w:t>
      </w:r>
      <w:r w:rsidR="0010693F"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o-RO"/>
        </w:rPr>
        <w:t xml:space="preserve"> </w:t>
      </w:r>
      <w:r w:rsidR="005F4EB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la măsura nr.2</w:t>
      </w:r>
      <w:r w:rsidR="00AA224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denumire</w:t>
      </w:r>
      <w:r w:rsidR="005F4EBB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2240" w:rsidRPr="00FC24E0" w:rsidRDefault="00783E00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AA224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upă cuvântul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AA224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chimică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50758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completează</w:t>
      </w:r>
      <w:r w:rsidR="00AA2240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63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cuvintele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B1263D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și/sau </w:t>
      </w: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organică”;</w:t>
      </w:r>
    </w:p>
    <w:p w:rsidR="000F4ABE" w:rsidRPr="00FC24E0" w:rsidRDefault="000A4183" w:rsidP="00BF1EE7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1.1.27</w:t>
      </w:r>
      <w:r w:rsidR="00A426F2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93F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ABE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la măsura nr.3</w:t>
      </w:r>
      <w:r w:rsidR="00872F8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F86" w:rsidRPr="00FC24E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poziția </w:t>
      </w:r>
      <w:r w:rsidR="00B31707" w:rsidRPr="00FC24E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1, </w:t>
      </w:r>
      <w:r w:rsidR="00872F86" w:rsidRPr="00FC24E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va avea următorul cuprins</w:t>
      </w:r>
      <w:r w:rsidR="00872F86" w:rsidRPr="00FC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tbl>
      <w:tblPr>
        <w:tblW w:w="107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</w:tblGrid>
      <w:tr w:rsidR="001E3C21" w:rsidRPr="003C6F5F" w:rsidTr="00280F89">
        <w:trPr>
          <w:jc w:val="center"/>
        </w:trPr>
        <w:tc>
          <w:tcPr>
            <w:tcW w:w="10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C21" w:rsidRPr="003C6F5F" w:rsidRDefault="002C0C05" w:rsidP="002C0C05">
            <w:pPr>
              <w:spacing w:after="0" w:line="240" w:lineRule="auto"/>
              <w:ind w:right="-56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 xml:space="preserve">        </w:t>
            </w:r>
            <w:r w:rsidR="001E3C21" w:rsidRPr="003C6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o-RO"/>
              </w:rPr>
              <w:t xml:space="preserve">„Măsuri agrotehnice de protecție a solurilor pe teren arabil </w:t>
            </w:r>
          </w:p>
        </w:tc>
      </w:tr>
    </w:tbl>
    <w:p w:rsidR="00280F89" w:rsidRPr="00FC24E0" w:rsidRDefault="006521A1" w:rsidP="002C0C05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</w:pPr>
      <w:r w:rsidRPr="003C6F5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includerea în </w:t>
      </w:r>
      <w:r w:rsidRPr="00FC24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asolament sau în rotația culturilor a ierburilor perene (amelioratoare) și leguminoase</w:t>
      </w:r>
    </w:p>
    <w:p w:rsidR="00280F89" w:rsidRPr="00FC24E0" w:rsidRDefault="003C6F5F" w:rsidP="002C0C05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lastRenderedPageBreak/>
        <w:t xml:space="preserve"> </w:t>
      </w:r>
      <w:r w:rsidR="006521A1" w:rsidRPr="00FC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p</w:t>
      </w:r>
      <w:r w:rsidR="00280F89" w:rsidRPr="00FC2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oziția 2 va avea următorul cuprins:</w:t>
      </w:r>
    </w:p>
    <w:p w:rsidR="00280F89" w:rsidRPr="003C6F5F" w:rsidRDefault="00280F89" w:rsidP="002C0C05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3C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„Măsuri agrotehnice </w:t>
      </w:r>
      <w:proofErr w:type="spellStart"/>
      <w:r w:rsidRPr="003C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antierozionale</w:t>
      </w:r>
      <w:proofErr w:type="spellEnd"/>
      <w:r w:rsidR="00103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3C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vii și livezi</w:t>
      </w:r>
      <w:r w:rsidR="001034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3C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pentru combaterea eroziunii solului</w:t>
      </w:r>
    </w:p>
    <w:p w:rsidR="005F62D6" w:rsidRPr="00FC24E0" w:rsidRDefault="00280F89" w:rsidP="002C0C05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C24E0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înierbarea spațiilor dintre rânduri cu amestecuri de ierburi graminee perene”.</w:t>
      </w:r>
    </w:p>
    <w:p w:rsidR="00280F89" w:rsidRPr="00FC24E0" w:rsidRDefault="00280F89" w:rsidP="002C0C05">
      <w:pPr>
        <w:spacing w:after="0" w:line="240" w:lineRule="auto"/>
        <w:ind w:right="-56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F62D6" w:rsidRPr="00FC24E0" w:rsidRDefault="000F4ABE" w:rsidP="00F058CD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bookmarkStart w:id="0" w:name="_GoBack"/>
      <w:r w:rsidRPr="00FC2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Prezenta hotărâre întră în vigoare la data </w:t>
      </w:r>
      <w:r w:rsidR="00F058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de 7 martie 2025.</w:t>
      </w:r>
    </w:p>
    <w:bookmarkEnd w:id="0"/>
    <w:p w:rsidR="005F62D6" w:rsidRPr="00FC24E0" w:rsidRDefault="005F62D6" w:rsidP="005F62D6">
      <w:pPr>
        <w:spacing w:after="0"/>
        <w:ind w:right="-285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3B" w:rsidRPr="00FC24E0" w:rsidRDefault="005D793B" w:rsidP="002C0C05">
      <w:pPr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Prim-ministru                                                  </w:t>
      </w:r>
      <w:r w:rsidRPr="00FC24E0">
        <w:rPr>
          <w:rFonts w:ascii="Times New Roman" w:eastAsia="Times New Roman" w:hAnsi="Times New Roman" w:cs="Times New Roman"/>
          <w:b/>
          <w:bCs/>
          <w:sz w:val="28"/>
          <w:szCs w:val="28"/>
        </w:rPr>
        <w:t>Dorin RECEAN</w:t>
      </w:r>
    </w:p>
    <w:p w:rsidR="005D793B" w:rsidRPr="00FC24E0" w:rsidRDefault="005D793B" w:rsidP="005D793B">
      <w:pPr>
        <w:spacing w:after="0" w:line="240" w:lineRule="auto"/>
        <w:ind w:right="581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93B" w:rsidRPr="00FC24E0" w:rsidRDefault="005D793B" w:rsidP="002C0C05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4E0">
        <w:rPr>
          <w:rFonts w:ascii="Times New Roman" w:eastAsia="Times New Roman" w:hAnsi="Times New Roman" w:cs="Times New Roman"/>
          <w:b/>
          <w:sz w:val="28"/>
          <w:szCs w:val="28"/>
        </w:rPr>
        <w:t xml:space="preserve">   Contrasemnează:</w:t>
      </w:r>
    </w:p>
    <w:p w:rsidR="005F62D6" w:rsidRPr="00FC24E0" w:rsidRDefault="005F62D6" w:rsidP="005F62D6">
      <w:pPr>
        <w:spacing w:after="0"/>
        <w:ind w:right="-285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D6" w:rsidRPr="00FC24E0" w:rsidRDefault="005F62D6" w:rsidP="005F62D6">
      <w:pPr>
        <w:spacing w:after="0"/>
        <w:ind w:right="-285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D6" w:rsidRDefault="005D793B" w:rsidP="002C0C05">
      <w:pPr>
        <w:spacing w:after="0"/>
        <w:ind w:right="-285" w:hanging="1134"/>
        <w:jc w:val="center"/>
        <w:rPr>
          <w:rFonts w:ascii="Times New Roman" w:hAnsi="Times New Roman"/>
          <w:b/>
          <w:bCs/>
          <w:sz w:val="28"/>
          <w:szCs w:val="28"/>
          <w:lang w:val="ro-MD"/>
        </w:rPr>
      </w:pPr>
      <w:r w:rsidRPr="00FC24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F62D6" w:rsidRPr="00FC24E0">
        <w:rPr>
          <w:rFonts w:ascii="Times New Roman" w:hAnsi="Times New Roman" w:cs="Times New Roman"/>
          <w:b/>
          <w:sz w:val="28"/>
          <w:szCs w:val="28"/>
        </w:rPr>
        <w:t>Ministru                                                            Ludmila  CATLABUGA</w:t>
      </w:r>
      <w:r w:rsidR="005F62D6" w:rsidRPr="00086F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F6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D6" w:rsidRPr="00086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62D6" w:rsidRPr="00086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2D6" w:rsidRPr="00213F3E" w:rsidRDefault="005F62D6" w:rsidP="00213F3E">
      <w:pPr>
        <w:spacing w:after="0" w:line="240" w:lineRule="auto"/>
        <w:ind w:righ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5F62D6" w:rsidRPr="00213F3E" w:rsidSect="00A426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4"/>
    <w:rsid w:val="000062E9"/>
    <w:rsid w:val="00011534"/>
    <w:rsid w:val="0001326F"/>
    <w:rsid w:val="00037FAA"/>
    <w:rsid w:val="0004325C"/>
    <w:rsid w:val="00043D50"/>
    <w:rsid w:val="00050777"/>
    <w:rsid w:val="0006488D"/>
    <w:rsid w:val="00076BCC"/>
    <w:rsid w:val="00083151"/>
    <w:rsid w:val="00097E43"/>
    <w:rsid w:val="000A1C3B"/>
    <w:rsid w:val="000A4183"/>
    <w:rsid w:val="000B4D1E"/>
    <w:rsid w:val="000B54BD"/>
    <w:rsid w:val="000C5D9F"/>
    <w:rsid w:val="000E0320"/>
    <w:rsid w:val="000E0750"/>
    <w:rsid w:val="000E2CC7"/>
    <w:rsid w:val="000E5C89"/>
    <w:rsid w:val="000F4ABE"/>
    <w:rsid w:val="001034AA"/>
    <w:rsid w:val="001055ED"/>
    <w:rsid w:val="0010693F"/>
    <w:rsid w:val="001129F0"/>
    <w:rsid w:val="00113F2D"/>
    <w:rsid w:val="00121E9B"/>
    <w:rsid w:val="00125BA2"/>
    <w:rsid w:val="00137AC9"/>
    <w:rsid w:val="00141FA6"/>
    <w:rsid w:val="00144EE3"/>
    <w:rsid w:val="00170E11"/>
    <w:rsid w:val="00175589"/>
    <w:rsid w:val="001935B8"/>
    <w:rsid w:val="001D0D49"/>
    <w:rsid w:val="001D7ED4"/>
    <w:rsid w:val="001E3C21"/>
    <w:rsid w:val="001E4E74"/>
    <w:rsid w:val="00213F3E"/>
    <w:rsid w:val="00220269"/>
    <w:rsid w:val="00231064"/>
    <w:rsid w:val="0024465B"/>
    <w:rsid w:val="00250CF9"/>
    <w:rsid w:val="00265169"/>
    <w:rsid w:val="00266D01"/>
    <w:rsid w:val="00280F89"/>
    <w:rsid w:val="00281E4C"/>
    <w:rsid w:val="002862DF"/>
    <w:rsid w:val="00291692"/>
    <w:rsid w:val="00293C0A"/>
    <w:rsid w:val="0029641A"/>
    <w:rsid w:val="00297B8F"/>
    <w:rsid w:val="002B0842"/>
    <w:rsid w:val="002B3EF8"/>
    <w:rsid w:val="002C0C05"/>
    <w:rsid w:val="002E05B8"/>
    <w:rsid w:val="002E39B9"/>
    <w:rsid w:val="002F09A0"/>
    <w:rsid w:val="0030040D"/>
    <w:rsid w:val="00303F85"/>
    <w:rsid w:val="003079C8"/>
    <w:rsid w:val="0032639C"/>
    <w:rsid w:val="003322EB"/>
    <w:rsid w:val="003450AE"/>
    <w:rsid w:val="00353646"/>
    <w:rsid w:val="003637B5"/>
    <w:rsid w:val="00363BDD"/>
    <w:rsid w:val="0037193F"/>
    <w:rsid w:val="00376FCD"/>
    <w:rsid w:val="0038446E"/>
    <w:rsid w:val="003858B1"/>
    <w:rsid w:val="00394082"/>
    <w:rsid w:val="003A628F"/>
    <w:rsid w:val="003C239B"/>
    <w:rsid w:val="003C6F5F"/>
    <w:rsid w:val="003E4315"/>
    <w:rsid w:val="003F3BCC"/>
    <w:rsid w:val="003F48D1"/>
    <w:rsid w:val="004024DB"/>
    <w:rsid w:val="004029B2"/>
    <w:rsid w:val="0041454A"/>
    <w:rsid w:val="004342D4"/>
    <w:rsid w:val="00442F3F"/>
    <w:rsid w:val="00473ED2"/>
    <w:rsid w:val="00477948"/>
    <w:rsid w:val="00483A5D"/>
    <w:rsid w:val="004921F6"/>
    <w:rsid w:val="004B24AC"/>
    <w:rsid w:val="004E1BA3"/>
    <w:rsid w:val="0050758E"/>
    <w:rsid w:val="00546790"/>
    <w:rsid w:val="00551113"/>
    <w:rsid w:val="00551480"/>
    <w:rsid w:val="0056606F"/>
    <w:rsid w:val="00572573"/>
    <w:rsid w:val="00573FA9"/>
    <w:rsid w:val="005866A2"/>
    <w:rsid w:val="00587F1E"/>
    <w:rsid w:val="005912A4"/>
    <w:rsid w:val="005B1F6E"/>
    <w:rsid w:val="005C4EAB"/>
    <w:rsid w:val="005C5EE9"/>
    <w:rsid w:val="005D793B"/>
    <w:rsid w:val="005E4A86"/>
    <w:rsid w:val="005F4EBB"/>
    <w:rsid w:val="005F62D6"/>
    <w:rsid w:val="00623782"/>
    <w:rsid w:val="0063224D"/>
    <w:rsid w:val="00632335"/>
    <w:rsid w:val="00646AF4"/>
    <w:rsid w:val="006521A1"/>
    <w:rsid w:val="006570E2"/>
    <w:rsid w:val="006816CF"/>
    <w:rsid w:val="00690ECC"/>
    <w:rsid w:val="00694FAD"/>
    <w:rsid w:val="006A1742"/>
    <w:rsid w:val="006A2C54"/>
    <w:rsid w:val="006A43A5"/>
    <w:rsid w:val="006B4130"/>
    <w:rsid w:val="006C74E3"/>
    <w:rsid w:val="006C758B"/>
    <w:rsid w:val="006D3B30"/>
    <w:rsid w:val="006F4D23"/>
    <w:rsid w:val="00706FDF"/>
    <w:rsid w:val="00710F26"/>
    <w:rsid w:val="00711033"/>
    <w:rsid w:val="007119FC"/>
    <w:rsid w:val="00727565"/>
    <w:rsid w:val="00733D49"/>
    <w:rsid w:val="00741E6F"/>
    <w:rsid w:val="00753979"/>
    <w:rsid w:val="007550CB"/>
    <w:rsid w:val="007762A2"/>
    <w:rsid w:val="00783E00"/>
    <w:rsid w:val="007B1AF2"/>
    <w:rsid w:val="007B6D21"/>
    <w:rsid w:val="007C68EF"/>
    <w:rsid w:val="007D5315"/>
    <w:rsid w:val="007F44DF"/>
    <w:rsid w:val="00800DE8"/>
    <w:rsid w:val="00802C97"/>
    <w:rsid w:val="00805BE4"/>
    <w:rsid w:val="008137F9"/>
    <w:rsid w:val="008405DF"/>
    <w:rsid w:val="008454F0"/>
    <w:rsid w:val="0086189F"/>
    <w:rsid w:val="00872F86"/>
    <w:rsid w:val="008A5389"/>
    <w:rsid w:val="008A6D11"/>
    <w:rsid w:val="008B1232"/>
    <w:rsid w:val="008C07B7"/>
    <w:rsid w:val="008D2A0A"/>
    <w:rsid w:val="008D3642"/>
    <w:rsid w:val="008D7509"/>
    <w:rsid w:val="008D7717"/>
    <w:rsid w:val="008E5198"/>
    <w:rsid w:val="008F0A42"/>
    <w:rsid w:val="00903005"/>
    <w:rsid w:val="009037F0"/>
    <w:rsid w:val="00944CDF"/>
    <w:rsid w:val="00946E54"/>
    <w:rsid w:val="00950F83"/>
    <w:rsid w:val="00963325"/>
    <w:rsid w:val="00963B59"/>
    <w:rsid w:val="009652B2"/>
    <w:rsid w:val="00987A88"/>
    <w:rsid w:val="009B0BB5"/>
    <w:rsid w:val="009C4A3B"/>
    <w:rsid w:val="009D1947"/>
    <w:rsid w:val="009E67CD"/>
    <w:rsid w:val="009F4BC1"/>
    <w:rsid w:val="009F60ED"/>
    <w:rsid w:val="009F7C2E"/>
    <w:rsid w:val="009F7E86"/>
    <w:rsid w:val="00A0305B"/>
    <w:rsid w:val="00A036AC"/>
    <w:rsid w:val="00A07642"/>
    <w:rsid w:val="00A10727"/>
    <w:rsid w:val="00A23D12"/>
    <w:rsid w:val="00A24458"/>
    <w:rsid w:val="00A26DCA"/>
    <w:rsid w:val="00A31F93"/>
    <w:rsid w:val="00A35705"/>
    <w:rsid w:val="00A426F2"/>
    <w:rsid w:val="00A81DD1"/>
    <w:rsid w:val="00AA1FDD"/>
    <w:rsid w:val="00AA2240"/>
    <w:rsid w:val="00AA3E05"/>
    <w:rsid w:val="00AA59C7"/>
    <w:rsid w:val="00AC4E04"/>
    <w:rsid w:val="00AD1689"/>
    <w:rsid w:val="00AD56D0"/>
    <w:rsid w:val="00B11D38"/>
    <w:rsid w:val="00B1263D"/>
    <w:rsid w:val="00B315ED"/>
    <w:rsid w:val="00B31707"/>
    <w:rsid w:val="00B40FD5"/>
    <w:rsid w:val="00B41911"/>
    <w:rsid w:val="00B461E4"/>
    <w:rsid w:val="00B55E52"/>
    <w:rsid w:val="00B57690"/>
    <w:rsid w:val="00B6118B"/>
    <w:rsid w:val="00B74C29"/>
    <w:rsid w:val="00B80D34"/>
    <w:rsid w:val="00B82C59"/>
    <w:rsid w:val="00BB3BE5"/>
    <w:rsid w:val="00BB6185"/>
    <w:rsid w:val="00BF1EE7"/>
    <w:rsid w:val="00BF4CAE"/>
    <w:rsid w:val="00BF58C3"/>
    <w:rsid w:val="00BF7DB7"/>
    <w:rsid w:val="00C06D01"/>
    <w:rsid w:val="00C21119"/>
    <w:rsid w:val="00C47413"/>
    <w:rsid w:val="00C56824"/>
    <w:rsid w:val="00C60EF7"/>
    <w:rsid w:val="00C9666C"/>
    <w:rsid w:val="00CE1085"/>
    <w:rsid w:val="00CE4556"/>
    <w:rsid w:val="00D32A15"/>
    <w:rsid w:val="00D44A3B"/>
    <w:rsid w:val="00D45DBD"/>
    <w:rsid w:val="00D5054C"/>
    <w:rsid w:val="00D5643F"/>
    <w:rsid w:val="00D57E32"/>
    <w:rsid w:val="00D66300"/>
    <w:rsid w:val="00D67267"/>
    <w:rsid w:val="00D72D0E"/>
    <w:rsid w:val="00D74FAB"/>
    <w:rsid w:val="00DA69E4"/>
    <w:rsid w:val="00DB5152"/>
    <w:rsid w:val="00DD50FC"/>
    <w:rsid w:val="00DD7641"/>
    <w:rsid w:val="00DD78EB"/>
    <w:rsid w:val="00DD7AC4"/>
    <w:rsid w:val="00DE4E40"/>
    <w:rsid w:val="00DF5489"/>
    <w:rsid w:val="00E00497"/>
    <w:rsid w:val="00E30BF4"/>
    <w:rsid w:val="00E54188"/>
    <w:rsid w:val="00E551EA"/>
    <w:rsid w:val="00E769FF"/>
    <w:rsid w:val="00E94085"/>
    <w:rsid w:val="00EB1737"/>
    <w:rsid w:val="00EB248A"/>
    <w:rsid w:val="00EB2AA9"/>
    <w:rsid w:val="00EB34B7"/>
    <w:rsid w:val="00EB5B51"/>
    <w:rsid w:val="00ED6F55"/>
    <w:rsid w:val="00EE1158"/>
    <w:rsid w:val="00EF4A50"/>
    <w:rsid w:val="00EF55DC"/>
    <w:rsid w:val="00F058CD"/>
    <w:rsid w:val="00F06C0B"/>
    <w:rsid w:val="00F132D6"/>
    <w:rsid w:val="00F25393"/>
    <w:rsid w:val="00F50D57"/>
    <w:rsid w:val="00F648C5"/>
    <w:rsid w:val="00F82FD0"/>
    <w:rsid w:val="00F84516"/>
    <w:rsid w:val="00F96BFF"/>
    <w:rsid w:val="00FA6354"/>
    <w:rsid w:val="00FA7101"/>
    <w:rsid w:val="00FA7E90"/>
    <w:rsid w:val="00FB23B3"/>
    <w:rsid w:val="00FB59E7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D66D-80AE-4405-8A3F-1BF13E7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E1BA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F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celaria@anif.gov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1109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Necrutu</dc:creator>
  <cp:keywords/>
  <dc:description/>
  <cp:lastModifiedBy>Nicoleta Necrutu</cp:lastModifiedBy>
  <cp:revision>35</cp:revision>
  <cp:lastPrinted>2024-12-13T12:08:00Z</cp:lastPrinted>
  <dcterms:created xsi:type="dcterms:W3CDTF">2024-10-22T05:23:00Z</dcterms:created>
  <dcterms:modified xsi:type="dcterms:W3CDTF">2024-12-24T06:38:00Z</dcterms:modified>
</cp:coreProperties>
</file>