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55B7A" w14:textId="77777777" w:rsidR="008B4BE6" w:rsidRPr="00B035BC"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B035BC">
        <w:rPr>
          <w:b/>
          <w:sz w:val="24"/>
          <w:szCs w:val="24"/>
          <w:lang w:val="ro-RO"/>
        </w:rPr>
        <w:t>SINTEZA</w:t>
      </w:r>
    </w:p>
    <w:p w14:paraId="7A61ABD6" w14:textId="6F022851" w:rsidR="004A66C9" w:rsidRPr="004A66C9" w:rsidRDefault="006933C3" w:rsidP="004A66C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B035BC">
        <w:rPr>
          <w:b/>
          <w:sz w:val="24"/>
          <w:szCs w:val="24"/>
          <w:lang w:val="ro-RO"/>
        </w:rPr>
        <w:t>la</w:t>
      </w:r>
      <w:r w:rsidR="00032B46" w:rsidRPr="00B035BC">
        <w:rPr>
          <w:b/>
          <w:sz w:val="24"/>
          <w:szCs w:val="24"/>
          <w:lang w:val="ro-RO"/>
        </w:rPr>
        <w:t xml:space="preserve"> </w:t>
      </w:r>
      <w:r w:rsidRPr="00B035BC">
        <w:rPr>
          <w:b/>
          <w:sz w:val="24"/>
          <w:szCs w:val="24"/>
          <w:lang w:val="ro-RO"/>
        </w:rPr>
        <w:t>proiectul</w:t>
      </w:r>
      <w:r w:rsidR="004A66C9" w:rsidRPr="004A66C9">
        <w:t xml:space="preserve"> </w:t>
      </w:r>
      <w:r w:rsidR="004A66C9" w:rsidRPr="004A66C9">
        <w:rPr>
          <w:b/>
          <w:sz w:val="24"/>
          <w:szCs w:val="24"/>
          <w:lang w:val="ro-RO"/>
        </w:rPr>
        <w:t>hotărârii Guvernului cu privire la</w:t>
      </w:r>
    </w:p>
    <w:p w14:paraId="7B7DC114" w14:textId="01589D46" w:rsidR="008B4BE6" w:rsidRPr="00B035BC" w:rsidRDefault="004A66C9" w:rsidP="004A66C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A66C9">
        <w:rPr>
          <w:b/>
          <w:sz w:val="24"/>
          <w:szCs w:val="24"/>
          <w:lang w:val="ro-RO"/>
        </w:rPr>
        <w:t>modificarea Hotărârii Guvernului nr. 500/2018 pentru aprobarea Regulamentului privind cerințele generale de echipare a vehiculelor cu regim prioritar de circulație și a vehiculelor speciale</w:t>
      </w:r>
    </w:p>
    <w:p w14:paraId="2265058B" w14:textId="7FDE63ED" w:rsidR="008B4BE6" w:rsidRPr="00B035BC" w:rsidRDefault="00032B4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B035BC">
        <w:rPr>
          <w:b/>
          <w:sz w:val="24"/>
          <w:szCs w:val="24"/>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16"/>
        <w:gridCol w:w="925"/>
        <w:gridCol w:w="5732"/>
        <w:gridCol w:w="4911"/>
      </w:tblGrid>
      <w:tr w:rsidR="006D3EB7" w:rsidRPr="00B035BC" w14:paraId="165C98F0" w14:textId="77777777" w:rsidTr="009F14BF">
        <w:tc>
          <w:tcPr>
            <w:tcW w:w="2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Participantul</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la</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avizare,</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consultare</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publică,</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expertizare</w:t>
            </w:r>
          </w:p>
        </w:tc>
        <w:tc>
          <w:tcPr>
            <w:tcW w:w="0" w:type="auto"/>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Nr.</w:t>
            </w:r>
            <w:r w:rsidR="00032B46" w:rsidRPr="00B035BC">
              <w:rPr>
                <w:rFonts w:ascii="Times New Roman" w:hAnsi="Times New Roman"/>
                <w:b/>
                <w:sz w:val="24"/>
                <w:szCs w:val="24"/>
                <w:lang w:val="ro-RO"/>
              </w:rPr>
              <w:t xml:space="preserve"> </w:t>
            </w:r>
            <w:r w:rsidR="00BA5B5B" w:rsidRPr="00B035BC">
              <w:rPr>
                <w:rFonts w:ascii="Times New Roman" w:hAnsi="Times New Roman"/>
                <w:b/>
                <w:sz w:val="24"/>
                <w:szCs w:val="24"/>
                <w:lang w:val="ro-RO"/>
              </w:rPr>
              <w:t>crt.</w:t>
            </w:r>
          </w:p>
        </w:tc>
        <w:tc>
          <w:tcPr>
            <w:tcW w:w="5732"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B035BC"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035BC">
              <w:rPr>
                <w:rFonts w:ascii="Times New Roman" w:hAnsi="Times New Roman"/>
                <w:b/>
                <w:sz w:val="24"/>
                <w:szCs w:val="24"/>
                <w:lang w:val="ro-RO"/>
              </w:rPr>
              <w:t>Con</w:t>
            </w:r>
            <w:r w:rsidR="00863417" w:rsidRPr="00B035BC">
              <w:rPr>
                <w:rFonts w:ascii="Times New Roman" w:hAnsi="Times New Roman"/>
                <w:b/>
                <w:sz w:val="24"/>
                <w:szCs w:val="24"/>
                <w:lang w:val="ro-RO"/>
              </w:rPr>
              <w:t>ț</w:t>
            </w:r>
            <w:r w:rsidRPr="00B035BC">
              <w:rPr>
                <w:rFonts w:ascii="Times New Roman" w:hAnsi="Times New Roman"/>
                <w:b/>
                <w:sz w:val="24"/>
                <w:szCs w:val="24"/>
                <w:lang w:val="ro-RO"/>
              </w:rPr>
              <w:t>inutul</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obiec</w:t>
            </w:r>
            <w:r w:rsidR="00863417" w:rsidRPr="00B035BC">
              <w:rPr>
                <w:rFonts w:ascii="Times New Roman" w:hAnsi="Times New Roman"/>
                <w:b/>
                <w:sz w:val="24"/>
                <w:szCs w:val="24"/>
                <w:lang w:val="ro-RO"/>
              </w:rPr>
              <w:t>ț</w:t>
            </w:r>
            <w:r w:rsidRPr="00B035BC">
              <w:rPr>
                <w:rFonts w:ascii="Times New Roman" w:hAnsi="Times New Roman"/>
                <w:b/>
                <w:sz w:val="24"/>
                <w:szCs w:val="24"/>
                <w:lang w:val="ro-RO"/>
              </w:rPr>
              <w:t>iei,</w:t>
            </w:r>
          </w:p>
          <w:p w14:paraId="055FB5F6" w14:textId="56D3CBFA"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propunerii,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recomandării,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concluziei</w:t>
            </w:r>
          </w:p>
        </w:tc>
        <w:tc>
          <w:tcPr>
            <w:tcW w:w="491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B035BC"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B035BC">
              <w:rPr>
                <w:rFonts w:ascii="Times New Roman" w:hAnsi="Times New Roman"/>
                <w:b/>
                <w:sz w:val="24"/>
                <w:szCs w:val="24"/>
                <w:lang w:val="ro-RO"/>
              </w:rPr>
              <w:t>Argumentarea</w:t>
            </w:r>
          </w:p>
          <w:p w14:paraId="42C4E39B" w14:textId="729BF66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hAnsi="Times New Roman"/>
                <w:b/>
                <w:sz w:val="24"/>
                <w:szCs w:val="24"/>
                <w:lang w:val="ro-RO"/>
              </w:rPr>
              <w:t>autorului</w:t>
            </w:r>
            <w:r w:rsidR="00032B46" w:rsidRPr="00B035BC">
              <w:rPr>
                <w:rFonts w:ascii="Times New Roman" w:hAnsi="Times New Roman"/>
                <w:b/>
                <w:sz w:val="24"/>
                <w:szCs w:val="24"/>
                <w:lang w:val="ro-RO"/>
              </w:rPr>
              <w:t xml:space="preserve"> </w:t>
            </w:r>
            <w:r w:rsidRPr="00B035BC">
              <w:rPr>
                <w:rFonts w:ascii="Times New Roman" w:hAnsi="Times New Roman"/>
                <w:b/>
                <w:sz w:val="24"/>
                <w:szCs w:val="24"/>
                <w:lang w:val="ro-RO"/>
              </w:rPr>
              <w:t>proiectului</w:t>
            </w:r>
          </w:p>
        </w:tc>
      </w:tr>
      <w:tr w:rsidR="006D3EB7" w:rsidRPr="00B035BC" w14:paraId="092EF798" w14:textId="77777777" w:rsidTr="003C693B">
        <w:tc>
          <w:tcPr>
            <w:tcW w:w="0" w:type="auto"/>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eastAsia="Times New Roman" w:hAnsi="Times New Roman"/>
                <w:sz w:val="24"/>
                <w:szCs w:val="24"/>
                <w:lang w:val="ro-RO"/>
              </w:rPr>
              <w:t>Avizare</w:t>
            </w:r>
            <w:r w:rsidR="00032B46" w:rsidRPr="00B035BC">
              <w:rPr>
                <w:rFonts w:ascii="Times New Roman" w:eastAsia="Times New Roman" w:hAnsi="Times New Roman"/>
                <w:sz w:val="24"/>
                <w:szCs w:val="24"/>
                <w:lang w:val="ro-RO"/>
              </w:rPr>
              <w:t xml:space="preserve"> </w:t>
            </w:r>
            <w:r w:rsidR="00863417" w:rsidRPr="00B035BC">
              <w:rPr>
                <w:rFonts w:ascii="Times New Roman" w:hAnsi="Times New Roman"/>
                <w:sz w:val="24"/>
                <w:szCs w:val="24"/>
                <w:lang w:val="ro-RO"/>
              </w:rPr>
              <w:t>ș</w:t>
            </w:r>
            <w:r w:rsidRPr="00B035BC">
              <w:rPr>
                <w:rFonts w:ascii="Times New Roman" w:hAnsi="Times New Roman"/>
                <w:sz w:val="24"/>
                <w:szCs w:val="24"/>
                <w:lang w:val="ro-RO"/>
              </w:rPr>
              <w:t>i</w:t>
            </w:r>
            <w:r w:rsidR="00032B46" w:rsidRPr="00B035BC">
              <w:rPr>
                <w:rFonts w:ascii="Times New Roman" w:hAnsi="Times New Roman"/>
                <w:sz w:val="24"/>
                <w:szCs w:val="24"/>
                <w:lang w:val="ro-RO"/>
              </w:rPr>
              <w:t xml:space="preserve"> </w:t>
            </w:r>
            <w:r w:rsidRPr="00B035BC">
              <w:rPr>
                <w:rFonts w:ascii="Times New Roman" w:hAnsi="Times New Roman"/>
                <w:sz w:val="24"/>
                <w:szCs w:val="24"/>
                <w:lang w:val="ro-RO"/>
              </w:rPr>
              <w:t>consultare</w:t>
            </w:r>
            <w:r w:rsidR="00032B46" w:rsidRPr="00B035BC">
              <w:rPr>
                <w:rFonts w:ascii="Times New Roman" w:hAnsi="Times New Roman"/>
                <w:sz w:val="24"/>
                <w:szCs w:val="24"/>
                <w:lang w:val="ro-RO"/>
              </w:rPr>
              <w:t xml:space="preserve"> </w:t>
            </w:r>
            <w:r w:rsidRPr="00B035BC">
              <w:rPr>
                <w:rFonts w:ascii="Times New Roman" w:hAnsi="Times New Roman"/>
                <w:sz w:val="24"/>
                <w:szCs w:val="24"/>
                <w:lang w:val="ro-RO"/>
              </w:rPr>
              <w:t>publică</w:t>
            </w:r>
          </w:p>
        </w:tc>
      </w:tr>
      <w:tr w:rsidR="009F14BF" w:rsidRPr="00B035BC" w14:paraId="615D72BE" w14:textId="77777777" w:rsidTr="006E5E18">
        <w:tc>
          <w:tcPr>
            <w:tcW w:w="2416"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69DD48B9" w14:textId="73EA8CB6" w:rsidR="009F14BF" w:rsidRPr="00B035BC" w:rsidRDefault="009F14BF" w:rsidP="004A66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eastAsia="Times New Roman" w:hAnsi="Times New Roman"/>
                <w:sz w:val="24"/>
                <w:szCs w:val="24"/>
                <w:lang w:val="ro-RO"/>
              </w:rPr>
              <w:t>Ministerul Energiei (aviz nr. 05-2621 din 11.10.2024)</w:t>
            </w:r>
          </w:p>
        </w:tc>
        <w:tc>
          <w:tcPr>
            <w:tcW w:w="0" w:type="auto"/>
            <w:vMerge w:val="restart"/>
            <w:tcBorders>
              <w:top w:val="none" w:sz="4" w:space="0" w:color="000000"/>
              <w:left w:val="none" w:sz="4" w:space="0" w:color="000000"/>
              <w:right w:val="single" w:sz="8" w:space="0" w:color="000000"/>
            </w:tcBorders>
            <w:tcMar>
              <w:top w:w="0" w:type="dxa"/>
              <w:left w:w="108" w:type="dxa"/>
              <w:bottom w:w="0" w:type="dxa"/>
              <w:right w:w="108" w:type="dxa"/>
            </w:tcMar>
          </w:tcPr>
          <w:p w14:paraId="693BDE7C" w14:textId="0BDAAB38" w:rsidR="009F14BF" w:rsidRPr="00B035BC" w:rsidRDefault="009F14BF" w:rsidP="003C693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1.</w:t>
            </w: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D32FDC" w14:textId="3CFADCC2" w:rsidR="009F14BF" w:rsidRPr="00B035BC" w:rsidRDefault="009F14BF" w:rsidP="004A66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A66C9">
              <w:rPr>
                <w:rFonts w:ascii="Times New Roman" w:hAnsi="Times New Roman"/>
                <w:sz w:val="24"/>
                <w:szCs w:val="24"/>
                <w:lang w:val="ro-RO"/>
              </w:rPr>
              <w:t>În conformitate cu Legea nr.108/2016 cu privire la gazele naturale termenul „rețele de gaze naturale” reflectă cu o mai mare exactitate specifice infrastructurii dedicate transportului și distribuției gazelor naturale. În vederea asigurării unei terminologii clare și conforme, propunem modificarea formulării din „rețele de gaze” în „rețele de gaze naturale” pe tot parcursul textului.</w:t>
            </w: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DFEB95" w14:textId="5BF42E41" w:rsidR="009F14BF" w:rsidRPr="00F57215" w:rsidRDefault="00F57215" w:rsidP="004A66C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57215">
              <w:rPr>
                <w:rFonts w:ascii="Times New Roman" w:hAnsi="Times New Roman"/>
                <w:b/>
                <w:bCs/>
                <w:sz w:val="24"/>
                <w:szCs w:val="24"/>
                <w:lang w:val="ro-RO"/>
              </w:rPr>
              <w:t>Se acceptă.</w:t>
            </w:r>
          </w:p>
        </w:tc>
      </w:tr>
      <w:tr w:rsidR="009F14BF" w:rsidRPr="00B035BC" w14:paraId="013E1D59" w14:textId="77777777" w:rsidTr="006E5E18">
        <w:tc>
          <w:tcPr>
            <w:tcW w:w="2416"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907C507" w14:textId="74199CA4" w:rsidR="009F14BF" w:rsidRPr="00B035BC" w:rsidRDefault="009F14BF" w:rsidP="004A66C9">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0" w:type="auto"/>
            <w:vMerge/>
            <w:tcBorders>
              <w:left w:val="none" w:sz="4" w:space="0" w:color="000000"/>
              <w:bottom w:val="single" w:sz="8" w:space="0" w:color="000000"/>
              <w:right w:val="single" w:sz="8" w:space="0" w:color="000000"/>
            </w:tcBorders>
            <w:tcMar>
              <w:top w:w="0" w:type="dxa"/>
              <w:left w:w="108" w:type="dxa"/>
              <w:bottom w:w="0" w:type="dxa"/>
              <w:right w:w="108" w:type="dxa"/>
            </w:tcMar>
          </w:tcPr>
          <w:p w14:paraId="1A1E8DDD" w14:textId="71F20424" w:rsidR="009F14BF" w:rsidRPr="00B035BC" w:rsidRDefault="009F14BF" w:rsidP="003C693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D04FBD" w14:textId="77777777" w:rsidR="009F14BF" w:rsidRPr="00373E87" w:rsidRDefault="009F14BF" w:rsidP="004A66C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373E87">
              <w:rPr>
                <w:rFonts w:ascii="Times New Roman" w:hAnsi="Times New Roman"/>
                <w:sz w:val="24"/>
                <w:szCs w:val="24"/>
                <w:lang w:val="ro-RO"/>
              </w:rPr>
              <w:t xml:space="preserve">Suplimentar, în contextul modificărilor propuse la </w:t>
            </w:r>
            <w:proofErr w:type="spellStart"/>
            <w:r w:rsidRPr="00373E87">
              <w:rPr>
                <w:rFonts w:ascii="Times New Roman" w:hAnsi="Times New Roman"/>
                <w:sz w:val="24"/>
                <w:szCs w:val="24"/>
                <w:lang w:val="ro-RO"/>
              </w:rPr>
              <w:t>subpct</w:t>
            </w:r>
            <w:proofErr w:type="spellEnd"/>
            <w:r w:rsidRPr="00373E87">
              <w:rPr>
                <w:rFonts w:ascii="Times New Roman" w:hAnsi="Times New Roman"/>
                <w:sz w:val="24"/>
                <w:szCs w:val="24"/>
                <w:lang w:val="ro-RO"/>
              </w:rPr>
              <w:t>. 2) aferente modificărilor la anexa nr. 1 la Regulamentul privind cerințele generale de echipare a vehiculelor cu regim prioritar de circulație și a vehiculelor speciale, propunem modificarea după cum urmează:</w:t>
            </w:r>
          </w:p>
          <w:p w14:paraId="064FCE23" w14:textId="3EA3C9C4" w:rsidR="009F14BF" w:rsidRPr="00373E87" w:rsidRDefault="009F14BF" w:rsidP="004A66C9">
            <w:pPr>
              <w:pStyle w:val="afb"/>
              <w:numPr>
                <w:ilvl w:val="0"/>
                <w:numId w:val="44"/>
              </w:num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373E87">
              <w:rPr>
                <w:rFonts w:ascii="Times New Roman" w:hAnsi="Times New Roman"/>
                <w:sz w:val="24"/>
                <w:szCs w:val="24"/>
                <w:lang w:val="ro-RO"/>
              </w:rPr>
              <w:t>Poziția 10 se expune în următoare redacție:</w:t>
            </w:r>
          </w:p>
          <w:tbl>
            <w:tblPr>
              <w:tblW w:w="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001"/>
              <w:gridCol w:w="910"/>
              <w:gridCol w:w="1043"/>
            </w:tblGrid>
            <w:tr w:rsidR="009F14BF" w:rsidRPr="00373E87" w14:paraId="4A893271" w14:textId="77777777" w:rsidTr="00373E87">
              <w:tc>
                <w:tcPr>
                  <w:tcW w:w="472" w:type="pct"/>
                </w:tcPr>
                <w:p w14:paraId="5AA7E15F" w14:textId="2F3BB87C" w:rsidR="009F14BF" w:rsidRPr="00373E87" w:rsidRDefault="009F14BF" w:rsidP="004A66C9">
                  <w:pPr>
                    <w:ind w:right="-110" w:firstLine="0"/>
                    <w:rPr>
                      <w:sz w:val="24"/>
                      <w:szCs w:val="24"/>
                      <w:vertAlign w:val="superscript"/>
                    </w:rPr>
                  </w:pPr>
                  <w:r w:rsidRPr="00373E87">
                    <w:rPr>
                      <w:sz w:val="24"/>
                      <w:szCs w:val="24"/>
                    </w:rPr>
                    <w:t>10.</w:t>
                  </w:r>
                </w:p>
              </w:tc>
              <w:tc>
                <w:tcPr>
                  <w:tcW w:w="2743" w:type="pct"/>
                </w:tcPr>
                <w:p w14:paraId="20DEA683" w14:textId="77777777" w:rsidR="009F14BF" w:rsidRPr="00373E87" w:rsidRDefault="009F14BF" w:rsidP="00FB483A">
                  <w:pPr>
                    <w:tabs>
                      <w:tab w:val="left" w:pos="0"/>
                    </w:tabs>
                    <w:ind w:firstLine="0"/>
                    <w:rPr>
                      <w:sz w:val="24"/>
                      <w:szCs w:val="24"/>
                      <w:lang w:val="ro-RO"/>
                    </w:rPr>
                  </w:pPr>
                  <w:r w:rsidRPr="00373E87">
                    <w:rPr>
                      <w:sz w:val="24"/>
                      <w:szCs w:val="24"/>
                      <w:lang w:val="ro-RO"/>
                    </w:rPr>
                    <w:t>Serviciile de depanare:</w:t>
                  </w:r>
                </w:p>
                <w:p w14:paraId="52725994" w14:textId="772593AA" w:rsidR="009F14BF" w:rsidRPr="00373E87" w:rsidRDefault="009F14BF" w:rsidP="00FB483A">
                  <w:pPr>
                    <w:pStyle w:val="afb"/>
                    <w:numPr>
                      <w:ilvl w:val="0"/>
                      <w:numId w:val="46"/>
                    </w:numPr>
                    <w:tabs>
                      <w:tab w:val="left" w:pos="0"/>
                      <w:tab w:val="left" w:pos="217"/>
                    </w:tabs>
                    <w:ind w:left="0" w:firstLine="0"/>
                    <w:rPr>
                      <w:sz w:val="24"/>
                      <w:szCs w:val="24"/>
                      <w:lang w:val="ro-RO"/>
                    </w:rPr>
                  </w:pPr>
                  <w:r w:rsidRPr="00373E87">
                    <w:rPr>
                      <w:sz w:val="24"/>
                      <w:szCs w:val="24"/>
                      <w:lang w:val="ro-RO"/>
                    </w:rPr>
                    <w:t>al rețelelor de gaze și rețelelor termice</w:t>
                  </w:r>
                </w:p>
                <w:p w14:paraId="757DE75B" w14:textId="03F46925" w:rsidR="009F14BF" w:rsidRPr="00373E87" w:rsidRDefault="009F14BF" w:rsidP="00FB483A">
                  <w:pPr>
                    <w:pStyle w:val="afb"/>
                    <w:numPr>
                      <w:ilvl w:val="0"/>
                      <w:numId w:val="46"/>
                    </w:numPr>
                    <w:tabs>
                      <w:tab w:val="left" w:pos="0"/>
                      <w:tab w:val="left" w:pos="217"/>
                    </w:tabs>
                    <w:ind w:left="0" w:firstLine="0"/>
                    <w:rPr>
                      <w:sz w:val="24"/>
                      <w:szCs w:val="24"/>
                      <w:lang w:val="ro-RO"/>
                    </w:rPr>
                  </w:pPr>
                  <w:r w:rsidRPr="00373E87">
                    <w:rPr>
                      <w:sz w:val="24"/>
                      <w:szCs w:val="24"/>
                      <w:lang w:val="ro-RO"/>
                    </w:rPr>
                    <w:t>al rețelelor electrice</w:t>
                  </w:r>
                </w:p>
              </w:tc>
              <w:tc>
                <w:tcPr>
                  <w:tcW w:w="832" w:type="pct"/>
                </w:tcPr>
                <w:p w14:paraId="24D892BD" w14:textId="77777777" w:rsidR="009F14BF" w:rsidRPr="00373E87" w:rsidRDefault="009F14BF" w:rsidP="004A66C9">
                  <w:pPr>
                    <w:ind w:firstLine="0"/>
                    <w:rPr>
                      <w:sz w:val="24"/>
                      <w:szCs w:val="24"/>
                      <w:lang w:val="ro-RO"/>
                    </w:rPr>
                  </w:pPr>
                </w:p>
                <w:p w14:paraId="02D3BF13" w14:textId="779EDEDC" w:rsidR="009F14BF" w:rsidRPr="00373E87" w:rsidRDefault="009F14BF" w:rsidP="004A66C9">
                  <w:pPr>
                    <w:ind w:firstLine="0"/>
                    <w:rPr>
                      <w:sz w:val="24"/>
                      <w:szCs w:val="24"/>
                      <w:lang w:val="ro-RO"/>
                    </w:rPr>
                  </w:pPr>
                  <w:r w:rsidRPr="00373E87">
                    <w:rPr>
                      <w:sz w:val="24"/>
                      <w:szCs w:val="24"/>
                      <w:lang w:val="ro-RO"/>
                    </w:rPr>
                    <w:t>Galben</w:t>
                  </w:r>
                </w:p>
                <w:p w14:paraId="50BA547D" w14:textId="77777777" w:rsidR="009F14BF" w:rsidRPr="00373E87" w:rsidRDefault="009F14BF" w:rsidP="004A66C9">
                  <w:pPr>
                    <w:ind w:firstLine="0"/>
                    <w:rPr>
                      <w:sz w:val="24"/>
                      <w:szCs w:val="24"/>
                      <w:lang w:val="ro-RO"/>
                    </w:rPr>
                  </w:pPr>
                </w:p>
                <w:p w14:paraId="7A2172D5" w14:textId="23821708" w:rsidR="009F14BF" w:rsidRPr="00373E87" w:rsidRDefault="009F14BF" w:rsidP="004A66C9">
                  <w:pPr>
                    <w:ind w:firstLine="0"/>
                    <w:rPr>
                      <w:sz w:val="24"/>
                      <w:szCs w:val="24"/>
                      <w:lang w:val="ro-RO"/>
                    </w:rPr>
                  </w:pPr>
                  <w:r w:rsidRPr="00373E87">
                    <w:rPr>
                      <w:sz w:val="24"/>
                      <w:szCs w:val="24"/>
                      <w:lang w:val="ro-RO"/>
                    </w:rPr>
                    <w:t>Alb</w:t>
                  </w:r>
                </w:p>
              </w:tc>
              <w:tc>
                <w:tcPr>
                  <w:tcW w:w="953" w:type="pct"/>
                </w:tcPr>
                <w:p w14:paraId="4498B6F0" w14:textId="77777777" w:rsidR="009F14BF" w:rsidRPr="00373E87" w:rsidRDefault="009F14BF" w:rsidP="00373E87">
                  <w:pPr>
                    <w:pStyle w:val="afb"/>
                    <w:ind w:left="0" w:right="-101" w:firstLine="0"/>
                    <w:rPr>
                      <w:sz w:val="24"/>
                      <w:szCs w:val="24"/>
                      <w:lang w:val="ro-RO"/>
                    </w:rPr>
                  </w:pPr>
                </w:p>
                <w:p w14:paraId="1E075078" w14:textId="17481D4C" w:rsidR="009F14BF" w:rsidRPr="00373E87" w:rsidRDefault="009F14BF" w:rsidP="00373E87">
                  <w:pPr>
                    <w:pStyle w:val="afb"/>
                    <w:ind w:left="0" w:right="-101" w:firstLine="0"/>
                    <w:rPr>
                      <w:sz w:val="24"/>
                      <w:szCs w:val="24"/>
                      <w:lang w:val="ro-RO"/>
                    </w:rPr>
                  </w:pPr>
                  <w:r w:rsidRPr="00373E87">
                    <w:rPr>
                      <w:sz w:val="24"/>
                      <w:szCs w:val="24"/>
                      <w:lang w:val="ro-RO"/>
                    </w:rPr>
                    <w:t xml:space="preserve">Roșu </w:t>
                  </w:r>
                </w:p>
                <w:p w14:paraId="2028A4CD" w14:textId="77777777" w:rsidR="009F14BF" w:rsidRPr="00373E87" w:rsidRDefault="009F14BF" w:rsidP="00373E87">
                  <w:pPr>
                    <w:pStyle w:val="afb"/>
                    <w:ind w:left="0" w:right="-101" w:firstLine="0"/>
                    <w:rPr>
                      <w:sz w:val="24"/>
                      <w:szCs w:val="24"/>
                      <w:lang w:val="ro-RO"/>
                    </w:rPr>
                  </w:pPr>
                </w:p>
                <w:p w14:paraId="703F616B" w14:textId="31AEF639" w:rsidR="009F14BF" w:rsidRPr="00373E87" w:rsidRDefault="009F14BF" w:rsidP="00373E87">
                  <w:pPr>
                    <w:pStyle w:val="afb"/>
                    <w:ind w:left="0" w:right="-101" w:firstLine="0"/>
                    <w:rPr>
                      <w:sz w:val="24"/>
                      <w:szCs w:val="24"/>
                      <w:lang w:val="ro-RO"/>
                    </w:rPr>
                  </w:pPr>
                  <w:r w:rsidRPr="00373E87">
                    <w:rPr>
                      <w:sz w:val="24"/>
                      <w:szCs w:val="24"/>
                      <w:lang w:val="ro-RO"/>
                    </w:rPr>
                    <w:t>Albastru</w:t>
                  </w:r>
                </w:p>
              </w:tc>
            </w:tr>
          </w:tbl>
          <w:p w14:paraId="2135157A" w14:textId="3D8FF17C" w:rsidR="009F14BF" w:rsidRPr="00373E87" w:rsidRDefault="009F14BF" w:rsidP="004A66C9">
            <w:pPr>
              <w:pStyle w:val="afb"/>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85BA06" w14:textId="587A4B49" w:rsidR="009F14BF" w:rsidRPr="00F57215" w:rsidRDefault="00F57215" w:rsidP="00F5721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57215">
              <w:rPr>
                <w:rFonts w:ascii="Times New Roman" w:hAnsi="Times New Roman"/>
                <w:b/>
                <w:bCs/>
                <w:sz w:val="24"/>
                <w:szCs w:val="24"/>
                <w:lang w:val="ro-RO"/>
              </w:rPr>
              <w:t>Se acceptă.</w:t>
            </w:r>
          </w:p>
        </w:tc>
      </w:tr>
      <w:tr w:rsidR="004A66C9" w:rsidRPr="00B035BC" w14:paraId="44400A8D" w14:textId="77777777" w:rsidTr="009F14BF">
        <w:tc>
          <w:tcPr>
            <w:tcW w:w="241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CB05A9" w14:textId="789C2BAF" w:rsidR="004A66C9" w:rsidRPr="00B67E77" w:rsidRDefault="00B67E77"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Ministerul Apărării (aviz nr. 11/1492 din 18.10.2024)</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A4D7B9" w14:textId="185EE743" w:rsidR="004A66C9" w:rsidRPr="00B67E77" w:rsidRDefault="009F14BF"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2.</w:t>
            </w: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6F497F1" w14:textId="0D6B445C" w:rsidR="004A66C9" w:rsidRPr="00B67E77" w:rsidRDefault="009F14BF"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Comunică lipsa obiecțiilor și propunerilor.</w:t>
            </w: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075DA30" w14:textId="373B5904" w:rsidR="004A66C9" w:rsidRPr="00F57215"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F57215">
              <w:rPr>
                <w:rFonts w:ascii="Times New Roman" w:hAnsi="Times New Roman"/>
                <w:b/>
                <w:bCs/>
                <w:sz w:val="24"/>
                <w:szCs w:val="24"/>
                <w:lang w:val="ro-RO"/>
              </w:rPr>
              <w:t>S-a luat act.</w:t>
            </w:r>
          </w:p>
        </w:tc>
      </w:tr>
      <w:tr w:rsidR="00E601EA" w:rsidRPr="00B035BC" w14:paraId="18B4909B" w14:textId="77777777" w:rsidTr="00E33F63">
        <w:tc>
          <w:tcPr>
            <w:tcW w:w="2416"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75EFD3A5" w14:textId="61E4BE4B" w:rsidR="00E601EA" w:rsidRPr="00B67E77" w:rsidRDefault="00E601EA"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Ministerul Finanțelor (aviz nr. 07/4-03/385/1652 din 22.10.2024)</w:t>
            </w:r>
          </w:p>
        </w:tc>
        <w:tc>
          <w:tcPr>
            <w:tcW w:w="0" w:type="auto"/>
            <w:vMerge w:val="restart"/>
            <w:tcBorders>
              <w:top w:val="none" w:sz="4" w:space="0" w:color="000000"/>
              <w:left w:val="none" w:sz="4" w:space="0" w:color="000000"/>
              <w:right w:val="single" w:sz="8" w:space="0" w:color="000000"/>
            </w:tcBorders>
            <w:tcMar>
              <w:top w:w="0" w:type="dxa"/>
              <w:left w:w="108" w:type="dxa"/>
              <w:bottom w:w="0" w:type="dxa"/>
              <w:right w:w="108" w:type="dxa"/>
            </w:tcMar>
          </w:tcPr>
          <w:p w14:paraId="0C975DED" w14:textId="2A8EEB17" w:rsidR="00E601EA" w:rsidRPr="00B67E77" w:rsidRDefault="00E601EA"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3.</w:t>
            </w: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5FAFFAD" w14:textId="1F40E787" w:rsidR="00E601EA" w:rsidRPr="00B67E77" w:rsidRDefault="00E601EA"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L</w:t>
            </w:r>
            <w:r w:rsidRPr="00C369CF">
              <w:rPr>
                <w:rFonts w:ascii="Times New Roman" w:hAnsi="Times New Roman"/>
                <w:sz w:val="24"/>
                <w:szCs w:val="24"/>
                <w:lang w:val="ro-RO"/>
              </w:rPr>
              <w:t xml:space="preserve">a pct. 4.2 „Impactul financiar și argumentarea costurilor estimative” din nota de fundamentare la proiect, sintagma „nu este aplicabil” urmează a fi reformulată conform prevederilor din anexa nr. 1 a Legii nr. 100/2017 privind actele normative, potrivit căruia trebuie să fie estimat impactul financiar asupra bugetului de stat, cu indicarea costurilor necesare pentru punerea în aplicare a actelor </w:t>
            </w:r>
            <w:r w:rsidRPr="00C369CF">
              <w:rPr>
                <w:rFonts w:ascii="Times New Roman" w:hAnsi="Times New Roman"/>
                <w:sz w:val="24"/>
                <w:szCs w:val="24"/>
                <w:lang w:val="ro-RO"/>
              </w:rPr>
              <w:lastRenderedPageBreak/>
              <w:t>normative, inclusiv a resurselor de la partenerii de dezvoltare. Autorul trebuie să indice expres dacă proiectul prevede cheltuieli suplimentare din bugetul de stat, cu stabilirea sursei de finanțare, sau urmează a fi acoperit din contul și limita alocațiilor aprobate.</w:t>
            </w: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92F5AA1" w14:textId="58715436" w:rsidR="00E601EA" w:rsidRPr="00B67E77"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7215">
              <w:rPr>
                <w:rFonts w:ascii="Times New Roman" w:hAnsi="Times New Roman"/>
                <w:b/>
                <w:bCs/>
                <w:sz w:val="24"/>
                <w:szCs w:val="24"/>
                <w:lang w:val="ro-RO"/>
              </w:rPr>
              <w:lastRenderedPageBreak/>
              <w:t>Se acceptă.</w:t>
            </w:r>
          </w:p>
        </w:tc>
      </w:tr>
      <w:tr w:rsidR="00E601EA" w:rsidRPr="00B035BC" w14:paraId="3E9DE933" w14:textId="77777777" w:rsidTr="00E33F63">
        <w:tc>
          <w:tcPr>
            <w:tcW w:w="2416"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14C0FE05" w14:textId="77777777" w:rsidR="00E601EA" w:rsidRPr="00B67E77" w:rsidRDefault="00E601EA"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0" w:type="auto"/>
            <w:vMerge/>
            <w:tcBorders>
              <w:left w:val="none" w:sz="4" w:space="0" w:color="000000"/>
              <w:bottom w:val="single" w:sz="8" w:space="0" w:color="000000"/>
              <w:right w:val="single" w:sz="8" w:space="0" w:color="000000"/>
            </w:tcBorders>
            <w:tcMar>
              <w:top w:w="0" w:type="dxa"/>
              <w:left w:w="108" w:type="dxa"/>
              <w:bottom w:w="0" w:type="dxa"/>
              <w:right w:w="108" w:type="dxa"/>
            </w:tcMar>
          </w:tcPr>
          <w:p w14:paraId="4ADDC7C1" w14:textId="77777777" w:rsidR="00E601EA" w:rsidRPr="00B67E77" w:rsidRDefault="00E601EA"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9450AF5" w14:textId="368D7D4D" w:rsidR="00E601EA" w:rsidRPr="00B67E77" w:rsidRDefault="00E601EA"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P</w:t>
            </w:r>
            <w:r w:rsidRPr="00C369CF">
              <w:rPr>
                <w:rFonts w:ascii="Times New Roman" w:hAnsi="Times New Roman"/>
                <w:sz w:val="24"/>
                <w:szCs w:val="24"/>
                <w:lang w:val="ro-RO"/>
              </w:rPr>
              <w:t>e tot textul proiectului, numerotarea punctelor nu corespunde noilor cerințe, iar potrivit art. 52 alin. (3) din Legea nr. 100/2017 cu privire la actele normative, pentru interpretarea corectă și aplicarea comodă, punctele pot fi divizate în subpuncte, care se numerotează prin adăugarea consecutivă a cifrelor arabe, până la gradul de detaliere necesar.</w:t>
            </w: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C23CA9" w14:textId="0EB88678" w:rsidR="00E601EA" w:rsidRPr="00B67E77"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7215">
              <w:rPr>
                <w:rFonts w:ascii="Times New Roman" w:hAnsi="Times New Roman"/>
                <w:b/>
                <w:bCs/>
                <w:sz w:val="24"/>
                <w:szCs w:val="24"/>
                <w:lang w:val="ro-RO"/>
              </w:rPr>
              <w:t>Se acceptă.</w:t>
            </w:r>
          </w:p>
        </w:tc>
      </w:tr>
      <w:tr w:rsidR="004E3222" w:rsidRPr="00B035BC" w14:paraId="44CE7F5B" w14:textId="77777777" w:rsidTr="00697C75">
        <w:tc>
          <w:tcPr>
            <w:tcW w:w="2416"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30AF6363" w14:textId="28A6BBD8" w:rsidR="004E3222" w:rsidRPr="00B67E77" w:rsidRDefault="004E3222"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Ministerul Infrastructurii și Dezvoltării Regionale (aviz nr. 21-5539 din 22.10.2024)</w:t>
            </w:r>
          </w:p>
        </w:tc>
        <w:tc>
          <w:tcPr>
            <w:tcW w:w="0" w:type="auto"/>
            <w:vMerge w:val="restart"/>
            <w:tcBorders>
              <w:top w:val="none" w:sz="4" w:space="0" w:color="000000"/>
              <w:left w:val="none" w:sz="4" w:space="0" w:color="000000"/>
              <w:right w:val="single" w:sz="8" w:space="0" w:color="000000"/>
            </w:tcBorders>
            <w:tcMar>
              <w:top w:w="0" w:type="dxa"/>
              <w:left w:w="108" w:type="dxa"/>
              <w:bottom w:w="0" w:type="dxa"/>
              <w:right w:w="108" w:type="dxa"/>
            </w:tcMar>
          </w:tcPr>
          <w:p w14:paraId="538489E1" w14:textId="15770927" w:rsidR="004E3222" w:rsidRPr="00B67E77" w:rsidRDefault="004E3222"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4.</w:t>
            </w: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EAA706E" w14:textId="38C520AA" w:rsidR="004E3222" w:rsidRPr="00B67E77" w:rsidRDefault="004E3222"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601EA">
              <w:rPr>
                <w:rFonts w:ascii="Times New Roman" w:hAnsi="Times New Roman"/>
                <w:sz w:val="24"/>
                <w:szCs w:val="24"/>
                <w:lang w:val="ro-RO"/>
              </w:rPr>
              <w:t>Reieșind din caracterul general și impersonal al unui act normativ, prevăzut la art. 2 din Legea nr. 100/2017 cu privire la actele normative, pentru a evita asocieri care ar putea favoriza anumite branduri auto sau producători de automobile, propunem, ca soluție juridică, evitarea utilizării în textul proiectului a unor culori care pot fi asociate cu branduri auto/producători de automobile.</w:t>
            </w: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77E1F8C" w14:textId="0F892D47" w:rsidR="00F57215" w:rsidRPr="00F57215"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shd w:val="clear" w:color="auto" w:fill="FFFFFF"/>
                <w:lang w:val="ro-RO"/>
              </w:rPr>
            </w:pPr>
            <w:r w:rsidRPr="00F57215">
              <w:rPr>
                <w:rFonts w:ascii="Times New Roman" w:hAnsi="Times New Roman"/>
                <w:b/>
                <w:bCs/>
                <w:sz w:val="24"/>
                <w:szCs w:val="24"/>
                <w:shd w:val="clear" w:color="auto" w:fill="FFFFFF"/>
                <w:lang w:val="ro-RO"/>
              </w:rPr>
              <w:t>Precizare.</w:t>
            </w:r>
          </w:p>
          <w:p w14:paraId="0BA7F0D3" w14:textId="34148FFD" w:rsidR="004E3222" w:rsidRPr="00F57215"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shd w:val="clear" w:color="auto" w:fill="FFFFFF"/>
                <w:lang w:val="ro-RO"/>
              </w:rPr>
              <w:t xml:space="preserve">Nu este clară soluția propusă în ceea ce privește culorile care pot fi asociate cu branduri/producători de automobile, cu atât mai mult în conformitate  pct. 8 din Regulamentul </w:t>
            </w:r>
            <w:r w:rsidRPr="00F57215">
              <w:rPr>
                <w:rFonts w:ascii="Times New Roman" w:hAnsi="Times New Roman"/>
                <w:sz w:val="24"/>
                <w:szCs w:val="24"/>
                <w:shd w:val="clear" w:color="auto" w:fill="FFFFFF"/>
                <w:lang w:val="ro-RO"/>
              </w:rPr>
              <w:t>privind cerințele generale de echipare a autovehiculelor cu regim prioritar de circulație și a autovehiculelor speciale, aprobat prin Hotărârea Guvernului nr. 500/2018</w:t>
            </w:r>
            <w:r>
              <w:rPr>
                <w:rFonts w:ascii="Times New Roman" w:hAnsi="Times New Roman"/>
                <w:sz w:val="24"/>
                <w:szCs w:val="24"/>
                <w:shd w:val="clear" w:color="auto" w:fill="FFFFFF"/>
                <w:lang w:val="ro-RO"/>
              </w:rPr>
              <w:t>, sunt prevăzute anume s</w:t>
            </w:r>
            <w:r w:rsidRPr="00F57215">
              <w:rPr>
                <w:rFonts w:ascii="Times New Roman" w:hAnsi="Times New Roman"/>
                <w:sz w:val="24"/>
                <w:szCs w:val="24"/>
                <w:shd w:val="clear" w:color="auto" w:fill="FFFFFF"/>
                <w:lang w:val="ro-RO"/>
              </w:rPr>
              <w:t xml:space="preserve">chemele </w:t>
            </w:r>
            <w:r w:rsidRPr="00F57215">
              <w:rPr>
                <w:rFonts w:ascii="Times New Roman" w:hAnsi="Times New Roman"/>
                <w:i/>
                <w:iCs/>
                <w:sz w:val="24"/>
                <w:szCs w:val="24"/>
                <w:shd w:val="clear" w:color="auto" w:fill="FFFFFF"/>
                <w:lang w:val="ro-RO"/>
              </w:rPr>
              <w:t>coloro-grafice</w:t>
            </w:r>
            <w:r w:rsidRPr="00F57215">
              <w:rPr>
                <w:rFonts w:ascii="Times New Roman" w:hAnsi="Times New Roman"/>
                <w:sz w:val="24"/>
                <w:szCs w:val="24"/>
                <w:shd w:val="clear" w:color="auto" w:fill="FFFFFF"/>
                <w:lang w:val="ro-RO"/>
              </w:rPr>
              <w:t xml:space="preserve"> ale vehiculelor speciale trebuie să corespundă imaginilor vectoriale din anexa nr. 3 la Regulament.</w:t>
            </w:r>
            <w:r w:rsidR="00CA67CC">
              <w:rPr>
                <w:rFonts w:ascii="Times New Roman" w:hAnsi="Times New Roman"/>
                <w:sz w:val="24"/>
                <w:szCs w:val="24"/>
                <w:shd w:val="clear" w:color="auto" w:fill="FFFFFF"/>
                <w:lang w:val="ro-RO"/>
              </w:rPr>
              <w:t xml:space="preserve"> Prin urmare, în conformitate cu exigențele prevăzute de prezentul act normativ, se consideră indispensabilă atribuirea gamei de culori a vehiculelor </w:t>
            </w:r>
            <w:r w:rsidR="00CA67CC" w:rsidRPr="00CA67CC">
              <w:rPr>
                <w:rFonts w:ascii="Times New Roman" w:hAnsi="Times New Roman"/>
                <w:sz w:val="24"/>
                <w:szCs w:val="24"/>
                <w:shd w:val="clear" w:color="auto" w:fill="FFFFFF"/>
                <w:lang w:val="ro-RO"/>
              </w:rPr>
              <w:t>cu regim prioritar de circulație și a vehiculelor speciale.</w:t>
            </w:r>
          </w:p>
        </w:tc>
      </w:tr>
      <w:tr w:rsidR="004E3222" w:rsidRPr="00B035BC" w14:paraId="78767C9C" w14:textId="77777777" w:rsidTr="00697C75">
        <w:tc>
          <w:tcPr>
            <w:tcW w:w="2416"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7407D2CA" w14:textId="77777777" w:rsidR="004E3222" w:rsidRPr="00B67E77" w:rsidRDefault="004E3222"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0" w:type="auto"/>
            <w:vMerge/>
            <w:tcBorders>
              <w:left w:val="none" w:sz="4" w:space="0" w:color="000000"/>
              <w:bottom w:val="single" w:sz="8" w:space="0" w:color="000000"/>
              <w:right w:val="single" w:sz="8" w:space="0" w:color="000000"/>
            </w:tcBorders>
            <w:tcMar>
              <w:top w:w="0" w:type="dxa"/>
              <w:left w:w="108" w:type="dxa"/>
              <w:bottom w:w="0" w:type="dxa"/>
              <w:right w:w="108" w:type="dxa"/>
            </w:tcMar>
          </w:tcPr>
          <w:p w14:paraId="6B2E8385" w14:textId="77777777" w:rsidR="004E3222" w:rsidRPr="00B67E77" w:rsidRDefault="004E3222"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787422" w14:textId="065CA467" w:rsidR="004E3222" w:rsidRPr="00B67E77" w:rsidRDefault="004E3222"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N</w:t>
            </w:r>
            <w:r w:rsidRPr="00E601EA">
              <w:rPr>
                <w:rFonts w:ascii="Times New Roman" w:hAnsi="Times New Roman"/>
                <w:sz w:val="24"/>
                <w:szCs w:val="24"/>
                <w:lang w:val="ro-RO"/>
              </w:rPr>
              <w:t xml:space="preserve">umerotarea punctelor proiectului ca elemente structurale este eronată, ori conform noilor cerințe, pentru interpretare corectă </w:t>
            </w:r>
            <w:proofErr w:type="spellStart"/>
            <w:r w:rsidRPr="00E601EA">
              <w:rPr>
                <w:rFonts w:ascii="Times New Roman" w:hAnsi="Times New Roman"/>
                <w:sz w:val="24"/>
                <w:szCs w:val="24"/>
                <w:lang w:val="ro-RO"/>
              </w:rPr>
              <w:t>şi</w:t>
            </w:r>
            <w:proofErr w:type="spellEnd"/>
            <w:r w:rsidRPr="00E601EA">
              <w:rPr>
                <w:rFonts w:ascii="Times New Roman" w:hAnsi="Times New Roman"/>
                <w:sz w:val="24"/>
                <w:szCs w:val="24"/>
                <w:lang w:val="ro-RO"/>
              </w:rPr>
              <w:t xml:space="preserve"> aplicare comodă, punctele pot fi divizate în subpuncte care se numerotează prin adăugarea consecutivă a cifrelor arabe, până la gradul de detaliere necesar (art. 52 alin. (3) din Legea nr. 100/2017).</w:t>
            </w: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0C2F12" w14:textId="580B6C34" w:rsidR="004E3222" w:rsidRPr="00B67E77"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7215">
              <w:rPr>
                <w:rFonts w:ascii="Times New Roman" w:hAnsi="Times New Roman"/>
                <w:b/>
                <w:bCs/>
                <w:sz w:val="24"/>
                <w:szCs w:val="24"/>
                <w:lang w:val="ro-RO"/>
              </w:rPr>
              <w:t>Se acceptă.</w:t>
            </w:r>
          </w:p>
        </w:tc>
      </w:tr>
      <w:tr w:rsidR="004A66C9" w:rsidRPr="00B035BC" w14:paraId="02CC6AF6" w14:textId="77777777" w:rsidTr="009F14BF">
        <w:tc>
          <w:tcPr>
            <w:tcW w:w="241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4117B7" w14:textId="466B2E70" w:rsidR="004A66C9" w:rsidRPr="00B67E77" w:rsidRDefault="004E3222"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lastRenderedPageBreak/>
              <w:t>Serviciul Protec</w:t>
            </w:r>
            <w:r w:rsidR="00EF6A86">
              <w:rPr>
                <w:rFonts w:ascii="Times New Roman" w:hAnsi="Times New Roman"/>
                <w:sz w:val="24"/>
                <w:szCs w:val="24"/>
                <w:lang w:val="ro-RO"/>
              </w:rPr>
              <w:t>ție și Pază de Stat (aviz nr. 2/2118 din 17.10.2024)</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037B062" w14:textId="621D976C" w:rsidR="004A66C9" w:rsidRPr="00B67E77" w:rsidRDefault="00EF6A86"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5.</w:t>
            </w: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3765E77" w14:textId="56A09524" w:rsidR="004A66C9" w:rsidRPr="00B67E77" w:rsidRDefault="00EF6A86"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Pr>
                <w:rFonts w:ascii="Times New Roman" w:hAnsi="Times New Roman"/>
                <w:sz w:val="24"/>
                <w:szCs w:val="24"/>
                <w:lang w:val="ro-RO"/>
              </w:rPr>
              <w:t>Comunică lipsa de obiecții și propuneri.</w:t>
            </w: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12E448" w14:textId="172965EA" w:rsidR="004A66C9" w:rsidRPr="00B67E77"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F57215">
              <w:rPr>
                <w:rFonts w:ascii="Times New Roman" w:hAnsi="Times New Roman"/>
                <w:b/>
                <w:bCs/>
                <w:sz w:val="24"/>
                <w:szCs w:val="24"/>
                <w:lang w:val="ro-RO"/>
              </w:rPr>
              <w:t>S-a luat act.</w:t>
            </w:r>
          </w:p>
        </w:tc>
      </w:tr>
      <w:tr w:rsidR="004E3222" w:rsidRPr="00B035BC" w14:paraId="7EBCB1A0" w14:textId="77777777" w:rsidTr="009F14BF">
        <w:tc>
          <w:tcPr>
            <w:tcW w:w="2416"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804A88" w14:textId="03E852D9" w:rsidR="004E3222" w:rsidRPr="00D2376F" w:rsidRDefault="00D2376F"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2376F">
              <w:rPr>
                <w:rFonts w:ascii="Times New Roman" w:hAnsi="Times New Roman"/>
                <w:sz w:val="24"/>
                <w:szCs w:val="24"/>
                <w:lang w:val="ro-RO"/>
              </w:rPr>
              <w:t>Banca Națională a Moldovei (aviz nr. 31-002/115/5235 din 28.10.2024)</w:t>
            </w:r>
          </w:p>
        </w:tc>
        <w:tc>
          <w:tcPr>
            <w:tcW w:w="0" w:type="auto"/>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5B815C1" w14:textId="7CD2D901" w:rsidR="004E3222" w:rsidRPr="00E12A8F" w:rsidRDefault="00D2376F"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12A8F">
              <w:rPr>
                <w:rFonts w:ascii="Times New Roman" w:hAnsi="Times New Roman"/>
                <w:sz w:val="24"/>
                <w:szCs w:val="24"/>
                <w:lang w:val="ro-RO"/>
              </w:rPr>
              <w:t>6.</w:t>
            </w: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227587D" w14:textId="7263D63D" w:rsidR="004E3222" w:rsidRPr="00D2376F" w:rsidRDefault="00D2376F"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2376F">
              <w:rPr>
                <w:rFonts w:ascii="Times New Roman" w:hAnsi="Times New Roman"/>
                <w:sz w:val="24"/>
                <w:szCs w:val="24"/>
                <w:lang w:val="ro-RO"/>
              </w:rPr>
              <w:t>Comunică lipsa de obiecții și propuneri.</w:t>
            </w: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A7AA945" w14:textId="2A3778EF" w:rsidR="004E3222" w:rsidRPr="00B67E77" w:rsidRDefault="00F57215" w:rsidP="00B67E77">
            <w:pPr>
              <w:pBdr>
                <w:top w:val="none" w:sz="4" w:space="0" w:color="000000"/>
                <w:left w:val="none" w:sz="4" w:space="0" w:color="000000"/>
                <w:bottom w:val="none" w:sz="4" w:space="0" w:color="000000"/>
                <w:right w:val="none" w:sz="4" w:space="0" w:color="000000"/>
              </w:pBdr>
              <w:ind w:firstLine="0"/>
              <w:rPr>
                <w:sz w:val="24"/>
                <w:szCs w:val="24"/>
                <w:lang w:val="ro-RO"/>
              </w:rPr>
            </w:pPr>
            <w:r w:rsidRPr="00F57215">
              <w:rPr>
                <w:rFonts w:ascii="Times New Roman" w:hAnsi="Times New Roman"/>
                <w:b/>
                <w:bCs/>
                <w:sz w:val="24"/>
                <w:szCs w:val="24"/>
                <w:lang w:val="ro-RO"/>
              </w:rPr>
              <w:t>S-a luat act.</w:t>
            </w:r>
          </w:p>
        </w:tc>
      </w:tr>
      <w:tr w:rsidR="00F57215" w:rsidRPr="00B035BC" w14:paraId="208AF76C" w14:textId="77777777" w:rsidTr="006662D4">
        <w:tc>
          <w:tcPr>
            <w:tcW w:w="2416" w:type="dxa"/>
            <w:vMerge w:val="restart"/>
            <w:tcBorders>
              <w:top w:val="none" w:sz="4" w:space="0" w:color="000000"/>
              <w:left w:val="single" w:sz="8" w:space="0" w:color="000000"/>
              <w:right w:val="single" w:sz="8" w:space="0" w:color="000000"/>
            </w:tcBorders>
            <w:tcMar>
              <w:top w:w="0" w:type="dxa"/>
              <w:left w:w="108" w:type="dxa"/>
              <w:bottom w:w="0" w:type="dxa"/>
              <w:right w:w="108" w:type="dxa"/>
            </w:tcMar>
          </w:tcPr>
          <w:p w14:paraId="268FFDAA" w14:textId="739046B4" w:rsidR="00F57215" w:rsidRPr="00E12A8F"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12A8F">
              <w:rPr>
                <w:rFonts w:ascii="Times New Roman" w:hAnsi="Times New Roman"/>
                <w:sz w:val="24"/>
                <w:szCs w:val="24"/>
                <w:lang w:val="ro-RO"/>
              </w:rPr>
              <w:t xml:space="preserve">Ministerul Sănătății (aviz nr. 14/4027 din 27.10.2024) </w:t>
            </w:r>
          </w:p>
        </w:tc>
        <w:tc>
          <w:tcPr>
            <w:tcW w:w="0" w:type="auto"/>
            <w:vMerge w:val="restart"/>
            <w:tcBorders>
              <w:top w:val="none" w:sz="4" w:space="0" w:color="000000"/>
              <w:left w:val="none" w:sz="4" w:space="0" w:color="000000"/>
              <w:right w:val="single" w:sz="8" w:space="0" w:color="000000"/>
            </w:tcBorders>
            <w:tcMar>
              <w:top w:w="0" w:type="dxa"/>
              <w:left w:w="108" w:type="dxa"/>
              <w:bottom w:w="0" w:type="dxa"/>
              <w:right w:w="108" w:type="dxa"/>
            </w:tcMar>
          </w:tcPr>
          <w:p w14:paraId="7D031AE0" w14:textId="1A0C5523" w:rsidR="00F57215" w:rsidRPr="00E12A8F"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12A8F">
              <w:rPr>
                <w:rFonts w:ascii="Times New Roman" w:hAnsi="Times New Roman"/>
                <w:sz w:val="24"/>
                <w:szCs w:val="24"/>
                <w:lang w:val="ro-RO"/>
              </w:rPr>
              <w:t xml:space="preserve">7. </w:t>
            </w: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A5C367" w14:textId="77777777" w:rsidR="00F57215" w:rsidRPr="00D2376F"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2376F">
              <w:rPr>
                <w:rFonts w:ascii="Times New Roman" w:hAnsi="Times New Roman"/>
                <w:sz w:val="24"/>
                <w:szCs w:val="24"/>
                <w:lang w:val="ro-RO"/>
              </w:rPr>
              <w:t xml:space="preserve">Se propune completarea Anexei nr. 2 la Regulamentul privind cerințele generale de echipare a vehiculelor cu regim prioritar de circulație și a vehiculelor speciale, aprobat prin Hotărârii Guvernului nr. 500/2018, la poziția 5: </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1592"/>
              <w:gridCol w:w="1872"/>
              <w:gridCol w:w="1047"/>
            </w:tblGrid>
            <w:tr w:rsidR="00F57215" w:rsidRPr="00D2376F" w14:paraId="7AC6C786" w14:textId="77777777" w:rsidTr="00D2376F">
              <w:trPr>
                <w:jc w:val="center"/>
              </w:trPr>
              <w:tc>
                <w:tcPr>
                  <w:tcW w:w="879" w:type="pct"/>
                  <w:tcBorders>
                    <w:top w:val="single" w:sz="4" w:space="0" w:color="auto"/>
                    <w:left w:val="single" w:sz="4" w:space="0" w:color="auto"/>
                    <w:bottom w:val="single" w:sz="4" w:space="0" w:color="auto"/>
                    <w:right w:val="single" w:sz="4" w:space="0" w:color="auto"/>
                  </w:tcBorders>
                  <w:hideMark/>
                </w:tcPr>
                <w:p w14:paraId="75AA9D4C" w14:textId="77777777" w:rsidR="00F57215" w:rsidRPr="00D2376F" w:rsidRDefault="00F57215" w:rsidP="00D2376F">
                  <w:pPr>
                    <w:ind w:firstLine="19"/>
                    <w:jc w:val="center"/>
                    <w:rPr>
                      <w:sz w:val="22"/>
                      <w:szCs w:val="22"/>
                      <w:lang w:val="ro-MD" w:bidi="he-IL"/>
                    </w:rPr>
                  </w:pPr>
                  <w:r w:rsidRPr="00D2376F">
                    <w:rPr>
                      <w:rFonts w:eastAsia="Calibri"/>
                      <w:sz w:val="22"/>
                      <w:szCs w:val="22"/>
                      <w:lang w:val="ro-MD" w:bidi="he-IL"/>
                    </w:rPr>
                    <w:t>,,5.</w:t>
                  </w:r>
                </w:p>
              </w:tc>
              <w:tc>
                <w:tcPr>
                  <w:tcW w:w="1516" w:type="pct"/>
                  <w:tcBorders>
                    <w:top w:val="single" w:sz="4" w:space="0" w:color="auto"/>
                    <w:left w:val="single" w:sz="4" w:space="0" w:color="auto"/>
                    <w:bottom w:val="single" w:sz="4" w:space="0" w:color="auto"/>
                    <w:right w:val="single" w:sz="4" w:space="0" w:color="auto"/>
                  </w:tcBorders>
                  <w:hideMark/>
                </w:tcPr>
                <w:p w14:paraId="2D615536" w14:textId="77777777" w:rsidR="00F57215" w:rsidRPr="00D2376F" w:rsidRDefault="00F57215" w:rsidP="00D2376F">
                  <w:pPr>
                    <w:ind w:firstLine="0"/>
                    <w:rPr>
                      <w:sz w:val="22"/>
                      <w:szCs w:val="22"/>
                      <w:lang w:val="ro-MD" w:bidi="he-IL"/>
                    </w:rPr>
                  </w:pPr>
                  <w:r w:rsidRPr="00D2376F">
                    <w:rPr>
                      <w:rFonts w:eastAsia="Calibri"/>
                      <w:sz w:val="22"/>
                      <w:szCs w:val="22"/>
                      <w:lang w:val="ro-MD" w:bidi="he-IL"/>
                    </w:rPr>
                    <w:t>Ministerul Sănătății (ambulanțele)</w:t>
                  </w:r>
                </w:p>
              </w:tc>
              <w:tc>
                <w:tcPr>
                  <w:tcW w:w="1593" w:type="pct"/>
                  <w:tcBorders>
                    <w:top w:val="single" w:sz="4" w:space="0" w:color="auto"/>
                    <w:left w:val="single" w:sz="4" w:space="0" w:color="auto"/>
                    <w:bottom w:val="single" w:sz="4" w:space="0" w:color="auto"/>
                    <w:right w:val="single" w:sz="4" w:space="0" w:color="auto"/>
                  </w:tcBorders>
                  <w:hideMark/>
                </w:tcPr>
                <w:p w14:paraId="0A0EC1FA" w14:textId="77777777" w:rsidR="00F57215" w:rsidRPr="00D2376F" w:rsidRDefault="00F57215" w:rsidP="00D2376F">
                  <w:pPr>
                    <w:ind w:firstLine="0"/>
                    <w:rPr>
                      <w:rFonts w:eastAsia="Calibri"/>
                      <w:sz w:val="22"/>
                      <w:szCs w:val="22"/>
                      <w:lang w:val="ro-MD" w:bidi="he-IL"/>
                    </w:rPr>
                  </w:pPr>
                  <w:r w:rsidRPr="00D2376F">
                    <w:rPr>
                      <w:rFonts w:eastAsia="Calibri"/>
                      <w:sz w:val="22"/>
                      <w:szCs w:val="22"/>
                      <w:lang w:val="ro-MD" w:bidi="he-IL"/>
                    </w:rPr>
                    <w:t>Simbolul internațional al Serviciului de asistență medicală urgentă “ Steaua Vieții”,</w:t>
                  </w:r>
                </w:p>
                <w:p w14:paraId="733440A0" w14:textId="77777777" w:rsidR="00F57215" w:rsidRPr="00D2376F" w:rsidRDefault="00F57215" w:rsidP="00D2376F">
                  <w:pPr>
                    <w:ind w:firstLine="0"/>
                    <w:rPr>
                      <w:sz w:val="22"/>
                      <w:szCs w:val="22"/>
                      <w:lang w:val="ro-MD" w:bidi="he-IL"/>
                    </w:rPr>
                  </w:pPr>
                  <w:r w:rsidRPr="00D2376F">
                    <w:rPr>
                      <w:rFonts w:eastAsia="Calibri"/>
                      <w:sz w:val="22"/>
                      <w:szCs w:val="22"/>
                      <w:lang w:val="ro-MD" w:bidi="he-IL"/>
                    </w:rPr>
                    <w:t xml:space="preserve"> Sigla „AMBULANŢA”,</w:t>
                  </w:r>
                </w:p>
                <w:p w14:paraId="36A02BCB" w14:textId="77777777" w:rsidR="00F57215" w:rsidRPr="00D2376F" w:rsidRDefault="00F57215" w:rsidP="00D2376F">
                  <w:pPr>
                    <w:ind w:firstLine="0"/>
                    <w:rPr>
                      <w:rFonts w:eastAsia="Calibri"/>
                      <w:sz w:val="22"/>
                      <w:szCs w:val="22"/>
                      <w:lang w:val="ro-MD" w:bidi="he-IL"/>
                    </w:rPr>
                  </w:pPr>
                  <w:r w:rsidRPr="00D2376F">
                    <w:rPr>
                      <w:rFonts w:eastAsia="Calibri"/>
                      <w:sz w:val="22"/>
                      <w:szCs w:val="22"/>
                      <w:lang w:val="ro-MD" w:bidi="he-IL"/>
                    </w:rPr>
                    <w:t>Sigla „ASISTENŢĂ MEDICALĂ URGENTĂ”,</w:t>
                  </w:r>
                </w:p>
                <w:p w14:paraId="39BCD35A" w14:textId="77777777" w:rsidR="00F57215" w:rsidRPr="00D2376F" w:rsidRDefault="00F57215" w:rsidP="00D2376F">
                  <w:pPr>
                    <w:ind w:firstLine="0"/>
                    <w:rPr>
                      <w:rFonts w:eastAsia="Calibri"/>
                      <w:sz w:val="22"/>
                      <w:szCs w:val="22"/>
                      <w:lang w:val="ro-MD" w:bidi="he-IL"/>
                    </w:rPr>
                  </w:pPr>
                  <w:r w:rsidRPr="00D2376F">
                    <w:rPr>
                      <w:rFonts w:eastAsia="Calibri"/>
                      <w:sz w:val="22"/>
                      <w:szCs w:val="22"/>
                      <w:lang w:val="ro-MD" w:bidi="he-IL"/>
                    </w:rPr>
                    <w:t>Număr apel de urgență 112,</w:t>
                  </w:r>
                </w:p>
                <w:p w14:paraId="1C04FDE9" w14:textId="77777777" w:rsidR="00F57215" w:rsidRPr="00D2376F" w:rsidRDefault="00F57215" w:rsidP="00D2376F">
                  <w:pPr>
                    <w:ind w:firstLine="0"/>
                    <w:rPr>
                      <w:rFonts w:eastAsia="Calibri"/>
                      <w:sz w:val="22"/>
                      <w:szCs w:val="22"/>
                      <w:lang w:val="ro-MD" w:bidi="he-IL"/>
                    </w:rPr>
                  </w:pPr>
                  <w:r w:rsidRPr="00D2376F">
                    <w:rPr>
                      <w:rFonts w:eastAsia="Calibri"/>
                      <w:sz w:val="22"/>
                      <w:szCs w:val="22"/>
                      <w:lang w:val="ro-MD" w:bidi="he-IL"/>
                    </w:rPr>
                    <w:t>Denumirea subdiviziunii</w:t>
                  </w:r>
                </w:p>
              </w:tc>
              <w:tc>
                <w:tcPr>
                  <w:tcW w:w="1012" w:type="pct"/>
                  <w:tcBorders>
                    <w:top w:val="single" w:sz="4" w:space="0" w:color="auto"/>
                    <w:left w:val="single" w:sz="4" w:space="0" w:color="auto"/>
                    <w:bottom w:val="single" w:sz="4" w:space="0" w:color="auto"/>
                    <w:right w:val="single" w:sz="4" w:space="0" w:color="auto"/>
                  </w:tcBorders>
                </w:tcPr>
                <w:p w14:paraId="068DA1CC" w14:textId="77777777" w:rsidR="00F57215" w:rsidRPr="00D2376F" w:rsidRDefault="00F57215" w:rsidP="00D2376F">
                  <w:pPr>
                    <w:ind w:firstLine="0"/>
                    <w:rPr>
                      <w:sz w:val="22"/>
                      <w:szCs w:val="22"/>
                      <w:lang w:val="ro-MD" w:bidi="he-IL"/>
                    </w:rPr>
                  </w:pPr>
                  <w:r w:rsidRPr="00D2376F">
                    <w:rPr>
                      <w:rFonts w:eastAsia="Calibri"/>
                      <w:sz w:val="22"/>
                      <w:szCs w:val="22"/>
                      <w:lang w:val="ro-MD" w:bidi="he-IL"/>
                    </w:rPr>
                    <w:t>300 mm</w:t>
                  </w:r>
                </w:p>
                <w:p w14:paraId="0284D3E6" w14:textId="77777777" w:rsidR="00F57215" w:rsidRPr="00D2376F" w:rsidRDefault="00F57215" w:rsidP="00D2376F">
                  <w:pPr>
                    <w:ind w:firstLine="0"/>
                    <w:rPr>
                      <w:rFonts w:eastAsia="Calibri"/>
                      <w:sz w:val="22"/>
                      <w:szCs w:val="22"/>
                      <w:lang w:val="ro-MD" w:bidi="he-IL"/>
                    </w:rPr>
                  </w:pPr>
                </w:p>
                <w:p w14:paraId="3CC1C84A" w14:textId="77777777" w:rsidR="00F57215" w:rsidRPr="00D2376F" w:rsidRDefault="00F57215" w:rsidP="00D2376F">
                  <w:pPr>
                    <w:ind w:firstLine="0"/>
                    <w:rPr>
                      <w:rFonts w:eastAsia="Calibri"/>
                      <w:sz w:val="22"/>
                      <w:szCs w:val="22"/>
                      <w:lang w:val="ro-MD" w:bidi="he-IL"/>
                    </w:rPr>
                  </w:pPr>
                </w:p>
                <w:p w14:paraId="4A366562" w14:textId="77777777" w:rsidR="00F57215" w:rsidRPr="00D2376F" w:rsidRDefault="00F57215" w:rsidP="00D2376F">
                  <w:pPr>
                    <w:ind w:firstLine="0"/>
                    <w:rPr>
                      <w:rFonts w:eastAsia="Calibri"/>
                      <w:sz w:val="22"/>
                      <w:szCs w:val="22"/>
                      <w:lang w:val="ro-MD" w:bidi="he-IL"/>
                    </w:rPr>
                  </w:pPr>
                </w:p>
                <w:p w14:paraId="5480FE4A" w14:textId="77777777" w:rsidR="00F57215" w:rsidRPr="00D2376F" w:rsidRDefault="00F57215" w:rsidP="00D2376F">
                  <w:pPr>
                    <w:ind w:firstLine="0"/>
                    <w:rPr>
                      <w:rFonts w:eastAsia="Calibri"/>
                      <w:sz w:val="22"/>
                      <w:szCs w:val="22"/>
                      <w:lang w:val="ro-MD" w:bidi="he-IL"/>
                    </w:rPr>
                  </w:pPr>
                </w:p>
                <w:p w14:paraId="175F27D9" w14:textId="77777777" w:rsidR="00F57215" w:rsidRPr="00D2376F" w:rsidRDefault="00F57215" w:rsidP="00D2376F">
                  <w:pPr>
                    <w:ind w:firstLine="0"/>
                    <w:rPr>
                      <w:rFonts w:eastAsia="Calibri"/>
                      <w:sz w:val="22"/>
                      <w:szCs w:val="22"/>
                      <w:lang w:val="ro-MD" w:bidi="he-IL"/>
                    </w:rPr>
                  </w:pPr>
                </w:p>
                <w:p w14:paraId="2401766A" w14:textId="77777777" w:rsidR="00F57215" w:rsidRDefault="00F57215" w:rsidP="00D2376F">
                  <w:pPr>
                    <w:ind w:firstLine="0"/>
                    <w:rPr>
                      <w:rFonts w:eastAsia="Calibri"/>
                      <w:sz w:val="22"/>
                      <w:szCs w:val="22"/>
                      <w:lang w:val="ro-MD" w:bidi="he-IL"/>
                    </w:rPr>
                  </w:pPr>
                </w:p>
                <w:p w14:paraId="712D9F64" w14:textId="4B840D5D" w:rsidR="00F57215" w:rsidRPr="00D2376F" w:rsidRDefault="00F57215" w:rsidP="00D2376F">
                  <w:pPr>
                    <w:ind w:firstLine="0"/>
                    <w:rPr>
                      <w:rFonts w:eastAsia="Calibri"/>
                      <w:sz w:val="22"/>
                      <w:szCs w:val="22"/>
                      <w:lang w:val="ro-MD" w:bidi="he-IL"/>
                    </w:rPr>
                  </w:pPr>
                  <w:r w:rsidRPr="00D2376F">
                    <w:rPr>
                      <w:rFonts w:eastAsia="Calibri"/>
                      <w:sz w:val="22"/>
                      <w:szCs w:val="22"/>
                      <w:lang w:val="ro-MD" w:bidi="he-IL"/>
                    </w:rPr>
                    <w:t>150 mm</w:t>
                  </w:r>
                </w:p>
                <w:p w14:paraId="7E48AE5E" w14:textId="67287AE0" w:rsidR="00F57215" w:rsidRPr="00D2376F" w:rsidRDefault="00F57215" w:rsidP="00D2376F">
                  <w:pPr>
                    <w:ind w:firstLine="0"/>
                    <w:rPr>
                      <w:rFonts w:eastAsia="Calibri"/>
                      <w:sz w:val="22"/>
                      <w:szCs w:val="22"/>
                      <w:lang w:val="ro-MD" w:bidi="he-IL"/>
                    </w:rPr>
                  </w:pPr>
                  <w:r w:rsidRPr="00D2376F">
                    <w:rPr>
                      <w:rFonts w:eastAsia="Calibri"/>
                      <w:sz w:val="22"/>
                      <w:szCs w:val="22"/>
                      <w:lang w:val="ro-MD" w:bidi="he-IL"/>
                    </w:rPr>
                    <w:t>130 mm</w:t>
                  </w:r>
                </w:p>
                <w:p w14:paraId="455653D8" w14:textId="77777777" w:rsidR="00F57215" w:rsidRPr="00D2376F" w:rsidRDefault="00F57215" w:rsidP="00D2376F">
                  <w:pPr>
                    <w:ind w:firstLine="0"/>
                    <w:rPr>
                      <w:rFonts w:eastAsia="Calibri"/>
                      <w:sz w:val="22"/>
                      <w:szCs w:val="22"/>
                      <w:lang w:val="ro-MD" w:bidi="he-IL"/>
                    </w:rPr>
                  </w:pPr>
                </w:p>
                <w:p w14:paraId="0CB5322E" w14:textId="77777777" w:rsidR="00F57215" w:rsidRDefault="00F57215" w:rsidP="00D2376F">
                  <w:pPr>
                    <w:ind w:firstLine="0"/>
                    <w:rPr>
                      <w:rFonts w:eastAsia="Calibri"/>
                      <w:sz w:val="22"/>
                      <w:szCs w:val="22"/>
                      <w:lang w:val="ro-MD" w:bidi="he-IL"/>
                    </w:rPr>
                  </w:pPr>
                </w:p>
                <w:p w14:paraId="690470B1" w14:textId="77777777" w:rsidR="00F57215" w:rsidRDefault="00F57215" w:rsidP="00D2376F">
                  <w:pPr>
                    <w:ind w:firstLine="0"/>
                    <w:rPr>
                      <w:rFonts w:eastAsia="Calibri"/>
                      <w:sz w:val="22"/>
                      <w:szCs w:val="22"/>
                      <w:lang w:val="ro-MD" w:bidi="he-IL"/>
                    </w:rPr>
                  </w:pPr>
                </w:p>
                <w:p w14:paraId="1BDB5D83" w14:textId="1E52C962" w:rsidR="00F57215" w:rsidRPr="00D2376F" w:rsidRDefault="00F57215" w:rsidP="00D2376F">
                  <w:pPr>
                    <w:ind w:firstLine="0"/>
                    <w:rPr>
                      <w:rFonts w:eastAsia="Calibri"/>
                      <w:sz w:val="22"/>
                      <w:szCs w:val="22"/>
                      <w:lang w:val="ro-MD" w:bidi="he-IL"/>
                    </w:rPr>
                  </w:pPr>
                  <w:r w:rsidRPr="00D2376F">
                    <w:rPr>
                      <w:rFonts w:eastAsia="Calibri"/>
                      <w:sz w:val="22"/>
                      <w:szCs w:val="22"/>
                      <w:lang w:val="ro-MD" w:bidi="he-IL"/>
                    </w:rPr>
                    <w:t>240 mm</w:t>
                  </w:r>
                </w:p>
                <w:p w14:paraId="1FAE9A01" w14:textId="77777777" w:rsidR="00F57215" w:rsidRDefault="00F57215" w:rsidP="00D2376F">
                  <w:pPr>
                    <w:ind w:firstLine="0"/>
                    <w:rPr>
                      <w:rFonts w:eastAsia="Calibri"/>
                      <w:sz w:val="22"/>
                      <w:szCs w:val="22"/>
                      <w:lang w:val="ro-MD" w:bidi="he-IL"/>
                    </w:rPr>
                  </w:pPr>
                </w:p>
                <w:p w14:paraId="499F2E7A" w14:textId="6A642A10" w:rsidR="00F57215" w:rsidRPr="00D2376F" w:rsidRDefault="00F57215" w:rsidP="00D2376F">
                  <w:pPr>
                    <w:ind w:firstLine="0"/>
                    <w:rPr>
                      <w:sz w:val="22"/>
                      <w:szCs w:val="22"/>
                      <w:lang w:val="ro-MD" w:bidi="he-IL"/>
                    </w:rPr>
                  </w:pPr>
                  <w:r w:rsidRPr="00D2376F">
                    <w:rPr>
                      <w:rFonts w:eastAsia="Calibri"/>
                      <w:sz w:val="22"/>
                      <w:szCs w:val="22"/>
                      <w:lang w:val="ro-MD" w:bidi="he-IL"/>
                    </w:rPr>
                    <w:t>80 mm”</w:t>
                  </w:r>
                </w:p>
              </w:tc>
            </w:tr>
          </w:tbl>
          <w:p w14:paraId="7B2B0572" w14:textId="25E4E0C2" w:rsidR="00F57215" w:rsidRPr="00D2376F"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7CF334" w14:textId="39F5D05A" w:rsidR="00F57215" w:rsidRPr="00B67E77" w:rsidRDefault="00F57215" w:rsidP="00B67E77">
            <w:pPr>
              <w:pBdr>
                <w:top w:val="none" w:sz="4" w:space="0" w:color="000000"/>
                <w:left w:val="none" w:sz="4" w:space="0" w:color="000000"/>
                <w:bottom w:val="none" w:sz="4" w:space="0" w:color="000000"/>
                <w:right w:val="none" w:sz="4" w:space="0" w:color="000000"/>
              </w:pBdr>
              <w:ind w:firstLine="0"/>
              <w:rPr>
                <w:sz w:val="24"/>
                <w:szCs w:val="24"/>
                <w:lang w:val="ro-RO"/>
              </w:rPr>
            </w:pPr>
            <w:r w:rsidRPr="00F57215">
              <w:rPr>
                <w:rFonts w:ascii="Times New Roman" w:hAnsi="Times New Roman"/>
                <w:b/>
                <w:bCs/>
                <w:sz w:val="24"/>
                <w:szCs w:val="24"/>
                <w:lang w:val="ro-RO"/>
              </w:rPr>
              <w:t>Se acceptă.</w:t>
            </w:r>
          </w:p>
        </w:tc>
      </w:tr>
      <w:tr w:rsidR="00F57215" w:rsidRPr="00B035BC" w14:paraId="6A0E6E39" w14:textId="77777777" w:rsidTr="006662D4">
        <w:tc>
          <w:tcPr>
            <w:tcW w:w="2416"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4C043485" w14:textId="77777777" w:rsidR="00F57215" w:rsidRPr="00B67E77" w:rsidRDefault="00F57215" w:rsidP="00B67E77">
            <w:pPr>
              <w:pBdr>
                <w:top w:val="none" w:sz="4" w:space="0" w:color="000000"/>
                <w:left w:val="none" w:sz="4" w:space="0" w:color="000000"/>
                <w:bottom w:val="none" w:sz="4" w:space="0" w:color="000000"/>
                <w:right w:val="none" w:sz="4" w:space="0" w:color="000000"/>
              </w:pBdr>
              <w:ind w:firstLine="0"/>
              <w:rPr>
                <w:sz w:val="24"/>
                <w:szCs w:val="24"/>
                <w:lang w:val="ro-RO"/>
              </w:rPr>
            </w:pPr>
          </w:p>
        </w:tc>
        <w:tc>
          <w:tcPr>
            <w:tcW w:w="0" w:type="auto"/>
            <w:vMerge/>
            <w:tcBorders>
              <w:left w:val="none" w:sz="4" w:space="0" w:color="000000"/>
              <w:bottom w:val="single" w:sz="8" w:space="0" w:color="000000"/>
              <w:right w:val="single" w:sz="8" w:space="0" w:color="000000"/>
            </w:tcBorders>
            <w:tcMar>
              <w:top w:w="0" w:type="dxa"/>
              <w:left w:w="108" w:type="dxa"/>
              <w:bottom w:w="0" w:type="dxa"/>
              <w:right w:w="108" w:type="dxa"/>
            </w:tcMar>
          </w:tcPr>
          <w:p w14:paraId="585FA27D" w14:textId="77777777" w:rsidR="00F57215" w:rsidRPr="00B67E77" w:rsidRDefault="00F57215" w:rsidP="00B67E77">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73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E97CE2" w14:textId="15ADABAC" w:rsidR="00F57215" w:rsidRPr="00D2376F" w:rsidRDefault="00F57215" w:rsidP="00B67E7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2376F">
              <w:rPr>
                <w:rFonts w:ascii="Times New Roman" w:hAnsi="Times New Roman"/>
                <w:sz w:val="24"/>
                <w:szCs w:val="24"/>
                <w:lang w:val="ro-RO"/>
              </w:rPr>
              <w:t>Pentru Anexa nr. 3 se propune la punctul 5 ,,Ambulanțe” următorul cuprins (conform anexei</w:t>
            </w:r>
            <w:r>
              <w:rPr>
                <w:rFonts w:ascii="Times New Roman" w:hAnsi="Times New Roman"/>
                <w:sz w:val="24"/>
                <w:szCs w:val="24"/>
                <w:lang w:val="ro-RO"/>
              </w:rPr>
              <w:t xml:space="preserve"> din aviz</w:t>
            </w:r>
            <w:r w:rsidRPr="00D2376F">
              <w:rPr>
                <w:rFonts w:ascii="Times New Roman" w:hAnsi="Times New Roman"/>
                <w:sz w:val="24"/>
                <w:szCs w:val="24"/>
                <w:lang w:val="ro-RO"/>
              </w:rPr>
              <w:t>).</w:t>
            </w:r>
          </w:p>
        </w:tc>
        <w:tc>
          <w:tcPr>
            <w:tcW w:w="491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368E463" w14:textId="2646CFE8" w:rsidR="00F57215" w:rsidRPr="00B67E77" w:rsidRDefault="00F57215" w:rsidP="00B67E77">
            <w:pPr>
              <w:pBdr>
                <w:top w:val="none" w:sz="4" w:space="0" w:color="000000"/>
                <w:left w:val="none" w:sz="4" w:space="0" w:color="000000"/>
                <w:bottom w:val="none" w:sz="4" w:space="0" w:color="000000"/>
                <w:right w:val="none" w:sz="4" w:space="0" w:color="000000"/>
              </w:pBdr>
              <w:ind w:firstLine="0"/>
              <w:rPr>
                <w:sz w:val="24"/>
                <w:szCs w:val="24"/>
                <w:lang w:val="ro-RO"/>
              </w:rPr>
            </w:pPr>
            <w:r w:rsidRPr="00F57215">
              <w:rPr>
                <w:rFonts w:ascii="Times New Roman" w:hAnsi="Times New Roman"/>
                <w:b/>
                <w:bCs/>
                <w:sz w:val="24"/>
                <w:szCs w:val="24"/>
                <w:lang w:val="ro-RO"/>
              </w:rPr>
              <w:t>Se acceptă.</w:t>
            </w:r>
          </w:p>
        </w:tc>
      </w:tr>
      <w:tr w:rsidR="006D3EB7" w:rsidRPr="00B035BC" w14:paraId="289EF268" w14:textId="77777777" w:rsidTr="00EF2C0C">
        <w:tc>
          <w:tcPr>
            <w:tcW w:w="0" w:type="auto"/>
            <w:gridSpan w:val="4"/>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61F25475" w14:textId="77777777" w:rsidR="008B4BE6" w:rsidRPr="00B035BC"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B035BC">
              <w:rPr>
                <w:rFonts w:ascii="Times New Roman" w:eastAsia="Times New Roman" w:hAnsi="Times New Roman"/>
                <w:sz w:val="24"/>
                <w:szCs w:val="24"/>
                <w:lang w:val="ro-RO"/>
              </w:rPr>
              <w:t>Expertizare</w:t>
            </w:r>
          </w:p>
        </w:tc>
      </w:tr>
      <w:tr w:rsidR="00EF2C0C" w:rsidRPr="00B035BC" w14:paraId="764F9C0F" w14:textId="77777777" w:rsidTr="00EF2C0C">
        <w:tc>
          <w:tcPr>
            <w:tcW w:w="24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65AD1" w14:textId="43280FC0" w:rsidR="00EF2C0C" w:rsidRPr="00B035BC" w:rsidRDefault="00EF2C0C" w:rsidP="00D4109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035BC">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Ministerul Justiției (expertiza juridică nr.</w:t>
            </w:r>
            <w:r w:rsidRPr="00D41097">
              <w:rPr>
                <w:rFonts w:ascii="Times New Roman" w:eastAsia="Times New Roman" w:hAnsi="Times New Roman"/>
                <w:sz w:val="24"/>
                <w:szCs w:val="24"/>
                <w:lang w:val="ro-RO"/>
              </w:rPr>
              <w:t xml:space="preserve"> 04/1-10435</w:t>
            </w:r>
            <w:r>
              <w:rPr>
                <w:rFonts w:ascii="Times New Roman" w:eastAsia="Times New Roman" w:hAnsi="Times New Roman"/>
                <w:sz w:val="24"/>
                <w:szCs w:val="24"/>
                <w:lang w:val="ro-RO"/>
              </w:rPr>
              <w:t xml:space="preserve"> din </w:t>
            </w:r>
            <w:r w:rsidRPr="00D41097">
              <w:rPr>
                <w:rFonts w:ascii="Times New Roman" w:eastAsia="Times New Roman" w:hAnsi="Times New Roman"/>
                <w:sz w:val="24"/>
                <w:szCs w:val="24"/>
                <w:lang w:val="ro-RO"/>
              </w:rPr>
              <w:t>25.11.2024</w:t>
            </w:r>
            <w:r>
              <w:rPr>
                <w:rFonts w:ascii="Times New Roman" w:eastAsia="Times New Roman" w:hAnsi="Times New Roman"/>
                <w:sz w:val="24"/>
                <w:szCs w:val="24"/>
                <w:lang w:val="ro-RO"/>
              </w:rPr>
              <w:t>)</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F85C" w14:textId="0CFC45B8" w:rsidR="00EF2C0C" w:rsidRPr="00B035BC" w:rsidRDefault="00EF2C0C" w:rsidP="00D4109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B035BC">
              <w:rPr>
                <w:rFonts w:ascii="Times New Roman" w:hAnsi="Times New Roman"/>
                <w:sz w:val="24"/>
                <w:szCs w:val="24"/>
                <w:lang w:val="ro-RO"/>
              </w:rPr>
              <w:t xml:space="preserve"> </w:t>
            </w:r>
            <w:r>
              <w:rPr>
                <w:rFonts w:ascii="Times New Roman" w:hAnsi="Times New Roman"/>
                <w:sz w:val="24"/>
                <w:szCs w:val="24"/>
                <w:lang w:val="ro-RO"/>
              </w:rPr>
              <w:t>8.</w:t>
            </w:r>
          </w:p>
        </w:tc>
        <w:tc>
          <w:tcPr>
            <w:tcW w:w="5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2EC1D" w14:textId="72F6CA0E" w:rsidR="00EF2C0C" w:rsidRPr="00B035BC" w:rsidRDefault="00EF2C0C" w:rsidP="00D41097">
            <w:pPr>
              <w:pBdr>
                <w:top w:val="none" w:sz="4" w:space="0" w:color="000000"/>
                <w:left w:val="none" w:sz="4" w:space="0" w:color="000000"/>
                <w:bottom w:val="none" w:sz="4" w:space="0" w:color="000000"/>
                <w:right w:val="none" w:sz="4" w:space="0" w:color="000000"/>
              </w:pBdr>
              <w:tabs>
                <w:tab w:val="left" w:pos="772"/>
              </w:tabs>
              <w:ind w:firstLine="0"/>
              <w:rPr>
                <w:rFonts w:ascii="Times New Roman" w:hAnsi="Times New Roman"/>
                <w:sz w:val="24"/>
                <w:szCs w:val="24"/>
                <w:lang w:val="ro-RO"/>
              </w:rPr>
            </w:pPr>
            <w:r w:rsidRPr="00D41097">
              <w:rPr>
                <w:rFonts w:ascii="Times New Roman" w:hAnsi="Times New Roman"/>
                <w:sz w:val="24"/>
                <w:szCs w:val="24"/>
                <w:lang w:val="ro-RO"/>
              </w:rPr>
              <w:t xml:space="preserve">Atragem atenția că, în clauza de adoptare se va indica doar temeiul juridic concret pentru adoptarea acestui act normativ, referințele la alte norme ale actelor normative care nu constituie temei juridic de adoptare a actului normativ elaborat (nu constituie temei juridic pentru obiectul de reglementare al proiectului), nu se vor indica </w:t>
            </w:r>
            <w:r w:rsidRPr="00D41097">
              <w:rPr>
                <w:rFonts w:ascii="Times New Roman" w:hAnsi="Times New Roman"/>
                <w:sz w:val="24"/>
                <w:szCs w:val="24"/>
                <w:lang w:val="ro-RO"/>
              </w:rPr>
              <w:lastRenderedPageBreak/>
              <w:t xml:space="preserve">în clauza de adoptare. Din aceste considerente, referința la prevederile generale privind atribuția Guvernului de a aproba acte normative ale art. 6 lit. h) din </w:t>
            </w:r>
            <w:r w:rsidRPr="00D41097">
              <w:rPr>
                <w:rFonts w:ascii="Times New Roman" w:hAnsi="Times New Roman"/>
                <w:i/>
                <w:iCs/>
                <w:sz w:val="24"/>
                <w:szCs w:val="24"/>
                <w:lang w:val="ro-RO"/>
              </w:rPr>
              <w:t>Legea nr. 136/2017 cu privire la Guvern</w:t>
            </w:r>
            <w:r w:rsidRPr="00D41097">
              <w:rPr>
                <w:rFonts w:ascii="Times New Roman" w:hAnsi="Times New Roman"/>
                <w:sz w:val="24"/>
                <w:szCs w:val="24"/>
                <w:lang w:val="ro-RO"/>
              </w:rPr>
              <w:t>, se va exclude din clauza de adoptare.</w:t>
            </w:r>
          </w:p>
        </w:tc>
        <w:tc>
          <w:tcPr>
            <w:tcW w:w="4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8F6C5" w14:textId="08E640EF" w:rsidR="00EF2C0C" w:rsidRPr="00AE1AE7" w:rsidRDefault="00AE1AE7" w:rsidP="00D41097">
            <w:pPr>
              <w:pBdr>
                <w:top w:val="none" w:sz="4" w:space="0" w:color="000000"/>
                <w:left w:val="none" w:sz="4" w:space="0" w:color="000000"/>
                <w:bottom w:val="none" w:sz="4" w:space="0" w:color="000000"/>
                <w:right w:val="none" w:sz="4" w:space="0" w:color="000000"/>
              </w:pBdr>
              <w:ind w:firstLine="21"/>
              <w:rPr>
                <w:rFonts w:ascii="Times New Roman" w:hAnsi="Times New Roman"/>
                <w:b/>
                <w:bCs/>
                <w:sz w:val="24"/>
                <w:szCs w:val="24"/>
                <w:lang w:val="ro-RO"/>
              </w:rPr>
            </w:pPr>
            <w:r w:rsidRPr="00AE1AE7">
              <w:rPr>
                <w:rFonts w:ascii="Times New Roman" w:hAnsi="Times New Roman"/>
                <w:b/>
                <w:bCs/>
                <w:sz w:val="24"/>
                <w:szCs w:val="24"/>
                <w:lang w:val="ro-RO"/>
              </w:rPr>
              <w:lastRenderedPageBreak/>
              <w:t>Se acceptă.</w:t>
            </w:r>
          </w:p>
        </w:tc>
      </w:tr>
      <w:tr w:rsidR="00EF2C0C" w:rsidRPr="00B035BC" w14:paraId="2E9EFED5" w14:textId="77777777" w:rsidTr="00EF2C0C">
        <w:tc>
          <w:tcPr>
            <w:tcW w:w="241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6E643" w14:textId="77777777" w:rsidR="00EF2C0C" w:rsidRPr="00B035BC" w:rsidRDefault="00EF2C0C" w:rsidP="00D41097">
            <w:pPr>
              <w:pBdr>
                <w:top w:val="none" w:sz="4" w:space="0" w:color="000000"/>
                <w:left w:val="none" w:sz="4" w:space="0" w:color="000000"/>
                <w:bottom w:val="none" w:sz="4" w:space="0" w:color="000000"/>
                <w:right w:val="none" w:sz="4" w:space="0" w:color="000000"/>
              </w:pBdr>
              <w:ind w:firstLine="0"/>
              <w:rPr>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C7B2C" w14:textId="77777777" w:rsidR="00EF2C0C" w:rsidRPr="00B035BC" w:rsidRDefault="00EF2C0C" w:rsidP="00D41097">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E10DD" w14:textId="2BD68779" w:rsidR="00EF2C0C" w:rsidRPr="00D41097" w:rsidRDefault="00EF2C0C" w:rsidP="00D4109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41097">
              <w:rPr>
                <w:rFonts w:ascii="Times New Roman" w:hAnsi="Times New Roman"/>
                <w:sz w:val="24"/>
                <w:szCs w:val="24"/>
                <w:lang w:val="ro-RO"/>
              </w:rPr>
              <w:t>La pct. 1, în dispoziția introductivă, cuvintele „publicată în” se vor exclude din sursa de publicare a actului normativ suspus modificării.</w:t>
            </w:r>
          </w:p>
        </w:tc>
        <w:tc>
          <w:tcPr>
            <w:tcW w:w="4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9CBDF" w14:textId="3DC24059" w:rsidR="00EF2C0C" w:rsidRPr="00B035BC" w:rsidRDefault="00AE1AE7" w:rsidP="00D41097">
            <w:pPr>
              <w:pBdr>
                <w:top w:val="none" w:sz="4" w:space="0" w:color="000000"/>
                <w:left w:val="none" w:sz="4" w:space="0" w:color="000000"/>
                <w:bottom w:val="none" w:sz="4" w:space="0" w:color="000000"/>
                <w:right w:val="none" w:sz="4" w:space="0" w:color="000000"/>
              </w:pBdr>
              <w:ind w:firstLine="21"/>
              <w:rPr>
                <w:sz w:val="24"/>
                <w:szCs w:val="24"/>
                <w:lang w:val="ro-RO"/>
              </w:rPr>
            </w:pPr>
            <w:r w:rsidRPr="00AE1AE7">
              <w:rPr>
                <w:rFonts w:ascii="Times New Roman" w:hAnsi="Times New Roman"/>
                <w:b/>
                <w:bCs/>
                <w:sz w:val="24"/>
                <w:szCs w:val="24"/>
                <w:lang w:val="ro-RO"/>
              </w:rPr>
              <w:t>Se acceptă.</w:t>
            </w:r>
          </w:p>
        </w:tc>
      </w:tr>
      <w:tr w:rsidR="00EF2C0C" w:rsidRPr="00B035BC" w14:paraId="7ECEE203" w14:textId="77777777" w:rsidTr="00EF2C0C">
        <w:tc>
          <w:tcPr>
            <w:tcW w:w="241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266F" w14:textId="77777777" w:rsidR="00EF2C0C" w:rsidRPr="00B035BC" w:rsidRDefault="00EF2C0C" w:rsidP="00D41097">
            <w:pPr>
              <w:pBdr>
                <w:top w:val="none" w:sz="4" w:space="0" w:color="000000"/>
                <w:left w:val="none" w:sz="4" w:space="0" w:color="000000"/>
                <w:bottom w:val="none" w:sz="4" w:space="0" w:color="000000"/>
                <w:right w:val="none" w:sz="4" w:space="0" w:color="000000"/>
              </w:pBdr>
              <w:ind w:firstLine="0"/>
              <w:rPr>
                <w:sz w:val="24"/>
                <w:szCs w:val="24"/>
                <w:lang w:val="ro-RO"/>
              </w:rPr>
            </w:pPr>
          </w:p>
        </w:tc>
        <w:tc>
          <w:tcPr>
            <w:tcW w:w="0" w:type="auto"/>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239C1" w14:textId="77777777" w:rsidR="00EF2C0C" w:rsidRPr="00B035BC" w:rsidRDefault="00EF2C0C" w:rsidP="00D41097">
            <w:pPr>
              <w:pBdr>
                <w:top w:val="none" w:sz="4" w:space="0" w:color="000000"/>
                <w:left w:val="none" w:sz="4" w:space="0" w:color="000000"/>
                <w:bottom w:val="none" w:sz="4" w:space="0" w:color="000000"/>
                <w:right w:val="none" w:sz="4" w:space="0" w:color="000000"/>
              </w:pBdr>
              <w:ind w:firstLine="0"/>
              <w:rPr>
                <w:sz w:val="24"/>
                <w:szCs w:val="24"/>
                <w:lang w:val="ro-RO"/>
              </w:rPr>
            </w:pPr>
          </w:p>
        </w:tc>
        <w:tc>
          <w:tcPr>
            <w:tcW w:w="5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E7B41" w14:textId="627133A1" w:rsidR="00EF2C0C" w:rsidRPr="00D41097" w:rsidRDefault="00EF2C0C" w:rsidP="00D4109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41097">
              <w:rPr>
                <w:rFonts w:ascii="Times New Roman" w:hAnsi="Times New Roman"/>
                <w:sz w:val="24"/>
                <w:szCs w:val="24"/>
                <w:lang w:val="ro-RO"/>
              </w:rPr>
              <w:t xml:space="preserve">La </w:t>
            </w:r>
            <w:proofErr w:type="spellStart"/>
            <w:r w:rsidRPr="00D41097">
              <w:rPr>
                <w:rFonts w:ascii="Times New Roman" w:hAnsi="Times New Roman"/>
                <w:sz w:val="24"/>
                <w:szCs w:val="24"/>
                <w:lang w:val="ro-RO"/>
              </w:rPr>
              <w:t>subpct</w:t>
            </w:r>
            <w:proofErr w:type="spellEnd"/>
            <w:r w:rsidRPr="00D41097">
              <w:rPr>
                <w:rFonts w:ascii="Times New Roman" w:hAnsi="Times New Roman"/>
                <w:sz w:val="24"/>
                <w:szCs w:val="24"/>
                <w:lang w:val="ro-RO"/>
              </w:rPr>
              <w:t>. 1.1, textul „în Regulament,” se va exclude ca fiind inutil, or, intenția generală de modificare a Regulamentului privind cerințele generale de echipare a vehiculelor cu regim prioritar de circulație și a vehiculelor speciale, a fost expusă în cadrul pct. 1 din proiect.</w:t>
            </w:r>
          </w:p>
        </w:tc>
        <w:tc>
          <w:tcPr>
            <w:tcW w:w="4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B33CC" w14:textId="602B7377" w:rsidR="00EF2C0C" w:rsidRPr="00B035BC" w:rsidRDefault="00AE1AE7" w:rsidP="00D41097">
            <w:pPr>
              <w:pBdr>
                <w:top w:val="none" w:sz="4" w:space="0" w:color="000000"/>
                <w:left w:val="none" w:sz="4" w:space="0" w:color="000000"/>
                <w:bottom w:val="none" w:sz="4" w:space="0" w:color="000000"/>
                <w:right w:val="none" w:sz="4" w:space="0" w:color="000000"/>
              </w:pBdr>
              <w:ind w:firstLine="21"/>
              <w:rPr>
                <w:sz w:val="24"/>
                <w:szCs w:val="24"/>
                <w:lang w:val="ro-RO"/>
              </w:rPr>
            </w:pPr>
            <w:r w:rsidRPr="00AE1AE7">
              <w:rPr>
                <w:rFonts w:ascii="Times New Roman" w:hAnsi="Times New Roman"/>
                <w:b/>
                <w:bCs/>
                <w:sz w:val="24"/>
                <w:szCs w:val="24"/>
                <w:lang w:val="ro-RO"/>
              </w:rPr>
              <w:t>Se acceptă.</w:t>
            </w:r>
          </w:p>
        </w:tc>
      </w:tr>
      <w:tr w:rsidR="00D41097" w:rsidRPr="00B035BC" w14:paraId="268C7794" w14:textId="77777777" w:rsidTr="00D41097">
        <w:tc>
          <w:tcPr>
            <w:tcW w:w="2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06186" w14:textId="5CD5CC66" w:rsidR="00D41097" w:rsidRPr="004109DA" w:rsidRDefault="004109DA" w:rsidP="00D4109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109DA">
              <w:rPr>
                <w:rFonts w:ascii="Times New Roman" w:hAnsi="Times New Roman"/>
                <w:sz w:val="24"/>
                <w:szCs w:val="24"/>
                <w:lang w:val="ro-RO"/>
              </w:rPr>
              <w:t>Centrul Național Anticorupție (expertiza anticorupție nr. 06/2/21490 din 06.12.2024)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A3B2E" w14:textId="1309108E" w:rsidR="00D41097" w:rsidRPr="004109DA" w:rsidRDefault="004109DA" w:rsidP="004109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109DA">
              <w:rPr>
                <w:rFonts w:ascii="Times New Roman" w:hAnsi="Times New Roman"/>
                <w:sz w:val="24"/>
                <w:szCs w:val="24"/>
                <w:lang w:val="ro-RO"/>
              </w:rPr>
              <w:t>9.</w:t>
            </w:r>
          </w:p>
        </w:tc>
        <w:tc>
          <w:tcPr>
            <w:tcW w:w="5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CB2EF" w14:textId="39EC3476" w:rsidR="004109DA" w:rsidRPr="004109DA" w:rsidRDefault="004109DA" w:rsidP="004109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109DA">
              <w:rPr>
                <w:rFonts w:ascii="Times New Roman" w:hAnsi="Times New Roman"/>
                <w:sz w:val="24"/>
                <w:szCs w:val="24"/>
                <w:lang w:val="ro-RO"/>
              </w:rPr>
              <w:t>În cadrul procesului de elaborare au fost respectate prevederile legale cu privire la transparența în</w:t>
            </w:r>
            <w:r>
              <w:rPr>
                <w:rFonts w:ascii="Times New Roman" w:hAnsi="Times New Roman"/>
                <w:sz w:val="24"/>
                <w:szCs w:val="24"/>
                <w:lang w:val="ro-RO"/>
              </w:rPr>
              <w:t xml:space="preserve"> </w:t>
            </w:r>
            <w:r w:rsidRPr="004109DA">
              <w:rPr>
                <w:rFonts w:ascii="Times New Roman" w:hAnsi="Times New Roman"/>
                <w:sz w:val="24"/>
                <w:szCs w:val="24"/>
                <w:lang w:val="ro-RO"/>
              </w:rPr>
              <w:t>procesul decizional și proiectul corespunde normelor de tehnică legislativă.</w:t>
            </w:r>
          </w:p>
          <w:p w14:paraId="43CD23F6" w14:textId="0E87E1D9" w:rsidR="00D41097" w:rsidRPr="004109DA" w:rsidRDefault="004109DA" w:rsidP="004109D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4109DA">
              <w:rPr>
                <w:rFonts w:ascii="Times New Roman" w:hAnsi="Times New Roman"/>
                <w:sz w:val="24"/>
                <w:szCs w:val="24"/>
                <w:lang w:val="ro-RO"/>
              </w:rPr>
              <w:t>Proiectul corespunde interesului public general, deoarece va contribui la diversificarea gamei de</w:t>
            </w:r>
            <w:r>
              <w:rPr>
                <w:rFonts w:ascii="Times New Roman" w:hAnsi="Times New Roman"/>
                <w:sz w:val="24"/>
                <w:szCs w:val="24"/>
                <w:lang w:val="ro-RO"/>
              </w:rPr>
              <w:t xml:space="preserve"> </w:t>
            </w:r>
            <w:r w:rsidRPr="004109DA">
              <w:rPr>
                <w:rFonts w:ascii="Times New Roman" w:hAnsi="Times New Roman"/>
                <w:sz w:val="24"/>
                <w:szCs w:val="24"/>
                <w:lang w:val="ro-RO"/>
              </w:rPr>
              <w:t>culori a autovehiculelor speciale din dotarea autorităților administrative și instituțiilor din subordinea</w:t>
            </w:r>
            <w:r>
              <w:rPr>
                <w:rFonts w:ascii="Times New Roman" w:hAnsi="Times New Roman"/>
                <w:sz w:val="24"/>
                <w:szCs w:val="24"/>
                <w:lang w:val="ro-RO"/>
              </w:rPr>
              <w:t xml:space="preserve"> </w:t>
            </w:r>
            <w:r w:rsidRPr="004109DA">
              <w:rPr>
                <w:rFonts w:ascii="Times New Roman" w:hAnsi="Times New Roman"/>
                <w:sz w:val="24"/>
                <w:szCs w:val="24"/>
                <w:lang w:val="ro-RO"/>
              </w:rPr>
              <w:t>ministerului, care va facilita îndeplinirea atribuțiilor funcționale ale acestora.</w:t>
            </w:r>
          </w:p>
        </w:tc>
        <w:tc>
          <w:tcPr>
            <w:tcW w:w="4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5C73" w14:textId="7E27852D" w:rsidR="00D41097" w:rsidRPr="004109DA" w:rsidRDefault="004109DA" w:rsidP="00D41097">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4109DA">
              <w:rPr>
                <w:rFonts w:ascii="Times New Roman" w:hAnsi="Times New Roman"/>
                <w:b/>
                <w:bCs/>
                <w:sz w:val="24"/>
                <w:szCs w:val="24"/>
                <w:lang w:val="ro-RO"/>
              </w:rPr>
              <w:t>S-a luat act.</w:t>
            </w:r>
          </w:p>
        </w:tc>
      </w:tr>
    </w:tbl>
    <w:p w14:paraId="24D8FE0E" w14:textId="62DC9B6F" w:rsidR="00582470" w:rsidRDefault="00582470" w:rsidP="00F57215">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116BA2E5" w14:textId="77777777" w:rsidR="00F57215" w:rsidRDefault="00F57215" w:rsidP="00F57215">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6B860157" w14:textId="77777777" w:rsidR="00AD624D" w:rsidRDefault="00AD624D" w:rsidP="00F57215">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rPr>
          <w:sz w:val="24"/>
          <w:szCs w:val="24"/>
          <w:lang w:val="ro-RO"/>
        </w:rPr>
      </w:pPr>
    </w:p>
    <w:p w14:paraId="04874785" w14:textId="6951D387" w:rsidR="00F57215" w:rsidRPr="00AD624D" w:rsidRDefault="00F050EF" w:rsidP="00F57215">
      <w:pPr>
        <w:tabs>
          <w:tab w:val="left" w:pos="6699"/>
        </w:tabs>
        <w:ind w:right="189" w:firstLine="0"/>
        <w:rPr>
          <w:rFonts w:eastAsia="Calibri" w:cs="Arial"/>
          <w:b/>
          <w:bCs/>
          <w:sz w:val="28"/>
          <w:szCs w:val="28"/>
          <w:lang w:val="ro-RO"/>
        </w:rPr>
      </w:pPr>
      <w:r w:rsidRPr="00AD624D">
        <w:rPr>
          <w:rFonts w:eastAsia="Calibri" w:cs="Arial"/>
          <w:b/>
          <w:bCs/>
          <w:sz w:val="28"/>
          <w:szCs w:val="28"/>
          <w:lang w:val="ro-RO"/>
        </w:rPr>
        <w:t>Ministră                                                                                                                                         Daniella MISAIL-NICHITIN</w:t>
      </w:r>
    </w:p>
    <w:sectPr w:rsidR="00F57215" w:rsidRPr="00AD624D" w:rsidSect="00F57215">
      <w:headerReference w:type="default" r:id="rId11"/>
      <w:headerReference w:type="first" r:id="rId12"/>
      <w:pgSz w:w="16840" w:h="11907" w:orient="landscape"/>
      <w:pgMar w:top="709"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1C581" w14:textId="77777777" w:rsidR="00C10670" w:rsidRDefault="00C10670">
      <w:r>
        <w:separator/>
      </w:r>
    </w:p>
  </w:endnote>
  <w:endnote w:type="continuationSeparator" w:id="0">
    <w:p w14:paraId="219E037A" w14:textId="77777777" w:rsidR="00C10670" w:rsidRDefault="00C1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35064" w14:textId="77777777" w:rsidR="00C10670" w:rsidRDefault="00C10670">
      <w:r>
        <w:separator/>
      </w:r>
    </w:p>
  </w:footnote>
  <w:footnote w:type="continuationSeparator" w:id="0">
    <w:p w14:paraId="722FAE00" w14:textId="77777777" w:rsidR="00C10670" w:rsidRDefault="00C10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77777777" w:rsidR="00D07A16" w:rsidRPr="00F37ED4" w:rsidRDefault="00D07A16" w:rsidP="009D4C0F">
    <w:pPr>
      <w:pStyle w:val="af6"/>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A7EA6"/>
    <w:multiLevelType w:val="hybridMultilevel"/>
    <w:tmpl w:val="DC4AAB3C"/>
    <w:lvl w:ilvl="0" w:tplc="C3506A5E">
      <w:start w:val="22"/>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81C15"/>
    <w:multiLevelType w:val="hybridMultilevel"/>
    <w:tmpl w:val="D910BEE6"/>
    <w:lvl w:ilvl="0" w:tplc="14766FEC">
      <w:start w:val="1"/>
      <w:numFmt w:val="decimal"/>
      <w:lvlText w:val="%1)"/>
      <w:lvlJc w:val="left"/>
      <w:pPr>
        <w:ind w:left="927" w:hanging="360"/>
      </w:pPr>
      <w:rPr>
        <w:rFonts w:ascii="Times New Roman" w:eastAsia="Times New Roman" w:hAnsi="Times New Roman" w:cs="Times New Roman"/>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C1537D6"/>
    <w:multiLevelType w:val="hybridMultilevel"/>
    <w:tmpl w:val="FBCEAE6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2"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34174317">
    <w:abstractNumId w:val="34"/>
  </w:num>
  <w:num w:numId="2" w16cid:durableId="1732539799">
    <w:abstractNumId w:val="36"/>
  </w:num>
  <w:num w:numId="3" w16cid:durableId="1513033290">
    <w:abstractNumId w:val="16"/>
  </w:num>
  <w:num w:numId="4" w16cid:durableId="1345133189">
    <w:abstractNumId w:val="29"/>
  </w:num>
  <w:num w:numId="5" w16cid:durableId="569273637">
    <w:abstractNumId w:val="18"/>
  </w:num>
  <w:num w:numId="6" w16cid:durableId="667826974">
    <w:abstractNumId w:val="12"/>
  </w:num>
  <w:num w:numId="7" w16cid:durableId="121772672">
    <w:abstractNumId w:val="6"/>
  </w:num>
  <w:num w:numId="8" w16cid:durableId="1796944669">
    <w:abstractNumId w:val="7"/>
  </w:num>
  <w:num w:numId="9" w16cid:durableId="1130976463">
    <w:abstractNumId w:val="26"/>
  </w:num>
  <w:num w:numId="10" w16cid:durableId="1520776320">
    <w:abstractNumId w:val="4"/>
  </w:num>
  <w:num w:numId="11" w16cid:durableId="1941142213">
    <w:abstractNumId w:val="25"/>
  </w:num>
  <w:num w:numId="12" w16cid:durableId="1110247989">
    <w:abstractNumId w:val="3"/>
  </w:num>
  <w:num w:numId="13" w16cid:durableId="1000541525">
    <w:abstractNumId w:val="38"/>
  </w:num>
  <w:num w:numId="14" w16cid:durableId="1453475340">
    <w:abstractNumId w:val="19"/>
  </w:num>
  <w:num w:numId="15" w16cid:durableId="178083763">
    <w:abstractNumId w:val="20"/>
  </w:num>
  <w:num w:numId="16" w16cid:durableId="1971861296">
    <w:abstractNumId w:val="33"/>
  </w:num>
  <w:num w:numId="17" w16cid:durableId="1718163806">
    <w:abstractNumId w:val="30"/>
  </w:num>
  <w:num w:numId="18" w16cid:durableId="108279463">
    <w:abstractNumId w:val="24"/>
  </w:num>
  <w:num w:numId="19" w16cid:durableId="1436708972">
    <w:abstractNumId w:val="21"/>
  </w:num>
  <w:num w:numId="20" w16cid:durableId="934636014">
    <w:abstractNumId w:val="9"/>
  </w:num>
  <w:num w:numId="21" w16cid:durableId="1469587083">
    <w:abstractNumId w:val="32"/>
  </w:num>
  <w:num w:numId="22" w16cid:durableId="291062431">
    <w:abstractNumId w:val="5"/>
  </w:num>
  <w:num w:numId="23" w16cid:durableId="845902382">
    <w:abstractNumId w:val="14"/>
  </w:num>
  <w:num w:numId="24" w16cid:durableId="1458376249">
    <w:abstractNumId w:val="11"/>
  </w:num>
  <w:num w:numId="25" w16cid:durableId="1569146970">
    <w:abstractNumId w:val="22"/>
  </w:num>
  <w:num w:numId="26" w16cid:durableId="2087921197">
    <w:abstractNumId w:val="35"/>
  </w:num>
  <w:num w:numId="27" w16cid:durableId="262111176">
    <w:abstractNumId w:val="27"/>
  </w:num>
  <w:num w:numId="28" w16cid:durableId="373386549">
    <w:abstractNumId w:val="41"/>
    <w:lvlOverride w:ilvl="0">
      <w:startOverride w:val="1"/>
    </w:lvlOverride>
  </w:num>
  <w:num w:numId="29" w16cid:durableId="1361469376">
    <w:abstractNumId w:val="23"/>
  </w:num>
  <w:num w:numId="30" w16cid:durableId="2013020055">
    <w:abstractNumId w:val="8"/>
  </w:num>
  <w:num w:numId="31" w16cid:durableId="680860804">
    <w:abstractNumId w:val="39"/>
  </w:num>
  <w:num w:numId="32" w16cid:durableId="2007904481">
    <w:abstractNumId w:val="41"/>
  </w:num>
  <w:num w:numId="33" w16cid:durableId="1354840367">
    <w:abstractNumId w:val="13"/>
  </w:num>
  <w:num w:numId="34" w16cid:durableId="12726488">
    <w:abstractNumId w:val="43"/>
  </w:num>
  <w:num w:numId="35" w16cid:durableId="933245092">
    <w:abstractNumId w:val="42"/>
  </w:num>
  <w:num w:numId="36" w16cid:durableId="1799494202">
    <w:abstractNumId w:val="1"/>
  </w:num>
  <w:num w:numId="37" w16cid:durableId="1650287813">
    <w:abstractNumId w:val="10"/>
  </w:num>
  <w:num w:numId="38" w16cid:durableId="447555402">
    <w:abstractNumId w:val="31"/>
  </w:num>
  <w:num w:numId="39" w16cid:durableId="83310918">
    <w:abstractNumId w:val="17"/>
  </w:num>
  <w:num w:numId="40" w16cid:durableId="287862591">
    <w:abstractNumId w:val="37"/>
  </w:num>
  <w:num w:numId="41" w16cid:durableId="933706732">
    <w:abstractNumId w:val="28"/>
  </w:num>
  <w:num w:numId="42" w16cid:durableId="1765689170">
    <w:abstractNumId w:val="2"/>
  </w:num>
  <w:num w:numId="43" w16cid:durableId="1528564346">
    <w:abstractNumId w:val="44"/>
  </w:num>
  <w:num w:numId="44" w16cid:durableId="1220824519">
    <w:abstractNumId w:val="40"/>
  </w:num>
  <w:num w:numId="45" w16cid:durableId="1631982570">
    <w:abstractNumId w:val="0"/>
  </w:num>
  <w:num w:numId="46" w16cid:durableId="15847971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62254"/>
    <w:rsid w:val="000713DA"/>
    <w:rsid w:val="00071EAA"/>
    <w:rsid w:val="0007236F"/>
    <w:rsid w:val="00075A5F"/>
    <w:rsid w:val="00081267"/>
    <w:rsid w:val="00084092"/>
    <w:rsid w:val="00085029"/>
    <w:rsid w:val="000A6BA5"/>
    <w:rsid w:val="000B3D87"/>
    <w:rsid w:val="000B50EE"/>
    <w:rsid w:val="000C041B"/>
    <w:rsid w:val="000C2AB4"/>
    <w:rsid w:val="000D5C74"/>
    <w:rsid w:val="000E1D40"/>
    <w:rsid w:val="000E2800"/>
    <w:rsid w:val="000F1B85"/>
    <w:rsid w:val="000F497A"/>
    <w:rsid w:val="00102AD8"/>
    <w:rsid w:val="00113956"/>
    <w:rsid w:val="00116035"/>
    <w:rsid w:val="001211EA"/>
    <w:rsid w:val="001357EA"/>
    <w:rsid w:val="00143389"/>
    <w:rsid w:val="00143CC4"/>
    <w:rsid w:val="0015146D"/>
    <w:rsid w:val="00157D40"/>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1F4AC3"/>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C7A76"/>
    <w:rsid w:val="002D0FCE"/>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3E87"/>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C693B"/>
    <w:rsid w:val="003D5E8B"/>
    <w:rsid w:val="003E3748"/>
    <w:rsid w:val="003E4DA7"/>
    <w:rsid w:val="003F0CD8"/>
    <w:rsid w:val="00405019"/>
    <w:rsid w:val="00406BA9"/>
    <w:rsid w:val="004109DA"/>
    <w:rsid w:val="00410C9A"/>
    <w:rsid w:val="004126EC"/>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A66C9"/>
    <w:rsid w:val="004B1283"/>
    <w:rsid w:val="004C6034"/>
    <w:rsid w:val="004D3941"/>
    <w:rsid w:val="004E2421"/>
    <w:rsid w:val="004E3222"/>
    <w:rsid w:val="004E6489"/>
    <w:rsid w:val="004E6662"/>
    <w:rsid w:val="004F568A"/>
    <w:rsid w:val="005020EC"/>
    <w:rsid w:val="00516555"/>
    <w:rsid w:val="005256CF"/>
    <w:rsid w:val="00542C43"/>
    <w:rsid w:val="00551299"/>
    <w:rsid w:val="00555DF5"/>
    <w:rsid w:val="00572006"/>
    <w:rsid w:val="00573A21"/>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07ED1"/>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570E0"/>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0718"/>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7B86"/>
    <w:rsid w:val="009F14BF"/>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D624D"/>
    <w:rsid w:val="00AE1AE7"/>
    <w:rsid w:val="00AE1C50"/>
    <w:rsid w:val="00AE1F78"/>
    <w:rsid w:val="00AF23AF"/>
    <w:rsid w:val="00AF4E3A"/>
    <w:rsid w:val="00AF6A53"/>
    <w:rsid w:val="00B00257"/>
    <w:rsid w:val="00B035BC"/>
    <w:rsid w:val="00B039D7"/>
    <w:rsid w:val="00B07F61"/>
    <w:rsid w:val="00B11EFC"/>
    <w:rsid w:val="00B15210"/>
    <w:rsid w:val="00B1623B"/>
    <w:rsid w:val="00B24403"/>
    <w:rsid w:val="00B25206"/>
    <w:rsid w:val="00B32239"/>
    <w:rsid w:val="00B42DDB"/>
    <w:rsid w:val="00B472D0"/>
    <w:rsid w:val="00B6145A"/>
    <w:rsid w:val="00B61570"/>
    <w:rsid w:val="00B6585E"/>
    <w:rsid w:val="00B67E77"/>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0670"/>
    <w:rsid w:val="00C119D6"/>
    <w:rsid w:val="00C141D0"/>
    <w:rsid w:val="00C20F98"/>
    <w:rsid w:val="00C21F77"/>
    <w:rsid w:val="00C249C9"/>
    <w:rsid w:val="00C27BEF"/>
    <w:rsid w:val="00C32A74"/>
    <w:rsid w:val="00C33BEA"/>
    <w:rsid w:val="00C369CF"/>
    <w:rsid w:val="00C424F1"/>
    <w:rsid w:val="00C4424F"/>
    <w:rsid w:val="00C445CC"/>
    <w:rsid w:val="00C4599F"/>
    <w:rsid w:val="00C45F82"/>
    <w:rsid w:val="00C475F7"/>
    <w:rsid w:val="00C53E01"/>
    <w:rsid w:val="00C81CDA"/>
    <w:rsid w:val="00C83148"/>
    <w:rsid w:val="00C846A9"/>
    <w:rsid w:val="00C87B56"/>
    <w:rsid w:val="00C97610"/>
    <w:rsid w:val="00CA2822"/>
    <w:rsid w:val="00CA67CC"/>
    <w:rsid w:val="00CB128D"/>
    <w:rsid w:val="00CB6841"/>
    <w:rsid w:val="00CC4B46"/>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2376F"/>
    <w:rsid w:val="00D3779C"/>
    <w:rsid w:val="00D37DCA"/>
    <w:rsid w:val="00D41097"/>
    <w:rsid w:val="00D54373"/>
    <w:rsid w:val="00D62225"/>
    <w:rsid w:val="00D65D20"/>
    <w:rsid w:val="00D745DA"/>
    <w:rsid w:val="00D77DA5"/>
    <w:rsid w:val="00D84420"/>
    <w:rsid w:val="00D85438"/>
    <w:rsid w:val="00D86E44"/>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A8F"/>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01EA"/>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EF2C0C"/>
    <w:rsid w:val="00EF6A86"/>
    <w:rsid w:val="00F050EF"/>
    <w:rsid w:val="00F06892"/>
    <w:rsid w:val="00F1668A"/>
    <w:rsid w:val="00F208D4"/>
    <w:rsid w:val="00F269DE"/>
    <w:rsid w:val="00F26A4B"/>
    <w:rsid w:val="00F31636"/>
    <w:rsid w:val="00F376E3"/>
    <w:rsid w:val="00F37ED4"/>
    <w:rsid w:val="00F40A46"/>
    <w:rsid w:val="00F41D12"/>
    <w:rsid w:val="00F45235"/>
    <w:rsid w:val="00F50B3C"/>
    <w:rsid w:val="00F5592A"/>
    <w:rsid w:val="00F57215"/>
    <w:rsid w:val="00F57E9D"/>
    <w:rsid w:val="00F64E62"/>
    <w:rsid w:val="00F66E1A"/>
    <w:rsid w:val="00F71EBB"/>
    <w:rsid w:val="00F728DA"/>
    <w:rsid w:val="00F8554D"/>
    <w:rsid w:val="00FB483A"/>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styleId="aff6">
    <w:name w:val="Unresolved Mention"/>
    <w:basedOn w:val="a0"/>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1023</Words>
  <Characters>5936</Characters>
  <Application>Microsoft Office Word</Application>
  <DocSecurity>0</DocSecurity>
  <Lines>49</Lines>
  <Paragraphs>13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Railean</cp:lastModifiedBy>
  <cp:revision>22</cp:revision>
  <cp:lastPrinted>2024-03-11T11:21:00Z</cp:lastPrinted>
  <dcterms:created xsi:type="dcterms:W3CDTF">2024-03-25T08:15:00Z</dcterms:created>
  <dcterms:modified xsi:type="dcterms:W3CDTF">2024-12-09T06:05:00Z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