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56" w:rsidRDefault="00D07856" w:rsidP="00D07856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07856" w:rsidRPr="007A23D3" w:rsidRDefault="00D07856" w:rsidP="00D07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23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</w:t>
      </w:r>
      <w:r w:rsidR="00351584">
        <w:rPr>
          <w:rFonts w:ascii="Times New Roman" w:hAnsi="Times New Roman" w:cs="Times New Roman"/>
          <w:b/>
          <w:sz w:val="24"/>
          <w:szCs w:val="24"/>
          <w:lang w:val="ro-RO"/>
        </w:rPr>
        <w:t>DE FUNDAMENTARE</w:t>
      </w:r>
    </w:p>
    <w:p w:rsidR="00D07856" w:rsidRPr="007A23D3" w:rsidRDefault="00D07856" w:rsidP="00D07856">
      <w:pPr>
        <w:spacing w:after="0"/>
        <w:ind w:left="1134" w:right="84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23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="00F851B0" w:rsidRPr="007A23D3">
        <w:rPr>
          <w:rFonts w:ascii="Times New Roman" w:hAnsi="Times New Roman" w:cs="Times New Roman"/>
          <w:b/>
          <w:sz w:val="24"/>
          <w:szCs w:val="24"/>
          <w:lang w:val="ro-RO"/>
        </w:rPr>
        <w:t>Hotărârii</w:t>
      </w:r>
      <w:r w:rsidRPr="007A23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</w:t>
      </w:r>
    </w:p>
    <w:p w:rsidR="004627F5" w:rsidRPr="004627F5" w:rsidRDefault="004627F5" w:rsidP="004627F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pentru</w:t>
      </w:r>
      <w:r>
        <w:rPr>
          <w:b/>
          <w:bCs/>
          <w:sz w:val="28"/>
          <w:szCs w:val="28"/>
          <w:lang w:val="en-US"/>
        </w:rPr>
        <w:t xml:space="preserve"> </w:t>
      </w:r>
      <w:r w:rsidRPr="004627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modificarea </w:t>
      </w:r>
      <w:r w:rsidRPr="004627F5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Hotărârii Guvernului nr. 370/2006 cu privire la organizarea </w:t>
      </w:r>
    </w:p>
    <w:p w:rsidR="004627F5" w:rsidRPr="004627F5" w:rsidRDefault="004627F5" w:rsidP="004627F5">
      <w:pPr>
        <w:spacing w:after="0" w:line="240" w:lineRule="auto"/>
        <w:ind w:right="-2"/>
        <w:jc w:val="center"/>
        <w:rPr>
          <w:b/>
          <w:bCs/>
          <w:sz w:val="28"/>
          <w:szCs w:val="28"/>
          <w:lang w:val="en-US"/>
        </w:rPr>
      </w:pPr>
      <w:r w:rsidRPr="004627F5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Concursului republican „Pedagogul anului” </w:t>
      </w:r>
    </w:p>
    <w:p w:rsidR="00F24093" w:rsidRPr="007A23D3" w:rsidRDefault="00F24093" w:rsidP="002C025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07856" w:rsidRPr="008510EB" w:rsidTr="00141987">
        <w:trPr>
          <w:trHeight w:val="397"/>
        </w:trPr>
        <w:tc>
          <w:tcPr>
            <w:tcW w:w="9810" w:type="dxa"/>
            <w:shd w:val="clear" w:color="auto" w:fill="D9D9D9" w:themeFill="background1" w:themeFillShade="D9"/>
          </w:tcPr>
          <w:p w:rsidR="00D07856" w:rsidRPr="007A23D3" w:rsidRDefault="00D07856" w:rsidP="008510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2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 </w:t>
            </w:r>
            <w:r w:rsidR="008510EB" w:rsidRPr="007C0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Denumirea sau numele autorului și, după caz, a/al participanților la elaborarea proiectului actului normativ</w:t>
            </w:r>
          </w:p>
        </w:tc>
      </w:tr>
      <w:tr w:rsidR="00D07856" w:rsidRPr="008510EB" w:rsidTr="00141987">
        <w:tc>
          <w:tcPr>
            <w:tcW w:w="9810" w:type="dxa"/>
          </w:tcPr>
          <w:p w:rsidR="00D07856" w:rsidRPr="004627F5" w:rsidRDefault="007A23D3" w:rsidP="004627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</w:t>
            </w:r>
            <w:r w:rsidRPr="007A23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h</w:t>
            </w:r>
            <w:r w:rsidR="00F851B0"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otărârii</w:t>
            </w:r>
            <w:r w:rsidR="00D07856"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Guvernului </w:t>
            </w:r>
            <w:r w:rsidR="004627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pentru</w:t>
            </w:r>
            <w:r w:rsidR="00F851B0" w:rsidRPr="007A23D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4627F5" w:rsidRPr="004627F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="004627F5" w:rsidRPr="004627F5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Hotărârii Guvernului nr. 370/2006 cu privire la organizarea Concursului republican „Pedagogul anului”</w:t>
            </w:r>
            <w:r w:rsidR="003C4EE2" w:rsidRPr="007A23D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D07856"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este elaborat de Ministerul Educației și Cercetării.</w:t>
            </w:r>
          </w:p>
        </w:tc>
      </w:tr>
      <w:tr w:rsidR="00D07856" w:rsidRPr="008510EB" w:rsidTr="00141987">
        <w:tc>
          <w:tcPr>
            <w:tcW w:w="9810" w:type="dxa"/>
            <w:shd w:val="clear" w:color="auto" w:fill="D9D9D9" w:themeFill="background1" w:themeFillShade="D9"/>
          </w:tcPr>
          <w:p w:rsidR="00D07856" w:rsidRPr="007A23D3" w:rsidRDefault="00D07856" w:rsidP="008510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23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2. Condițiile ce au impus elaborarea proiectului de act normativ </w:t>
            </w:r>
          </w:p>
        </w:tc>
      </w:tr>
      <w:tr w:rsidR="008510EB" w:rsidRPr="008510EB" w:rsidTr="008510EB">
        <w:tc>
          <w:tcPr>
            <w:tcW w:w="9810" w:type="dxa"/>
            <w:shd w:val="clear" w:color="auto" w:fill="DEEAF6" w:themeFill="accent1" w:themeFillTint="33"/>
          </w:tcPr>
          <w:p w:rsidR="008510EB" w:rsidRPr="00773E0D" w:rsidRDefault="008510EB" w:rsidP="008510EB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2.1. </w:t>
            </w:r>
            <w:r w:rsidRPr="00773E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Temeiul legal sau, după caz, sursa proiectului actului normativ</w:t>
            </w:r>
          </w:p>
        </w:tc>
      </w:tr>
      <w:tr w:rsidR="00D07856" w:rsidRPr="008510EB" w:rsidTr="00141987">
        <w:tc>
          <w:tcPr>
            <w:tcW w:w="9810" w:type="dxa"/>
          </w:tcPr>
          <w:p w:rsidR="008510EB" w:rsidRDefault="007A23D3" w:rsidP="0068082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A23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510EB"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Proiectul reprezintă una dintre prioritățile Ministerului, care se înscrie în procesul de promovare a imaginii și statutului cadrului didactic, precum și a </w:t>
            </w:r>
            <w:r w:rsidR="008510EB" w:rsidRPr="0035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recunoașterii excelenței în educație și a transformării meseriei de pedagog</w:t>
            </w:r>
            <w:r w:rsidR="008510EB"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:rsidR="00D07856" w:rsidRPr="00773E0D" w:rsidRDefault="00730A9F" w:rsidP="00773E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</w:t>
            </w:r>
            <w:r w:rsidR="000A6FFC" w:rsidRPr="00351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3C4EE2" w:rsidRPr="00351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roiectul hotărârii Guvernului </w:t>
            </w:r>
            <w:r w:rsidR="0068082B" w:rsidRPr="003515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pentru</w:t>
            </w:r>
            <w:r w:rsidR="0068082B" w:rsidRPr="00336E6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68082B" w:rsidRPr="00336E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="0068082B" w:rsidRPr="00336E61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Hotărârii Guvernului nr. 370/2006 cu privire la organizarea Concursului republican „Pedagogul anului”</w:t>
            </w:r>
            <w:r w:rsidR="0068082B" w:rsidRPr="00336E6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="00BE03C8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A6FFC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elaborat în temeiul  </w:t>
            </w:r>
            <w:r w:rsidR="00D52F45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obiectivului 3 din </w:t>
            </w:r>
            <w:r w:rsidR="00D52F45" w:rsidRPr="00336E61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ro-RO" w:eastAsia="en-US"/>
              </w:rPr>
              <w:t>Strategia</w:t>
            </w:r>
            <w:r w:rsidR="000A6FFC" w:rsidRPr="00336E61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ro-RO" w:eastAsia="en-US"/>
              </w:rPr>
              <w:t xml:space="preserve"> de dezvoltare „Educația 2030”</w:t>
            </w:r>
            <w:r w:rsidR="000A6FFC" w:rsidRPr="00336E6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0A6FFC" w:rsidRPr="00336E61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ro-RO" w:eastAsia="en-US"/>
              </w:rPr>
              <w:t xml:space="preserve">și a Programului de implementare a acesteia pentru anii 2023-2025 </w:t>
            </w:r>
            <w:r w:rsidR="0068082B" w:rsidRPr="00336E61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ro-RO" w:eastAsia="en-US"/>
              </w:rPr>
              <w:t>(</w:t>
            </w:r>
            <w:r w:rsidR="0068082B" w:rsidRPr="00336E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Obiectivul specific 3.11.</w:t>
            </w:r>
            <w:r w:rsidR="0068082B" w:rsidRPr="00336E61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ro-RO" w:eastAsia="en-US"/>
              </w:rPr>
              <w:t xml:space="preserve">) </w:t>
            </w:r>
            <w:r w:rsidR="000A6FFC" w:rsidRPr="00336E6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o-RO" w:eastAsia="en-US"/>
              </w:rPr>
              <w:t xml:space="preserve">care prevede </w:t>
            </w:r>
            <w:r w:rsidR="000A6FFC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sistemului educațional de toate nivelurile și form</w:t>
            </w:r>
            <w:r w:rsidR="00D52F45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0A6FFC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</w:t>
            </w:r>
            <w:r w:rsidR="00D52F45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ățământ cu personal didactic</w:t>
            </w:r>
            <w:r w:rsidR="000A6FFC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</w:t>
            </w:r>
            <w:r w:rsidR="00D52F45" w:rsidRPr="00336E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ficat, competent și competitiv, precum și </w:t>
            </w:r>
            <w:r w:rsidR="00D52F45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a </w:t>
            </w:r>
            <w:r w:rsidR="00D52F45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obiectivelor strategice ale </w:t>
            </w:r>
            <w:r w:rsidR="001001C3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="00D52F45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inisterului </w:t>
            </w:r>
            <w:r w:rsidR="001001C3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Educației și Cercetării </w:t>
            </w:r>
            <w:r w:rsidR="00D52F45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cu referire la  </w:t>
            </w:r>
            <w:r w:rsidR="0068082B" w:rsidRPr="0033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dezvoltarea și implementarea unui sistem eficient de management al performanței în cariera</w:t>
            </w:r>
            <w:r w:rsidR="0068082B" w:rsidRPr="0068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didactică din perspectiva promovării inovațiilor, a excelenței în predare, a meritocrației (Program 88).</w:t>
            </w:r>
          </w:p>
        </w:tc>
      </w:tr>
      <w:tr w:rsidR="008510EB" w:rsidRPr="008510EB" w:rsidTr="008510EB">
        <w:trPr>
          <w:trHeight w:val="636"/>
        </w:trPr>
        <w:tc>
          <w:tcPr>
            <w:tcW w:w="9810" w:type="dxa"/>
            <w:shd w:val="clear" w:color="auto" w:fill="DEEAF6" w:themeFill="accent1" w:themeFillTint="33"/>
          </w:tcPr>
          <w:p w:rsidR="008510EB" w:rsidRPr="008510EB" w:rsidRDefault="008510EB" w:rsidP="008510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i/>
                <w:iCs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510E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Descrierea situației actuale și a problemelor care impun intervenția, inclusiv a cadrului normativ aplicabil și a deficiențelor/lacunelor normative</w:t>
            </w:r>
          </w:p>
        </w:tc>
      </w:tr>
      <w:tr w:rsidR="008510EB" w:rsidRPr="008510EB" w:rsidTr="008510EB">
        <w:trPr>
          <w:trHeight w:val="636"/>
        </w:trPr>
        <w:tc>
          <w:tcPr>
            <w:tcW w:w="9810" w:type="dxa"/>
            <w:shd w:val="clear" w:color="auto" w:fill="FFFFFF" w:themeFill="background1"/>
          </w:tcPr>
          <w:p w:rsidR="008510EB" w:rsidRPr="008510EB" w:rsidRDefault="00730A9F" w:rsidP="008510E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8510E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8510EB" w:rsidRPr="0068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Nivelul de competență, motivația și prestația cadrelor didactice, care influențează direct performanța sistemului educațional, respectiv, formarea profesională de calitate, motivarea, dezvoltarea continuă a performanțelor cadrelor didactice reprezintă strategia-cheie pentru promovarea  educației de calitate. </w:t>
            </w:r>
            <w:r w:rsidR="008510EB" w:rsidRPr="00462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  <w:t xml:space="preserve">          </w:t>
            </w:r>
            <w:r w:rsidR="008510EB" w:rsidRPr="004627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o-RO"/>
              </w:rPr>
              <w:t xml:space="preserve">        </w:t>
            </w:r>
          </w:p>
          <w:p w:rsidR="008510EB" w:rsidRPr="00CA402A" w:rsidRDefault="00730A9F" w:rsidP="008510E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  </w:t>
            </w:r>
            <w:r w:rsidR="008510EB" w:rsidRPr="00CA40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Prezentul proiect este elaborat </w:t>
            </w:r>
            <w:r w:rsidR="008510EB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soluționarea unor deficiențe</w:t>
            </w:r>
            <w:r w:rsidR="008510EB" w:rsidRPr="00542C3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42C32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rezultă din petițiile</w:t>
            </w:r>
            <w:r w:rsidR="00542C32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542C32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42C32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postările media, a </w:t>
            </w:r>
            <w:r w:rsidR="00542C32" w:rsidRPr="00542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cetățenilor</w:t>
            </w:r>
            <w:r w:rsidR="00542C3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precum și în scopul </w:t>
            </w:r>
            <w:r w:rsidR="008510E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evitării situațiilor privind integritatea și onestitatea candidaților la concurs, a </w:t>
            </w:r>
            <w:r w:rsidR="008510EB" w:rsidRPr="00CA40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responsabilizării și prevenirii celor mai mici suspiciuni cu privire la probitatea profesională a candidaților pentru menținerea prestigiului Concursului republican „Pedagogul anului”.</w:t>
            </w:r>
          </w:p>
          <w:p w:rsidR="008510EB" w:rsidRPr="00CA402A" w:rsidRDefault="008510EB" w:rsidP="008510E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A40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Astfel, </w:t>
            </w:r>
            <w:r w:rsidRPr="00CA4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înaintat spre aprobare prevede/reglementează </w:t>
            </w:r>
            <w:r w:rsidRPr="00CA4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completarea dosarului de concurs cu </w:t>
            </w:r>
            <w:r w:rsidRPr="00CA40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declarația pe propria răspundere privind lipsa sancțiunilor disciplinare a candidatului, precum și </w:t>
            </w:r>
            <w:r w:rsidRPr="00CA402A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asigurarea respectării uniformității terminologiei</w:t>
            </w:r>
            <w:r w:rsidRPr="00CA4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CA40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concordanță cu prevederile Codului Educației și ale Planului-cadru pentru învățământul primar, gimnazial și liceal, aprobat anual de Ministerul Educației și Cercetării.</w:t>
            </w:r>
          </w:p>
          <w:p w:rsidR="008510EB" w:rsidRPr="008510EB" w:rsidRDefault="00730A9F" w:rsidP="008510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bCs/>
                <w:lang w:val="ro-RO"/>
              </w:rPr>
              <w:t xml:space="preserve">        </w:t>
            </w:r>
            <w:r w:rsidR="008510EB" w:rsidRPr="008510E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Totodată, modificarea Hotărârii Guvernului nr. 370/2006 cu privire la organizarea Concursului republican „Pedagogul anului” urmărește sporirea prestigiului profesiei de pedagog, stimularea performanțelor pedagogice, precum și dezvoltarea profesională a cadrelor didactice.</w:t>
            </w:r>
          </w:p>
        </w:tc>
        <w:bookmarkStart w:id="0" w:name="_GoBack"/>
        <w:bookmarkEnd w:id="0"/>
      </w:tr>
      <w:tr w:rsidR="00542C32" w:rsidRPr="008510EB" w:rsidTr="00141987">
        <w:tc>
          <w:tcPr>
            <w:tcW w:w="9810" w:type="dxa"/>
            <w:shd w:val="clear" w:color="auto" w:fill="D9D9D9" w:themeFill="background1" w:themeFillShade="D9"/>
          </w:tcPr>
          <w:p w:rsidR="00542C32" w:rsidRDefault="00542C32" w:rsidP="003418D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C0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3. Obiectivele urmărite și soluțiile propuse</w:t>
            </w:r>
          </w:p>
          <w:p w:rsidR="00730A9F" w:rsidRPr="007A23D3" w:rsidRDefault="00730A9F" w:rsidP="003418D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42C32" w:rsidRPr="008510EB" w:rsidTr="00542C32">
        <w:tc>
          <w:tcPr>
            <w:tcW w:w="9810" w:type="dxa"/>
            <w:shd w:val="clear" w:color="auto" w:fill="BDD6EE" w:themeFill="accent1" w:themeFillTint="66"/>
          </w:tcPr>
          <w:p w:rsidR="00542C32" w:rsidRPr="00542C32" w:rsidRDefault="00542C32" w:rsidP="00542C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3.1. </w:t>
            </w:r>
            <w:r w:rsidRPr="00542C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Principalele prevederi ale proiectului și evidențierea elementelor noi</w:t>
            </w:r>
          </w:p>
        </w:tc>
      </w:tr>
      <w:tr w:rsidR="00D07856" w:rsidRPr="008510EB" w:rsidTr="00141987">
        <w:trPr>
          <w:trHeight w:val="701"/>
        </w:trPr>
        <w:tc>
          <w:tcPr>
            <w:tcW w:w="9810" w:type="dxa"/>
          </w:tcPr>
          <w:p w:rsidR="00306ECA" w:rsidRPr="00351584" w:rsidRDefault="003418D5" w:rsidP="003418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       </w:t>
            </w:r>
            <w:r w:rsidR="004C721D"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Prezentul proiect de hotărâre propune următoarele </w:t>
            </w:r>
            <w:r w:rsidR="00043719"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reglementări</w:t>
            </w:r>
            <w:r w:rsidR="004C721D"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noi:</w:t>
            </w:r>
          </w:p>
          <w:p w:rsidR="00351584" w:rsidRPr="00351584" w:rsidRDefault="00043719" w:rsidP="00351584">
            <w:pPr>
              <w:pStyle w:val="a9"/>
              <w:numPr>
                <w:ilvl w:val="0"/>
                <w:numId w:val="7"/>
              </w:numPr>
              <w:tabs>
                <w:tab w:val="left" w:pos="360"/>
              </w:tabs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 w:eastAsia="ro-RO"/>
              </w:rPr>
            </w:pPr>
            <w:r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completarea conținutului dosarului de concurs al candidatului cu  declarația pe propria răspundere privind lipsa sancțiunilor disciplinare a acestuia;</w:t>
            </w:r>
          </w:p>
          <w:p w:rsidR="00C731B8" w:rsidRPr="00351584" w:rsidRDefault="00351584" w:rsidP="00351584">
            <w:pPr>
              <w:pStyle w:val="a9"/>
              <w:numPr>
                <w:ilvl w:val="0"/>
                <w:numId w:val="7"/>
              </w:numPr>
              <w:tabs>
                <w:tab w:val="left" w:pos="360"/>
              </w:tabs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 w:eastAsia="ro-RO"/>
              </w:rPr>
            </w:pPr>
            <w:r w:rsidRPr="003515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respectării uniformității terminologiei</w:t>
            </w:r>
            <w:r w:rsidRPr="003515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35158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concordanță cu prevederile art. 56 din Codul Educației și ale Planului-cadru pentru învățământul primar, gimnazial și liceal, aprobat anual de Ministerul Educației și Cercetării.</w:t>
            </w:r>
            <w:r w:rsidR="00D20255" w:rsidRPr="003515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</w:tc>
      </w:tr>
      <w:tr w:rsidR="00542C32" w:rsidRPr="008510EB" w:rsidTr="00542C32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542C32" w:rsidRPr="00542C32" w:rsidRDefault="00542C32" w:rsidP="00542C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3.2.</w:t>
            </w:r>
            <w:r w:rsidRPr="00542C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542C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Opțiunile alternative analizate și motivele pentru care acestea nu au fost luate în considerare</w:t>
            </w:r>
          </w:p>
        </w:tc>
      </w:tr>
      <w:tr w:rsidR="00542C32" w:rsidRPr="008510EB" w:rsidTr="00542C32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542C32" w:rsidRPr="00542C32" w:rsidRDefault="00730A9F" w:rsidP="00542C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="00542C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Alte </w:t>
            </w:r>
            <w:r w:rsidR="00542C32" w:rsidRPr="007C051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al</w:t>
            </w:r>
            <w:r w:rsidR="00542C3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ternative nu au fost examinate.</w:t>
            </w:r>
          </w:p>
        </w:tc>
      </w:tr>
      <w:tr w:rsidR="00542C32" w:rsidRPr="008510EB" w:rsidTr="00542C32">
        <w:trPr>
          <w:trHeight w:val="324"/>
        </w:trPr>
        <w:tc>
          <w:tcPr>
            <w:tcW w:w="9810" w:type="dxa"/>
            <w:shd w:val="clear" w:color="auto" w:fill="D0CECE" w:themeFill="background2" w:themeFillShade="E6"/>
          </w:tcPr>
          <w:p w:rsidR="00542C32" w:rsidRPr="00773E0D" w:rsidRDefault="00773E0D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Analiza impactului de reglementare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773E0D" w:rsidRPr="00773E0D" w:rsidRDefault="00773E0D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73E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Impactul asupra sectorului public</w:t>
            </w:r>
          </w:p>
        </w:tc>
      </w:tr>
      <w:tr w:rsidR="00773E0D" w:rsidRPr="008510EB" w:rsidTr="00773E0D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773E0D" w:rsidRPr="00730A9F" w:rsidRDefault="00730A9F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</w:t>
            </w:r>
            <w:r w:rsidR="00773E0D" w:rsidRPr="00730A9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Proiectul </w:t>
            </w:r>
            <w:r w:rsidR="002C025F" w:rsidRPr="00730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hotărârii Guvernului </w:t>
            </w:r>
            <w:r w:rsidR="002C025F" w:rsidRPr="00730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pentru</w:t>
            </w:r>
            <w:r w:rsidR="002C025F" w:rsidRPr="00730A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2C025F" w:rsidRPr="00730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="002C025F" w:rsidRPr="00730A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Hotărârii Guvernului nr. 370/2006 cu privire la organizarea Concursului republican „Pedagogul anului”</w:t>
            </w:r>
            <w:r w:rsidR="002C025F" w:rsidRPr="00730A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773E0D"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 avea un impact pozitiv asupra instituțiilor </w:t>
            </w:r>
            <w:r w:rsidR="002C025F"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publice</w:t>
            </w:r>
            <w:r w:rsidR="002C025F"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73E0D"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învățământ</w:t>
            </w:r>
            <w:r w:rsidR="002C025F"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general.</w:t>
            </w:r>
          </w:p>
          <w:p w:rsidR="00773E0D" w:rsidRPr="00730A9F" w:rsidRDefault="002C025F" w:rsidP="00730A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Atât </w:t>
            </w:r>
            <w:r w:rsidR="00773E0D" w:rsidRP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termen scurt, 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cât și pe termen </w:t>
            </w:r>
            <w:r w:rsidR="00773E0D" w:rsidRP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 și lung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proiectul își 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propune să prezinte modele de 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cadre didactice</w:t>
            </w:r>
            <w:r w:rsid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,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să le pună 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excelența/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metodele în valoare.</w:t>
            </w:r>
            <w:r w:rsid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Sectorul public are 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nevoie de oameni care să ne inspire, care să devină multiplicatori de 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performanță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</w:t>
            </w:r>
            <w:proofErr w:type="spellStart"/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şi</w:t>
            </w:r>
            <w:proofErr w:type="spellEnd"/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calitate “la firul ierbii” 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și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 xml:space="preserve"> care să ne conducă spre schimbări pozitive la nivelul întregului sistem 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educațional</w:t>
            </w:r>
            <w:r w:rsidR="00730A9F" w:rsidRPr="00730A9F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ro-RO"/>
              </w:rPr>
              <w:t>.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773E0D" w:rsidRPr="00773E0D" w:rsidRDefault="00773E0D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73E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773E0D" w:rsidRPr="008510EB" w:rsidTr="00773E0D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773E0D" w:rsidRPr="00773E0D" w:rsidRDefault="00730A9F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 </w:t>
            </w:r>
            <w:r w:rsidR="00773E0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Cheltuielile financiare ce țin de organizarea și desfășurarea etapei republicane a concursului „Pedagogul anului”, precum și premierea învingătorilor  la etapa republicană, sunt acoperite din contul și în limita bugetului alocat anual Ministerului Educației și Cercetării în acest sens.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773E0D" w:rsidRPr="00773E0D" w:rsidRDefault="00773E0D" w:rsidP="00773E0D">
            <w:pP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773E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773E0D" w:rsidRPr="00730A9F" w:rsidRDefault="00730A9F" w:rsidP="00730A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Pr="00730A9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Proiectul </w:t>
            </w:r>
            <w:r w:rsidRPr="00730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hotărârii Guvernului </w:t>
            </w:r>
            <w:r w:rsidRPr="00730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pentru</w:t>
            </w:r>
            <w:r w:rsidRPr="00730A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730A9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Hotărârii Guvernului nr. 370/2006 cu privire la organizarea Concursului republican „Pedagogul anului”</w:t>
            </w:r>
            <w:r w:rsidRPr="00730A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 avea un impact pozitiv asupra instituțiilor p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rivate</w:t>
            </w:r>
            <w:r w:rsidRPr="00730A9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învățământ general.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A17220" w:rsidRPr="00A17220" w:rsidRDefault="00A17220" w:rsidP="00A1722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A17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4.4. Impactul social</w:t>
            </w:r>
          </w:p>
          <w:p w:rsidR="00A17220" w:rsidRPr="007C0512" w:rsidRDefault="00A17220" w:rsidP="00A172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C051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4.4.1. Impactul asupra datelor cu caracter personal</w:t>
            </w:r>
          </w:p>
          <w:p w:rsidR="00773E0D" w:rsidRPr="00773E0D" w:rsidRDefault="00A17220" w:rsidP="00A172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051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A17220" w:rsidRPr="008510EB" w:rsidTr="00730A9F">
        <w:trPr>
          <w:trHeight w:val="354"/>
        </w:trPr>
        <w:tc>
          <w:tcPr>
            <w:tcW w:w="9810" w:type="dxa"/>
            <w:shd w:val="clear" w:color="auto" w:fill="FFFFFF" w:themeFill="background1"/>
          </w:tcPr>
          <w:p w:rsidR="00A17220" w:rsidRPr="00A17220" w:rsidRDefault="00730A9F" w:rsidP="00730A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</w:t>
            </w:r>
            <w:r w:rsidR="00A17220" w:rsidRPr="00A1722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773E0D" w:rsidRPr="00A17220" w:rsidRDefault="00A17220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17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A17220" w:rsidRPr="008510EB" w:rsidTr="00A17220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A17220" w:rsidRPr="00A17220" w:rsidRDefault="00730A9F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</w:t>
            </w:r>
            <w:r w:rsidR="00A17220" w:rsidRPr="00A1722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773E0D" w:rsidRPr="008510EB" w:rsidTr="00A17220">
        <w:trPr>
          <w:trHeight w:val="324"/>
        </w:trPr>
        <w:tc>
          <w:tcPr>
            <w:tcW w:w="9810" w:type="dxa"/>
            <w:shd w:val="clear" w:color="auto" w:fill="BDD6EE" w:themeFill="accent1" w:themeFillTint="66"/>
          </w:tcPr>
          <w:p w:rsidR="00773E0D" w:rsidRPr="00A17220" w:rsidRDefault="00A17220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17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A17220" w:rsidRPr="008510EB" w:rsidTr="00A17220">
        <w:trPr>
          <w:trHeight w:val="324"/>
        </w:trPr>
        <w:tc>
          <w:tcPr>
            <w:tcW w:w="9810" w:type="dxa"/>
            <w:shd w:val="clear" w:color="auto" w:fill="FFFFFF" w:themeFill="background1"/>
          </w:tcPr>
          <w:p w:rsidR="00A17220" w:rsidRPr="00A17220" w:rsidRDefault="00730A9F" w:rsidP="00773E0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</w:t>
            </w:r>
            <w:r w:rsidR="00A17220" w:rsidRPr="00A1722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</w:t>
            </w:r>
          </w:p>
        </w:tc>
      </w:tr>
      <w:tr w:rsidR="00D07856" w:rsidRPr="00773E0D" w:rsidTr="00141987">
        <w:tc>
          <w:tcPr>
            <w:tcW w:w="9810" w:type="dxa"/>
            <w:shd w:val="clear" w:color="auto" w:fill="D9D9D9" w:themeFill="background1" w:themeFillShade="D9"/>
          </w:tcPr>
          <w:p w:rsidR="006F2900" w:rsidRPr="007A23D3" w:rsidRDefault="00A17220" w:rsidP="003418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0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5. Compatibilitatea proiectului actului normativ cu legislația UE</w:t>
            </w:r>
          </w:p>
        </w:tc>
      </w:tr>
      <w:tr w:rsidR="00A17220" w:rsidRPr="00773E0D" w:rsidTr="00A17220">
        <w:tc>
          <w:tcPr>
            <w:tcW w:w="9810" w:type="dxa"/>
            <w:shd w:val="clear" w:color="auto" w:fill="BDD6EE" w:themeFill="accent1" w:themeFillTint="66"/>
          </w:tcPr>
          <w:p w:rsidR="00A17220" w:rsidRPr="00A17220" w:rsidRDefault="00A17220" w:rsidP="00A172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A17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D07856" w:rsidRPr="008510EB" w:rsidTr="00141987">
        <w:tc>
          <w:tcPr>
            <w:tcW w:w="9810" w:type="dxa"/>
            <w:shd w:val="clear" w:color="auto" w:fill="FFFFFF" w:themeFill="background1"/>
          </w:tcPr>
          <w:p w:rsidR="00170E0B" w:rsidRPr="00B34F70" w:rsidRDefault="00730A9F" w:rsidP="00B34F70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A17220" w:rsidRPr="00A17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 și nu necesită descrierea gradului de compatibilitate</w:t>
            </w:r>
            <w:r w:rsidR="00A17220" w:rsidRPr="00A17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  <w:r w:rsidR="00A1722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A17220" w:rsidRPr="007C051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Proiectul nu transpune acte juridice ale UE</w:t>
            </w:r>
            <w:r w:rsidR="00A1722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A17220" w:rsidRPr="008510EB" w:rsidTr="00A17220">
        <w:tc>
          <w:tcPr>
            <w:tcW w:w="9810" w:type="dxa"/>
            <w:shd w:val="clear" w:color="auto" w:fill="BDD6EE" w:themeFill="accent1" w:themeFillTint="66"/>
          </w:tcPr>
          <w:p w:rsidR="00A17220" w:rsidRPr="00A17220" w:rsidRDefault="00A17220" w:rsidP="00A172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ro-RO"/>
              </w:rPr>
            </w:pPr>
            <w:r w:rsidRPr="00A17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A17220" w:rsidRPr="008510EB" w:rsidTr="00141987">
        <w:tc>
          <w:tcPr>
            <w:tcW w:w="9810" w:type="dxa"/>
            <w:shd w:val="clear" w:color="auto" w:fill="FFFFFF" w:themeFill="background1"/>
          </w:tcPr>
          <w:p w:rsidR="00730A9F" w:rsidRPr="00730A9F" w:rsidRDefault="00730A9F" w:rsidP="00730A9F">
            <w:pPr>
              <w:spacing w:after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A17220" w:rsidRPr="007C051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7942E7" w:rsidRPr="008510EB" w:rsidTr="00141987">
        <w:tc>
          <w:tcPr>
            <w:tcW w:w="9810" w:type="dxa"/>
            <w:shd w:val="clear" w:color="auto" w:fill="D9D9D9" w:themeFill="background1" w:themeFillShade="D9"/>
          </w:tcPr>
          <w:p w:rsidR="007942E7" w:rsidRPr="007C0512" w:rsidRDefault="007942E7" w:rsidP="00794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C0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7942E7" w:rsidRPr="007942E7" w:rsidTr="007942E7">
        <w:tc>
          <w:tcPr>
            <w:tcW w:w="9810" w:type="dxa"/>
            <w:shd w:val="clear" w:color="auto" w:fill="FFFFFF" w:themeFill="background1"/>
          </w:tcPr>
          <w:p w:rsidR="007942E7" w:rsidRDefault="007942E7" w:rsidP="007942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794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respectării prevederilor Legii nr. 239/2008 privind transparența în procesul decizional, anunțul cu referire la inițierea elaborării proiectului Hotărârii Guvernului </w:t>
            </w:r>
            <w:r w:rsidRPr="00794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pentru</w:t>
            </w:r>
            <w:r w:rsidRPr="007942E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r w:rsidRPr="007942E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modificarea </w:t>
            </w:r>
            <w:r w:rsidRPr="007942E7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Hotărârii Guvernului nr. 370/2006 cu privire la organizarea Concursului republican „Pedagogul anului”</w:t>
            </w:r>
            <w:r w:rsidRPr="00794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fost plasat pe</w:t>
            </w:r>
            <w:r w:rsidRPr="007942E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pagina web a Ministerului Educației și Cercetării, la secțiunea Transparența </w:t>
            </w:r>
            <w:r w:rsidRPr="007942E7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lastRenderedPageBreak/>
              <w:t>decizională, pe</w:t>
            </w:r>
            <w:r w:rsidRPr="00794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pagina web Particip.gov.md,  </w:t>
            </w:r>
            <w:r w:rsidRPr="007942E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o-RO"/>
              </w:rPr>
              <w:t xml:space="preserve">accesibil la următorul link:       </w:t>
            </w:r>
            <w:hyperlink r:id="rId5" w:tgtFrame="_blank" w:history="1">
              <w:r w:rsidRPr="007942E7">
                <w:rPr>
                  <w:rStyle w:val="a4"/>
                  <w:rFonts w:ascii="Times New Roman" w:hAnsi="Times New Roman" w:cs="Times New Roman"/>
                  <w:color w:val="006400"/>
                  <w:sz w:val="24"/>
                  <w:szCs w:val="24"/>
                  <w:shd w:val="clear" w:color="auto" w:fill="FFFFFF"/>
                  <w:lang w:val="ro-RO"/>
                </w:rPr>
                <w:t>https://particip.gov.md/ro/document/stages/*/13617</w:t>
              </w:r>
            </w:hyperlink>
            <w:r w:rsidRPr="007942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  <w:p w:rsidR="00730A9F" w:rsidRPr="007942E7" w:rsidRDefault="00730A9F" w:rsidP="007942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942E7" w:rsidRPr="007942E7" w:rsidTr="007942E7">
        <w:tc>
          <w:tcPr>
            <w:tcW w:w="9810" w:type="dxa"/>
            <w:shd w:val="clear" w:color="auto" w:fill="D0CECE" w:themeFill="background2" w:themeFillShade="E6"/>
          </w:tcPr>
          <w:p w:rsidR="007942E7" w:rsidRPr="007C0512" w:rsidRDefault="007942E7" w:rsidP="00794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C0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7. Concluziile expertizelor</w:t>
            </w:r>
          </w:p>
        </w:tc>
      </w:tr>
      <w:tr w:rsidR="007942E7" w:rsidRPr="007942E7" w:rsidTr="007942E7">
        <w:tc>
          <w:tcPr>
            <w:tcW w:w="9810" w:type="dxa"/>
            <w:shd w:val="clear" w:color="auto" w:fill="FFFFFF" w:themeFill="background1"/>
          </w:tcPr>
          <w:p w:rsidR="007942E7" w:rsidRDefault="007942E7" w:rsidP="007942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</w:t>
            </w:r>
            <w:r w:rsidRPr="00B34F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de Guvern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urmează a fi</w:t>
            </w:r>
            <w:r w:rsidRPr="00B34F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anticorupție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</w:t>
            </w:r>
            <w:r w:rsidRPr="00FB485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Centrul Național Anticorupție</w:t>
            </w:r>
            <w:r w:rsidRPr="00B34F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942E7" w:rsidRPr="00FB485E" w:rsidRDefault="007942E7" w:rsidP="007942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Pr="007A23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hotărârii de Guvern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urmează a fi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juridice </w:t>
            </w:r>
            <w:r w:rsidRPr="00FB485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de către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Ministerul Justiției.</w:t>
            </w:r>
          </w:p>
        </w:tc>
      </w:tr>
      <w:tr w:rsidR="007942E7" w:rsidRPr="008510EB" w:rsidTr="00141987">
        <w:tc>
          <w:tcPr>
            <w:tcW w:w="9810" w:type="dxa"/>
            <w:shd w:val="clear" w:color="auto" w:fill="D9D9D9" w:themeFill="background1" w:themeFillShade="D9"/>
          </w:tcPr>
          <w:p w:rsidR="007942E7" w:rsidRPr="007A23D3" w:rsidRDefault="007942E7" w:rsidP="007942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7A2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Modul de încorporare a actului în cadrul normativ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</w:tr>
      <w:tr w:rsidR="007942E7" w:rsidRPr="008510EB" w:rsidTr="00141987">
        <w:trPr>
          <w:trHeight w:val="659"/>
        </w:trPr>
        <w:tc>
          <w:tcPr>
            <w:tcW w:w="9810" w:type="dxa"/>
            <w:shd w:val="clear" w:color="auto" w:fill="FFFFFF" w:themeFill="background1"/>
          </w:tcPr>
          <w:p w:rsidR="007942E7" w:rsidRPr="007A23D3" w:rsidRDefault="007942E7" w:rsidP="007942E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    </w:t>
            </w:r>
            <w:r w:rsidRPr="007A23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se încorporează în sistemul actelor normative și nu va necesita modificarea altor acte legislative sau normative.</w:t>
            </w:r>
          </w:p>
        </w:tc>
      </w:tr>
      <w:tr w:rsidR="007942E7" w:rsidRPr="008510EB" w:rsidTr="00141987">
        <w:tc>
          <w:tcPr>
            <w:tcW w:w="9810" w:type="dxa"/>
            <w:shd w:val="clear" w:color="auto" w:fill="D9D9D9" w:themeFill="background1" w:themeFillShade="D9"/>
          </w:tcPr>
          <w:p w:rsidR="007942E7" w:rsidRPr="007A23D3" w:rsidRDefault="007942E7" w:rsidP="007942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23D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9. </w:t>
            </w:r>
            <w:r w:rsidR="002C025F" w:rsidRPr="00060F4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Măsurile necesare pentru implementarea prevederilor proiectului actului normativ</w:t>
            </w:r>
          </w:p>
        </w:tc>
      </w:tr>
      <w:tr w:rsidR="007942E7" w:rsidRPr="008510EB" w:rsidTr="00141987">
        <w:tc>
          <w:tcPr>
            <w:tcW w:w="9810" w:type="dxa"/>
          </w:tcPr>
          <w:p w:rsidR="007942E7" w:rsidRPr="007A23D3" w:rsidRDefault="007942E7" w:rsidP="002C02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2C025F" w:rsidRPr="008045B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Se propune implementarea </w:t>
            </w:r>
            <w:r w:rsidR="002C025F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proiectului</w:t>
            </w:r>
            <w:r w:rsidR="002C025F" w:rsidRPr="008045B2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odată cu aprobarea acestuia și publicarea în Monitorul Oficial.</w:t>
            </w:r>
          </w:p>
        </w:tc>
      </w:tr>
    </w:tbl>
    <w:p w:rsidR="00F24093" w:rsidRDefault="00F24093" w:rsidP="003418D5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1" w:name="_Hlk25140639"/>
      <w:bookmarkStart w:id="2" w:name="_Hlk58310282"/>
      <w:bookmarkStart w:id="3" w:name="_Hlk92784058"/>
    </w:p>
    <w:p w:rsidR="003704DB" w:rsidRDefault="003704DB" w:rsidP="003704D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07856" w:rsidRPr="004D2B50" w:rsidRDefault="00D35C09" w:rsidP="003704DB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Ministru</w:t>
      </w:r>
      <w:r w:rsidR="00D07856" w:rsidRPr="004D2B5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D07856" w:rsidRPr="004D2B5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D07856" w:rsidRPr="004D2B5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Dan PERCIUN</w:t>
      </w:r>
      <w:bookmarkEnd w:id="1"/>
    </w:p>
    <w:bookmarkEnd w:id="2"/>
    <w:bookmarkEnd w:id="3"/>
    <w:p w:rsidR="008A50A6" w:rsidRDefault="008A50A6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8A50A6" w:rsidRDefault="008A50A6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B34F70" w:rsidRDefault="00B34F70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2B287E" w:rsidRDefault="002B287E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30A9F" w:rsidRDefault="00730A9F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2B287E" w:rsidRDefault="002B287E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D07856" w:rsidRDefault="008A50A6" w:rsidP="008A50A6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Ex.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Ceban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Eudochia</w:t>
      </w:r>
    </w:p>
    <w:p w:rsidR="00D07856" w:rsidRDefault="008A50A6" w:rsidP="00236779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e-mail: eudochia.ceban@mec.gov.md</w:t>
      </w:r>
    </w:p>
    <w:p w:rsidR="00062F0D" w:rsidRPr="00D07856" w:rsidRDefault="00062F0D">
      <w:pPr>
        <w:rPr>
          <w:lang w:val="ro-RO"/>
        </w:rPr>
      </w:pPr>
    </w:p>
    <w:sectPr w:rsidR="00062F0D" w:rsidRPr="00D07856" w:rsidSect="00730A9F">
      <w:pgSz w:w="11906" w:h="16838" w:code="9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318"/>
    <w:multiLevelType w:val="hybridMultilevel"/>
    <w:tmpl w:val="04BAD378"/>
    <w:lvl w:ilvl="0" w:tplc="56E4ED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D7300"/>
    <w:multiLevelType w:val="hybridMultilevel"/>
    <w:tmpl w:val="B1F20F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6A3A"/>
    <w:multiLevelType w:val="hybridMultilevel"/>
    <w:tmpl w:val="5778E9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E3971"/>
    <w:multiLevelType w:val="hybridMultilevel"/>
    <w:tmpl w:val="5AACE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E4939"/>
    <w:multiLevelType w:val="hybridMultilevel"/>
    <w:tmpl w:val="9E2A244E"/>
    <w:lvl w:ilvl="0" w:tplc="1610CA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76922"/>
    <w:multiLevelType w:val="hybridMultilevel"/>
    <w:tmpl w:val="AD3A30E2"/>
    <w:lvl w:ilvl="0" w:tplc="549674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15E54"/>
    <w:multiLevelType w:val="hybridMultilevel"/>
    <w:tmpl w:val="5778E9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1CE3"/>
    <w:multiLevelType w:val="hybridMultilevel"/>
    <w:tmpl w:val="BCC44E7E"/>
    <w:lvl w:ilvl="0" w:tplc="AE5EDA9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74C9"/>
    <w:multiLevelType w:val="hybridMultilevel"/>
    <w:tmpl w:val="0636A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277BD"/>
    <w:multiLevelType w:val="hybridMultilevel"/>
    <w:tmpl w:val="24125114"/>
    <w:lvl w:ilvl="0" w:tplc="7F44EA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016C3A"/>
    <w:multiLevelType w:val="hybridMultilevel"/>
    <w:tmpl w:val="04BAD1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9733F"/>
    <w:multiLevelType w:val="hybridMultilevel"/>
    <w:tmpl w:val="B094A226"/>
    <w:lvl w:ilvl="0" w:tplc="830C030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1917F6D"/>
    <w:multiLevelType w:val="hybridMultilevel"/>
    <w:tmpl w:val="65FA8C4E"/>
    <w:lvl w:ilvl="0" w:tplc="8168D5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2B64CF6"/>
    <w:multiLevelType w:val="hybridMultilevel"/>
    <w:tmpl w:val="578C22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5784A"/>
    <w:multiLevelType w:val="hybridMultilevel"/>
    <w:tmpl w:val="2A60FE52"/>
    <w:lvl w:ilvl="0" w:tplc="423ECA3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/>
        <w:color w:val="000000"/>
        <w:sz w:val="28"/>
        <w:szCs w:val="28"/>
        <w:lang w:val="ro-M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432DD"/>
    <w:multiLevelType w:val="hybridMultilevel"/>
    <w:tmpl w:val="FD9E2D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8632E"/>
    <w:multiLevelType w:val="hybridMultilevel"/>
    <w:tmpl w:val="E370FCE6"/>
    <w:lvl w:ilvl="0" w:tplc="CE007F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82664C"/>
    <w:multiLevelType w:val="hybridMultilevel"/>
    <w:tmpl w:val="81262C1E"/>
    <w:lvl w:ilvl="0" w:tplc="12E41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B03AFE"/>
    <w:multiLevelType w:val="hybridMultilevel"/>
    <w:tmpl w:val="B91A955C"/>
    <w:lvl w:ilvl="0" w:tplc="71064E8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87588"/>
    <w:multiLevelType w:val="hybridMultilevel"/>
    <w:tmpl w:val="01962E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128C4"/>
    <w:multiLevelType w:val="hybridMultilevel"/>
    <w:tmpl w:val="ECFE676E"/>
    <w:lvl w:ilvl="0" w:tplc="004EF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47096"/>
    <w:multiLevelType w:val="hybridMultilevel"/>
    <w:tmpl w:val="7A429A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85DC3"/>
    <w:multiLevelType w:val="hybridMultilevel"/>
    <w:tmpl w:val="82324BAA"/>
    <w:lvl w:ilvl="0" w:tplc="4DCABD9E">
      <w:start w:val="1"/>
      <w:numFmt w:val="decimal"/>
      <w:lvlText w:val="%1."/>
      <w:lvlJc w:val="left"/>
      <w:pPr>
        <w:ind w:left="1495" w:hanging="360"/>
      </w:pPr>
      <w:rPr>
        <w:rFonts w:ascii="Times New Roman" w:eastAsia="Calibri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92851"/>
    <w:multiLevelType w:val="hybridMultilevel"/>
    <w:tmpl w:val="098A50E4"/>
    <w:lvl w:ilvl="0" w:tplc="62360D8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18"/>
  </w:num>
  <w:num w:numId="9">
    <w:abstractNumId w:val="17"/>
  </w:num>
  <w:num w:numId="10">
    <w:abstractNumId w:val="23"/>
  </w:num>
  <w:num w:numId="11">
    <w:abstractNumId w:val="14"/>
  </w:num>
  <w:num w:numId="12">
    <w:abstractNumId w:val="22"/>
  </w:num>
  <w:num w:numId="13">
    <w:abstractNumId w:val="16"/>
  </w:num>
  <w:num w:numId="14">
    <w:abstractNumId w:val="9"/>
  </w:num>
  <w:num w:numId="15">
    <w:abstractNumId w:val="12"/>
  </w:num>
  <w:num w:numId="16">
    <w:abstractNumId w:val="21"/>
  </w:num>
  <w:num w:numId="17">
    <w:abstractNumId w:val="19"/>
  </w:num>
  <w:num w:numId="18">
    <w:abstractNumId w:val="15"/>
  </w:num>
  <w:num w:numId="19">
    <w:abstractNumId w:val="6"/>
  </w:num>
  <w:num w:numId="20">
    <w:abstractNumId w:val="13"/>
  </w:num>
  <w:num w:numId="21">
    <w:abstractNumId w:val="2"/>
  </w:num>
  <w:num w:numId="22">
    <w:abstractNumId w:val="0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56"/>
    <w:rsid w:val="000155E1"/>
    <w:rsid w:val="0003298B"/>
    <w:rsid w:val="00035647"/>
    <w:rsid w:val="00043719"/>
    <w:rsid w:val="000514AB"/>
    <w:rsid w:val="00052167"/>
    <w:rsid w:val="00062F0D"/>
    <w:rsid w:val="00073F70"/>
    <w:rsid w:val="00081C81"/>
    <w:rsid w:val="00091A67"/>
    <w:rsid w:val="00093B7D"/>
    <w:rsid w:val="000972BC"/>
    <w:rsid w:val="000A6FFC"/>
    <w:rsid w:val="000C52EF"/>
    <w:rsid w:val="000E45F3"/>
    <w:rsid w:val="000F06E0"/>
    <w:rsid w:val="001001C3"/>
    <w:rsid w:val="00120115"/>
    <w:rsid w:val="00120F9F"/>
    <w:rsid w:val="00126C36"/>
    <w:rsid w:val="0013615E"/>
    <w:rsid w:val="00141987"/>
    <w:rsid w:val="001558F6"/>
    <w:rsid w:val="00166BCF"/>
    <w:rsid w:val="00170E0B"/>
    <w:rsid w:val="00181576"/>
    <w:rsid w:val="00186054"/>
    <w:rsid w:val="00193F57"/>
    <w:rsid w:val="001A6E05"/>
    <w:rsid w:val="001C76F4"/>
    <w:rsid w:val="001D615E"/>
    <w:rsid w:val="001D76A9"/>
    <w:rsid w:val="001F0E5E"/>
    <w:rsid w:val="001F39A4"/>
    <w:rsid w:val="00207AB0"/>
    <w:rsid w:val="00214629"/>
    <w:rsid w:val="002179E3"/>
    <w:rsid w:val="002331D6"/>
    <w:rsid w:val="002363CA"/>
    <w:rsid w:val="00236779"/>
    <w:rsid w:val="002864B7"/>
    <w:rsid w:val="002A0AC1"/>
    <w:rsid w:val="002A0B9B"/>
    <w:rsid w:val="002B287E"/>
    <w:rsid w:val="002C025F"/>
    <w:rsid w:val="00306ECA"/>
    <w:rsid w:val="00323964"/>
    <w:rsid w:val="003239D6"/>
    <w:rsid w:val="00335DB5"/>
    <w:rsid w:val="00336E61"/>
    <w:rsid w:val="003418D5"/>
    <w:rsid w:val="00343B6D"/>
    <w:rsid w:val="00344372"/>
    <w:rsid w:val="00351584"/>
    <w:rsid w:val="003704DB"/>
    <w:rsid w:val="00380823"/>
    <w:rsid w:val="003A48C7"/>
    <w:rsid w:val="003C074E"/>
    <w:rsid w:val="003C4EE2"/>
    <w:rsid w:val="003D0E6D"/>
    <w:rsid w:val="00402717"/>
    <w:rsid w:val="00433752"/>
    <w:rsid w:val="004627F5"/>
    <w:rsid w:val="00484393"/>
    <w:rsid w:val="00487338"/>
    <w:rsid w:val="004B2F02"/>
    <w:rsid w:val="004B3DC9"/>
    <w:rsid w:val="004B775B"/>
    <w:rsid w:val="004C2771"/>
    <w:rsid w:val="004C6E57"/>
    <w:rsid w:val="004C721D"/>
    <w:rsid w:val="005304D5"/>
    <w:rsid w:val="00542286"/>
    <w:rsid w:val="00542C32"/>
    <w:rsid w:val="00565B88"/>
    <w:rsid w:val="005672A2"/>
    <w:rsid w:val="00575D4D"/>
    <w:rsid w:val="00576A78"/>
    <w:rsid w:val="005A2528"/>
    <w:rsid w:val="005B3D00"/>
    <w:rsid w:val="005D62E0"/>
    <w:rsid w:val="005E294E"/>
    <w:rsid w:val="00600EE9"/>
    <w:rsid w:val="0062159D"/>
    <w:rsid w:val="00622963"/>
    <w:rsid w:val="00656DB4"/>
    <w:rsid w:val="0068082B"/>
    <w:rsid w:val="00686D63"/>
    <w:rsid w:val="006A2BCE"/>
    <w:rsid w:val="006B25CD"/>
    <w:rsid w:val="006C48C5"/>
    <w:rsid w:val="006D0910"/>
    <w:rsid w:val="006D23FD"/>
    <w:rsid w:val="006D74E3"/>
    <w:rsid w:val="006D7E5F"/>
    <w:rsid w:val="006E4C25"/>
    <w:rsid w:val="006F2900"/>
    <w:rsid w:val="006F32A6"/>
    <w:rsid w:val="006F3D5E"/>
    <w:rsid w:val="00707997"/>
    <w:rsid w:val="00714855"/>
    <w:rsid w:val="00730A9F"/>
    <w:rsid w:val="00773E0D"/>
    <w:rsid w:val="00783945"/>
    <w:rsid w:val="007942E7"/>
    <w:rsid w:val="00795B35"/>
    <w:rsid w:val="007A118B"/>
    <w:rsid w:val="007A23D3"/>
    <w:rsid w:val="007B7CAF"/>
    <w:rsid w:val="007C3DAA"/>
    <w:rsid w:val="007F1A31"/>
    <w:rsid w:val="008510EB"/>
    <w:rsid w:val="0087590F"/>
    <w:rsid w:val="00881952"/>
    <w:rsid w:val="0089526C"/>
    <w:rsid w:val="008A50A6"/>
    <w:rsid w:val="008C09C9"/>
    <w:rsid w:val="008C2030"/>
    <w:rsid w:val="00901220"/>
    <w:rsid w:val="009026AE"/>
    <w:rsid w:val="00910FE8"/>
    <w:rsid w:val="0091307B"/>
    <w:rsid w:val="0092270F"/>
    <w:rsid w:val="009251E7"/>
    <w:rsid w:val="00937DF7"/>
    <w:rsid w:val="00990BA2"/>
    <w:rsid w:val="009925CA"/>
    <w:rsid w:val="009B6A7C"/>
    <w:rsid w:val="009C157F"/>
    <w:rsid w:val="009E0B34"/>
    <w:rsid w:val="00A06401"/>
    <w:rsid w:val="00A17220"/>
    <w:rsid w:val="00A2609B"/>
    <w:rsid w:val="00A332DD"/>
    <w:rsid w:val="00A36877"/>
    <w:rsid w:val="00A529F8"/>
    <w:rsid w:val="00A53D8C"/>
    <w:rsid w:val="00A5777E"/>
    <w:rsid w:val="00A62603"/>
    <w:rsid w:val="00A63D50"/>
    <w:rsid w:val="00AA29C8"/>
    <w:rsid w:val="00B34F70"/>
    <w:rsid w:val="00B44C5B"/>
    <w:rsid w:val="00B51BD6"/>
    <w:rsid w:val="00B61343"/>
    <w:rsid w:val="00B66228"/>
    <w:rsid w:val="00B71EBD"/>
    <w:rsid w:val="00B82626"/>
    <w:rsid w:val="00B968F9"/>
    <w:rsid w:val="00BC4A2F"/>
    <w:rsid w:val="00BE03C8"/>
    <w:rsid w:val="00BF72A5"/>
    <w:rsid w:val="00BF762B"/>
    <w:rsid w:val="00C04BE7"/>
    <w:rsid w:val="00C31A5E"/>
    <w:rsid w:val="00C3285F"/>
    <w:rsid w:val="00C37853"/>
    <w:rsid w:val="00C42BEA"/>
    <w:rsid w:val="00C46636"/>
    <w:rsid w:val="00C56A1D"/>
    <w:rsid w:val="00C63633"/>
    <w:rsid w:val="00C731B8"/>
    <w:rsid w:val="00C829EE"/>
    <w:rsid w:val="00C90E5B"/>
    <w:rsid w:val="00C9551A"/>
    <w:rsid w:val="00CA402A"/>
    <w:rsid w:val="00D0446C"/>
    <w:rsid w:val="00D07856"/>
    <w:rsid w:val="00D16791"/>
    <w:rsid w:val="00D20255"/>
    <w:rsid w:val="00D35C09"/>
    <w:rsid w:val="00D472FB"/>
    <w:rsid w:val="00D52614"/>
    <w:rsid w:val="00D52F45"/>
    <w:rsid w:val="00D6357C"/>
    <w:rsid w:val="00D90646"/>
    <w:rsid w:val="00DE4F81"/>
    <w:rsid w:val="00DF3C18"/>
    <w:rsid w:val="00E23741"/>
    <w:rsid w:val="00E40934"/>
    <w:rsid w:val="00E55208"/>
    <w:rsid w:val="00E65310"/>
    <w:rsid w:val="00E962EA"/>
    <w:rsid w:val="00E9761C"/>
    <w:rsid w:val="00EB7063"/>
    <w:rsid w:val="00EC5642"/>
    <w:rsid w:val="00ED2C8A"/>
    <w:rsid w:val="00EE4FD8"/>
    <w:rsid w:val="00EF7CE2"/>
    <w:rsid w:val="00F000C1"/>
    <w:rsid w:val="00F04FD1"/>
    <w:rsid w:val="00F053CE"/>
    <w:rsid w:val="00F24093"/>
    <w:rsid w:val="00F534A6"/>
    <w:rsid w:val="00F6093D"/>
    <w:rsid w:val="00F81E40"/>
    <w:rsid w:val="00F851B0"/>
    <w:rsid w:val="00F90809"/>
    <w:rsid w:val="00FA7894"/>
    <w:rsid w:val="00FD139D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6F38F-039B-4B07-903E-48EE089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6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D35C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8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856"/>
    <w:pPr>
      <w:spacing w:after="0" w:line="240" w:lineRule="auto"/>
    </w:pPr>
    <w:rPr>
      <w:rFonts w:eastAsiaTheme="minorEastAsia"/>
      <w:sz w:val="28"/>
      <w:szCs w:val="28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07856"/>
    <w:rPr>
      <w:color w:val="0000FF"/>
      <w:u w:val="single"/>
    </w:rPr>
  </w:style>
  <w:style w:type="paragraph" w:customStyle="1" w:styleId="Default">
    <w:name w:val="Default"/>
    <w:rsid w:val="00D07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D078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A7C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8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35C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aliases w:val="List Paragraph 1,List Paragraph1,Абзац списка1,List Paragraph11,Абзац списка2,Normal bullet 2,Resume Title,Ŕáçŕö ńďčńęŕ2,List Paragraph (numbered (a)),WB Para,USAID List Paragraph,MCHIP_list paragraph,Recommendation,Bullet List"/>
    <w:basedOn w:val="a"/>
    <w:link w:val="aa"/>
    <w:uiPriority w:val="34"/>
    <w:qFormat/>
    <w:rsid w:val="000A6FF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aliases w:val="List Paragraph 1 Знак,List Paragraph1 Знак,Абзац списка1 Знак,List Paragraph11 Знак,Абзац списка2 Знак,Normal bullet 2 Знак,Resume Title Знак,Ŕáçŕö ńďčńęŕ2 Знак,List Paragraph (numbered (a)) Знак,WB Para Знак,USAID List Paragraph Знак"/>
    <w:basedOn w:val="a0"/>
    <w:link w:val="a9"/>
    <w:uiPriority w:val="34"/>
    <w:qFormat/>
    <w:locked/>
    <w:rsid w:val="000A6FFC"/>
  </w:style>
  <w:style w:type="character" w:customStyle="1" w:styleId="50">
    <w:name w:val="Заголовок 5 Знак"/>
    <w:basedOn w:val="a0"/>
    <w:link w:val="5"/>
    <w:uiPriority w:val="9"/>
    <w:semiHidden/>
    <w:rsid w:val="00F90809"/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R</dc:creator>
  <cp:keywords/>
  <dc:description/>
  <cp:lastModifiedBy>Balan R</cp:lastModifiedBy>
  <cp:revision>2</cp:revision>
  <cp:lastPrinted>2024-12-06T08:02:00Z</cp:lastPrinted>
  <dcterms:created xsi:type="dcterms:W3CDTF">2024-12-06T08:04:00Z</dcterms:created>
  <dcterms:modified xsi:type="dcterms:W3CDTF">2024-12-06T08:04:00Z</dcterms:modified>
</cp:coreProperties>
</file>