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E4C" w:rsidRPr="0069090C" w:rsidRDefault="0069090C" w:rsidP="0069090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69090C">
        <w:rPr>
          <w:rFonts w:ascii="Times New Roman" w:hAnsi="Times New Roman" w:cs="Times New Roman"/>
          <w:b/>
          <w:sz w:val="26"/>
          <w:szCs w:val="26"/>
          <w:lang w:val="ro-RO"/>
        </w:rPr>
        <w:t>SINTEZA</w:t>
      </w:r>
    </w:p>
    <w:p w:rsidR="00447271" w:rsidRPr="00B53E6D" w:rsidRDefault="00447271" w:rsidP="004472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B53E6D">
        <w:rPr>
          <w:rFonts w:ascii="Times New Roman" w:hAnsi="Times New Roman" w:cs="Times New Roman"/>
          <w:b/>
          <w:sz w:val="26"/>
          <w:szCs w:val="26"/>
          <w:lang w:val="ro-RO"/>
        </w:rPr>
        <w:t xml:space="preserve">la proiectul hotărârii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de </w:t>
      </w:r>
      <w:r w:rsidRPr="00B53E6D">
        <w:rPr>
          <w:rFonts w:ascii="Times New Roman" w:hAnsi="Times New Roman" w:cs="Times New Roman"/>
          <w:b/>
          <w:sz w:val="26"/>
          <w:szCs w:val="26"/>
          <w:lang w:val="ro-RO"/>
        </w:rPr>
        <w:t>Guvern cu privire la aprobarea</w:t>
      </w:r>
    </w:p>
    <w:p w:rsidR="00447271" w:rsidRPr="00B53E6D" w:rsidRDefault="00447271" w:rsidP="004472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Regulamentului</w:t>
      </w:r>
      <w:r w:rsidRPr="00B53E6D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resursei informaționale formată de </w:t>
      </w:r>
      <w:r w:rsidRPr="00B53E6D">
        <w:rPr>
          <w:rFonts w:ascii="Times New Roman" w:hAnsi="Times New Roman" w:cs="Times New Roman"/>
          <w:b/>
          <w:sz w:val="26"/>
          <w:szCs w:val="26"/>
          <w:lang w:val="ro-RO"/>
        </w:rPr>
        <w:t xml:space="preserve">Sistemul </w:t>
      </w:r>
      <w:r w:rsidR="003517FD">
        <w:rPr>
          <w:rFonts w:ascii="Times New Roman" w:hAnsi="Times New Roman" w:cs="Times New Roman"/>
          <w:b/>
          <w:sz w:val="26"/>
          <w:szCs w:val="26"/>
          <w:lang w:val="ro-RO"/>
        </w:rPr>
        <w:t>i</w:t>
      </w:r>
      <w:r w:rsidRPr="00B53E6D">
        <w:rPr>
          <w:rFonts w:ascii="Times New Roman" w:hAnsi="Times New Roman" w:cs="Times New Roman"/>
          <w:b/>
          <w:sz w:val="26"/>
          <w:szCs w:val="26"/>
          <w:lang w:val="ro-RO"/>
        </w:rPr>
        <w:t>nformațional „Cabinetul electronic al autorității/instituției bugetare”</w:t>
      </w:r>
    </w:p>
    <w:p w:rsidR="004E2FEB" w:rsidRDefault="004E2FEB" w:rsidP="0069090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3731"/>
        <w:gridCol w:w="2474"/>
        <w:gridCol w:w="1687"/>
        <w:gridCol w:w="2993"/>
        <w:gridCol w:w="2340"/>
      </w:tblGrid>
      <w:tr w:rsidR="00447271" w:rsidRPr="003517FD" w:rsidTr="003517FD">
        <w:tc>
          <w:tcPr>
            <w:tcW w:w="3731" w:type="dxa"/>
          </w:tcPr>
          <w:p w:rsidR="00447271" w:rsidRPr="003517FD" w:rsidRDefault="00447271" w:rsidP="00690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Conținutul articolelor/punctelor din proiectul prezentat spre avizare și coordonare</w:t>
            </w:r>
          </w:p>
        </w:tc>
        <w:tc>
          <w:tcPr>
            <w:tcW w:w="2474" w:type="dxa"/>
          </w:tcPr>
          <w:p w:rsidR="00447271" w:rsidRPr="003517FD" w:rsidRDefault="00447271" w:rsidP="00690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Participantul la avizare, consultare publică, expertizare</w:t>
            </w:r>
          </w:p>
        </w:tc>
        <w:tc>
          <w:tcPr>
            <w:tcW w:w="1687" w:type="dxa"/>
          </w:tcPr>
          <w:p w:rsidR="00447271" w:rsidRPr="003517FD" w:rsidRDefault="00447271" w:rsidP="00447271">
            <w:pPr>
              <w:tabs>
                <w:tab w:val="left" w:pos="884"/>
                <w:tab w:val="left" w:pos="119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447271" w:rsidRPr="003517FD" w:rsidRDefault="00447271" w:rsidP="00447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2993" w:type="dxa"/>
          </w:tcPr>
          <w:p w:rsidR="00447271" w:rsidRPr="003517FD" w:rsidRDefault="00447271" w:rsidP="00690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Conținutul obiecției/ propunerii (recomandării)</w:t>
            </w:r>
          </w:p>
          <w:p w:rsidR="00447271" w:rsidRPr="003517FD" w:rsidRDefault="00447271" w:rsidP="00690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</w:tcPr>
          <w:p w:rsidR="00447271" w:rsidRPr="003517FD" w:rsidRDefault="00447271" w:rsidP="00690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Argumentarea Ministerului Finanțelor</w:t>
            </w:r>
          </w:p>
        </w:tc>
      </w:tr>
      <w:tr w:rsidR="003517FD" w:rsidRPr="003517FD" w:rsidTr="003517FD">
        <w:tc>
          <w:tcPr>
            <w:tcW w:w="3731" w:type="dxa"/>
          </w:tcPr>
          <w:p w:rsidR="003517FD" w:rsidRPr="003517FD" w:rsidRDefault="003517FD" w:rsidP="004472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hotărârii de Guvern cu privire la aprobarea Regulamentul resursei informaționale formată de Sistemul Informațional „Cabinetul electronic al autorității/instituției bugetare”.</w:t>
            </w:r>
          </w:p>
          <w:p w:rsidR="003517FD" w:rsidRPr="003517FD" w:rsidRDefault="003517FD" w:rsidP="006909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74" w:type="dxa"/>
            <w:vMerge w:val="restart"/>
          </w:tcPr>
          <w:p w:rsidR="003517FD" w:rsidRPr="003517FD" w:rsidRDefault="003517FD" w:rsidP="00351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Agenția de Guvernare Electronică</w:t>
            </w:r>
          </w:p>
        </w:tc>
        <w:tc>
          <w:tcPr>
            <w:tcW w:w="1687" w:type="dxa"/>
            <w:vMerge w:val="restart"/>
          </w:tcPr>
          <w:p w:rsidR="003517FD" w:rsidRPr="003517FD" w:rsidRDefault="003517FD" w:rsidP="004E2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nr.24/3007-187 din 04.10.2024</w:t>
            </w:r>
          </w:p>
        </w:tc>
        <w:tc>
          <w:tcPr>
            <w:tcW w:w="2993" w:type="dxa"/>
          </w:tcPr>
          <w:p w:rsidR="003517FD" w:rsidRPr="003517FD" w:rsidRDefault="003517FD" w:rsidP="00447271">
            <w:pPr>
              <w:widowControl w:val="0"/>
              <w:tabs>
                <w:tab w:val="left" w:pos="706"/>
              </w:tabs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1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La proiectul de hotărâre:</w:t>
            </w:r>
          </w:p>
          <w:p w:rsidR="003517FD" w:rsidRPr="003517FD" w:rsidRDefault="003517FD" w:rsidP="004472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ab/>
              <w:t>Pentru acuratețe, în denumirea sistemului informațional respectiv, prima literă din cuvântul „informațional” trebuie să fie minusculă, similar formulei de scriere din Conceptul Sistemului informațional „Cabinetul electronic al autorității/instituției bugetare” (în continuare – SI CEIB), aprobat prin Hotărârea Guvernului nr.1050/2023.</w:t>
            </w:r>
          </w:p>
        </w:tc>
        <w:tc>
          <w:tcPr>
            <w:tcW w:w="2340" w:type="dxa"/>
          </w:tcPr>
          <w:p w:rsidR="003517FD" w:rsidRPr="003517FD" w:rsidRDefault="003517FD" w:rsidP="00E43D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 acceptă</w:t>
            </w:r>
          </w:p>
          <w:p w:rsidR="003517FD" w:rsidRPr="003517FD" w:rsidRDefault="003517FD" w:rsidP="006909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517FD" w:rsidRPr="003517FD" w:rsidTr="003517FD">
        <w:tc>
          <w:tcPr>
            <w:tcW w:w="3731" w:type="dxa"/>
          </w:tcPr>
          <w:p w:rsidR="003517FD" w:rsidRPr="003517FD" w:rsidRDefault="003517FD" w:rsidP="000A42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Ministerul Finanțelor, în calitate de posesor al Sistemului Informațional „Cabinetul electronic al autorității/instituției bugetare”, va asigura implementarea, mentenanța și dezvoltarea continuă a Sistemului Informațional „Cabinetul electronic al autorității/instituției bugetare”.</w:t>
            </w:r>
          </w:p>
          <w:p w:rsidR="003517FD" w:rsidRPr="003517FD" w:rsidRDefault="003517FD" w:rsidP="006909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74" w:type="dxa"/>
            <w:vMerge/>
          </w:tcPr>
          <w:p w:rsidR="003517FD" w:rsidRPr="003517FD" w:rsidRDefault="003517FD" w:rsidP="006909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7" w:type="dxa"/>
            <w:vMerge/>
          </w:tcPr>
          <w:p w:rsidR="003517FD" w:rsidRPr="003517FD" w:rsidRDefault="003517FD" w:rsidP="004E2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3" w:type="dxa"/>
          </w:tcPr>
          <w:p w:rsidR="003517FD" w:rsidRPr="003517FD" w:rsidRDefault="003517FD" w:rsidP="00C21E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Pct.2 recomandăm să fie exclus pentru evitarea dublării conținutului pct.17 din Conceptul SI CEIB, care stabilește atribuțiile Ministerului Finanțelor în calitate de posesor al sistemului informațional în cauză, dar și prevederile </w:t>
            </w: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Capitolelor II și III din proiectul Regulamentului resurse informaționale formată de SI CEIB. Dacă, totuși, autorul insistă pe menținerea în proiectul de hotărâre a acestui punct, atunci acesta urmează a fi reformulat în concordanță cu art.72 alin.(2) din Legea nr.467/2003 cu privire la informatizare și la resursele informaționale de stat și pct.17 din Conceptul SI CEIB.</w:t>
            </w:r>
          </w:p>
        </w:tc>
        <w:tc>
          <w:tcPr>
            <w:tcW w:w="2340" w:type="dxa"/>
          </w:tcPr>
          <w:p w:rsidR="003517FD" w:rsidRPr="003517FD" w:rsidRDefault="003517FD" w:rsidP="00E43D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Se acceptă</w:t>
            </w:r>
          </w:p>
          <w:p w:rsidR="003517FD" w:rsidRPr="003517FD" w:rsidRDefault="003517FD" w:rsidP="006909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517FD" w:rsidRPr="003517FD" w:rsidTr="003517FD">
        <w:tc>
          <w:tcPr>
            <w:tcW w:w="3731" w:type="dxa"/>
          </w:tcPr>
          <w:p w:rsidR="003517FD" w:rsidRPr="003517FD" w:rsidRDefault="003517FD" w:rsidP="000A4230">
            <w:pPr>
              <w:numPr>
                <w:ilvl w:val="0"/>
                <w:numId w:val="1"/>
              </w:numPr>
              <w:tabs>
                <w:tab w:val="left" w:pos="33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Regulamentul resursei informaționale formată de Sistemul Informațional „Cabinetul electronic al autorității/instituției bugetare” (în continuare – </w:t>
            </w:r>
            <w:r w:rsidRPr="003517F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Regulament</w:t>
            </w:r>
            <w:r w:rsidRPr="00351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are drept scop implementarea Conceptului Sistemului informațional integrat al finanțelor publice, aprobat prin Hotărârea Guvernului nr. 278/2023 și reglementarea resursei informaționale formată de Sistemul Informațional „Cabinetul electronic al autorității/instituției bugetare” (în continuare – </w:t>
            </w:r>
            <w:r w:rsidRPr="003517F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SI CEIB</w:t>
            </w:r>
            <w:r w:rsidRPr="00351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).</w:t>
            </w:r>
          </w:p>
          <w:p w:rsidR="003517FD" w:rsidRPr="003517FD" w:rsidRDefault="003517FD" w:rsidP="00C21E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74" w:type="dxa"/>
            <w:vMerge/>
          </w:tcPr>
          <w:p w:rsidR="003517FD" w:rsidRPr="003517FD" w:rsidRDefault="003517FD" w:rsidP="00C21E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7" w:type="dxa"/>
            <w:vMerge/>
          </w:tcPr>
          <w:p w:rsidR="003517FD" w:rsidRPr="003517FD" w:rsidRDefault="003517FD" w:rsidP="004E2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3" w:type="dxa"/>
          </w:tcPr>
          <w:p w:rsidR="003517FD" w:rsidRPr="003517FD" w:rsidRDefault="003517FD" w:rsidP="000A4230">
            <w:pPr>
              <w:widowControl w:val="0"/>
              <w:tabs>
                <w:tab w:val="left" w:pos="706"/>
              </w:tabs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1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La proiectul de Regulament:</w:t>
            </w:r>
          </w:p>
          <w:p w:rsidR="003517FD" w:rsidRPr="003517FD" w:rsidRDefault="003517FD" w:rsidP="000A4230">
            <w:pPr>
              <w:widowControl w:val="0"/>
              <w:tabs>
                <w:tab w:val="left" w:pos="706"/>
              </w:tabs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</w:t>
            </w: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ab/>
              <w:t>În pct.1 se va include o trimitere și la Conceptul SI CEIB, aprobat prin Hotărârea Guvernului nr.1050/2023, deoarece normele proiectului de hotărâre asigură implementarea și a conceptului respectiv, nu doar a Conceptului Sistemului informațional integrat al finanțelor publice, aprobat prin Hotărârea Guvernului nr.278/2023.</w:t>
            </w:r>
          </w:p>
          <w:p w:rsidR="003517FD" w:rsidRPr="003517FD" w:rsidRDefault="003517FD" w:rsidP="007879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</w:tcPr>
          <w:p w:rsidR="003517FD" w:rsidRPr="003517FD" w:rsidRDefault="003517FD" w:rsidP="00E43D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 acceptă</w:t>
            </w:r>
          </w:p>
          <w:p w:rsidR="003517FD" w:rsidRPr="003517FD" w:rsidRDefault="003517FD" w:rsidP="006909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517FD" w:rsidRPr="003517FD" w:rsidTr="003517FD">
        <w:tc>
          <w:tcPr>
            <w:tcW w:w="3731" w:type="dxa"/>
          </w:tcPr>
          <w:p w:rsidR="003517FD" w:rsidRPr="003517FD" w:rsidRDefault="003517FD" w:rsidP="000A4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Capitolul II</w:t>
            </w:r>
          </w:p>
          <w:p w:rsidR="003517FD" w:rsidRPr="003517FD" w:rsidRDefault="003517FD" w:rsidP="000A4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SUBIECŢII RAPORTURILOR JURIDICE ÎN DOMENIUL CREĂRII,</w:t>
            </w:r>
          </w:p>
          <w:p w:rsidR="003517FD" w:rsidRPr="003517FD" w:rsidRDefault="003517FD" w:rsidP="000A4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EXPLOATĂRII ȘI UTILIZĂRII SI CEIB</w:t>
            </w:r>
          </w:p>
        </w:tc>
        <w:tc>
          <w:tcPr>
            <w:tcW w:w="2474" w:type="dxa"/>
            <w:vMerge/>
          </w:tcPr>
          <w:p w:rsidR="003517FD" w:rsidRPr="003517FD" w:rsidRDefault="003517FD" w:rsidP="006909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7" w:type="dxa"/>
            <w:vMerge/>
          </w:tcPr>
          <w:p w:rsidR="003517FD" w:rsidRPr="003517FD" w:rsidRDefault="003517FD" w:rsidP="004E2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3" w:type="dxa"/>
          </w:tcPr>
          <w:p w:rsidR="003517FD" w:rsidRPr="003517FD" w:rsidRDefault="003517FD" w:rsidP="006909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 Capitolul II se va modifica prin includerea normelor referitoare la furnizorii de date stabiliți la pct.20 din Conceptul SI CEIB, cu stabilirea expresă a atribuțiilor acestora.</w:t>
            </w:r>
          </w:p>
        </w:tc>
        <w:tc>
          <w:tcPr>
            <w:tcW w:w="2340" w:type="dxa"/>
          </w:tcPr>
          <w:p w:rsidR="003517FD" w:rsidRPr="003517FD" w:rsidRDefault="003517FD" w:rsidP="00E43D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 acceptă</w:t>
            </w:r>
          </w:p>
          <w:p w:rsidR="003517FD" w:rsidRPr="003517FD" w:rsidRDefault="003517FD" w:rsidP="006909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517FD" w:rsidRPr="003517FD" w:rsidTr="003517FD">
        <w:tc>
          <w:tcPr>
            <w:tcW w:w="3731" w:type="dxa"/>
          </w:tcPr>
          <w:p w:rsidR="003517FD" w:rsidRPr="003517FD" w:rsidRDefault="003517FD" w:rsidP="000A4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8. Deținător al SI CEIB este Instituția Publică „Centrul de Tehnologii Informaționale în Finanțe” și are acces deplin la toate funcționalitățile sistemului, fișierele și bazele de date aferent SI CEIB.</w:t>
            </w:r>
          </w:p>
          <w:p w:rsidR="003517FD" w:rsidRPr="003517FD" w:rsidRDefault="003517FD" w:rsidP="000A4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 Administratorul tehnic al SI CEIB este Instituția Publică „Centrul de Tehnologii Informaționale în Finanțe”, care este</w:t>
            </w:r>
          </w:p>
          <w:p w:rsidR="003517FD" w:rsidRPr="003517FD" w:rsidRDefault="003517FD" w:rsidP="000A42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responsabil de cerințele tehnice ale SI CEIB și de integrarea cu sistemele informaționale partajate și alte sisteme informaționale de stat (</w:t>
            </w:r>
            <w:proofErr w:type="spellStart"/>
            <w:r w:rsidRPr="00351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MPass</w:t>
            </w:r>
            <w:proofErr w:type="spellEnd"/>
            <w:r w:rsidRPr="00351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51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MConnect</w:t>
            </w:r>
            <w:proofErr w:type="spellEnd"/>
            <w:r w:rsidRPr="00351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51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MSign</w:t>
            </w:r>
            <w:proofErr w:type="spellEnd"/>
            <w:r w:rsidRPr="00351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51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MNotify</w:t>
            </w:r>
            <w:proofErr w:type="spellEnd"/>
            <w:r w:rsidRPr="00351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351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MLog</w:t>
            </w:r>
            <w:proofErr w:type="spellEnd"/>
            <w:r w:rsidRPr="00351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SI „Registrul de Stat al Populației”, SI „Registrul de Stat al Unităților de Drept”, SI „Instituția-Trezoreria” (E-</w:t>
            </w:r>
            <w:proofErr w:type="spellStart"/>
            <w:r w:rsidRPr="00351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Docplat</w:t>
            </w:r>
            <w:proofErr w:type="spellEnd"/>
            <w:r w:rsidRPr="003517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), Modulul „Rapoarte (non)financiare” (SIMF/CNFD), Modulul „Alocații bugetare” (GAB), Modulul „Planificarea bugetară” (SIMF/BPS), SI „Contabilitate unică bugetară” (CUB), etc.).</w:t>
            </w:r>
          </w:p>
          <w:p w:rsidR="003517FD" w:rsidRPr="003517FD" w:rsidRDefault="003517FD" w:rsidP="006909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74" w:type="dxa"/>
            <w:vMerge/>
          </w:tcPr>
          <w:p w:rsidR="003517FD" w:rsidRPr="003517FD" w:rsidRDefault="003517FD" w:rsidP="006909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7" w:type="dxa"/>
            <w:vMerge/>
          </w:tcPr>
          <w:p w:rsidR="003517FD" w:rsidRPr="003517FD" w:rsidRDefault="003517FD" w:rsidP="004E2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3" w:type="dxa"/>
          </w:tcPr>
          <w:p w:rsidR="003517FD" w:rsidRPr="003517FD" w:rsidRDefault="003517FD" w:rsidP="00E43D7B">
            <w:pPr>
              <w:widowControl w:val="0"/>
              <w:tabs>
                <w:tab w:val="left" w:pos="301"/>
              </w:tabs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5.</w:t>
            </w: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ab/>
              <w:t>Recomandăm autorului comasarea pct.8 cu pct.10 prin indicarea într-un singur punct a deținerii de către Instituția Publică „Centrul de Tehnologii Informaționale în Finanțe” a calităților de deținător și, concomitent, de administrator tehnic al SI CEIB.</w:t>
            </w:r>
          </w:p>
          <w:p w:rsidR="003517FD" w:rsidRPr="003517FD" w:rsidRDefault="003517FD" w:rsidP="00B608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</w:tcPr>
          <w:p w:rsidR="003517FD" w:rsidRPr="003517FD" w:rsidRDefault="003517FD" w:rsidP="00351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 acceptă</w:t>
            </w:r>
          </w:p>
          <w:p w:rsidR="003517FD" w:rsidRPr="003517FD" w:rsidRDefault="003517FD" w:rsidP="006909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517FD" w:rsidRPr="003517FD" w:rsidTr="003517FD">
        <w:tc>
          <w:tcPr>
            <w:tcW w:w="3731" w:type="dxa"/>
          </w:tcPr>
          <w:p w:rsidR="003517FD" w:rsidRPr="003517FD" w:rsidRDefault="003517FD" w:rsidP="000A4230">
            <w:pPr>
              <w:widowControl w:val="0"/>
              <w:tabs>
                <w:tab w:val="left" w:pos="240"/>
              </w:tabs>
              <w:autoSpaceDE w:val="0"/>
              <w:autoSpaceDN w:val="0"/>
              <w:ind w:left="-3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517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lastRenderedPageBreak/>
              <w:t>9.</w:t>
            </w:r>
            <w:r w:rsidRPr="00351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Deținătorul SI CEIB are următoarele atribuții:</w:t>
            </w:r>
          </w:p>
          <w:p w:rsidR="003517FD" w:rsidRPr="003517FD" w:rsidRDefault="003517FD" w:rsidP="000A4230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autoSpaceDE w:val="0"/>
              <w:autoSpaceDN w:val="0"/>
              <w:ind w:left="-3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51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asigură dezvoltarea, mentenanța și securitatea SI CEIB, găzduit pe platforma tehnologică guvernamentală comună (</w:t>
            </w:r>
            <w:proofErr w:type="spellStart"/>
            <w:r w:rsidRPr="00351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MCloud</w:t>
            </w:r>
            <w:proofErr w:type="spellEnd"/>
            <w:r w:rsidRPr="00351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), în baza contractelor încheiate cu posesorul;</w:t>
            </w:r>
          </w:p>
          <w:p w:rsidR="003517FD" w:rsidRPr="003517FD" w:rsidRDefault="003517FD" w:rsidP="000A4230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autoSpaceDE w:val="0"/>
              <w:autoSpaceDN w:val="0"/>
              <w:ind w:left="-3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51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monitorizează activitatea utilizatorilor în SI CEIB, precum și procesul de înregistrare </w:t>
            </w:r>
            <w:proofErr w:type="spellStart"/>
            <w:r w:rsidRPr="00351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şi</w:t>
            </w:r>
            <w:proofErr w:type="spellEnd"/>
            <w:r w:rsidRPr="00351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prelucrare a datelor în cadrul SI CEIB;</w:t>
            </w:r>
          </w:p>
          <w:p w:rsidR="003517FD" w:rsidRPr="003517FD" w:rsidRDefault="003517FD" w:rsidP="000A4230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autoSpaceDE w:val="0"/>
              <w:autoSpaceDN w:val="0"/>
              <w:ind w:left="-3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51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asigură accesibilitatea, securitatea, integritatea și protecția datelor;</w:t>
            </w:r>
          </w:p>
          <w:p w:rsidR="003517FD" w:rsidRPr="003517FD" w:rsidRDefault="003517FD" w:rsidP="000A4230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autoSpaceDE w:val="0"/>
              <w:autoSpaceDN w:val="0"/>
              <w:ind w:left="-3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51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asigură modificările/rectificările/dezvoltările solicitate de către posesorul SI CEIB;</w:t>
            </w:r>
          </w:p>
          <w:p w:rsidR="003517FD" w:rsidRPr="003517FD" w:rsidRDefault="003517FD" w:rsidP="000A4230">
            <w:pPr>
              <w:widowControl w:val="0"/>
              <w:numPr>
                <w:ilvl w:val="0"/>
                <w:numId w:val="2"/>
              </w:numPr>
              <w:tabs>
                <w:tab w:val="left" w:pos="240"/>
              </w:tabs>
              <w:autoSpaceDE w:val="0"/>
              <w:autoSpaceDN w:val="0"/>
              <w:ind w:left="-3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51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asigură acordarea accesului la SI CEIB utilizatorilor în baza cererilor de acordare a accesului, cu specificarea numelui și prenumelui.</w:t>
            </w:r>
          </w:p>
          <w:p w:rsidR="003517FD" w:rsidRPr="003517FD" w:rsidRDefault="003517FD" w:rsidP="007879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74" w:type="dxa"/>
            <w:vMerge/>
          </w:tcPr>
          <w:p w:rsidR="003517FD" w:rsidRPr="003517FD" w:rsidRDefault="003517FD" w:rsidP="007879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7" w:type="dxa"/>
            <w:vMerge/>
          </w:tcPr>
          <w:p w:rsidR="003517FD" w:rsidRPr="003517FD" w:rsidRDefault="003517FD" w:rsidP="004E2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3" w:type="dxa"/>
          </w:tcPr>
          <w:p w:rsidR="003517FD" w:rsidRPr="003517FD" w:rsidRDefault="003517FD" w:rsidP="00E43D7B">
            <w:pPr>
              <w:widowControl w:val="0"/>
              <w:tabs>
                <w:tab w:val="left" w:pos="391"/>
              </w:tabs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6.</w:t>
            </w: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ab/>
              <w:t>Subsecvent propunerii de mai sus, pct.9 se va completa cu următoarele atribuții:</w:t>
            </w:r>
          </w:p>
          <w:p w:rsidR="003517FD" w:rsidRPr="003517FD" w:rsidRDefault="003517FD" w:rsidP="000A4230">
            <w:pPr>
              <w:widowControl w:val="0"/>
              <w:tabs>
                <w:tab w:val="left" w:pos="706"/>
              </w:tabs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„6) implementează cerințele tehnice necesare funcționării SI CEIB;</w:t>
            </w:r>
          </w:p>
          <w:p w:rsidR="003517FD" w:rsidRPr="003517FD" w:rsidRDefault="003517FD" w:rsidP="000A4230">
            <w:pPr>
              <w:widowControl w:val="0"/>
              <w:tabs>
                <w:tab w:val="left" w:pos="706"/>
              </w:tabs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7) asigură integrarea SI CEIB cu alte sisteme și resurse informaționale de stat.”.</w:t>
            </w:r>
          </w:p>
          <w:p w:rsidR="003517FD" w:rsidRPr="003517FD" w:rsidRDefault="003517FD" w:rsidP="000A4230">
            <w:pPr>
              <w:widowControl w:val="0"/>
              <w:tabs>
                <w:tab w:val="left" w:pos="706"/>
              </w:tabs>
              <w:autoSpaceDE w:val="0"/>
              <w:autoSpaceDN w:val="0"/>
              <w:spacing w:before="8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</w:tcPr>
          <w:p w:rsidR="003517FD" w:rsidRPr="003517FD" w:rsidRDefault="003517FD" w:rsidP="00E43D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 acceptă</w:t>
            </w:r>
          </w:p>
          <w:p w:rsidR="003517FD" w:rsidRPr="003517FD" w:rsidRDefault="003517FD" w:rsidP="006909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517FD" w:rsidRPr="003517FD" w:rsidTr="003517FD">
        <w:tc>
          <w:tcPr>
            <w:tcW w:w="3731" w:type="dxa"/>
          </w:tcPr>
          <w:p w:rsidR="003517FD" w:rsidRPr="003517FD" w:rsidRDefault="003517FD" w:rsidP="000A4230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517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lastRenderedPageBreak/>
              <w:t>Capitolul III</w:t>
            </w:r>
          </w:p>
          <w:p w:rsidR="003517FD" w:rsidRPr="003517FD" w:rsidRDefault="003517FD" w:rsidP="000A4230">
            <w:pPr>
              <w:widowControl w:val="0"/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517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DREPTURILE ŞI OBLIGAŢIILE SUBIECŢILOR SI CEIB</w:t>
            </w:r>
          </w:p>
          <w:p w:rsidR="003517FD" w:rsidRPr="003517FD" w:rsidRDefault="003517FD" w:rsidP="006909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74" w:type="dxa"/>
            <w:vMerge/>
          </w:tcPr>
          <w:p w:rsidR="003517FD" w:rsidRPr="003517FD" w:rsidRDefault="003517FD" w:rsidP="006909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7" w:type="dxa"/>
            <w:vMerge/>
          </w:tcPr>
          <w:p w:rsidR="003517FD" w:rsidRPr="003517FD" w:rsidRDefault="003517FD" w:rsidP="004E2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3" w:type="dxa"/>
          </w:tcPr>
          <w:p w:rsidR="003517FD" w:rsidRPr="003517FD" w:rsidRDefault="003517FD" w:rsidP="000A4230">
            <w:pPr>
              <w:widowControl w:val="0"/>
              <w:tabs>
                <w:tab w:val="left" w:pos="706"/>
              </w:tabs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7.</w:t>
            </w: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ab/>
              <w:t>Capitolul III se va completa cu drepturile și obligațiile registratorilor și ale furnizorilor de date.</w:t>
            </w:r>
          </w:p>
          <w:p w:rsidR="003517FD" w:rsidRPr="003517FD" w:rsidRDefault="003517FD" w:rsidP="006909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</w:tcPr>
          <w:p w:rsidR="003517FD" w:rsidRPr="003517FD" w:rsidRDefault="003517FD" w:rsidP="00E43D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 acceptă</w:t>
            </w:r>
          </w:p>
          <w:p w:rsidR="003517FD" w:rsidRPr="003517FD" w:rsidRDefault="003517FD" w:rsidP="006909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517FD" w:rsidRPr="003517FD" w:rsidTr="00554496">
        <w:trPr>
          <w:trHeight w:val="780"/>
        </w:trPr>
        <w:tc>
          <w:tcPr>
            <w:tcW w:w="3731" w:type="dxa"/>
          </w:tcPr>
          <w:p w:rsidR="003517FD" w:rsidRPr="003517FD" w:rsidRDefault="003517FD" w:rsidP="000A4230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ind w:left="-3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3517F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19.</w:t>
            </w:r>
            <w:r w:rsidRPr="00351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SI CEIB este ținut în limba de stat, de către posesorul acesteia, care asigură administrarea, menținerea, dezvoltarea și gestionarea continuă a acestuia.</w:t>
            </w:r>
          </w:p>
          <w:p w:rsidR="003517FD" w:rsidRPr="003517FD" w:rsidRDefault="003517FD" w:rsidP="006909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474" w:type="dxa"/>
            <w:vMerge/>
          </w:tcPr>
          <w:p w:rsidR="003517FD" w:rsidRPr="003517FD" w:rsidRDefault="003517FD" w:rsidP="006909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7" w:type="dxa"/>
            <w:vMerge/>
          </w:tcPr>
          <w:p w:rsidR="003517FD" w:rsidRPr="003517FD" w:rsidRDefault="003517FD" w:rsidP="004E2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3" w:type="dxa"/>
          </w:tcPr>
          <w:p w:rsidR="003517FD" w:rsidRPr="003517FD" w:rsidRDefault="003517FD" w:rsidP="000A4230">
            <w:pPr>
              <w:widowControl w:val="0"/>
              <w:tabs>
                <w:tab w:val="left" w:pos="706"/>
              </w:tabs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8.</w:t>
            </w: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ab/>
              <w:t xml:space="preserve">Pct.19 se va expune în următoarea redacție: </w:t>
            </w:r>
          </w:p>
          <w:p w:rsidR="003517FD" w:rsidRPr="003517FD" w:rsidRDefault="003517FD" w:rsidP="000A4230">
            <w:pPr>
              <w:widowControl w:val="0"/>
              <w:tabs>
                <w:tab w:val="left" w:pos="706"/>
              </w:tabs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„19. Resursa informațională formată</w:t>
            </w:r>
          </w:p>
          <w:p w:rsidR="003517FD" w:rsidRPr="003517FD" w:rsidRDefault="003517FD" w:rsidP="000A4230">
            <w:pPr>
              <w:widowControl w:val="0"/>
              <w:tabs>
                <w:tab w:val="left" w:pos="706"/>
              </w:tabs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de SI CEIB este ținută în limba română.”.</w:t>
            </w:r>
          </w:p>
          <w:p w:rsidR="003517FD" w:rsidRPr="003517FD" w:rsidRDefault="003517FD" w:rsidP="000A4230">
            <w:pPr>
              <w:widowControl w:val="0"/>
              <w:tabs>
                <w:tab w:val="left" w:pos="706"/>
              </w:tabs>
              <w:autoSpaceDE w:val="0"/>
              <w:autoSpaceDN w:val="0"/>
              <w:spacing w:before="8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</w:tcPr>
          <w:p w:rsidR="003517FD" w:rsidRPr="003517FD" w:rsidRDefault="003517FD" w:rsidP="00E43D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Se acceptă</w:t>
            </w:r>
          </w:p>
          <w:p w:rsidR="003517FD" w:rsidRPr="003517FD" w:rsidRDefault="003517FD" w:rsidP="006909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54496" w:rsidRPr="003517FD" w:rsidTr="00554496">
        <w:trPr>
          <w:trHeight w:val="3572"/>
        </w:trPr>
        <w:tc>
          <w:tcPr>
            <w:tcW w:w="3731" w:type="dxa"/>
          </w:tcPr>
          <w:p w:rsidR="00554496" w:rsidRPr="00554496" w:rsidRDefault="00554496" w:rsidP="00554496">
            <w:pPr>
              <w:widowControl w:val="0"/>
              <w:tabs>
                <w:tab w:val="left" w:pos="240"/>
                <w:tab w:val="left" w:pos="1134"/>
              </w:tabs>
              <w:autoSpaceDE w:val="0"/>
              <w:autoSpaceDN w:val="0"/>
              <w:ind w:left="-30" w:firstLine="3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544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lastRenderedPageBreak/>
              <w:t>29.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5544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SI CEIB va interacționa cu următoarele sisteme informaționale partajate:</w:t>
            </w:r>
          </w:p>
          <w:p w:rsidR="00554496" w:rsidRPr="00554496" w:rsidRDefault="00554496" w:rsidP="00554496">
            <w:pPr>
              <w:widowControl w:val="0"/>
              <w:tabs>
                <w:tab w:val="left" w:pos="240"/>
                <w:tab w:val="left" w:pos="1134"/>
              </w:tabs>
              <w:autoSpaceDE w:val="0"/>
              <w:autoSpaceDN w:val="0"/>
              <w:ind w:hanging="3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8) </w:t>
            </w:r>
            <w:r w:rsidRPr="0055449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SI „Instituția-Trezoreria” (E-</w:t>
            </w:r>
            <w:proofErr w:type="spellStart"/>
            <w:r w:rsidRPr="0055449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Docplat</w:t>
            </w:r>
            <w:proofErr w:type="spellEnd"/>
            <w:r w:rsidRPr="0055449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);</w:t>
            </w:r>
          </w:p>
          <w:p w:rsidR="00554496" w:rsidRPr="00554496" w:rsidRDefault="00554496" w:rsidP="00554496">
            <w:pPr>
              <w:widowControl w:val="0"/>
              <w:tabs>
                <w:tab w:val="left" w:pos="240"/>
                <w:tab w:val="left" w:pos="1134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9) </w:t>
            </w:r>
            <w:r w:rsidRPr="0055449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Modulul „Rapoarte (non)financiare” (SIMF/CNFD);</w:t>
            </w:r>
          </w:p>
          <w:p w:rsidR="00554496" w:rsidRPr="00554496" w:rsidRDefault="00554496" w:rsidP="00554496">
            <w:pPr>
              <w:widowControl w:val="0"/>
              <w:tabs>
                <w:tab w:val="left" w:pos="240"/>
                <w:tab w:val="left" w:pos="1134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10) </w:t>
            </w:r>
            <w:r w:rsidRPr="0055449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Modulul „Alocații bugetare” (GAB);</w:t>
            </w:r>
          </w:p>
          <w:p w:rsidR="00554496" w:rsidRPr="00554496" w:rsidRDefault="00554496" w:rsidP="00554496">
            <w:pPr>
              <w:widowControl w:val="0"/>
              <w:tabs>
                <w:tab w:val="left" w:pos="240"/>
                <w:tab w:val="left" w:pos="1134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11) </w:t>
            </w:r>
            <w:r w:rsidRPr="0055449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Modulul „Planificarea bugetară” (SIMF/BPS);</w:t>
            </w:r>
          </w:p>
          <w:p w:rsidR="00554496" w:rsidRPr="00554496" w:rsidRDefault="00554496" w:rsidP="00554496">
            <w:pPr>
              <w:widowControl w:val="0"/>
              <w:tabs>
                <w:tab w:val="left" w:pos="240"/>
                <w:tab w:val="left" w:pos="1134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12) </w:t>
            </w:r>
            <w:r w:rsidRPr="0055449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SI „Contabilitate unică bugetară” (CUB).</w:t>
            </w:r>
          </w:p>
          <w:p w:rsidR="00554496" w:rsidRPr="003517FD" w:rsidRDefault="00554496" w:rsidP="00554496">
            <w:pPr>
              <w:tabs>
                <w:tab w:val="left" w:pos="240"/>
              </w:tabs>
              <w:ind w:left="-3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474" w:type="dxa"/>
          </w:tcPr>
          <w:p w:rsidR="00554496" w:rsidRPr="003517FD" w:rsidRDefault="00554496" w:rsidP="006909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7" w:type="dxa"/>
          </w:tcPr>
          <w:p w:rsidR="00554496" w:rsidRPr="003517FD" w:rsidRDefault="00554496" w:rsidP="004E2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3" w:type="dxa"/>
          </w:tcPr>
          <w:p w:rsidR="00554496" w:rsidRPr="003517FD" w:rsidRDefault="00554496" w:rsidP="00554496">
            <w:pPr>
              <w:widowControl w:val="0"/>
              <w:tabs>
                <w:tab w:val="left" w:pos="271"/>
              </w:tabs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ab/>
              <w:t>Pct.29 sbp.8)</w:t>
            </w: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- 12)</w:t>
            </w: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urmează a fi revizuite prin redarea conținutului acestor subpuncte în conformitate cu pct.12 din Conceptul SI CEIB, care prevede interacțiunea sistemului respectiv cu 8 sisteme informaționale de stat.</w:t>
            </w:r>
          </w:p>
          <w:p w:rsidR="00554496" w:rsidRPr="003517FD" w:rsidRDefault="00554496" w:rsidP="00554496">
            <w:pPr>
              <w:widowControl w:val="0"/>
              <w:tabs>
                <w:tab w:val="left" w:pos="706"/>
              </w:tabs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</w:tcPr>
          <w:p w:rsidR="00554496" w:rsidRPr="003517FD" w:rsidRDefault="00554496" w:rsidP="00554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 acceptă</w:t>
            </w:r>
          </w:p>
          <w:p w:rsidR="00554496" w:rsidRPr="003517FD" w:rsidRDefault="00554496" w:rsidP="00E43D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bookmarkStart w:id="0" w:name="_GoBack"/>
            <w:bookmarkEnd w:id="0"/>
          </w:p>
        </w:tc>
      </w:tr>
      <w:tr w:rsidR="00554496" w:rsidRPr="003517FD" w:rsidTr="00554496">
        <w:trPr>
          <w:trHeight w:val="2177"/>
        </w:trPr>
        <w:tc>
          <w:tcPr>
            <w:tcW w:w="3731" w:type="dxa"/>
          </w:tcPr>
          <w:p w:rsidR="00554496" w:rsidRPr="003517FD" w:rsidRDefault="00554496" w:rsidP="0069090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474" w:type="dxa"/>
          </w:tcPr>
          <w:p w:rsidR="00554496" w:rsidRPr="003517FD" w:rsidRDefault="00554496" w:rsidP="006909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7" w:type="dxa"/>
          </w:tcPr>
          <w:p w:rsidR="00554496" w:rsidRPr="003517FD" w:rsidRDefault="00554496" w:rsidP="004E2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3" w:type="dxa"/>
          </w:tcPr>
          <w:p w:rsidR="00554496" w:rsidRPr="003517FD" w:rsidRDefault="00554496" w:rsidP="00554496">
            <w:pPr>
              <w:widowControl w:val="0"/>
              <w:tabs>
                <w:tab w:val="left" w:pos="361"/>
              </w:tabs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10. Proiectul</w:t>
            </w:r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Regula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proofErr w:type="spellStart"/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mentului</w:t>
            </w:r>
            <w:proofErr w:type="spellEnd"/>
            <w:r w:rsidRPr="003517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se va completa cu norma care să prevadă procedura de asigurare a accesului la sistem (de ex.: semnare acord de acces, acces la cerere etc.).</w:t>
            </w:r>
          </w:p>
          <w:p w:rsidR="00554496" w:rsidRPr="003517FD" w:rsidRDefault="00554496" w:rsidP="00554496">
            <w:pPr>
              <w:widowControl w:val="0"/>
              <w:tabs>
                <w:tab w:val="left" w:pos="706"/>
              </w:tabs>
              <w:autoSpaceDE w:val="0"/>
              <w:autoSpaceDN w:val="0"/>
              <w:spacing w:before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554496" w:rsidRPr="003517FD" w:rsidRDefault="00554496" w:rsidP="006909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40" w:type="dxa"/>
          </w:tcPr>
          <w:p w:rsidR="00554496" w:rsidRPr="003517FD" w:rsidRDefault="00554496" w:rsidP="00554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517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 acceptă</w:t>
            </w:r>
          </w:p>
          <w:p w:rsidR="00554496" w:rsidRPr="003517FD" w:rsidRDefault="00554496" w:rsidP="00E43D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4E2FEB" w:rsidRDefault="004E2FEB"/>
    <w:p w:rsidR="000A4230" w:rsidRPr="000A4230" w:rsidRDefault="000A4230" w:rsidP="000A4230">
      <w:pPr>
        <w:spacing w:after="0" w:line="360" w:lineRule="auto"/>
        <w:ind w:left="-851" w:firstLine="1841"/>
        <w:rPr>
          <w:lang w:val="ro-RO"/>
        </w:rPr>
      </w:pPr>
      <w:r w:rsidRPr="000A4230">
        <w:rPr>
          <w:rFonts w:ascii="Times New Roman" w:eastAsia="MS Mincho" w:hAnsi="Times New Roman" w:cs="Times New Roman"/>
          <w:b/>
          <w:sz w:val="28"/>
          <w:szCs w:val="28"/>
          <w:lang w:val="ro-RO" w:eastAsia="ru-RU"/>
        </w:rPr>
        <w:t>Ministrul finanțelor</w:t>
      </w:r>
      <w:r w:rsidRPr="000A4230">
        <w:rPr>
          <w:rFonts w:ascii="Times New Roman" w:eastAsia="MS Mincho" w:hAnsi="Times New Roman" w:cs="Times New Roman"/>
          <w:b/>
          <w:sz w:val="28"/>
          <w:szCs w:val="28"/>
          <w:lang w:val="ro-RO" w:eastAsia="ru-RU"/>
        </w:rPr>
        <w:tab/>
      </w:r>
      <w:r w:rsidRPr="000A4230">
        <w:rPr>
          <w:rFonts w:ascii="Times New Roman" w:eastAsia="MS Mincho" w:hAnsi="Times New Roman" w:cs="Times New Roman"/>
          <w:b/>
          <w:sz w:val="28"/>
          <w:szCs w:val="28"/>
          <w:lang w:val="ro-RO" w:eastAsia="ru-RU"/>
        </w:rPr>
        <w:tab/>
      </w:r>
      <w:r w:rsidRPr="000A4230">
        <w:rPr>
          <w:rFonts w:ascii="Times New Roman" w:eastAsia="MS Mincho" w:hAnsi="Times New Roman" w:cs="Times New Roman"/>
          <w:b/>
          <w:sz w:val="28"/>
          <w:szCs w:val="28"/>
          <w:lang w:val="ro-RO" w:eastAsia="ru-RU"/>
        </w:rPr>
        <w:tab/>
      </w:r>
      <w:r w:rsidRPr="000A4230">
        <w:rPr>
          <w:rFonts w:ascii="Times New Roman" w:eastAsia="MS Mincho" w:hAnsi="Times New Roman" w:cs="Times New Roman"/>
          <w:b/>
          <w:sz w:val="28"/>
          <w:szCs w:val="28"/>
          <w:lang w:val="ro-RO" w:eastAsia="ru-RU"/>
        </w:rPr>
        <w:tab/>
      </w:r>
      <w:r w:rsidRPr="000A4230">
        <w:rPr>
          <w:rFonts w:ascii="Times New Roman" w:eastAsia="MS Mincho" w:hAnsi="Times New Roman" w:cs="Times New Roman"/>
          <w:b/>
          <w:sz w:val="28"/>
          <w:szCs w:val="28"/>
          <w:lang w:val="ro-RO" w:eastAsia="ru-RU"/>
        </w:rPr>
        <w:tab/>
        <w:t xml:space="preserve">                                          Victoria BELOUS</w:t>
      </w:r>
    </w:p>
    <w:p w:rsidR="0069090C" w:rsidRPr="00DE6AA1" w:rsidRDefault="0069090C" w:rsidP="00DE6AA1"/>
    <w:sectPr w:rsidR="0069090C" w:rsidRPr="00DE6AA1" w:rsidSect="0069090C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39B" w:rsidRDefault="00FC639B" w:rsidP="004E2FEB">
      <w:pPr>
        <w:spacing w:after="0" w:line="240" w:lineRule="auto"/>
      </w:pPr>
      <w:r>
        <w:separator/>
      </w:r>
    </w:p>
  </w:endnote>
  <w:endnote w:type="continuationSeparator" w:id="0">
    <w:p w:rsidR="00FC639B" w:rsidRDefault="00FC639B" w:rsidP="004E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9025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2FEB" w:rsidRDefault="004E2FEB">
        <w:pPr>
          <w:pStyle w:val="Footer"/>
          <w:jc w:val="center"/>
        </w:pPr>
      </w:p>
      <w:p w:rsidR="004E2FEB" w:rsidRDefault="004E2F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49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E2FEB" w:rsidRDefault="004E2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39B" w:rsidRDefault="00FC639B" w:rsidP="004E2FEB">
      <w:pPr>
        <w:spacing w:after="0" w:line="240" w:lineRule="auto"/>
      </w:pPr>
      <w:r>
        <w:separator/>
      </w:r>
    </w:p>
  </w:footnote>
  <w:footnote w:type="continuationSeparator" w:id="0">
    <w:p w:rsidR="00FC639B" w:rsidRDefault="00FC639B" w:rsidP="004E2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49C0"/>
    <w:multiLevelType w:val="hybridMultilevel"/>
    <w:tmpl w:val="16FC42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84601"/>
    <w:multiLevelType w:val="hybridMultilevel"/>
    <w:tmpl w:val="508A5362"/>
    <w:lvl w:ilvl="0" w:tplc="D1AC59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86C6E"/>
    <w:multiLevelType w:val="hybridMultilevel"/>
    <w:tmpl w:val="27C4EA52"/>
    <w:lvl w:ilvl="0" w:tplc="C9402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B176E"/>
    <w:multiLevelType w:val="hybridMultilevel"/>
    <w:tmpl w:val="27C4EA52"/>
    <w:lvl w:ilvl="0" w:tplc="C9402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7387D"/>
    <w:multiLevelType w:val="hybridMultilevel"/>
    <w:tmpl w:val="A9E2C7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0C"/>
    <w:rsid w:val="00006F45"/>
    <w:rsid w:val="00044982"/>
    <w:rsid w:val="000A4230"/>
    <w:rsid w:val="003517FD"/>
    <w:rsid w:val="00447271"/>
    <w:rsid w:val="004E2FEB"/>
    <w:rsid w:val="00554496"/>
    <w:rsid w:val="006477F8"/>
    <w:rsid w:val="0069090C"/>
    <w:rsid w:val="007717B2"/>
    <w:rsid w:val="00787807"/>
    <w:rsid w:val="007879FA"/>
    <w:rsid w:val="00900C6C"/>
    <w:rsid w:val="00B60875"/>
    <w:rsid w:val="00C21E42"/>
    <w:rsid w:val="00C943CC"/>
    <w:rsid w:val="00DE6AA1"/>
    <w:rsid w:val="00E43D7B"/>
    <w:rsid w:val="00EF4A3F"/>
    <w:rsid w:val="00FC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B6F83"/>
  <w15:chartTrackingRefBased/>
  <w15:docId w15:val="{4998F43D-D25E-40AD-A813-3E503312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FEB"/>
  </w:style>
  <w:style w:type="paragraph" w:styleId="Footer">
    <w:name w:val="footer"/>
    <w:basedOn w:val="Normal"/>
    <w:link w:val="FooterChar"/>
    <w:uiPriority w:val="99"/>
    <w:unhideWhenUsed/>
    <w:rsid w:val="004E2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FEB"/>
  </w:style>
  <w:style w:type="paragraph" w:styleId="BalloonText">
    <w:name w:val="Balloon Text"/>
    <w:basedOn w:val="Normal"/>
    <w:link w:val="BalloonTextChar"/>
    <w:uiPriority w:val="99"/>
    <w:semiHidden/>
    <w:unhideWhenUsed/>
    <w:rsid w:val="00DE6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Plamadeala, Elena</dc:creator>
  <cp:keywords/>
  <dc:description/>
  <cp:lastModifiedBy>Plamadeala, Elena</cp:lastModifiedBy>
  <cp:revision>8</cp:revision>
  <cp:lastPrinted>2022-11-23T12:12:00Z</cp:lastPrinted>
  <dcterms:created xsi:type="dcterms:W3CDTF">2022-11-23T06:22:00Z</dcterms:created>
  <dcterms:modified xsi:type="dcterms:W3CDTF">2024-10-29T12:05:00Z</dcterms:modified>
</cp:coreProperties>
</file>