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0F2" w:rsidRPr="009C4A78" w:rsidRDefault="006C11A5">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4"/>
          <w:szCs w:val="24"/>
          <w:lang w:val="ro-MD"/>
        </w:rPr>
      </w:pPr>
      <w:r w:rsidRPr="009C4A78">
        <w:rPr>
          <w:b/>
          <w:sz w:val="24"/>
          <w:szCs w:val="24"/>
          <w:lang w:val="ro-MD"/>
        </w:rPr>
        <w:t>NOTA DE FUNDAMENTARE</w:t>
      </w:r>
    </w:p>
    <w:p w:rsidR="002520F2" w:rsidRPr="009C4A78" w:rsidRDefault="006C11A5" w:rsidP="00240DA2">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MD"/>
        </w:rPr>
      </w:pPr>
      <w:r w:rsidRPr="009C4A78">
        <w:rPr>
          <w:b/>
          <w:sz w:val="24"/>
          <w:szCs w:val="24"/>
          <w:lang w:val="ro-MD"/>
        </w:rPr>
        <w:t xml:space="preserve">la proiectul </w:t>
      </w:r>
      <w:r w:rsidR="00240DA2" w:rsidRPr="009C4A78">
        <w:rPr>
          <w:b/>
          <w:sz w:val="24"/>
          <w:szCs w:val="24"/>
          <w:lang w:val="ro-MD"/>
        </w:rPr>
        <w:t>hotărârii Guvernului pentru aprobarea Regulamentului cu privire la modul de aplicare a facilităților fiscale și vamale la importul și/sau livrările de mărfuri și/sau servicii destinate implementării Proiectului „Locuințe publice III”</w:t>
      </w:r>
    </w:p>
    <w:p w:rsidR="00240DA2" w:rsidRPr="009C4A78" w:rsidRDefault="00240DA2" w:rsidP="00240DA2">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MD"/>
        </w:rPr>
      </w:pPr>
    </w:p>
    <w:tbl>
      <w:tblPr>
        <w:tblStyle w:val="TableGrid"/>
        <w:tblW w:w="0" w:type="auto"/>
        <w:tblInd w:w="-55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810"/>
      </w:tblGrid>
      <w:tr w:rsidR="002520F2" w:rsidRPr="009C4A78" w:rsidTr="00BD596A">
        <w:tc>
          <w:tcPr>
            <w:tcW w:w="9810"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2520F2" w:rsidRPr="009C4A78" w:rsidRDefault="006C11A5" w:rsidP="009C4A78">
            <w:pPr>
              <w:rPr>
                <w:rFonts w:ascii="Times New Roman" w:hAnsi="Times New Roman"/>
                <w:b/>
                <w:bCs/>
                <w:sz w:val="24"/>
                <w:szCs w:val="24"/>
                <w:lang w:val="ro-MD"/>
              </w:rPr>
            </w:pPr>
            <w:r w:rsidRPr="009C4A78">
              <w:rPr>
                <w:rFonts w:ascii="Times New Roman" w:hAnsi="Times New Roman"/>
                <w:b/>
                <w:bCs/>
                <w:sz w:val="24"/>
                <w:szCs w:val="24"/>
                <w:lang w:val="ro-MD"/>
              </w:rPr>
              <w:t>1. Denumirea sau numele autorului și, după caz, a/al participanților la elaborarea proiectului actului normativ</w:t>
            </w:r>
          </w:p>
        </w:tc>
      </w:tr>
      <w:tr w:rsidR="002520F2" w:rsidRPr="009C4A78" w:rsidTr="00BD596A">
        <w:tc>
          <w:tcPr>
            <w:tcW w:w="9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2520F2" w:rsidRPr="009C4A78" w:rsidRDefault="00240DA2" w:rsidP="009C4A78">
            <w:pPr>
              <w:rPr>
                <w:rFonts w:ascii="Times New Roman" w:hAnsi="Times New Roman"/>
                <w:sz w:val="24"/>
                <w:szCs w:val="24"/>
                <w:lang w:val="ro-MD"/>
              </w:rPr>
            </w:pPr>
            <w:r w:rsidRPr="009C4A78">
              <w:rPr>
                <w:rFonts w:ascii="Times New Roman" w:hAnsi="Times New Roman"/>
                <w:sz w:val="24"/>
                <w:szCs w:val="24"/>
                <w:lang w:val="ro-MD"/>
              </w:rPr>
              <w:t>Proiectul de act normativ a fost elaborat de către Ministerul Finanțelor al Republicii Moldova</w:t>
            </w:r>
            <w:r w:rsidR="006C11A5" w:rsidRPr="009C4A78">
              <w:rPr>
                <w:rFonts w:ascii="Times New Roman" w:hAnsi="Times New Roman"/>
                <w:sz w:val="24"/>
                <w:szCs w:val="24"/>
                <w:lang w:val="ro-MD"/>
              </w:rPr>
              <w:t xml:space="preserve"> </w:t>
            </w:r>
          </w:p>
        </w:tc>
      </w:tr>
      <w:tr w:rsidR="002520F2" w:rsidRPr="009C4A78" w:rsidTr="00BD596A">
        <w:tc>
          <w:tcPr>
            <w:tcW w:w="981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2520F2" w:rsidRPr="009C4A78" w:rsidRDefault="006C11A5" w:rsidP="009C4A78">
            <w:pPr>
              <w:rPr>
                <w:rFonts w:ascii="Times New Roman" w:hAnsi="Times New Roman"/>
                <w:b/>
                <w:bCs/>
                <w:sz w:val="24"/>
                <w:szCs w:val="24"/>
                <w:lang w:val="ro-MD"/>
              </w:rPr>
            </w:pPr>
            <w:r w:rsidRPr="009C4A78">
              <w:rPr>
                <w:rFonts w:ascii="Times New Roman" w:hAnsi="Times New Roman"/>
                <w:b/>
                <w:bCs/>
                <w:sz w:val="24"/>
                <w:szCs w:val="24"/>
                <w:lang w:val="ro-MD"/>
              </w:rPr>
              <w:t>2. Condițiile ce au impus elaborarea proiectului actului normativ</w:t>
            </w:r>
          </w:p>
        </w:tc>
      </w:tr>
      <w:tr w:rsidR="002520F2" w:rsidRPr="009C4A78" w:rsidTr="00BD596A">
        <w:tc>
          <w:tcPr>
            <w:tcW w:w="981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240DA2" w:rsidRPr="009C4A78" w:rsidRDefault="006C11A5" w:rsidP="009C4A78">
            <w:pPr>
              <w:rPr>
                <w:rFonts w:ascii="Times New Roman" w:hAnsi="Times New Roman"/>
                <w:sz w:val="24"/>
                <w:szCs w:val="24"/>
                <w:lang w:val="ro-MD"/>
              </w:rPr>
            </w:pPr>
            <w:r w:rsidRPr="009C4A78">
              <w:rPr>
                <w:rFonts w:ascii="Times New Roman" w:hAnsi="Times New Roman"/>
                <w:sz w:val="24"/>
                <w:szCs w:val="24"/>
                <w:lang w:val="ro-MD"/>
              </w:rPr>
              <w:t>2.1. Temeiul legal sau, după caz, sursa proiectului actului normativ</w:t>
            </w:r>
          </w:p>
        </w:tc>
      </w:tr>
      <w:tr w:rsidR="002520F2" w:rsidRPr="009C4A78" w:rsidTr="00BD596A">
        <w:tc>
          <w:tcPr>
            <w:tcW w:w="981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2520F2" w:rsidRPr="009C4A78" w:rsidRDefault="006C11A5" w:rsidP="009C4A78">
            <w:pPr>
              <w:rPr>
                <w:rFonts w:ascii="Times New Roman" w:hAnsi="Times New Roman"/>
                <w:sz w:val="24"/>
                <w:szCs w:val="24"/>
                <w:lang w:val="ro-MD"/>
              </w:rPr>
            </w:pPr>
            <w:r w:rsidRPr="009C4A78">
              <w:rPr>
                <w:rFonts w:ascii="Times New Roman" w:hAnsi="Times New Roman"/>
                <w:sz w:val="24"/>
                <w:szCs w:val="24"/>
                <w:lang w:val="ro-MD"/>
              </w:rPr>
              <w:t>2.2. Descrierea situației actuale și a problemelor care impun intervenția, inclusiv a cadrului normativ aplicabil și a deficiențelor/lacunelor normative</w:t>
            </w:r>
          </w:p>
        </w:tc>
      </w:tr>
      <w:tr w:rsidR="009C4A78" w:rsidRPr="009C4A78" w:rsidTr="009C4A78">
        <w:tc>
          <w:tcPr>
            <w:tcW w:w="981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C4A78" w:rsidRDefault="009C4A78" w:rsidP="009C4A78">
            <w:pPr>
              <w:tabs>
                <w:tab w:val="left" w:pos="776"/>
              </w:tabs>
              <w:rPr>
                <w:rFonts w:ascii="Times New Roman" w:hAnsi="Times New Roman"/>
                <w:sz w:val="24"/>
                <w:szCs w:val="24"/>
                <w:lang w:val="ro-MD"/>
              </w:rPr>
            </w:pPr>
            <w:r w:rsidRPr="009C4A78">
              <w:rPr>
                <w:rFonts w:ascii="Times New Roman" w:hAnsi="Times New Roman"/>
                <w:sz w:val="24"/>
                <w:szCs w:val="24"/>
                <w:lang w:val="ro-MD"/>
              </w:rPr>
              <w:t>Proiectul Hotărârii Guvernului a fost elaborat în temeiul prevederilor art.5 din Legea nr.101/2024 pentru ratificarea Acordului – cadru de împrumut dintre Republica Moldova și Banca de Dezvoltare a Consiliului Europei pentru Proiectul „Locuințe publice III”</w:t>
            </w:r>
            <w:r>
              <w:rPr>
                <w:rFonts w:ascii="Times New Roman" w:hAnsi="Times New Roman"/>
                <w:sz w:val="24"/>
                <w:szCs w:val="24"/>
                <w:lang w:val="ro-MD"/>
              </w:rPr>
              <w:t>.</w:t>
            </w:r>
          </w:p>
          <w:p w:rsidR="009C4A78" w:rsidRPr="009C4A78" w:rsidRDefault="009C4A78" w:rsidP="009C4A78">
            <w:pPr>
              <w:tabs>
                <w:tab w:val="left" w:pos="776"/>
              </w:tabs>
              <w:rPr>
                <w:rFonts w:ascii="Times New Roman" w:eastAsia="Times New Roman" w:hAnsi="Times New Roman"/>
                <w:sz w:val="24"/>
                <w:szCs w:val="28"/>
                <w:lang w:val="ro-MD" w:eastAsia="ru-RU"/>
              </w:rPr>
            </w:pPr>
            <w:r w:rsidRPr="009C4A78">
              <w:rPr>
                <w:rFonts w:ascii="Times New Roman" w:eastAsia="Times New Roman" w:hAnsi="Times New Roman"/>
                <w:sz w:val="24"/>
                <w:szCs w:val="28"/>
                <w:lang w:val="ro-MD" w:eastAsia="ru-RU"/>
              </w:rPr>
              <w:t>Proiectul Hotărârii Guvernului respectiv vizează nemijlocit modalitatea de beneficiere de facilitățile fiscale și vamale la importul și/sau livrarea mărfurilor și/sau serviciilor destinate implementării P</w:t>
            </w:r>
            <w:r w:rsidRPr="009C4A78">
              <w:rPr>
                <w:rFonts w:ascii="Times New Roman" w:hAnsi="Times New Roman"/>
                <w:bCs/>
                <w:sz w:val="24"/>
                <w:szCs w:val="28"/>
                <w:lang w:val="ro-MD"/>
              </w:rPr>
              <w:t>roiectului „Locuințe publice III”.</w:t>
            </w:r>
            <w:r w:rsidRPr="009C4A78">
              <w:rPr>
                <w:rFonts w:ascii="Times New Roman" w:eastAsia="Times New Roman" w:hAnsi="Times New Roman"/>
                <w:sz w:val="24"/>
                <w:szCs w:val="28"/>
                <w:lang w:val="ro-MD" w:eastAsia="ru-RU"/>
              </w:rPr>
              <w:t xml:space="preserve"> </w:t>
            </w:r>
          </w:p>
          <w:p w:rsidR="009C4A78" w:rsidRPr="009C4A78" w:rsidRDefault="009C4A78" w:rsidP="009C4A78">
            <w:pPr>
              <w:tabs>
                <w:tab w:val="left" w:pos="776"/>
              </w:tabs>
              <w:rPr>
                <w:sz w:val="24"/>
                <w:szCs w:val="28"/>
                <w:lang w:val="ro-MD" w:eastAsia="ru-RU"/>
              </w:rPr>
            </w:pPr>
            <w:r w:rsidRPr="009C4A78">
              <w:rPr>
                <w:rFonts w:ascii="Times New Roman" w:eastAsia="Times New Roman" w:hAnsi="Times New Roman"/>
                <w:sz w:val="24"/>
                <w:szCs w:val="28"/>
                <w:lang w:val="ro-MD" w:eastAsia="ru-RU"/>
              </w:rPr>
              <w:t>Este oportun și stringent de important intrarea în vigoare a proiectului Hotărârii Guvernului, la data publicării în Monitorul Oficial al Republicii, din motivul că P</w:t>
            </w:r>
            <w:r w:rsidRPr="009C4A78">
              <w:rPr>
                <w:rFonts w:ascii="Times New Roman" w:hAnsi="Times New Roman"/>
                <w:bCs/>
                <w:sz w:val="24"/>
                <w:szCs w:val="28"/>
                <w:lang w:val="ro-MD"/>
              </w:rPr>
              <w:t>roiectului „Locuințe publice III”</w:t>
            </w:r>
            <w:r w:rsidRPr="009C4A78">
              <w:rPr>
                <w:rFonts w:ascii="Times New Roman" w:eastAsia="Times New Roman" w:hAnsi="Times New Roman"/>
                <w:sz w:val="24"/>
                <w:szCs w:val="28"/>
                <w:lang w:val="ro-MD" w:eastAsia="ru-RU"/>
              </w:rPr>
              <w:t xml:space="preserve"> reprezintă un instrument de finanțare în scopul furnizării de locuințe decente și accesibile persoanelor vulnerabile și cu venituri mici, angajaților în sectorul public, prin majorarea fondului locuințelor publice de închiriat, rezidențelor studențești și centre de plasament pentru persoane în etate și cu dizabilități/aziluri pentru persoane vârstnice și cu dizabilități.</w:t>
            </w:r>
          </w:p>
        </w:tc>
      </w:tr>
      <w:tr w:rsidR="002520F2" w:rsidRPr="009C4A78" w:rsidTr="00BD596A">
        <w:tc>
          <w:tcPr>
            <w:tcW w:w="981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2520F2" w:rsidRPr="009C4A78" w:rsidRDefault="006C11A5" w:rsidP="009C4A78">
            <w:pPr>
              <w:rPr>
                <w:rFonts w:ascii="Times New Roman" w:hAnsi="Times New Roman"/>
                <w:b/>
                <w:bCs/>
                <w:sz w:val="24"/>
                <w:szCs w:val="24"/>
                <w:lang w:val="ro-MD"/>
              </w:rPr>
            </w:pPr>
            <w:r w:rsidRPr="009C4A78">
              <w:rPr>
                <w:rFonts w:ascii="Times New Roman" w:hAnsi="Times New Roman"/>
                <w:b/>
                <w:bCs/>
                <w:sz w:val="24"/>
                <w:szCs w:val="24"/>
                <w:lang w:val="ro-MD"/>
              </w:rPr>
              <w:t>3. Obiectivele urmărite și soluțiile propuse</w:t>
            </w:r>
          </w:p>
        </w:tc>
      </w:tr>
      <w:tr w:rsidR="00F70DCA" w:rsidRPr="009C4A78" w:rsidTr="00BD596A">
        <w:tc>
          <w:tcPr>
            <w:tcW w:w="9810"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F70DCA" w:rsidRPr="009C4A78" w:rsidRDefault="009C4A78" w:rsidP="009C4A78">
            <w:pPr>
              <w:tabs>
                <w:tab w:val="left" w:pos="776"/>
              </w:tabs>
              <w:rPr>
                <w:rFonts w:ascii="Times New Roman" w:hAnsi="Times New Roman"/>
                <w:sz w:val="24"/>
                <w:lang w:val="ro-MD"/>
              </w:rPr>
            </w:pPr>
            <w:r w:rsidRPr="009C4A78">
              <w:rPr>
                <w:rFonts w:ascii="Times New Roman" w:hAnsi="Times New Roman"/>
                <w:sz w:val="24"/>
                <w:lang w:val="ro-MD"/>
              </w:rPr>
              <w:t>3.1 Principalele prevederi ale proiectului și evidențierea elementelor noi</w:t>
            </w:r>
          </w:p>
        </w:tc>
      </w:tr>
      <w:tr w:rsidR="00F70DCA" w:rsidRPr="009C4A78" w:rsidTr="00BD596A">
        <w:tc>
          <w:tcPr>
            <w:tcW w:w="9810"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F70DCA" w:rsidRPr="009C4A78" w:rsidRDefault="00F70DCA" w:rsidP="009C4A78">
            <w:pPr>
              <w:rPr>
                <w:rFonts w:ascii="Times New Roman" w:hAnsi="Times New Roman"/>
                <w:sz w:val="24"/>
                <w:szCs w:val="24"/>
                <w:lang w:val="ro-MD"/>
              </w:rPr>
            </w:pPr>
            <w:r w:rsidRPr="009C4A78">
              <w:rPr>
                <w:rFonts w:ascii="Times New Roman" w:hAnsi="Times New Roman"/>
                <w:sz w:val="24"/>
                <w:szCs w:val="24"/>
                <w:lang w:val="ro-MD"/>
              </w:rPr>
              <w:t>3.2. Opțiunile alternative analizate și motivele pentru care acestea nu au fost luate în considerare</w:t>
            </w:r>
          </w:p>
        </w:tc>
      </w:tr>
      <w:tr w:rsidR="00F70DCA" w:rsidRPr="009C4A78" w:rsidTr="00BD596A">
        <w:tc>
          <w:tcPr>
            <w:tcW w:w="9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9C4A78" w:rsidRPr="009C4A78" w:rsidRDefault="00F70DCA" w:rsidP="009C4A78">
            <w:pPr>
              <w:tabs>
                <w:tab w:val="left" w:pos="776"/>
              </w:tabs>
              <w:rPr>
                <w:rFonts w:ascii="Times New Roman" w:hAnsi="Times New Roman"/>
                <w:sz w:val="24"/>
                <w:szCs w:val="28"/>
                <w:lang w:val="ro-MD"/>
              </w:rPr>
            </w:pPr>
            <w:r w:rsidRPr="009C4A78">
              <w:rPr>
                <w:rFonts w:ascii="Times New Roman" w:hAnsi="Times New Roman"/>
                <w:sz w:val="24"/>
                <w:szCs w:val="24"/>
                <w:lang w:val="ro-MD"/>
              </w:rPr>
              <w:t xml:space="preserve"> </w:t>
            </w:r>
            <w:r w:rsidR="009C4A78" w:rsidRPr="009C4A78">
              <w:rPr>
                <w:rFonts w:ascii="Times New Roman" w:hAnsi="Times New Roman"/>
                <w:sz w:val="24"/>
                <w:szCs w:val="28"/>
                <w:lang w:val="ro-MD"/>
              </w:rPr>
              <w:t xml:space="preserve">Prezentul proiect de act normativ prevede modalitatea de beneficiere de scutirea de TVA fără drept de deducere, de </w:t>
            </w:r>
            <w:r w:rsidR="009C4A78" w:rsidRPr="009C4A78">
              <w:rPr>
                <w:rFonts w:ascii="Times New Roman" w:hAnsi="Times New Roman"/>
                <w:bCs/>
                <w:sz w:val="24"/>
                <w:szCs w:val="28"/>
                <w:lang w:val="ro-MD"/>
              </w:rPr>
              <w:t>accize, de taxa vamală pentru importul de mărfuri și/sau servicii destinate implementării Proiectului „Locuințe publice III”.</w:t>
            </w:r>
          </w:p>
          <w:p w:rsidR="009C4A78" w:rsidRPr="009C4A78" w:rsidRDefault="009C4A78" w:rsidP="009C4A78">
            <w:pPr>
              <w:tabs>
                <w:tab w:val="left" w:pos="776"/>
              </w:tabs>
              <w:rPr>
                <w:rFonts w:ascii="Times New Roman" w:hAnsi="Times New Roman"/>
                <w:sz w:val="24"/>
                <w:szCs w:val="28"/>
                <w:lang w:val="ro-MD"/>
              </w:rPr>
            </w:pPr>
            <w:r w:rsidRPr="009C4A78">
              <w:rPr>
                <w:rFonts w:ascii="Times New Roman" w:hAnsi="Times New Roman"/>
                <w:sz w:val="24"/>
                <w:szCs w:val="28"/>
                <w:lang w:val="ro-MD"/>
              </w:rPr>
              <w:t xml:space="preserve">Astfel, la efectuarea importului de mărfuri, beneficiarul urmează să prezinte la biroul vamal în raza căruia se deservește: scrisoare pe blanchetă oficială, emisă de către </w:t>
            </w:r>
            <w:r w:rsidRPr="009C4A78">
              <w:rPr>
                <w:rFonts w:ascii="Times New Roman" w:hAnsi="Times New Roman"/>
                <w:bCs/>
                <w:sz w:val="24"/>
                <w:szCs w:val="28"/>
                <w:lang w:val="ro-MD"/>
              </w:rPr>
              <w:t>Ministerul Infrastructurii și Dezvoltării Regionale</w:t>
            </w:r>
            <w:r w:rsidRPr="009C4A78">
              <w:rPr>
                <w:rFonts w:ascii="Times New Roman" w:hAnsi="Times New Roman"/>
                <w:sz w:val="24"/>
                <w:szCs w:val="28"/>
                <w:lang w:val="ro-MD"/>
              </w:rPr>
              <w:t xml:space="preserve"> și copia contractului de achiziție a mărfurilor.</w:t>
            </w:r>
          </w:p>
          <w:p w:rsidR="009C4A78" w:rsidRPr="009C4A78" w:rsidRDefault="009C4A78" w:rsidP="009C4A78">
            <w:pPr>
              <w:tabs>
                <w:tab w:val="left" w:pos="776"/>
              </w:tabs>
              <w:rPr>
                <w:rFonts w:ascii="Times New Roman" w:hAnsi="Times New Roman"/>
                <w:sz w:val="24"/>
                <w:szCs w:val="28"/>
                <w:lang w:val="ro-MD"/>
              </w:rPr>
            </w:pPr>
            <w:r w:rsidRPr="009C4A78">
              <w:rPr>
                <w:rFonts w:ascii="Times New Roman" w:hAnsi="Times New Roman"/>
                <w:bCs/>
                <w:sz w:val="24"/>
                <w:szCs w:val="28"/>
                <w:lang w:val="ro-MD"/>
              </w:rPr>
              <w:t>Totodată, proiectul de act normativ prevede expres documentele confirmative ce urmează a fi prezentate de către furnizorii autohtoni pentru a efectua livrări de mărfuri și/sau servicii destinate realizării Proiectului „Locuințe Publice III” scutite de TVA cu drept de deducere, de accize și de taxa pentru mărfurile care, în procesul utilizării, cauzează poluarea mediului, precum și pentru a beneficia de restituirea TVA pentru mărfurile/serviciile menționate supra.</w:t>
            </w:r>
          </w:p>
          <w:p w:rsidR="00F70DCA" w:rsidRPr="009C4A78" w:rsidRDefault="009C4A78" w:rsidP="009C4A78">
            <w:pPr>
              <w:rPr>
                <w:rFonts w:ascii="Times New Roman" w:hAnsi="Times New Roman"/>
                <w:sz w:val="24"/>
                <w:szCs w:val="24"/>
                <w:lang w:val="ro-MD"/>
              </w:rPr>
            </w:pPr>
            <w:r w:rsidRPr="009C4A78">
              <w:rPr>
                <w:rFonts w:ascii="Times New Roman" w:hAnsi="Times New Roman"/>
                <w:bCs/>
                <w:sz w:val="24"/>
                <w:szCs w:val="28"/>
                <w:lang w:val="ro-MD"/>
              </w:rPr>
              <w:t>În această ordine idei, la efectuarea livrărilor de mărfuri, servicii către beneficiarul proiectului, agentul economic urmează să prezinte scrisoarea pe blancheta oficială, emisă de către Ministerul Infrastructurii și Dezvoltării Regionale, precum și să documenteze livrarea respectivă prin emiterea facturii fiscale.</w:t>
            </w:r>
          </w:p>
        </w:tc>
      </w:tr>
      <w:tr w:rsidR="00F70DCA" w:rsidRPr="009C4A78" w:rsidTr="00BD596A">
        <w:trPr>
          <w:trHeight w:val="381"/>
        </w:trPr>
        <w:tc>
          <w:tcPr>
            <w:tcW w:w="981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F70DCA" w:rsidRPr="009C4A78" w:rsidRDefault="00F70DCA" w:rsidP="009C4A78">
            <w:pPr>
              <w:rPr>
                <w:rFonts w:ascii="Times New Roman" w:hAnsi="Times New Roman"/>
                <w:b/>
                <w:bCs/>
                <w:sz w:val="24"/>
                <w:szCs w:val="24"/>
                <w:lang w:val="ro-MD"/>
              </w:rPr>
            </w:pPr>
            <w:r w:rsidRPr="009C4A78">
              <w:rPr>
                <w:rFonts w:ascii="Times New Roman" w:hAnsi="Times New Roman"/>
                <w:b/>
                <w:bCs/>
                <w:sz w:val="24"/>
                <w:szCs w:val="24"/>
                <w:lang w:val="ro-MD"/>
              </w:rPr>
              <w:t xml:space="preserve">4. Analiza impactului de reglementare </w:t>
            </w:r>
          </w:p>
        </w:tc>
      </w:tr>
      <w:tr w:rsidR="00F70DCA" w:rsidRPr="009C4A78" w:rsidTr="00BD596A">
        <w:tc>
          <w:tcPr>
            <w:tcW w:w="981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F70DCA" w:rsidRPr="009C4A78" w:rsidRDefault="00F70DCA" w:rsidP="009C4A78">
            <w:pPr>
              <w:rPr>
                <w:rFonts w:ascii="Times New Roman" w:hAnsi="Times New Roman"/>
                <w:sz w:val="24"/>
                <w:szCs w:val="24"/>
                <w:lang w:val="ro-MD"/>
              </w:rPr>
            </w:pPr>
            <w:r w:rsidRPr="009C4A78">
              <w:rPr>
                <w:rFonts w:ascii="Times New Roman" w:hAnsi="Times New Roman"/>
                <w:sz w:val="24"/>
                <w:szCs w:val="24"/>
                <w:lang w:val="ro-MD"/>
              </w:rPr>
              <w:t>4.1. Impactul asupra sectorului public</w:t>
            </w:r>
          </w:p>
        </w:tc>
      </w:tr>
      <w:tr w:rsidR="00F70DCA" w:rsidRPr="009C4A78" w:rsidTr="00BD596A">
        <w:tc>
          <w:tcPr>
            <w:tcW w:w="981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F70DCA" w:rsidRPr="009C4A78" w:rsidRDefault="00F70DCA" w:rsidP="009C4A78">
            <w:pPr>
              <w:rPr>
                <w:rFonts w:ascii="Times New Roman" w:hAnsi="Times New Roman"/>
                <w:sz w:val="24"/>
                <w:szCs w:val="24"/>
                <w:lang w:val="ro-MD"/>
              </w:rPr>
            </w:pPr>
            <w:r w:rsidRPr="009C4A78">
              <w:rPr>
                <w:rFonts w:ascii="Times New Roman" w:hAnsi="Times New Roman"/>
                <w:sz w:val="24"/>
                <w:szCs w:val="24"/>
                <w:lang w:val="ro-MD"/>
              </w:rPr>
              <w:t>4.2. Impactul financiar și argumentarea costurilor estimative</w:t>
            </w:r>
          </w:p>
        </w:tc>
      </w:tr>
      <w:tr w:rsidR="00F70DCA" w:rsidRPr="009C4A78" w:rsidTr="00BD596A">
        <w:tc>
          <w:tcPr>
            <w:tcW w:w="981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F70DCA" w:rsidRPr="009C4A78" w:rsidRDefault="00F70DCA" w:rsidP="009C4A78">
            <w:pPr>
              <w:rPr>
                <w:rFonts w:ascii="Times New Roman" w:hAnsi="Times New Roman"/>
                <w:sz w:val="24"/>
                <w:szCs w:val="24"/>
                <w:lang w:val="ro-MD"/>
              </w:rPr>
            </w:pPr>
            <w:r w:rsidRPr="009C4A78">
              <w:rPr>
                <w:rFonts w:ascii="Times New Roman" w:hAnsi="Times New Roman"/>
                <w:sz w:val="24"/>
                <w:szCs w:val="24"/>
                <w:lang w:val="ro-MD"/>
              </w:rPr>
              <w:t>4.3. Impactul asupra sectorului privat</w:t>
            </w:r>
          </w:p>
        </w:tc>
      </w:tr>
      <w:tr w:rsidR="00F70DCA" w:rsidRPr="009C4A78" w:rsidTr="00BD596A">
        <w:tc>
          <w:tcPr>
            <w:tcW w:w="981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F70DCA" w:rsidRPr="009C4A78" w:rsidRDefault="00F70DCA" w:rsidP="009C4A78">
            <w:pPr>
              <w:rPr>
                <w:rFonts w:ascii="Times New Roman" w:hAnsi="Times New Roman"/>
                <w:sz w:val="24"/>
                <w:szCs w:val="24"/>
                <w:lang w:val="ro-MD"/>
              </w:rPr>
            </w:pPr>
            <w:r w:rsidRPr="009C4A78">
              <w:rPr>
                <w:rFonts w:ascii="Times New Roman" w:hAnsi="Times New Roman"/>
                <w:sz w:val="24"/>
                <w:szCs w:val="24"/>
                <w:lang w:val="ro-MD"/>
              </w:rPr>
              <w:t>4.4. Impactul social</w:t>
            </w:r>
          </w:p>
          <w:p w:rsidR="00F70DCA" w:rsidRPr="009C4A78" w:rsidRDefault="00F70DCA" w:rsidP="009C4A78">
            <w:pPr>
              <w:rPr>
                <w:rFonts w:ascii="Times New Roman" w:hAnsi="Times New Roman"/>
                <w:sz w:val="24"/>
                <w:szCs w:val="24"/>
                <w:lang w:val="ro-MD"/>
              </w:rPr>
            </w:pPr>
            <w:r w:rsidRPr="009C4A78">
              <w:rPr>
                <w:rFonts w:ascii="Times New Roman" w:hAnsi="Times New Roman"/>
                <w:sz w:val="24"/>
                <w:szCs w:val="24"/>
                <w:lang w:val="ro-MD"/>
              </w:rPr>
              <w:t>4.4.1. Impactul asupra datelor cu caracter personal</w:t>
            </w:r>
          </w:p>
          <w:p w:rsidR="00BD596A" w:rsidRPr="009C4A78" w:rsidRDefault="00F70DCA" w:rsidP="009C4A78">
            <w:pPr>
              <w:rPr>
                <w:rFonts w:ascii="Times New Roman" w:hAnsi="Times New Roman"/>
                <w:sz w:val="24"/>
                <w:szCs w:val="24"/>
                <w:lang w:val="ro-MD"/>
              </w:rPr>
            </w:pPr>
            <w:r w:rsidRPr="009C4A78">
              <w:rPr>
                <w:rFonts w:ascii="Times New Roman" w:hAnsi="Times New Roman"/>
                <w:sz w:val="24"/>
                <w:szCs w:val="24"/>
                <w:lang w:val="ro-MD"/>
              </w:rPr>
              <w:t>4.4.2. Impactul asupra echității și egalității de gen</w:t>
            </w:r>
          </w:p>
        </w:tc>
      </w:tr>
      <w:tr w:rsidR="00F70DCA" w:rsidRPr="009C4A78" w:rsidTr="00BD596A">
        <w:tc>
          <w:tcPr>
            <w:tcW w:w="981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BD596A" w:rsidRPr="009C4A78" w:rsidRDefault="00F70DCA" w:rsidP="009C4A78">
            <w:pPr>
              <w:rPr>
                <w:rFonts w:ascii="Times New Roman" w:hAnsi="Times New Roman"/>
                <w:sz w:val="24"/>
                <w:szCs w:val="24"/>
                <w:lang w:val="ro-MD"/>
              </w:rPr>
            </w:pPr>
            <w:r w:rsidRPr="009C4A78">
              <w:rPr>
                <w:rFonts w:ascii="Times New Roman" w:hAnsi="Times New Roman"/>
                <w:sz w:val="24"/>
                <w:szCs w:val="24"/>
                <w:lang w:val="ro-MD"/>
              </w:rPr>
              <w:lastRenderedPageBreak/>
              <w:t>4.5. Impactul asupra mediului</w:t>
            </w:r>
          </w:p>
        </w:tc>
      </w:tr>
      <w:tr w:rsidR="00F70DCA" w:rsidRPr="009C4A78" w:rsidTr="00BD596A">
        <w:tc>
          <w:tcPr>
            <w:tcW w:w="981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F70DCA" w:rsidRPr="009C4A78" w:rsidRDefault="00F70DCA" w:rsidP="009C4A78">
            <w:pPr>
              <w:rPr>
                <w:rFonts w:ascii="Times New Roman" w:hAnsi="Times New Roman"/>
                <w:sz w:val="24"/>
                <w:szCs w:val="24"/>
                <w:lang w:val="ro-MD"/>
              </w:rPr>
            </w:pPr>
            <w:r w:rsidRPr="009C4A78">
              <w:rPr>
                <w:rFonts w:ascii="Times New Roman" w:hAnsi="Times New Roman"/>
                <w:sz w:val="24"/>
                <w:szCs w:val="24"/>
                <w:lang w:val="ro-MD"/>
              </w:rPr>
              <w:t>4.6. Alte impacturi și informații relevante</w:t>
            </w:r>
          </w:p>
        </w:tc>
      </w:tr>
      <w:tr w:rsidR="00F70DCA" w:rsidRPr="009C4A78" w:rsidTr="00BD596A">
        <w:tc>
          <w:tcPr>
            <w:tcW w:w="9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70DCA" w:rsidRDefault="00F70DCA" w:rsidP="009C4A78">
            <w:pPr>
              <w:rPr>
                <w:rFonts w:ascii="Times New Roman" w:hAnsi="Times New Roman"/>
                <w:sz w:val="24"/>
                <w:szCs w:val="24"/>
                <w:lang w:val="ro-MD"/>
              </w:rPr>
            </w:pPr>
            <w:r w:rsidRPr="009C4A78">
              <w:rPr>
                <w:rFonts w:ascii="Times New Roman" w:hAnsi="Times New Roman"/>
                <w:sz w:val="24"/>
                <w:szCs w:val="24"/>
                <w:lang w:val="ro-MD"/>
              </w:rPr>
              <w:t xml:space="preserve"> </w:t>
            </w:r>
            <w:r w:rsidR="009C4A78" w:rsidRPr="009C4A78">
              <w:rPr>
                <w:rFonts w:ascii="Times New Roman" w:hAnsi="Times New Roman"/>
                <w:sz w:val="24"/>
                <w:szCs w:val="24"/>
                <w:lang w:val="ro-MD"/>
              </w:rPr>
              <w:t xml:space="preserve">Implementarea proiectului actului normativ nu înregistrează </w:t>
            </w:r>
            <w:r w:rsidR="009C4A78">
              <w:rPr>
                <w:rFonts w:ascii="Times New Roman" w:hAnsi="Times New Roman"/>
                <w:sz w:val="24"/>
                <w:szCs w:val="24"/>
                <w:lang w:val="ro-MD"/>
              </w:rPr>
              <w:t>impact asupra sectorului public, sectorului privat, asupra mediului și nu necesită cheltuieli financiare suplimentare din bugetul de stat.</w:t>
            </w:r>
          </w:p>
          <w:p w:rsidR="009C4A78" w:rsidRPr="009C4A78" w:rsidRDefault="009C4A78" w:rsidP="009C4A78">
            <w:pPr>
              <w:rPr>
                <w:rFonts w:ascii="Times New Roman" w:hAnsi="Times New Roman"/>
                <w:sz w:val="24"/>
                <w:szCs w:val="24"/>
                <w:lang w:val="ro-MD"/>
              </w:rPr>
            </w:pPr>
            <w:r>
              <w:rPr>
                <w:rFonts w:ascii="Times New Roman" w:hAnsi="Times New Roman"/>
                <w:sz w:val="24"/>
                <w:szCs w:val="24"/>
                <w:lang w:val="ro-MD"/>
              </w:rPr>
              <w:t xml:space="preserve">Totodată, </w:t>
            </w:r>
            <w:r w:rsidR="000F32D5">
              <w:rPr>
                <w:rFonts w:ascii="Times New Roman" w:hAnsi="Times New Roman"/>
                <w:sz w:val="24"/>
                <w:szCs w:val="24"/>
                <w:lang w:val="ro-MD"/>
              </w:rPr>
              <w:t>implementarea P</w:t>
            </w:r>
            <w:r w:rsidRPr="009C4A78">
              <w:rPr>
                <w:rFonts w:ascii="Times New Roman" w:hAnsi="Times New Roman"/>
                <w:sz w:val="24"/>
                <w:szCs w:val="24"/>
                <w:lang w:val="ro-MD"/>
              </w:rPr>
              <w:t>roiectului „Locuințe publice III” va viza în deosebi, reutilizarea clădirilor existente în locuințe publice, reședințe studențești și centre de plasament pentru persoanele în etate/persoanele cu dizabilități pentru un număr estimat de 3060 de beneficiari  și cu o suprafață totală de construcții estimată de 56 266 m</w:t>
            </w:r>
            <w:r w:rsidRPr="009C4A78">
              <w:rPr>
                <w:rFonts w:ascii="Times New Roman" w:hAnsi="Times New Roman"/>
                <w:sz w:val="24"/>
                <w:szCs w:val="24"/>
                <w:vertAlign w:val="superscript"/>
                <w:lang w:val="ro-MD"/>
              </w:rPr>
              <w:t>2</w:t>
            </w:r>
            <w:r w:rsidRPr="009C4A78">
              <w:rPr>
                <w:rFonts w:ascii="Times New Roman" w:hAnsi="Times New Roman"/>
                <w:sz w:val="24"/>
                <w:szCs w:val="24"/>
                <w:lang w:val="ro-MD"/>
              </w:rPr>
              <w:t>, reconstruite la standardele de eficiență energetică.</w:t>
            </w:r>
          </w:p>
        </w:tc>
      </w:tr>
      <w:tr w:rsidR="00F70DCA" w:rsidRPr="009C4A78" w:rsidTr="00BD596A">
        <w:tc>
          <w:tcPr>
            <w:tcW w:w="981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F70DCA" w:rsidRPr="009C4A78" w:rsidRDefault="00F70DCA" w:rsidP="009C4A78">
            <w:pPr>
              <w:rPr>
                <w:rFonts w:ascii="Times New Roman" w:hAnsi="Times New Roman"/>
                <w:b/>
                <w:bCs/>
                <w:sz w:val="24"/>
                <w:szCs w:val="24"/>
                <w:lang w:val="ro-MD"/>
              </w:rPr>
            </w:pPr>
            <w:r w:rsidRPr="009C4A78">
              <w:rPr>
                <w:rFonts w:ascii="Times New Roman" w:hAnsi="Times New Roman"/>
                <w:b/>
                <w:bCs/>
                <w:sz w:val="24"/>
                <w:szCs w:val="24"/>
                <w:lang w:val="ro-MD"/>
              </w:rPr>
              <w:t xml:space="preserve">5. Compatibilitatea proiectului actului normativ cu legislația UE </w:t>
            </w:r>
          </w:p>
        </w:tc>
      </w:tr>
      <w:tr w:rsidR="00F70DCA" w:rsidRPr="009C4A78" w:rsidTr="00BD596A">
        <w:tc>
          <w:tcPr>
            <w:tcW w:w="981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BD596A" w:rsidRPr="009C4A78" w:rsidRDefault="00F70DCA" w:rsidP="009C4A78">
            <w:pPr>
              <w:rPr>
                <w:rFonts w:ascii="Times New Roman" w:hAnsi="Times New Roman"/>
                <w:sz w:val="24"/>
                <w:szCs w:val="24"/>
                <w:lang w:val="ro-MD"/>
              </w:rPr>
            </w:pPr>
            <w:r w:rsidRPr="009C4A78">
              <w:rPr>
                <w:rFonts w:ascii="Times New Roman" w:hAnsi="Times New Roman"/>
                <w:sz w:val="24"/>
                <w:szCs w:val="24"/>
                <w:lang w:val="ro-MD"/>
              </w:rPr>
              <w:t>5.1. Măsuri normative necesare pentru transpunerea actelor juridice ale UE în legislația națională</w:t>
            </w:r>
          </w:p>
        </w:tc>
      </w:tr>
      <w:tr w:rsidR="00F70DCA" w:rsidRPr="009C4A78" w:rsidTr="00BD596A">
        <w:tc>
          <w:tcPr>
            <w:tcW w:w="981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BD596A" w:rsidRPr="009C4A78" w:rsidRDefault="00F70DCA" w:rsidP="009C4A78">
            <w:pPr>
              <w:rPr>
                <w:rFonts w:ascii="Times New Roman" w:hAnsi="Times New Roman"/>
                <w:sz w:val="24"/>
                <w:szCs w:val="24"/>
                <w:lang w:val="ro-MD"/>
              </w:rPr>
            </w:pPr>
            <w:r w:rsidRPr="009C4A78">
              <w:rPr>
                <w:rFonts w:ascii="Times New Roman" w:hAnsi="Times New Roman"/>
                <w:sz w:val="24"/>
                <w:szCs w:val="24"/>
                <w:lang w:val="ro-MD"/>
              </w:rPr>
              <w:t>5.2. Măsuri normative care urmăresc crearea cadrului juridic intern necesar pentru implementarea legislației UE</w:t>
            </w:r>
          </w:p>
        </w:tc>
      </w:tr>
      <w:tr w:rsidR="00F70DCA" w:rsidRPr="009C4A78" w:rsidTr="00BD596A">
        <w:tc>
          <w:tcPr>
            <w:tcW w:w="9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70DCA" w:rsidRPr="009C4A78" w:rsidRDefault="00F70DCA" w:rsidP="000F32D5">
            <w:pPr>
              <w:rPr>
                <w:rFonts w:ascii="Times New Roman" w:hAnsi="Times New Roman"/>
                <w:sz w:val="24"/>
                <w:szCs w:val="24"/>
                <w:lang w:val="ro-MD"/>
              </w:rPr>
            </w:pPr>
            <w:r w:rsidRPr="009C4A78">
              <w:rPr>
                <w:rFonts w:ascii="Times New Roman" w:hAnsi="Times New Roman"/>
                <w:sz w:val="24"/>
                <w:szCs w:val="24"/>
                <w:lang w:val="ro-MD"/>
              </w:rPr>
              <w:t xml:space="preserve"> </w:t>
            </w:r>
            <w:r w:rsidR="00BD596A" w:rsidRPr="009C4A78">
              <w:rPr>
                <w:rFonts w:ascii="Times New Roman" w:hAnsi="Times New Roman"/>
                <w:sz w:val="24"/>
                <w:szCs w:val="24"/>
                <w:lang w:val="ro-MD"/>
              </w:rPr>
              <w:t>Proiectul Hotărârii Guvernului nu transpune prevederile legislației Uniunii Europene.</w:t>
            </w:r>
          </w:p>
        </w:tc>
      </w:tr>
      <w:tr w:rsidR="00F70DCA" w:rsidRPr="009C4A78" w:rsidTr="00BD596A">
        <w:tc>
          <w:tcPr>
            <w:tcW w:w="981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F70DCA" w:rsidRPr="009C4A78" w:rsidRDefault="00F70DCA" w:rsidP="009C4A78">
            <w:pPr>
              <w:rPr>
                <w:rFonts w:ascii="Times New Roman" w:hAnsi="Times New Roman"/>
                <w:b/>
                <w:bCs/>
                <w:sz w:val="24"/>
                <w:szCs w:val="24"/>
                <w:lang w:val="ro-MD"/>
              </w:rPr>
            </w:pPr>
            <w:r w:rsidRPr="009C4A78">
              <w:rPr>
                <w:rFonts w:ascii="Times New Roman" w:hAnsi="Times New Roman"/>
                <w:b/>
                <w:bCs/>
                <w:sz w:val="24"/>
                <w:szCs w:val="24"/>
                <w:lang w:val="ro-MD"/>
              </w:rPr>
              <w:t>6. Avizarea și consultarea publică a proiectului actului normativ</w:t>
            </w:r>
          </w:p>
        </w:tc>
      </w:tr>
      <w:tr w:rsidR="00F70DCA" w:rsidRPr="009C4A78" w:rsidTr="00BD596A">
        <w:tc>
          <w:tcPr>
            <w:tcW w:w="9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BD596A" w:rsidRPr="009C4A78" w:rsidRDefault="00BD596A" w:rsidP="009C4A78">
            <w:pPr>
              <w:tabs>
                <w:tab w:val="left" w:pos="776"/>
              </w:tabs>
              <w:contextualSpacing/>
              <w:rPr>
                <w:rFonts w:ascii="Times New Roman" w:hAnsi="Times New Roman"/>
                <w:sz w:val="24"/>
                <w:szCs w:val="28"/>
                <w:lang w:val="ro-MD"/>
              </w:rPr>
            </w:pPr>
            <w:r w:rsidRPr="009C4A78">
              <w:rPr>
                <w:rFonts w:ascii="Times New Roman" w:hAnsi="Times New Roman"/>
                <w:sz w:val="24"/>
                <w:szCs w:val="28"/>
                <w:lang w:val="ro-MD"/>
              </w:rPr>
              <w:t>În scopul respectării prevederilor Legii nr.239/2008 privind transparența în procesul decizional, anunțul privind organizarea consultărilor publice a proiectului a fost plasat pe pagina oficială a Ministerului Finanțelor, la compartimentul Transparența decizională/Procesul decizional și urmează a fi asigurată avizarea acestuia de către instituțiile interesate.</w:t>
            </w:r>
          </w:p>
          <w:p w:rsidR="00BD596A" w:rsidRPr="009C4A78" w:rsidRDefault="00BD596A" w:rsidP="009C4A78">
            <w:pPr>
              <w:tabs>
                <w:tab w:val="left" w:pos="776"/>
              </w:tabs>
              <w:contextualSpacing/>
              <w:rPr>
                <w:rFonts w:ascii="Times New Roman" w:hAnsi="Times New Roman"/>
                <w:sz w:val="24"/>
                <w:szCs w:val="28"/>
                <w:lang w:val="ro-MD"/>
              </w:rPr>
            </w:pPr>
            <w:r w:rsidRPr="009C4A78">
              <w:rPr>
                <w:rFonts w:ascii="Times New Roman" w:hAnsi="Times New Roman"/>
                <w:sz w:val="24"/>
                <w:szCs w:val="28"/>
                <w:lang w:val="ro-MD"/>
              </w:rPr>
              <w:t>Concomitent, proiectul urmează a fi avizat de către Ministerul Infrastructurii și Dezvoltării Regionale, Ministerul Dezvoltării Economice și Digitalizării, precum și supus expertizei juridice de către Ministerul Justiției.</w:t>
            </w:r>
          </w:p>
          <w:p w:rsidR="00F70DCA" w:rsidRPr="009C4A78" w:rsidRDefault="00BD596A" w:rsidP="009C4A78">
            <w:pPr>
              <w:rPr>
                <w:rFonts w:ascii="Times New Roman" w:hAnsi="Times New Roman"/>
                <w:sz w:val="24"/>
                <w:szCs w:val="24"/>
                <w:lang w:val="ro-MD"/>
              </w:rPr>
            </w:pPr>
            <w:r w:rsidRPr="009C4A78">
              <w:rPr>
                <w:rFonts w:ascii="Times New Roman" w:hAnsi="Times New Roman"/>
                <w:sz w:val="24"/>
                <w:szCs w:val="28"/>
                <w:lang w:val="ro-MD"/>
              </w:rPr>
              <w:t>Totodată, proiectul urmează a fi  supus expertizei anticorupție de către Centrului Național Anticorupție.</w:t>
            </w:r>
            <w:r w:rsidR="00F70DCA" w:rsidRPr="009C4A78">
              <w:rPr>
                <w:rFonts w:ascii="Times New Roman" w:hAnsi="Times New Roman"/>
                <w:sz w:val="24"/>
                <w:szCs w:val="24"/>
                <w:lang w:val="ro-MD"/>
              </w:rPr>
              <w:t xml:space="preserve"> </w:t>
            </w:r>
          </w:p>
        </w:tc>
      </w:tr>
      <w:tr w:rsidR="00F70DCA" w:rsidRPr="009C4A78" w:rsidTr="00BD596A">
        <w:tc>
          <w:tcPr>
            <w:tcW w:w="981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F70DCA" w:rsidRPr="009C4A78" w:rsidRDefault="00F70DCA" w:rsidP="009C4A78">
            <w:pPr>
              <w:rPr>
                <w:rFonts w:ascii="Times New Roman" w:hAnsi="Times New Roman"/>
                <w:b/>
                <w:bCs/>
                <w:sz w:val="24"/>
                <w:szCs w:val="24"/>
                <w:lang w:val="ro-MD"/>
              </w:rPr>
            </w:pPr>
            <w:r w:rsidRPr="009C4A78">
              <w:rPr>
                <w:rFonts w:ascii="Times New Roman" w:hAnsi="Times New Roman"/>
                <w:b/>
                <w:bCs/>
                <w:sz w:val="24"/>
                <w:szCs w:val="24"/>
                <w:lang w:val="ro-MD"/>
              </w:rPr>
              <w:t>7. Concluziile expertizelor</w:t>
            </w:r>
          </w:p>
        </w:tc>
      </w:tr>
      <w:tr w:rsidR="00F70DCA" w:rsidRPr="009C4A78" w:rsidTr="00BD596A">
        <w:tc>
          <w:tcPr>
            <w:tcW w:w="9810"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rsidR="00F70DCA" w:rsidRPr="009C4A78" w:rsidRDefault="00BD596A" w:rsidP="009C4A78">
            <w:pPr>
              <w:rPr>
                <w:rFonts w:ascii="Times New Roman" w:hAnsi="Times New Roman"/>
                <w:b/>
                <w:bCs/>
                <w:sz w:val="24"/>
                <w:szCs w:val="24"/>
                <w:lang w:val="ro-MD"/>
              </w:rPr>
            </w:pPr>
            <w:r w:rsidRPr="009C4A78">
              <w:rPr>
                <w:rFonts w:ascii="Times New Roman" w:hAnsi="Times New Roman"/>
                <w:sz w:val="24"/>
                <w:szCs w:val="24"/>
                <w:lang w:val="ro-MD"/>
              </w:rPr>
              <w:t>Concluziile expertizelor vor fi incluse în sinteza obiecțiilor și propunerilor la proiect după recepționarea avizelor.</w:t>
            </w:r>
          </w:p>
        </w:tc>
      </w:tr>
      <w:tr w:rsidR="00F70DCA" w:rsidRPr="009C4A78" w:rsidTr="00BD596A">
        <w:tc>
          <w:tcPr>
            <w:tcW w:w="981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F70DCA" w:rsidRPr="009C4A78" w:rsidRDefault="00F70DCA" w:rsidP="009C4A78">
            <w:pPr>
              <w:rPr>
                <w:rFonts w:ascii="Times New Roman" w:hAnsi="Times New Roman"/>
                <w:b/>
                <w:bCs/>
                <w:sz w:val="24"/>
                <w:szCs w:val="24"/>
                <w:lang w:val="ro-MD"/>
              </w:rPr>
            </w:pPr>
            <w:r w:rsidRPr="009C4A78">
              <w:rPr>
                <w:rFonts w:ascii="Times New Roman" w:hAnsi="Times New Roman"/>
                <w:b/>
                <w:bCs/>
                <w:sz w:val="24"/>
                <w:szCs w:val="24"/>
                <w:lang w:val="ro-MD"/>
              </w:rPr>
              <w:t>8. Modul de încorporare a actului în cadrul normativ existent</w:t>
            </w:r>
          </w:p>
        </w:tc>
      </w:tr>
      <w:tr w:rsidR="00F70DCA" w:rsidRPr="009C4A78" w:rsidTr="00BD596A">
        <w:tc>
          <w:tcPr>
            <w:tcW w:w="9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70DCA" w:rsidRPr="009C4A78" w:rsidRDefault="00F70DCA" w:rsidP="009C4A78">
            <w:pPr>
              <w:rPr>
                <w:rFonts w:ascii="Times New Roman" w:hAnsi="Times New Roman"/>
                <w:sz w:val="24"/>
                <w:szCs w:val="24"/>
                <w:lang w:val="ro-MD"/>
              </w:rPr>
            </w:pPr>
            <w:r w:rsidRPr="009C4A78">
              <w:rPr>
                <w:rFonts w:ascii="Times New Roman" w:hAnsi="Times New Roman"/>
                <w:sz w:val="24"/>
                <w:szCs w:val="24"/>
                <w:lang w:val="ro-MD"/>
              </w:rPr>
              <w:t xml:space="preserve"> </w:t>
            </w:r>
            <w:r w:rsidR="00BD596A" w:rsidRPr="009C4A78">
              <w:rPr>
                <w:rFonts w:ascii="Times New Roman" w:hAnsi="Times New Roman"/>
                <w:sz w:val="24"/>
                <w:szCs w:val="24"/>
                <w:lang w:val="ro-MD"/>
              </w:rPr>
              <w:t>Proiectul actului normativ nu are drept consecință modificarea sau abrogarea  altor acte normative.</w:t>
            </w:r>
          </w:p>
        </w:tc>
      </w:tr>
      <w:tr w:rsidR="00F70DCA" w:rsidRPr="009C4A78" w:rsidTr="00BD596A">
        <w:tc>
          <w:tcPr>
            <w:tcW w:w="981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F70DCA" w:rsidRPr="009C4A78" w:rsidRDefault="00F70DCA" w:rsidP="009C4A78">
            <w:pPr>
              <w:rPr>
                <w:rFonts w:ascii="Times New Roman" w:hAnsi="Times New Roman"/>
                <w:b/>
                <w:bCs/>
                <w:sz w:val="24"/>
                <w:szCs w:val="24"/>
                <w:lang w:val="ro-MD"/>
              </w:rPr>
            </w:pPr>
            <w:r w:rsidRPr="009C4A78">
              <w:rPr>
                <w:rFonts w:ascii="Times New Roman" w:hAnsi="Times New Roman"/>
                <w:b/>
                <w:bCs/>
                <w:sz w:val="24"/>
                <w:szCs w:val="24"/>
                <w:lang w:val="ro-MD"/>
              </w:rPr>
              <w:t>9. Măsurile necesare pentru implementarea prevederilor proiectului actului normativ</w:t>
            </w:r>
          </w:p>
        </w:tc>
      </w:tr>
      <w:tr w:rsidR="00F70DCA" w:rsidRPr="009C4A78" w:rsidTr="00BD596A">
        <w:tc>
          <w:tcPr>
            <w:tcW w:w="981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70DCA" w:rsidRPr="009C4A78" w:rsidRDefault="00F70DCA" w:rsidP="00621216">
            <w:pPr>
              <w:rPr>
                <w:rFonts w:ascii="Times New Roman" w:hAnsi="Times New Roman"/>
                <w:sz w:val="24"/>
                <w:szCs w:val="24"/>
                <w:lang w:val="ro-MD"/>
              </w:rPr>
            </w:pPr>
            <w:r w:rsidRPr="009C4A78">
              <w:rPr>
                <w:rFonts w:ascii="Times New Roman" w:hAnsi="Times New Roman"/>
                <w:sz w:val="24"/>
                <w:szCs w:val="24"/>
                <w:lang w:val="ro-MD"/>
              </w:rPr>
              <w:t xml:space="preserve"> </w:t>
            </w:r>
            <w:r w:rsidR="000F32D5">
              <w:rPr>
                <w:rFonts w:ascii="Times New Roman" w:hAnsi="Times New Roman"/>
                <w:sz w:val="24"/>
                <w:szCs w:val="24"/>
                <w:lang w:val="ro-MD"/>
              </w:rPr>
              <w:t xml:space="preserve">Implementarea proiectului </w:t>
            </w:r>
            <w:r w:rsidR="00621216">
              <w:rPr>
                <w:rFonts w:ascii="Times New Roman" w:hAnsi="Times New Roman"/>
                <w:sz w:val="24"/>
                <w:szCs w:val="24"/>
                <w:lang w:val="ro-MD"/>
              </w:rPr>
              <w:t>nu implică realizarea unor acțiuni complementare.</w:t>
            </w:r>
            <w:bookmarkStart w:id="0" w:name="_GoBack"/>
            <w:bookmarkEnd w:id="0"/>
          </w:p>
        </w:tc>
      </w:tr>
    </w:tbl>
    <w:p w:rsidR="002520F2" w:rsidRPr="009C4A78" w:rsidRDefault="002520F2">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MD"/>
        </w:rPr>
      </w:pPr>
    </w:p>
    <w:p w:rsidR="009C4A78" w:rsidRPr="009C4A78" w:rsidRDefault="009C4A78">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MD"/>
        </w:rPr>
      </w:pPr>
    </w:p>
    <w:p w:rsidR="009C4A78" w:rsidRPr="009C4A78" w:rsidRDefault="009C4A78">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MD"/>
        </w:rPr>
      </w:pPr>
    </w:p>
    <w:p w:rsidR="009C4A78" w:rsidRPr="009C4A78" w:rsidRDefault="009C4A78">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MD"/>
        </w:rPr>
      </w:pPr>
      <w:r w:rsidRPr="009C4A78">
        <w:rPr>
          <w:b/>
          <w:sz w:val="24"/>
          <w:szCs w:val="24"/>
          <w:lang w:val="ro-MD"/>
        </w:rPr>
        <w:t>Ministru                                                                                   Victoria BELOUS</w:t>
      </w:r>
    </w:p>
    <w:sectPr w:rsidR="009C4A78" w:rsidRPr="009C4A78" w:rsidSect="009C4A78">
      <w:headerReference w:type="default" r:id="rId11"/>
      <w:headerReference w:type="first" r:id="rId12"/>
      <w:pgSz w:w="11906" w:h="16838" w:code="9"/>
      <w:pgMar w:top="630" w:right="567" w:bottom="1418" w:left="1985"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819" w:rsidRDefault="00FD2819">
      <w:r>
        <w:separator/>
      </w:r>
    </w:p>
  </w:endnote>
  <w:endnote w:type="continuationSeparator" w:id="0">
    <w:p w:rsidR="00FD2819" w:rsidRDefault="00FD2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00"/>
    <w:family w:val="auto"/>
    <w:pitch w:val="default"/>
  </w:font>
  <w:font w:name="Calibri">
    <w:panose1 w:val="020F0502020204030204"/>
    <w:charset w:val="00"/>
    <w:family w:val="swiss"/>
    <w:pitch w:val="variable"/>
    <w:sig w:usb0="E4002EFF" w:usb1="C000247B" w:usb2="00000009" w:usb3="00000000" w:csb0="000001FF" w:csb1="00000000"/>
  </w:font>
  <w:font w:name="$ Benguiat_Bold">
    <w:altName w:val="Cambria Math"/>
    <w:charset w:val="00"/>
    <w:family w:val="auto"/>
    <w:pitch w:val="default"/>
  </w:font>
  <w:font w:name="$Caslon">
    <w:altName w:val="Cambria Math"/>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819" w:rsidRDefault="00FD2819">
      <w:r>
        <w:separator/>
      </w:r>
    </w:p>
  </w:footnote>
  <w:footnote w:type="continuationSeparator" w:id="0">
    <w:p w:rsidR="00FD2819" w:rsidRDefault="00FD2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0F2" w:rsidRDefault="002520F2">
    <w:pPr>
      <w:pStyle w:val="Header"/>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0F2" w:rsidRDefault="002520F2">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37EE7"/>
    <w:multiLevelType w:val="multilevel"/>
    <w:tmpl w:val="6104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7297F"/>
    <w:multiLevelType w:val="multilevel"/>
    <w:tmpl w:val="636A79C0"/>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736494"/>
    <w:multiLevelType w:val="multilevel"/>
    <w:tmpl w:val="8494BD04"/>
    <w:lvl w:ilvl="0">
      <w:start w:val="1"/>
      <w:numFmt w:val="decimal"/>
      <w:suff w:val="space"/>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 w15:restartNumberingAfterBreak="0">
    <w:nsid w:val="0EF0306E"/>
    <w:multiLevelType w:val="multilevel"/>
    <w:tmpl w:val="5738864E"/>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4E17D1"/>
    <w:multiLevelType w:val="multilevel"/>
    <w:tmpl w:val="C9BCA7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D6012E"/>
    <w:multiLevelType w:val="multilevel"/>
    <w:tmpl w:val="E76CC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135C6E"/>
    <w:multiLevelType w:val="multilevel"/>
    <w:tmpl w:val="7DEA2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056C6"/>
    <w:multiLevelType w:val="multilevel"/>
    <w:tmpl w:val="50FE7F1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D10F2"/>
    <w:multiLevelType w:val="multilevel"/>
    <w:tmpl w:val="87B0E4B6"/>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360FAE"/>
    <w:multiLevelType w:val="multilevel"/>
    <w:tmpl w:val="672A39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61437D"/>
    <w:multiLevelType w:val="multilevel"/>
    <w:tmpl w:val="91005A9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A93430"/>
    <w:multiLevelType w:val="multilevel"/>
    <w:tmpl w:val="9E18916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D34D4E"/>
    <w:multiLevelType w:val="multilevel"/>
    <w:tmpl w:val="CB94A128"/>
    <w:lvl w:ilvl="0">
      <w:start w:val="1"/>
      <w:numFmt w:val="decimal"/>
      <w:lvlText w:val="%1)"/>
      <w:lvlJc w:val="left"/>
      <w:pPr>
        <w:ind w:left="435" w:hanging="360"/>
      </w:pPr>
      <w:rPr>
        <w:rFonts w:ascii="Times New Roman" w:eastAsiaTheme="minorEastAsia" w:hAnsi="Times New Roman" w:cs="Times New Roman"/>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59E1A0C"/>
    <w:multiLevelType w:val="multilevel"/>
    <w:tmpl w:val="CFB012A2"/>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3B08679F"/>
    <w:multiLevelType w:val="multilevel"/>
    <w:tmpl w:val="107A546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C5245B0"/>
    <w:multiLevelType w:val="multilevel"/>
    <w:tmpl w:val="65886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260679"/>
    <w:multiLevelType w:val="multilevel"/>
    <w:tmpl w:val="1896B090"/>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2D51D41"/>
    <w:multiLevelType w:val="multilevel"/>
    <w:tmpl w:val="DC9496DA"/>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B2576C"/>
    <w:multiLevelType w:val="multilevel"/>
    <w:tmpl w:val="07F461B2"/>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A990B0F"/>
    <w:multiLevelType w:val="multilevel"/>
    <w:tmpl w:val="F6802122"/>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326623"/>
    <w:multiLevelType w:val="multilevel"/>
    <w:tmpl w:val="43D48C22"/>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CE07FE7"/>
    <w:multiLevelType w:val="multilevel"/>
    <w:tmpl w:val="1A9ACA12"/>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E611854"/>
    <w:multiLevelType w:val="multilevel"/>
    <w:tmpl w:val="F6608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B32426"/>
    <w:multiLevelType w:val="multilevel"/>
    <w:tmpl w:val="F4C26C3E"/>
    <w:lvl w:ilvl="0">
      <w:start w:val="1"/>
      <w:numFmt w:val="decimal"/>
      <w:lvlText w:val="%1)"/>
      <w:lvlJc w:val="left"/>
      <w:pPr>
        <w:tabs>
          <w:tab w:val="num" w:pos="720"/>
        </w:tabs>
        <w:ind w:left="720" w:hanging="360"/>
      </w:pPr>
      <w:rPr>
        <w:rFonts w:hint="default"/>
        <w:color w:val="auto"/>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37458F5"/>
    <w:multiLevelType w:val="multilevel"/>
    <w:tmpl w:val="D604E4A8"/>
    <w:lvl w:ilvl="0">
      <w:start w:val="1"/>
      <w:numFmt w:val="decimal"/>
      <w:lvlText w:val="%1)"/>
      <w:lvlJc w:val="left"/>
      <w:pPr>
        <w:ind w:left="720" w:hanging="360"/>
      </w:pPr>
      <w:rPr>
        <w:rFonts w:hint="default"/>
        <w:color w:val="0D0D0D" w:themeColor="text1" w:themeTint="F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40C190A"/>
    <w:multiLevelType w:val="multilevel"/>
    <w:tmpl w:val="9DE04BA2"/>
    <w:lvl w:ilvl="0">
      <w:start w:val="1"/>
      <w:numFmt w:val="decimal"/>
      <w:lvlText w:val="%1."/>
      <w:lvlJc w:val="left"/>
      <w:pPr>
        <w:ind w:left="720" w:hanging="360"/>
      </w:pPr>
      <w:rPr>
        <w:rFonts w:ascii="Times New Roman" w:eastAsiaTheme="minorHAnsi" w:hAnsi="Times New Roman" w:cs="Times New Roman"/>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6054BE6"/>
    <w:multiLevelType w:val="multilevel"/>
    <w:tmpl w:val="1382C332"/>
    <w:lvl w:ilvl="0">
      <w:start w:val="1"/>
      <w:numFmt w:val="decimal"/>
      <w:lvlText w:val="%1)"/>
      <w:lvlJc w:val="left"/>
      <w:pPr>
        <w:ind w:left="1287" w:hanging="360"/>
      </w:pPr>
      <w:rPr>
        <w:rFonts w:ascii="Times New Roman" w:eastAsiaTheme="minorEastAsia" w:hAnsi="Times New Roman" w:cs="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56537CE5"/>
    <w:multiLevelType w:val="multilevel"/>
    <w:tmpl w:val="7FA0905A"/>
    <w:lvl w:ilvl="0">
      <w:start w:val="1"/>
      <w:numFmt w:val="decimal"/>
      <w:lvlText w:val="%1)"/>
      <w:lvlJc w:val="left"/>
      <w:pPr>
        <w:ind w:left="810" w:hanging="360"/>
      </w:pPr>
      <w:rPr>
        <w:rFonts w:ascii="Times New Roman" w:eastAsia="Batang" w:hAnsi="Times New Roman" w:cs="Times New Roman"/>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8" w15:restartNumberingAfterBreak="0">
    <w:nsid w:val="597D49C3"/>
    <w:multiLevelType w:val="multilevel"/>
    <w:tmpl w:val="0EB243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A6D4918"/>
    <w:multiLevelType w:val="multilevel"/>
    <w:tmpl w:val="B6DA8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9A75DF"/>
    <w:multiLevelType w:val="multilevel"/>
    <w:tmpl w:val="A16AF180"/>
    <w:lvl w:ilvl="0">
      <w:start w:val="1"/>
      <w:numFmt w:val="lowerLetter"/>
      <w:lvlText w:val="%1)"/>
      <w:lvlJc w:val="left"/>
      <w:pPr>
        <w:ind w:left="786"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2873215"/>
    <w:multiLevelType w:val="multilevel"/>
    <w:tmpl w:val="FD740EF0"/>
    <w:lvl w:ilvl="0">
      <w:start w:val="8"/>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2" w15:restartNumberingAfterBreak="0">
    <w:nsid w:val="69151CD2"/>
    <w:multiLevelType w:val="multilevel"/>
    <w:tmpl w:val="90545B36"/>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3" w15:restartNumberingAfterBreak="0">
    <w:nsid w:val="6BD05FA3"/>
    <w:multiLevelType w:val="multilevel"/>
    <w:tmpl w:val="88DAB1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00D03CC"/>
    <w:multiLevelType w:val="multilevel"/>
    <w:tmpl w:val="BF6039F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24226CA"/>
    <w:multiLevelType w:val="multilevel"/>
    <w:tmpl w:val="8A3CA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557442"/>
    <w:multiLevelType w:val="multilevel"/>
    <w:tmpl w:val="A34E76EC"/>
    <w:lvl w:ilvl="0">
      <w:start w:val="1"/>
      <w:numFmt w:val="decimal"/>
      <w:lvlText w:val="%1."/>
      <w:lvlJc w:val="left"/>
      <w:pPr>
        <w:ind w:left="786" w:hanging="360"/>
      </w:pPr>
      <w:rPr>
        <w:rFonts w:ascii="Times New Roman" w:eastAsia="Times New Roman" w:hAnsi="Times New Roman" w:cs="Times New Roman"/>
        <w:sz w:val="28"/>
        <w:szCs w:val="28"/>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7" w15:restartNumberingAfterBreak="0">
    <w:nsid w:val="725C1387"/>
    <w:multiLevelType w:val="multilevel"/>
    <w:tmpl w:val="B44440A6"/>
    <w:lvl w:ilvl="0">
      <w:start w:val="1"/>
      <w:numFmt w:val="lowerLetter"/>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8" w15:restartNumberingAfterBreak="0">
    <w:nsid w:val="73361EC2"/>
    <w:multiLevelType w:val="multilevel"/>
    <w:tmpl w:val="84F8A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58511D"/>
    <w:multiLevelType w:val="multilevel"/>
    <w:tmpl w:val="084A3D8C"/>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0" w15:restartNumberingAfterBreak="0">
    <w:nsid w:val="763D65FE"/>
    <w:multiLevelType w:val="multilevel"/>
    <w:tmpl w:val="1B5853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A776FA8"/>
    <w:multiLevelType w:val="multilevel"/>
    <w:tmpl w:val="8AB0EBD8"/>
    <w:lvl w:ilvl="0">
      <w:start w:val="1"/>
      <w:numFmt w:val="decimal"/>
      <w:lvlText w:val="%1)"/>
      <w:lvlJc w:val="left"/>
      <w:pPr>
        <w:ind w:left="720" w:hanging="360"/>
      </w:pPr>
      <w:rPr>
        <w:rFonts w:ascii="Times New Roman" w:eastAsiaTheme="minorEastAsia"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1"/>
  </w:num>
  <w:num w:numId="3">
    <w:abstractNumId w:val="4"/>
  </w:num>
  <w:num w:numId="4">
    <w:abstractNumId w:val="33"/>
  </w:num>
  <w:num w:numId="5">
    <w:abstractNumId w:val="23"/>
  </w:num>
  <w:num w:numId="6">
    <w:abstractNumId w:val="28"/>
  </w:num>
  <w:num w:numId="7">
    <w:abstractNumId w:val="40"/>
  </w:num>
  <w:num w:numId="8">
    <w:abstractNumId w:val="9"/>
  </w:num>
  <w:num w:numId="9">
    <w:abstractNumId w:val="7"/>
  </w:num>
  <w:num w:numId="10">
    <w:abstractNumId w:val="13"/>
  </w:num>
  <w:num w:numId="11">
    <w:abstractNumId w:val="27"/>
  </w:num>
  <w:num w:numId="12">
    <w:abstractNumId w:val="18"/>
  </w:num>
  <w:num w:numId="13">
    <w:abstractNumId w:val="14"/>
  </w:num>
  <w:num w:numId="14">
    <w:abstractNumId w:val="34"/>
  </w:num>
  <w:num w:numId="15">
    <w:abstractNumId w:val="26"/>
  </w:num>
  <w:num w:numId="16">
    <w:abstractNumId w:val="12"/>
  </w:num>
  <w:num w:numId="17">
    <w:abstractNumId w:val="41"/>
  </w:num>
  <w:num w:numId="18">
    <w:abstractNumId w:val="24"/>
  </w:num>
  <w:num w:numId="19">
    <w:abstractNumId w:val="39"/>
  </w:num>
  <w:num w:numId="20">
    <w:abstractNumId w:val="19"/>
  </w:num>
  <w:num w:numId="21">
    <w:abstractNumId w:val="30"/>
  </w:num>
  <w:num w:numId="22">
    <w:abstractNumId w:val="10"/>
  </w:num>
  <w:num w:numId="23">
    <w:abstractNumId w:val="22"/>
  </w:num>
  <w:num w:numId="24">
    <w:abstractNumId w:val="0"/>
  </w:num>
  <w:num w:numId="25">
    <w:abstractNumId w:val="29"/>
  </w:num>
  <w:num w:numId="26">
    <w:abstractNumId w:val="38"/>
  </w:num>
  <w:num w:numId="27">
    <w:abstractNumId w:val="1"/>
  </w:num>
  <w:num w:numId="28">
    <w:abstractNumId w:val="25"/>
    <w:lvlOverride w:ilvl="0">
      <w:startOverride w:val="1"/>
    </w:lvlOverride>
  </w:num>
  <w:num w:numId="29">
    <w:abstractNumId w:val="21"/>
  </w:num>
  <w:num w:numId="30">
    <w:abstractNumId w:val="20"/>
  </w:num>
  <w:num w:numId="31">
    <w:abstractNumId w:val="8"/>
  </w:num>
  <w:num w:numId="32">
    <w:abstractNumId w:val="25"/>
  </w:num>
  <w:num w:numId="33">
    <w:abstractNumId w:val="6"/>
  </w:num>
  <w:num w:numId="34">
    <w:abstractNumId w:val="5"/>
  </w:num>
  <w:num w:numId="35">
    <w:abstractNumId w:val="35"/>
  </w:num>
  <w:num w:numId="36">
    <w:abstractNumId w:val="15"/>
  </w:num>
  <w:num w:numId="37">
    <w:abstractNumId w:val="16"/>
  </w:num>
  <w:num w:numId="38">
    <w:abstractNumId w:val="17"/>
  </w:num>
  <w:num w:numId="39">
    <w:abstractNumId w:val="36"/>
  </w:num>
  <w:num w:numId="40">
    <w:abstractNumId w:val="37"/>
  </w:num>
  <w:num w:numId="41">
    <w:abstractNumId w:val="2"/>
  </w:num>
  <w:num w:numId="42">
    <w:abstractNumId w:val="32"/>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0F2"/>
    <w:rsid w:val="000F32D5"/>
    <w:rsid w:val="00240DA2"/>
    <w:rsid w:val="002520F2"/>
    <w:rsid w:val="00621216"/>
    <w:rsid w:val="00664746"/>
    <w:rsid w:val="006C11A5"/>
    <w:rsid w:val="009C4A78"/>
    <w:rsid w:val="00BD596A"/>
    <w:rsid w:val="00F70DCA"/>
    <w:rsid w:val="00FD2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25B88"/>
  <w15:docId w15:val="{1F8F9D9C-4FC8-42A4-9F8B-1891EB5F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link w:val="Heading1Char1"/>
    <w:qFormat/>
    <w:pPr>
      <w:keepNext/>
      <w:spacing w:before="240" w:after="60"/>
      <w:outlineLvl w:val="0"/>
    </w:pPr>
    <w:rPr>
      <w:rFonts w:ascii="Arial" w:hAnsi="Arial"/>
      <w:b/>
      <w:sz w:val="28"/>
    </w:rPr>
  </w:style>
  <w:style w:type="paragraph" w:styleId="Heading2">
    <w:name w:val="heading 2"/>
    <w:basedOn w:val="Normal"/>
    <w:next w:val="Normal"/>
    <w:link w:val="Heading2Char1"/>
    <w:qFormat/>
    <w:pPr>
      <w:keepNext/>
      <w:jc w:val="center"/>
      <w:outlineLvl w:val="1"/>
    </w:pPr>
    <w:rPr>
      <w:rFonts w:ascii="$ Benguiat_Bold" w:hAnsi="$ Benguiat_Bold"/>
      <w:b/>
      <w:sz w:val="132"/>
    </w:rPr>
  </w:style>
  <w:style w:type="paragraph" w:styleId="Heading3">
    <w:name w:val="heading 3"/>
    <w:basedOn w:val="Normal"/>
    <w:next w:val="Normal"/>
    <w:link w:val="Heading3Char1"/>
    <w:qFormat/>
    <w:pPr>
      <w:keepNext/>
      <w:jc w:val="center"/>
      <w:outlineLvl w:val="2"/>
    </w:pPr>
    <w:rPr>
      <w:rFonts w:ascii="$Caslon" w:hAnsi="$Caslon"/>
      <w:b/>
    </w:rPr>
  </w:style>
  <w:style w:type="paragraph" w:styleId="Heading4">
    <w:name w:val="heading 4"/>
    <w:basedOn w:val="Normal"/>
    <w:next w:val="Normal"/>
    <w:link w:val="Heading4Char1"/>
    <w:qFormat/>
    <w:pPr>
      <w:keepNext/>
      <w:jc w:val="center"/>
      <w:outlineLvl w:val="3"/>
    </w:pPr>
    <w:rPr>
      <w:rFonts w:ascii="$Caslon" w:hAnsi="$Caslon"/>
      <w:b/>
      <w:sz w:val="26"/>
    </w:rPr>
  </w:style>
  <w:style w:type="paragraph" w:styleId="Heading5">
    <w:name w:val="heading 5"/>
    <w:basedOn w:val="Normal"/>
    <w:next w:val="Normal"/>
    <w:link w:val="Heading5Char1"/>
    <w:qFormat/>
    <w:pPr>
      <w:keepNext/>
      <w:jc w:val="center"/>
      <w:outlineLvl w:val="4"/>
    </w:pPr>
    <w:rPr>
      <w:rFonts w:ascii="$Caslon" w:hAnsi="$Caslon"/>
      <w:sz w:val="24"/>
    </w:rPr>
  </w:style>
  <w:style w:type="paragraph" w:styleId="Heading6">
    <w:name w:val="heading 6"/>
    <w:basedOn w:val="Normal"/>
    <w:next w:val="Normal"/>
    <w:link w:val="Heading6Char1"/>
    <w:qFormat/>
    <w:pPr>
      <w:keepNext/>
      <w:jc w:val="center"/>
      <w:outlineLvl w:val="5"/>
    </w:pPr>
    <w:rPr>
      <w:rFonts w:ascii="$Caslon" w:hAnsi="$Caslon"/>
      <w:b/>
      <w:sz w:val="22"/>
    </w:rPr>
  </w:style>
  <w:style w:type="paragraph" w:styleId="Heading7">
    <w:name w:val="heading 7"/>
    <w:basedOn w:val="Normal"/>
    <w:next w:val="Normal"/>
    <w:link w:val="Heading7Char1"/>
    <w:qFormat/>
    <w:pPr>
      <w:keepNext/>
      <w:jc w:val="center"/>
      <w:outlineLvl w:val="6"/>
    </w:pPr>
    <w:rPr>
      <w:rFonts w:ascii="Garamond" w:hAnsi="Garamond"/>
      <w:b/>
      <w:sz w:val="28"/>
    </w:rPr>
  </w:style>
  <w:style w:type="paragraph" w:styleId="Heading8">
    <w:name w:val="heading 8"/>
    <w:basedOn w:val="Normal"/>
    <w:next w:val="Normal"/>
    <w:link w:val="Heading8Char1"/>
    <w:qFormat/>
    <w:pPr>
      <w:keepNext/>
      <w:jc w:val="center"/>
      <w:outlineLvl w:val="7"/>
    </w:pPr>
    <w:rPr>
      <w:rFonts w:ascii="$Caslon" w:hAnsi="$Caslon"/>
      <w:b/>
      <w:sz w:val="24"/>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1">
    <w:name w:val="Heading 1 Char1"/>
    <w:basedOn w:val="DefaultParagraphFont"/>
    <w:link w:val="Heading1"/>
    <w:uiPriority w:val="9"/>
    <w:rPr>
      <w:rFonts w:ascii="Arial" w:eastAsia="Arial" w:hAnsi="Arial" w:cs="Arial"/>
      <w:sz w:val="40"/>
      <w:szCs w:val="40"/>
    </w:rPr>
  </w:style>
  <w:style w:type="character" w:customStyle="1" w:styleId="Heading2Char1">
    <w:name w:val="Heading 2 Char1"/>
    <w:basedOn w:val="DefaultParagraphFont"/>
    <w:link w:val="Heading2"/>
    <w:uiPriority w:val="9"/>
    <w:rPr>
      <w:rFonts w:ascii="Arial" w:eastAsia="Arial" w:hAnsi="Arial" w:cs="Arial"/>
      <w:sz w:val="34"/>
    </w:rPr>
  </w:style>
  <w:style w:type="character" w:customStyle="1" w:styleId="Heading3Char1">
    <w:name w:val="Heading 3 Char1"/>
    <w:basedOn w:val="DefaultParagraphFont"/>
    <w:link w:val="Heading3"/>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1"/>
    <w:uiPriority w:val="10"/>
    <w:qFormat/>
    <w:pPr>
      <w:spacing w:before="300" w:after="200"/>
      <w:contextualSpacing/>
    </w:pPr>
    <w:rPr>
      <w:sz w:val="48"/>
      <w:szCs w:val="48"/>
    </w:rPr>
  </w:style>
  <w:style w:type="character" w:customStyle="1" w:styleId="TitleChar1">
    <w:name w:val="Title Char1"/>
    <w:basedOn w:val="DefaultParagraphFont"/>
    <w:link w:val="Title"/>
    <w:uiPriority w:val="10"/>
    <w:rPr>
      <w:sz w:val="48"/>
      <w:szCs w:val="48"/>
    </w:rPr>
  </w:style>
  <w:style w:type="paragraph" w:styleId="Subtitle">
    <w:name w:val="Subtitle"/>
    <w:basedOn w:val="Normal"/>
    <w:next w:val="Normal"/>
    <w:link w:val="SubtitleChar1"/>
    <w:uiPriority w:val="11"/>
    <w:qFormat/>
    <w:pPr>
      <w:spacing w:before="200" w:after="200"/>
    </w:pPr>
    <w:rPr>
      <w:sz w:val="24"/>
      <w:szCs w:val="24"/>
    </w:r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1"/>
    <w:uiPriority w:val="99"/>
    <w:semiHidden/>
    <w:unhideWhenUsed/>
    <w:pPr>
      <w:spacing w:after="40"/>
    </w:pPr>
    <w:rPr>
      <w:sz w:val="18"/>
    </w:rPr>
  </w:style>
  <w:style w:type="character" w:customStyle="1" w:styleId="FootnoteTextChar1">
    <w:name w:val="Footnote Text Char1"/>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1"/>
    <w:uiPriority w:val="99"/>
    <w:semiHidden/>
    <w:unhideWhenUsed/>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1"/>
    <w:pPr>
      <w:tabs>
        <w:tab w:val="center" w:pos="4677"/>
        <w:tab w:val="right" w:pos="9355"/>
      </w:tabs>
    </w:pPr>
  </w:style>
  <w:style w:type="character" w:customStyle="1" w:styleId="HeaderChar1">
    <w:name w:val="Header Char1"/>
    <w:link w:val="Header"/>
    <w:uiPriority w:val="99"/>
    <w:rPr>
      <w:lang w:val="en-US" w:eastAsia="en-US"/>
    </w:rPr>
  </w:style>
  <w:style w:type="paragraph" w:styleId="Footer">
    <w:name w:val="footer"/>
    <w:basedOn w:val="Normal"/>
    <w:link w:val="FooterChar1"/>
    <w:pPr>
      <w:tabs>
        <w:tab w:val="center" w:pos="4677"/>
        <w:tab w:val="right" w:pos="9355"/>
      </w:tabs>
    </w:pPr>
  </w:style>
  <w:style w:type="character" w:customStyle="1" w:styleId="FooterChar1">
    <w:name w:val="Footer Char1"/>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pPr>
      <w:ind w:firstLine="0"/>
      <w:jc w:val="left"/>
    </w:pPr>
    <w:rPr>
      <w:lang w:val="en-US" w:eastAsia="en-US"/>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00E98C-5D07-43B5-A532-6682C9140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906</Words>
  <Characters>5166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435.2023.ro</vt:lpstr>
    </vt:vector>
  </TitlesOfParts>
  <Company>Cancelaria Guvernului</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Chiruta, Ina</cp:lastModifiedBy>
  <cp:revision>10</cp:revision>
  <cp:lastPrinted>2024-08-26T10:20:00Z</cp:lastPrinted>
  <dcterms:created xsi:type="dcterms:W3CDTF">2024-06-13T04:22:00Z</dcterms:created>
  <dcterms:modified xsi:type="dcterms:W3CDTF">2024-08-26T10:20:00Z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