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9A" w:rsidRPr="004D10FD" w:rsidRDefault="00251B9A" w:rsidP="00251B9A">
      <w:pPr>
        <w:tabs>
          <w:tab w:val="left" w:pos="884"/>
          <w:tab w:val="left" w:pos="1196"/>
        </w:tabs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57BAA" w:rsidRPr="00D57BAA" w:rsidRDefault="00D57BAA" w:rsidP="00D57B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/>
        <w:jc w:val="center"/>
        <w:rPr>
          <w:rFonts w:ascii="Times New Roman" w:hAnsi="Times New Roman"/>
          <w:sz w:val="24"/>
          <w:szCs w:val="24"/>
          <w:lang w:val="ro-MD"/>
        </w:rPr>
      </w:pPr>
      <w:r w:rsidRPr="00D57BAA">
        <w:rPr>
          <w:rFonts w:ascii="Times New Roman" w:hAnsi="Times New Roman"/>
          <w:b/>
          <w:sz w:val="24"/>
          <w:szCs w:val="24"/>
          <w:lang w:val="ro-MD"/>
        </w:rPr>
        <w:t>NOTĂ DE FUNDAMENTARE</w:t>
      </w:r>
    </w:p>
    <w:p w:rsidR="007F6158" w:rsidRPr="00BB5719" w:rsidRDefault="007F6158" w:rsidP="00D57BAA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D57BAA">
        <w:rPr>
          <w:rFonts w:ascii="Times New Roman" w:hAnsi="Times New Roman"/>
          <w:sz w:val="24"/>
          <w:szCs w:val="24"/>
          <w:lang w:val="ro-RO"/>
        </w:rPr>
        <w:t>la proiectul de Hotărâre</w:t>
      </w:r>
      <w:r w:rsidRPr="00BB5719">
        <w:rPr>
          <w:rFonts w:ascii="Times New Roman" w:hAnsi="Times New Roman"/>
          <w:sz w:val="24"/>
          <w:szCs w:val="24"/>
          <w:lang w:val="ro-RO"/>
        </w:rPr>
        <w:t xml:space="preserve"> de Guvern </w:t>
      </w:r>
    </w:p>
    <w:p w:rsidR="00D1679A" w:rsidRDefault="00C85FDF" w:rsidP="002F43AB">
      <w:pPr>
        <w:tabs>
          <w:tab w:val="left" w:pos="884"/>
          <w:tab w:val="left" w:pos="1196"/>
        </w:tabs>
        <w:spacing w:after="0"/>
        <w:jc w:val="center"/>
        <w:rPr>
          <w:rStyle w:val="docheader"/>
          <w:rFonts w:ascii="Times New Roman" w:hAnsi="Times New Roman"/>
          <w:bCs/>
          <w:i/>
          <w:sz w:val="24"/>
          <w:szCs w:val="24"/>
          <w:lang w:val="ro-RO"/>
        </w:rPr>
      </w:pPr>
      <w:r w:rsidRPr="00BB5719">
        <w:rPr>
          <w:rStyle w:val="docbody1"/>
          <w:szCs w:val="24"/>
          <w:lang w:val="ro-RO"/>
        </w:rPr>
        <w:t>„</w:t>
      </w:r>
      <w:r w:rsidRPr="00BB5719">
        <w:rPr>
          <w:rFonts w:ascii="Times New Roman" w:hAnsi="Times New Roman"/>
          <w:bCs/>
          <w:i/>
          <w:sz w:val="24"/>
          <w:szCs w:val="24"/>
          <w:lang w:val="ro-RO"/>
        </w:rPr>
        <w:t xml:space="preserve">Cu privire la </w:t>
      </w:r>
      <w:r w:rsidRPr="00BB5719">
        <w:rPr>
          <w:rStyle w:val="docheader"/>
          <w:rFonts w:ascii="Times New Roman" w:hAnsi="Times New Roman"/>
          <w:bCs/>
          <w:i/>
          <w:sz w:val="24"/>
          <w:szCs w:val="24"/>
          <w:lang w:val="ro-RO"/>
        </w:rPr>
        <w:t>listele candidaților</w:t>
      </w:r>
      <w:r w:rsidR="00D1679A">
        <w:rPr>
          <w:rStyle w:val="docheader"/>
          <w:rFonts w:ascii="Times New Roman" w:hAnsi="Times New Roman"/>
          <w:bCs/>
          <w:i/>
          <w:sz w:val="24"/>
          <w:szCs w:val="24"/>
          <w:lang w:val="ro-RO"/>
        </w:rPr>
        <w:t xml:space="preserve"> pentru</w:t>
      </w:r>
      <w:r w:rsidRPr="00BB5719">
        <w:rPr>
          <w:rStyle w:val="docheader"/>
          <w:rFonts w:ascii="Times New Roman" w:hAnsi="Times New Roman"/>
          <w:bCs/>
          <w:i/>
          <w:sz w:val="24"/>
          <w:szCs w:val="24"/>
          <w:lang w:val="ro-RO"/>
        </w:rPr>
        <w:t xml:space="preserve"> acordarea Bursei Președintelui Republicii Moldova</w:t>
      </w:r>
    </w:p>
    <w:p w:rsidR="00E33D41" w:rsidRPr="00BB5719" w:rsidRDefault="00D1679A" w:rsidP="00BB5719">
      <w:pPr>
        <w:tabs>
          <w:tab w:val="left" w:pos="884"/>
          <w:tab w:val="left" w:pos="1196"/>
        </w:tabs>
        <w:spacing w:after="120"/>
        <w:jc w:val="center"/>
        <w:rPr>
          <w:rFonts w:ascii="Times New Roman" w:hAnsi="Times New Roman"/>
          <w:b/>
          <w:sz w:val="24"/>
          <w:szCs w:val="24"/>
          <w:vertAlign w:val="superscript"/>
          <w:lang w:val="ro-RO"/>
        </w:rPr>
      </w:pPr>
      <w:r>
        <w:rPr>
          <w:rStyle w:val="docheader"/>
          <w:rFonts w:ascii="Times New Roman" w:hAnsi="Times New Roman"/>
          <w:bCs/>
          <w:i/>
          <w:sz w:val="24"/>
          <w:szCs w:val="24"/>
          <w:lang w:val="ro-RO"/>
        </w:rPr>
        <w:t>în</w:t>
      </w:r>
      <w:r w:rsidR="00C85FDF" w:rsidRPr="00BB5719">
        <w:rPr>
          <w:rStyle w:val="docheader"/>
          <w:rFonts w:ascii="Times New Roman" w:hAnsi="Times New Roman"/>
          <w:bCs/>
          <w:i/>
          <w:sz w:val="24"/>
          <w:szCs w:val="24"/>
          <w:lang w:val="ro-RO"/>
        </w:rPr>
        <w:t xml:space="preserve"> anul de studii </w:t>
      </w:r>
      <w:r w:rsidR="007168F6">
        <w:rPr>
          <w:rFonts w:ascii="Times New Roman" w:hAnsi="Times New Roman"/>
          <w:bCs/>
          <w:i/>
          <w:iCs/>
          <w:sz w:val="24"/>
          <w:szCs w:val="24"/>
          <w:lang w:val="ro-RO"/>
        </w:rPr>
        <w:t>2024</w:t>
      </w:r>
      <w:r w:rsidR="00980D84" w:rsidRPr="00BB5719">
        <w:rPr>
          <w:rFonts w:ascii="Times New Roman" w:hAnsi="Times New Roman"/>
          <w:bCs/>
          <w:i/>
          <w:iCs/>
          <w:sz w:val="24"/>
          <w:szCs w:val="24"/>
          <w:lang w:val="ro-RO"/>
        </w:rPr>
        <w:t>-</w:t>
      </w:r>
      <w:r w:rsidR="007168F6">
        <w:rPr>
          <w:rFonts w:ascii="Times New Roman" w:hAnsi="Times New Roman"/>
          <w:bCs/>
          <w:i/>
          <w:iCs/>
          <w:sz w:val="24"/>
          <w:szCs w:val="24"/>
          <w:lang w:val="ro-RO"/>
        </w:rPr>
        <w:t>2025</w:t>
      </w:r>
      <w:r w:rsidR="00C85FDF" w:rsidRPr="00BB5719"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RO"/>
        </w:rPr>
        <w:t>”</w:t>
      </w: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E33D41" w:rsidRPr="00A05273" w:rsidTr="00BB5719">
        <w:trPr>
          <w:trHeight w:val="311"/>
        </w:trPr>
        <w:tc>
          <w:tcPr>
            <w:tcW w:w="5000" w:type="pct"/>
          </w:tcPr>
          <w:p w:rsidR="00E33D41" w:rsidRPr="00BB5719" w:rsidRDefault="00E33D41" w:rsidP="00BB5719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Denumirea autorului </w:t>
            </w:r>
            <w:r w:rsidR="00ED7FC3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, după caz, a </w:t>
            </w:r>
            <w:r w:rsidR="00C852D5"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participanților</w:t>
            </w:r>
            <w:r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la elaborarea proiectului</w:t>
            </w:r>
            <w:r w:rsidR="00B36D9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B36D9A"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 normativ</w:t>
            </w:r>
          </w:p>
        </w:tc>
      </w:tr>
      <w:tr w:rsidR="00E33D41" w:rsidRPr="00A05273" w:rsidTr="008E570C">
        <w:trPr>
          <w:trHeight w:val="1103"/>
        </w:trPr>
        <w:tc>
          <w:tcPr>
            <w:tcW w:w="5000" w:type="pct"/>
          </w:tcPr>
          <w:p w:rsidR="00E33D41" w:rsidRPr="00BB5719" w:rsidRDefault="007F6158" w:rsidP="0048374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scopul </w:t>
            </w:r>
            <w:r w:rsidR="00C852D5" w:rsidRPr="00BB5719">
              <w:rPr>
                <w:rFonts w:ascii="Times New Roman" w:hAnsi="Times New Roman"/>
                <w:sz w:val="24"/>
                <w:szCs w:val="24"/>
                <w:lang w:val="ro-RO"/>
              </w:rPr>
              <w:t>susținerii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performanțelor academice ale tinerilor, implicării acestora în </w:t>
            </w:r>
            <w:r w:rsidR="00C852D5" w:rsidRPr="00BB5719">
              <w:rPr>
                <w:rFonts w:ascii="Times New Roman" w:hAnsi="Times New Roman"/>
                <w:sz w:val="24"/>
                <w:szCs w:val="24"/>
                <w:lang w:val="ro-RO"/>
              </w:rPr>
              <w:t>soluționarea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problemelor social-economice ale</w:t>
            </w:r>
            <w:r w:rsidR="0054168F"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statului, Ministerul </w:t>
            </w:r>
            <w:r w:rsidR="00C852D5" w:rsidRPr="00BB5719">
              <w:rPr>
                <w:rFonts w:ascii="Times New Roman" w:hAnsi="Times New Roman"/>
                <w:sz w:val="24"/>
                <w:szCs w:val="24"/>
                <w:lang w:val="ro-RO"/>
              </w:rPr>
              <w:t>Educației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Cercetării a elaborat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propune spre examinare proiectul de Hotărâre de Guvern </w:t>
            </w:r>
            <w:r w:rsidR="00C85FDF" w:rsidRPr="00BB5719">
              <w:rPr>
                <w:rStyle w:val="docbody1"/>
                <w:szCs w:val="24"/>
                <w:lang w:val="ro-RO"/>
              </w:rPr>
              <w:t>„</w:t>
            </w:r>
            <w:r w:rsidR="00C85FDF" w:rsidRPr="00BB5719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Cu privire la </w:t>
            </w:r>
            <w:r w:rsidR="00C85FDF" w:rsidRPr="00BB5719">
              <w:rPr>
                <w:rStyle w:val="docheader"/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listele candidaților la acordarea Bursei Președintelui Republicii Moldova pentru anul de studii </w:t>
            </w:r>
            <w:r w:rsidR="007168F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2024</w:t>
            </w:r>
            <w:r w:rsidR="00980D84" w:rsidRPr="00BB57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="007168F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2025</w:t>
            </w:r>
            <w:r w:rsidR="008E570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”.</w:t>
            </w:r>
          </w:p>
        </w:tc>
      </w:tr>
      <w:tr w:rsidR="00E33D41" w:rsidRPr="00A05273" w:rsidTr="00BB5719">
        <w:tc>
          <w:tcPr>
            <w:tcW w:w="5000" w:type="pct"/>
          </w:tcPr>
          <w:p w:rsidR="00E33D41" w:rsidRPr="00BB5719" w:rsidRDefault="00E33D41" w:rsidP="00B36D9A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2. </w:t>
            </w:r>
            <w:r w:rsidR="00C852D5"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Condițiile</w:t>
            </w:r>
            <w:r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ce au impus elabora</w:t>
            </w:r>
            <w:r w:rsidR="00B36D9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rea proiectului de act normativ</w:t>
            </w:r>
          </w:p>
        </w:tc>
      </w:tr>
      <w:tr w:rsidR="00B36D9A" w:rsidRPr="00A05273" w:rsidTr="00BB5719">
        <w:tc>
          <w:tcPr>
            <w:tcW w:w="5000" w:type="pct"/>
          </w:tcPr>
          <w:p w:rsidR="00B36D9A" w:rsidRPr="00BB5719" w:rsidRDefault="00B36D9A" w:rsidP="00BB5719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E33D41" w:rsidRPr="00A05273" w:rsidTr="00BB5719">
        <w:tc>
          <w:tcPr>
            <w:tcW w:w="5000" w:type="pct"/>
          </w:tcPr>
          <w:p w:rsidR="008E570C" w:rsidRPr="00BB5719" w:rsidRDefault="007F6158" w:rsidP="00D1679A">
            <w:pPr>
              <w:widowControl w:val="0"/>
              <w:shd w:val="clear" w:color="auto" w:fill="FFFFFF"/>
              <w:tabs>
                <w:tab w:val="left" w:pos="1008"/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În 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>corespundere cu</w:t>
            </w:r>
            <w:r w:rsidRPr="00BB5719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Regulamentul cu privire la modul </w:t>
            </w:r>
            <w:r w:rsidR="00ED7F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="00C852D5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condițiile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de acordare a burselor pentru </w:t>
            </w:r>
            <w:r w:rsidR="00C852D5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studenții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ciclul I, ciclul II, studii integrate, învățământ medical </w:t>
            </w:r>
            <w:r w:rsidR="00ED7F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farmaceu</w:t>
            </w:r>
            <w:r w:rsidR="00DB1C5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tic din </w:t>
            </w:r>
            <w:r w:rsidR="00C852D5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instituțiile</w:t>
            </w:r>
            <w:r w:rsidR="00DB1C5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de </w:t>
            </w:r>
            <w:r w:rsidR="0063398B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învățământ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superior, ele</w:t>
            </w:r>
            <w:r w:rsidR="00DB1C5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vii din </w:t>
            </w:r>
            <w:r w:rsidR="00C852D5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instituțiile</w:t>
            </w:r>
            <w:r w:rsidR="00DB1C5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de </w:t>
            </w:r>
            <w:r w:rsidR="0063398B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învățământ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 xml:space="preserve">profesional tehnic postsecundar </w:t>
            </w:r>
            <w:r w:rsidR="00ED7F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>și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 xml:space="preserve"> postsecundar nonterţiar </w:t>
            </w:r>
            <w:r w:rsidR="00ED7F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>și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> profesional tehnic secundar,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pers</w:t>
            </w:r>
            <w:r w:rsidR="00DB1C5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oanele care studiază în </w:t>
            </w:r>
            <w:r w:rsidR="0063398B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învățământul</w:t>
            </w:r>
            <w:r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postuniversitar</w:t>
            </w:r>
            <w:r w:rsidRPr="00BB5719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, aprobat prin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84B77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Hotărâ</w:t>
            </w:r>
            <w:r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 Guv</w:t>
            </w:r>
            <w:r w:rsidR="00D167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ernului nr. 1009 din 01.09.2006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D7FC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</w:t>
            </w:r>
            <w:r w:rsidR="00C85FDF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 </w:t>
            </w:r>
            <w:r w:rsidR="00C85FDF" w:rsidRPr="00BB571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Decretului Președintelui Republicii Moldova nr. 1641/2004</w:t>
            </w:r>
            <w:r w:rsidR="00C85FDF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C85FDF" w:rsidRPr="00BB5719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cu privire la instituirea bursei Președintelui </w:t>
            </w:r>
            <w:r w:rsidRPr="00BB5719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 Republicii</w:t>
            </w:r>
            <w:r w:rsidR="00C85FDF" w:rsidRPr="00BB5719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 Moldova</w:t>
            </w:r>
            <w:r w:rsidR="00C85FDF" w:rsidRPr="00BB571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, </w:t>
            </w:r>
            <w:r w:rsidR="00C85FDF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în învățământul superior </w:t>
            </w:r>
            <w:r w:rsidR="00ED7FC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</w:t>
            </w:r>
            <w:r w:rsidR="00C85FDF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profesional </w:t>
            </w:r>
            <w:r w:rsidR="00E22BCF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tehnic postsecundar </w:t>
            </w:r>
            <w:r w:rsidR="00ED7FC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</w:t>
            </w:r>
            <w:r w:rsidR="00E22BCF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postsecundar </w:t>
            </w:r>
            <w:r w:rsidR="00897C20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nonterţiar</w:t>
            </w:r>
            <w:r w:rsidR="00E22BCF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C85FDF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se acordă 15 burse de merit pentru rezultate excepționale.</w:t>
            </w:r>
          </w:p>
        </w:tc>
      </w:tr>
      <w:tr w:rsidR="00B36D9A" w:rsidRPr="00A05273" w:rsidTr="00BB5719">
        <w:tc>
          <w:tcPr>
            <w:tcW w:w="5000" w:type="pct"/>
          </w:tcPr>
          <w:p w:rsidR="00B36D9A" w:rsidRPr="00BB5719" w:rsidRDefault="00B36D9A" w:rsidP="0048374E">
            <w:pPr>
              <w:widowControl w:val="0"/>
              <w:shd w:val="clear" w:color="auto" w:fill="FFFFFF"/>
              <w:tabs>
                <w:tab w:val="left" w:pos="1008"/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2.2. Descrierea situației actuale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problemelor care impun intervenția, inclusiv a cadrului normativ aplicabil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deficiențelor/lacunelor normative</w:t>
            </w:r>
          </w:p>
        </w:tc>
      </w:tr>
      <w:tr w:rsidR="005B6669" w:rsidRPr="00D57BAA" w:rsidTr="00BB5719">
        <w:tc>
          <w:tcPr>
            <w:tcW w:w="5000" w:type="pct"/>
          </w:tcPr>
          <w:p w:rsidR="005B6669" w:rsidRPr="00346F31" w:rsidRDefault="005B6669" w:rsidP="0048374E">
            <w:pPr>
              <w:widowControl w:val="0"/>
              <w:shd w:val="clear" w:color="auto" w:fill="FFFFFF"/>
              <w:tabs>
                <w:tab w:val="left" w:pos="1008"/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E33D41" w:rsidRPr="00A05273" w:rsidTr="00BB5719">
        <w:tc>
          <w:tcPr>
            <w:tcW w:w="5000" w:type="pct"/>
          </w:tcPr>
          <w:p w:rsidR="00E33D41" w:rsidRPr="00BB5719" w:rsidRDefault="00404B3F" w:rsidP="008E570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3. Obiectivele urmărite </w:t>
            </w:r>
            <w:r w:rsidR="00ED7FC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soluțiile propuse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346F31" w:rsidRDefault="00404B3F" w:rsidP="008E570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3.1. Principalele prevederi ale proiectului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evidențierea elementelor noi</w:t>
            </w:r>
          </w:p>
        </w:tc>
      </w:tr>
      <w:tr w:rsidR="00E33D41" w:rsidRPr="00A05273" w:rsidTr="00BB5719">
        <w:tc>
          <w:tcPr>
            <w:tcW w:w="5000" w:type="pct"/>
          </w:tcPr>
          <w:p w:rsidR="005B6669" w:rsidRPr="00BB5719" w:rsidRDefault="005B6669" w:rsidP="00A05273">
            <w:pPr>
              <w:widowControl w:val="0"/>
              <w:shd w:val="clear" w:color="auto" w:fill="FFFFFF"/>
              <w:tabs>
                <w:tab w:val="left" w:pos="1008"/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respectiv se înscrie în politica promovată de Ministerul Educației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Cercetării pentru fortificarea sistemului învățământului superior în direcția înscrierii acestuia în spațiul european al învățământului superior, precum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asigurarea creșterii atractivității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competitivității naționale/internaționale a instituțiilor de învățământ superior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B571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profesional tehnic postsecundar </w:t>
            </w:r>
            <w:r w:rsidR="00ED7F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postsecundar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nonterţiar din țară, prin susținerea performanței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meritocrației.</w:t>
            </w:r>
          </w:p>
          <w:p w:rsidR="005B6669" w:rsidRPr="000A09F7" w:rsidRDefault="005B6669" w:rsidP="00A05273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09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Anul acesta, prin </w:t>
            </w:r>
            <w:r w:rsidR="009D711D" w:rsidRPr="00644A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Hotărârea Guvernului nr. </w:t>
            </w:r>
            <w:r w:rsidRPr="00644A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203/2024</w:t>
            </w:r>
            <w:r w:rsidRPr="000A09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09F7" w:rsidRPr="000A09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cu privire la modificarea unor hotărâri ale Guvernului (majorarea burselor de studii)</w:t>
            </w:r>
            <w:r w:rsidRPr="000A09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Bursa Președintelui </w:t>
            </w:r>
            <w:r w:rsidR="00C73B18" w:rsidRPr="000A09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fost majorată la </w:t>
            </w:r>
            <w:r w:rsidRPr="000A09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3690 de lei pentru studenții instituțiilor de învățământ superior </w:t>
            </w:r>
            <w:r w:rsidR="00ED7FC3" w:rsidRPr="000A09F7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0A09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2860 de lei pentru elevii instituțiilor de învățământ profesional tehnic. Listele candidaților la bursele de merit au fost aprobate în cadrul senatelor instituțiilor de învățământ superior </w:t>
            </w:r>
            <w:r w:rsidR="00ED7FC3" w:rsidRPr="000A09F7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0A09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consiliilor profesorale ale instituțiilor de învățământ profesional tehnic postsecundar.</w:t>
            </w:r>
          </w:p>
          <w:p w:rsidR="00E33D41" w:rsidRPr="00BB5719" w:rsidRDefault="005B6669" w:rsidP="00D1679A">
            <w:pPr>
              <w:tabs>
                <w:tab w:val="left" w:pos="884"/>
                <w:tab w:val="left" w:pos="1196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 propune punerea în aplicare a p</w:t>
            </w:r>
            <w:r w:rsidRPr="007D66FE">
              <w:rPr>
                <w:rFonts w:ascii="Times New Roman" w:hAnsi="Times New Roman"/>
                <w:sz w:val="24"/>
                <w:szCs w:val="24"/>
                <w:lang w:val="ro-RO"/>
              </w:rPr>
              <w:t>rezentul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Pr="007D66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proiect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D66FE">
              <w:rPr>
                <w:rFonts w:ascii="Times New Roman" w:hAnsi="Times New Roman"/>
                <w:sz w:val="24"/>
                <w:szCs w:val="24"/>
                <w:lang w:val="ro-RO"/>
              </w:rPr>
              <w:t>la data publicării în Monitorul Oficial al Republicii Moldova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deoarece </w:t>
            </w:r>
            <w:r w:rsidRPr="007D66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baza pct. 18 din </w:t>
            </w:r>
            <w:r w:rsidRPr="007D66F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Regulamentul cu privire la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</w:t>
            </w:r>
            <w:r w:rsidRPr="007D66F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  <w:r w:rsidRPr="007D66F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burse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…</w:t>
            </w:r>
            <w:r w:rsidRPr="007D66F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,</w:t>
            </w:r>
            <w:r w:rsidRPr="007D66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D66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aprobat prin Hotărârea Guvernului nr. 1009/2006</w:t>
            </w:r>
            <w:r w:rsidRPr="007D66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”… </w:t>
            </w:r>
            <w:r w:rsidRPr="007D66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Bursele  finanțate din bugetul de stat se achită (…) </w:t>
            </w:r>
            <w:r w:rsidRPr="007D66FE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lunar, cu excepția vacanței de vară…</w:t>
            </w:r>
            <w:r w:rsidRPr="002A72BB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iar pentru anul 2024-2025, studenții/elevii urmează să beneficieze de burse începând cu luna septembrie.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404B3F" w:rsidRDefault="00404B3F" w:rsidP="007256B5">
            <w:pPr>
              <w:spacing w:after="0"/>
              <w:rPr>
                <w:lang w:val="en-US"/>
              </w:rPr>
            </w:pPr>
            <w:r w:rsidRPr="005370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3.2. Opțiunile alternative analizate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5370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motivele pentru care acestea nu au fost luate în considerare</w:t>
            </w:r>
          </w:p>
        </w:tc>
      </w:tr>
      <w:tr w:rsidR="005B6669" w:rsidRPr="00D57BAA" w:rsidTr="00BB5719">
        <w:tc>
          <w:tcPr>
            <w:tcW w:w="5000" w:type="pct"/>
          </w:tcPr>
          <w:p w:rsidR="005B6669" w:rsidRPr="005370F1" w:rsidRDefault="005B6669" w:rsidP="007256B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E33D41" w:rsidRPr="00D57BAA" w:rsidTr="00BB5719">
        <w:tc>
          <w:tcPr>
            <w:tcW w:w="5000" w:type="pct"/>
          </w:tcPr>
          <w:p w:rsidR="00E33D41" w:rsidRPr="00BB5719" w:rsidRDefault="00404B3F" w:rsidP="008E570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 Analiza impactului de reglementare</w:t>
            </w:r>
          </w:p>
        </w:tc>
      </w:tr>
      <w:tr w:rsidR="00404B3F" w:rsidRPr="00D57BAA" w:rsidTr="00BB5719">
        <w:tc>
          <w:tcPr>
            <w:tcW w:w="5000" w:type="pct"/>
          </w:tcPr>
          <w:p w:rsidR="00404B3F" w:rsidRPr="00346F31" w:rsidRDefault="00404B3F" w:rsidP="008E570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E33D41" w:rsidRPr="00A05273" w:rsidTr="00BB5719">
        <w:tc>
          <w:tcPr>
            <w:tcW w:w="5000" w:type="pct"/>
          </w:tcPr>
          <w:p w:rsidR="00404B3F" w:rsidRPr="005F1A2C" w:rsidRDefault="005B6669" w:rsidP="00726745">
            <w:pPr>
              <w:widowControl w:val="0"/>
              <w:shd w:val="clear" w:color="auto" w:fill="FFFFFF"/>
              <w:tabs>
                <w:tab w:val="left" w:pos="1008"/>
                <w:tab w:val="left" w:pos="9781"/>
              </w:tabs>
              <w:autoSpaceDE w:val="0"/>
              <w:autoSpaceDN w:val="0"/>
              <w:adjustRightInd w:val="0"/>
              <w:spacing w:after="12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F1A2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va asigura </w:t>
            </w:r>
            <w:r w:rsidRPr="005F1A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dezvoltarea managementului strategic </w:t>
            </w:r>
            <w:r w:rsidR="00ED7F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și</w:t>
            </w:r>
            <w:r w:rsidRPr="005F1A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a culturii calității, care să pună în valoare centrarea pe învățare, creativitatea </w:t>
            </w:r>
            <w:r w:rsidR="00ED7F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și</w:t>
            </w:r>
            <w:r w:rsidRPr="005F1A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inovația </w:t>
            </w:r>
            <w:r w:rsidR="001512AE" w:rsidRPr="005F1A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prin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susținerea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studenților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din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instituțiile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de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învățământ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superior </w:t>
            </w:r>
            <w:r w:rsidR="00ED7FC3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și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a elevilor din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instituțiile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de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învățământ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mediu de specialitate, care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obțin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lastRenderedPageBreak/>
              <w:t>performanțe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academice deosebite </w:t>
            </w:r>
            <w:r w:rsidR="00ED7FC3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și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participă la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activități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de cercetare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științifică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</w:t>
            </w:r>
            <w:r w:rsidR="00ED7FC3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și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la </w:t>
            </w:r>
            <w:r w:rsidR="00ED7FC3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viața</w:t>
            </w:r>
            <w:r w:rsidR="001512AE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 xml:space="preserve"> </w:t>
            </w:r>
            <w:r w:rsidR="005F1A2C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social</w:t>
            </w:r>
            <w:r w:rsidR="00ED7FC3">
              <w:rPr>
                <w:rFonts w:ascii="Times New Roman" w:eastAsiaTheme="minorEastAsia" w:hAnsi="Times New Roman"/>
                <w:sz w:val="24"/>
                <w:szCs w:val="24"/>
                <w:lang w:val="ro-MD" w:eastAsia="zh-CN"/>
              </w:rPr>
              <w:t>ă</w:t>
            </w:r>
            <w:r w:rsidR="005F1A2C" w:rsidRPr="005F1A2C">
              <w:rPr>
                <w:rFonts w:ascii="Times New Roman" w:eastAsiaTheme="minorEastAsia" w:hAnsi="Times New Roman"/>
                <w:sz w:val="24"/>
                <w:szCs w:val="24"/>
                <w:lang w:val="ro-RO" w:eastAsia="zh-CN"/>
              </w:rPr>
              <w:t>.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BB5719" w:rsidRDefault="00404B3F" w:rsidP="00BB5719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4.2. Impactul financiar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argumentarea costurilor estimative</w:t>
            </w:r>
          </w:p>
        </w:tc>
      </w:tr>
      <w:tr w:rsidR="00F96A7A" w:rsidRPr="00A05273" w:rsidTr="00BB5719">
        <w:tc>
          <w:tcPr>
            <w:tcW w:w="5000" w:type="pct"/>
          </w:tcPr>
          <w:p w:rsidR="009D711D" w:rsidRPr="009D711D" w:rsidRDefault="009D711D" w:rsidP="006B786E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9D711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Mijloacele financiare necesare sunt planificate anual prin Legea bugetului de stat </w:t>
            </w:r>
            <w:r w:rsidR="00ED7FC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și</w:t>
            </w:r>
            <w:r w:rsidRPr="009D711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se încadrează în limitele alocațiilor bugetare aprobate în acest scop. Conform </w:t>
            </w:r>
            <w:r w:rsidRPr="009D711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Hotărârii Guvernului nr. 203/2024</w:t>
            </w:r>
            <w:r w:rsidRPr="009D711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</w:t>
            </w:r>
            <w:r w:rsidR="00644A55" w:rsidRPr="000A09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cu privire la modificarea unor hotărâri ale Guvernului (majorarea burselor de studii)</w:t>
            </w:r>
            <w:r w:rsidRPr="009D711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, </w:t>
            </w:r>
            <w:r w:rsidR="006B786E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majorarea</w:t>
            </w:r>
            <w:r w:rsidRPr="009D711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bursei Președintelui Republicii Moldova pentru anul bugetar 2024 a fost stabilită la 100%.</w:t>
            </w:r>
          </w:p>
          <w:p w:rsidR="009D711D" w:rsidRPr="009D711D" w:rsidRDefault="009D711D" w:rsidP="00B8417C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711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Astfel, bugetul lunar alocat pentru cei 10 studenți este de 36,9 mii lei, i</w:t>
            </w:r>
            <w:r w:rsidR="00B8417C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ar pentru cei 5 elevi este de 14</w:t>
            </w:r>
            <w:r w:rsidRPr="009D711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,</w:t>
            </w:r>
            <w:r w:rsidR="00B8417C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3</w:t>
            </w:r>
            <w:r w:rsidRPr="009D711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mii lei. Prin urmare, </w:t>
            </w:r>
            <w:r w:rsidRPr="009D711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 xml:space="preserve">bugetul total necesar pentru o perioadă de 10 luni (durata unui an academic) este de </w:t>
            </w:r>
            <w:r w:rsidRPr="00B8417C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512 mii lei</w:t>
            </w:r>
            <w:r w:rsidRPr="00B8417C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.</w:t>
            </w:r>
          </w:p>
        </w:tc>
      </w:tr>
      <w:tr w:rsidR="00404B3F" w:rsidRPr="00404B3F" w:rsidTr="00BB5719">
        <w:tc>
          <w:tcPr>
            <w:tcW w:w="5000" w:type="pct"/>
          </w:tcPr>
          <w:p w:rsidR="00404B3F" w:rsidRPr="00346F31" w:rsidRDefault="00404B3F" w:rsidP="00BB5719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404B3F" w:rsidRPr="00404B3F" w:rsidTr="00BB5719">
        <w:tc>
          <w:tcPr>
            <w:tcW w:w="5000" w:type="pct"/>
          </w:tcPr>
          <w:p w:rsidR="00404B3F" w:rsidRPr="00346F31" w:rsidRDefault="00404B3F" w:rsidP="00726745">
            <w:pPr>
              <w:tabs>
                <w:tab w:val="left" w:pos="884"/>
                <w:tab w:val="left" w:pos="1196"/>
              </w:tabs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5B6669" w:rsidRPr="00404B3F" w:rsidTr="00E601FC">
        <w:trPr>
          <w:trHeight w:val="309"/>
        </w:trPr>
        <w:tc>
          <w:tcPr>
            <w:tcW w:w="5000" w:type="pct"/>
          </w:tcPr>
          <w:p w:rsidR="005B6669" w:rsidRPr="00346F31" w:rsidRDefault="005B6669" w:rsidP="00E601FC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4.4. Impactul social</w:t>
            </w:r>
          </w:p>
        </w:tc>
      </w:tr>
      <w:tr w:rsidR="005B6669" w:rsidRPr="00A05273" w:rsidTr="00BB5719">
        <w:tc>
          <w:tcPr>
            <w:tcW w:w="5000" w:type="pct"/>
          </w:tcPr>
          <w:p w:rsidR="005B6669" w:rsidRPr="00BB5719" w:rsidRDefault="005B6669" w:rsidP="00726745">
            <w:pPr>
              <w:widowControl w:val="0"/>
              <w:shd w:val="clear" w:color="auto" w:fill="FFFFFF"/>
              <w:tabs>
                <w:tab w:val="left" w:pos="1008"/>
                <w:tab w:val="left" w:pos="9781"/>
              </w:tabs>
              <w:autoSpaceDE w:val="0"/>
              <w:autoSpaceDN w:val="0"/>
              <w:adjustRightInd w:val="0"/>
              <w:spacing w:after="24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bursele de merit au candidat studenții ciclului I, studii integrate, învățământ medical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farmaceutic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elevii care au obținut în anul precedent de studii o medie a notelor la sesiunea de vară nu mai mică de </w:t>
            </w:r>
            <w:r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9,0 puncte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profilurile /domeniile de studiu tehnic, agrar, economic, medical, militar, drept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 (matematică, informatică, fizică, chimie, biologie)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mai mică de </w:t>
            </w:r>
            <w:r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9,5 puncte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alte profiluri /domenii de studiu.  </w:t>
            </w:r>
          </w:p>
          <w:p w:rsidR="005B6669" w:rsidRDefault="00AA1BA1" w:rsidP="0072674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Astfel, pentru bursa Președintelui Republicii Moldova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 anul academic </w:t>
            </w:r>
            <w:r w:rsidR="005B6669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2024</w:t>
            </w:r>
            <w:r w:rsidR="005B6669" w:rsidRPr="00BB5719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</w:t>
            </w:r>
            <w:r w:rsidR="005B6669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2025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au fost depuse </w:t>
            </w:r>
            <w:r w:rsidR="005B6669" w:rsidRPr="00BB571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</w:t>
            </w:r>
            <w:r w:rsidR="005B666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</w:t>
            </w:r>
            <w:r w:rsidR="005B6669" w:rsidRPr="00BB571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dosare </w:t>
            </w:r>
            <w:r w:rsidR="005B6669" w:rsidRPr="005305F1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ale</w:t>
            </w:r>
            <w:r w:rsidR="005B6669" w:rsidRPr="00BB571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studenților</w:t>
            </w:r>
            <w:r w:rsidR="005B66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ciclului I, ciclului II, studii </w:t>
            </w:r>
            <w:r w:rsidR="005B66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superioare</w:t>
            </w:r>
            <w:r w:rsidR="005B66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integrate</w:t>
            </w:r>
            <w:r w:rsidR="005B66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din </w:t>
            </w:r>
            <w:r w:rsidR="005B66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instituțiile</w:t>
            </w:r>
            <w:r w:rsidR="005B66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</w:t>
            </w:r>
            <w:r w:rsidR="005B66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învățământ </w:t>
            </w:r>
            <w:r w:rsidR="005B66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superior, </w:t>
            </w:r>
            <w:r w:rsidR="00ED7FC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9529E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47 de dosare</w:t>
            </w:r>
            <w:r w:rsidR="005B6669" w:rsidRPr="00BB571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ale elevilor din </w:t>
            </w:r>
            <w:r w:rsidR="005B6669" w:rsidRPr="00BB571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instituțiile de învățământ profesional tehnic postsecundar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. Candidații propu</w:t>
            </w:r>
            <w:r w:rsidR="00ED7FC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senatele instituțiilor de învățământ superior </w:t>
            </w:r>
            <w:r w:rsidR="00ED7FC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consiliile profesorale ale instituțiilor de învățământ profesional au fost selectați de către </w:t>
            </w:r>
            <w:r w:rsidR="005B6669" w:rsidRPr="00BB571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Comisiile specializate, responsabile de examinarea dosarelor studenților</w:t>
            </w:r>
            <w:r w:rsidR="005B6669"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aprobate prin 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Ordinul nr. </w:t>
            </w:r>
            <w:r w:rsidR="005B66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1138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din </w:t>
            </w:r>
            <w:r w:rsidR="005B6669" w:rsidRPr="00ED7F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09.08.2024 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(pentru învățământ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ul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superior) </w:t>
            </w:r>
            <w:r w:rsidR="00ED7F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și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Ordinul nr. </w:t>
            </w:r>
            <w:r w:rsidR="005B66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965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din </w:t>
            </w:r>
            <w:r w:rsidR="005B66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01.07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.202</w:t>
            </w:r>
            <w:r w:rsidR="005B66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(pentru învățământ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ul</w:t>
            </w:r>
            <w:r w:rsidR="005B6669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profesional tehnic)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în baza </w:t>
            </w:r>
            <w:r w:rsidR="005B6669" w:rsidRPr="00BB571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anumitor criterii</w:t>
            </w:r>
            <w:r w:rsidR="005B6669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inclusiv: media notelor; activitățile educaționale, culturale, sportive; Curriculum Vitae; activitatea științifică; publicațiile; scrisorile de recomandare. </w:t>
            </w:r>
          </w:p>
          <w:p w:rsidR="005B6669" w:rsidRPr="00346F31" w:rsidRDefault="005B6669" w:rsidP="0072674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Toți studenții/elevii nominalizați au demonstrat prin actele respective participarea la activități de cercetare științifică, conferințe, concursuri, olimpiade naționale/internaționale. </w:t>
            </w:r>
            <w:r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Numărul de burse oferite instituțiilor de învățământ superior a fost corelat cu numărul total de studenți de la ciclurile I </w:t>
            </w:r>
            <w:r w:rsidR="00ED7FC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II, învățământ cu frecvență, din fiecare universitate. 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346F31" w:rsidRDefault="00404B3F" w:rsidP="007256B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4.4.1. Impactul asupra datelor cu caracter personal</w:t>
            </w:r>
          </w:p>
        </w:tc>
      </w:tr>
      <w:tr w:rsidR="00F96A7A" w:rsidRPr="00A05273" w:rsidTr="00BB5719">
        <w:tc>
          <w:tcPr>
            <w:tcW w:w="5000" w:type="pct"/>
          </w:tcPr>
          <w:p w:rsidR="00F96A7A" w:rsidRPr="00346F31" w:rsidRDefault="00F96A7A" w:rsidP="00B1327B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Candidații au prezentat acorduri</w:t>
            </w:r>
            <w:r w:rsidR="009F565B">
              <w:rPr>
                <w:rFonts w:ascii="Times New Roman" w:hAnsi="Times New Roman"/>
                <w:sz w:val="24"/>
                <w:szCs w:val="24"/>
                <w:lang w:val="ro-RO"/>
              </w:rPr>
              <w:t>le scrise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25431">
              <w:rPr>
                <w:rFonts w:ascii="Times New Roman" w:hAnsi="Times New Roman"/>
                <w:sz w:val="24"/>
                <w:szCs w:val="24"/>
                <w:lang w:val="ro-RO"/>
              </w:rPr>
              <w:t>cu privire la prelucrarea datelor</w:t>
            </w:r>
            <w:r w:rsidR="009F56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personale</w:t>
            </w:r>
            <w:r w:rsidR="000254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scopurile statuate în </w:t>
            </w:r>
            <w:r w:rsidR="0002543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Regulamentul cu privire la modul </w:t>
            </w:r>
            <w:r w:rsidR="00ED7F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și</w:t>
            </w:r>
            <w:r w:rsidR="0002543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condițiile de acordare a burselor pentru studenții ciclul I, ciclul II, studii integrate, învățământ medical </w:t>
            </w:r>
            <w:r w:rsidR="00ED7F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>și</w:t>
            </w:r>
            <w:r w:rsidR="0002543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farmaceutic din instituțiile de învățământ superior, elevii din instituțiile de învățământ </w:t>
            </w:r>
            <w:r w:rsidR="0002543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 xml:space="preserve">profesional tehnic postsecundar </w:t>
            </w:r>
            <w:r w:rsidR="00ED7F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>și</w:t>
            </w:r>
            <w:r w:rsidR="0002543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 xml:space="preserve"> postsecundar nonterţiar </w:t>
            </w:r>
            <w:r w:rsidR="00ED7F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>și</w:t>
            </w:r>
            <w:r w:rsidR="0002543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 w:eastAsia="zh-CN"/>
              </w:rPr>
              <w:t> profesional tehnic secundar,</w:t>
            </w:r>
            <w:r w:rsidR="00025431" w:rsidRPr="00BB57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persoanele care studiază în învățământul postuniversitar</w:t>
            </w:r>
            <w:r w:rsidR="00025431" w:rsidRPr="00BB5719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, aprobat prin</w:t>
            </w:r>
            <w:r w:rsidR="00025431"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25431" w:rsidRPr="00BB5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Hotărârea Guv</w:t>
            </w:r>
            <w:r w:rsidR="00B132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ernului nr. 1009 din 01.09.2006</w:t>
            </w:r>
            <w:r w:rsidR="00025431"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D7FC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și</w:t>
            </w:r>
            <w:r w:rsidR="00025431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 </w:t>
            </w:r>
            <w:r w:rsidR="00025431" w:rsidRPr="00BB571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Decretului Președintelui Republicii Moldova nr. 1641/2004</w:t>
            </w:r>
            <w:r w:rsidR="00025431" w:rsidRPr="00BB571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025431" w:rsidRPr="00BB5719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cu privire la instituirea bursei Președintelui  Republicii Moldova</w:t>
            </w:r>
            <w:r w:rsidR="009F565B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F96A7A" w:rsidRPr="00A05273" w:rsidTr="00BB5719">
        <w:tc>
          <w:tcPr>
            <w:tcW w:w="5000" w:type="pct"/>
          </w:tcPr>
          <w:p w:rsidR="00F96A7A" w:rsidRPr="00346F31" w:rsidRDefault="00F96A7A" w:rsidP="007256B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4.4.2. Impactul asupra echității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egalității de gen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1D3D63" w:rsidRDefault="00404B3F" w:rsidP="007267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nu prezintă riscuri de discriminare după criterii de gen, apartenență etnică, etc. </w:t>
            </w:r>
          </w:p>
        </w:tc>
      </w:tr>
      <w:tr w:rsidR="00404B3F" w:rsidRPr="00404B3F" w:rsidTr="00BB5719">
        <w:tc>
          <w:tcPr>
            <w:tcW w:w="5000" w:type="pct"/>
          </w:tcPr>
          <w:p w:rsidR="00404B3F" w:rsidRPr="00346F31" w:rsidRDefault="00404B3F" w:rsidP="007256B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404B3F" w:rsidRPr="00404B3F" w:rsidTr="00BB5719">
        <w:tc>
          <w:tcPr>
            <w:tcW w:w="5000" w:type="pct"/>
          </w:tcPr>
          <w:p w:rsidR="00404B3F" w:rsidRPr="00346F31" w:rsidRDefault="00404B3F" w:rsidP="007267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346F31" w:rsidRDefault="00404B3F" w:rsidP="007256B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4.6. Alte impacturi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informații relevante</w:t>
            </w:r>
          </w:p>
        </w:tc>
      </w:tr>
      <w:tr w:rsidR="00404B3F" w:rsidRPr="00404B3F" w:rsidTr="00BB5719">
        <w:tc>
          <w:tcPr>
            <w:tcW w:w="5000" w:type="pct"/>
          </w:tcPr>
          <w:p w:rsidR="00404B3F" w:rsidRPr="00346F31" w:rsidRDefault="00404B3F" w:rsidP="007267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este aplicabil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BB5719" w:rsidRDefault="00404B3F" w:rsidP="00404B3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5. Compatibilitatea proiectului actului normativ cu legislația UE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346F31" w:rsidRDefault="00404B3F" w:rsidP="007256B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404B3F" w:rsidRPr="00404B3F" w:rsidTr="00BB5719">
        <w:tc>
          <w:tcPr>
            <w:tcW w:w="5000" w:type="pct"/>
          </w:tcPr>
          <w:p w:rsidR="00404B3F" w:rsidRPr="00346F31" w:rsidRDefault="00404B3F" w:rsidP="007256B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Nu este aplicabil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346F31" w:rsidRDefault="00404B3F" w:rsidP="007256B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404B3F" w:rsidRPr="00404B3F" w:rsidTr="00BB5719">
        <w:tc>
          <w:tcPr>
            <w:tcW w:w="5000" w:type="pct"/>
          </w:tcPr>
          <w:p w:rsidR="00404B3F" w:rsidRPr="00346F31" w:rsidRDefault="00404B3F" w:rsidP="007267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BB5719" w:rsidRDefault="00404B3F" w:rsidP="00404B3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6</w:t>
            </w:r>
            <w:r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. Avizarea </w:t>
            </w:r>
            <w:r w:rsidR="00ED7FC3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consultarea publică a proiectului</w:t>
            </w:r>
          </w:p>
        </w:tc>
      </w:tr>
      <w:tr w:rsidR="00404B3F" w:rsidRPr="00A05273" w:rsidTr="00BB5719">
        <w:tc>
          <w:tcPr>
            <w:tcW w:w="5000" w:type="pct"/>
          </w:tcPr>
          <w:p w:rsidR="00404B3F" w:rsidRPr="00BB5719" w:rsidRDefault="00404B3F" w:rsidP="00D630EC">
            <w:pPr>
              <w:spacing w:after="0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Conform prevederilor Legii 239/2008 privind transparența în procesul decizional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 Legii nr. 100/2017 cu privire la actele normative, </w:t>
            </w:r>
            <w:r w:rsidRPr="00BB571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anunțul privind inițiativa de elaborare a actului normativ menționat 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fost plasat pe pagina web a Ministerului Educației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Cercetării în rubrica: </w:t>
            </w:r>
            <w:r w:rsidRPr="00BB571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Transparența decizională/</w:t>
            </w:r>
            <w:hyperlink r:id="rId6" w:history="1">
              <w:r w:rsidRPr="00BB5719">
                <w:rPr>
                  <w:rStyle w:val="a5"/>
                  <w:rFonts w:ascii="Times New Roman" w:hAnsi="Times New Roman"/>
                  <w:i/>
                  <w:color w:val="auto"/>
                  <w:sz w:val="24"/>
                  <w:szCs w:val="24"/>
                  <w:u w:val="none"/>
                  <w:lang w:val="ro-RO"/>
                </w:rPr>
                <w:t>Anunțuri privind inițierea elaborării deciziilor</w:t>
              </w:r>
            </w:hyperlink>
            <w:r w:rsidRPr="00BB571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: </w:t>
            </w:r>
            <w:r w:rsidRPr="00793C94">
              <w:rPr>
                <w:rStyle w:val="a5"/>
                <w:rFonts w:ascii="Times New Roman" w:hAnsi="Times New Roman"/>
                <w:i/>
                <w:sz w:val="24"/>
                <w:szCs w:val="24"/>
                <w:lang w:val="ro-RO"/>
              </w:rPr>
              <w:t>https://particip.gov.md/ro/document/stages/anunt-privind-elaborarea-proiectului-hotararii-guvernului-cu-privire-la-listele-candidatilor-la-acordarea-bursei-presedintelui-republicii-moldova-pentru-anul-de-studii-2024-2025/12947</w:t>
            </w:r>
            <w:r>
              <w:rPr>
                <w:rStyle w:val="a5"/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</w:p>
          <w:p w:rsidR="00404B3F" w:rsidRPr="00BB5719" w:rsidRDefault="00404B3F" w:rsidP="00D630EC">
            <w:pPr>
              <w:tabs>
                <w:tab w:val="left" w:pos="884"/>
                <w:tab w:val="left" w:pos="1196"/>
              </w:tabs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consultări publice proiectul urmează a fi plasat pe pagina web a Ministerului Educației </w:t>
            </w:r>
            <w:r w:rsidR="00ED7FC3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BB57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Cercetării în rubrica: </w:t>
            </w:r>
            <w:r w:rsidRPr="00BB571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Transparența decizională.</w:t>
            </w:r>
          </w:p>
        </w:tc>
      </w:tr>
      <w:tr w:rsidR="005B6669" w:rsidRPr="00BB5719" w:rsidTr="00BB5719">
        <w:tc>
          <w:tcPr>
            <w:tcW w:w="5000" w:type="pct"/>
          </w:tcPr>
          <w:p w:rsidR="005B6669" w:rsidRPr="00346F31" w:rsidRDefault="005B6669" w:rsidP="007256B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5B6669" w:rsidRPr="00A05273" w:rsidTr="00BB5719">
        <w:tc>
          <w:tcPr>
            <w:tcW w:w="5000" w:type="pct"/>
          </w:tcPr>
          <w:p w:rsidR="005B6669" w:rsidRPr="00346F31" w:rsidRDefault="005B6669" w:rsidP="00D630EC">
            <w:pPr>
              <w:spacing w:after="0"/>
              <w:ind w:firstLine="4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urmează a fi supus expertizării în cadrul procesului de avizare/expertizare. Informația referitoare la concluziile expertizelor va fi inclusă în sinteza obiecțiilor </w:t>
            </w:r>
            <w:r w:rsidR="00ED7F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propunerilor/recomandărilor la prezentul proiect de hotărâre.</w:t>
            </w:r>
            <w:r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5B6669" w:rsidRPr="00A05273" w:rsidTr="00BB5719">
        <w:tc>
          <w:tcPr>
            <w:tcW w:w="5000" w:type="pct"/>
          </w:tcPr>
          <w:p w:rsidR="005B6669" w:rsidRPr="00346F31" w:rsidRDefault="005B6669" w:rsidP="007256B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5B6669" w:rsidRPr="00A05273" w:rsidTr="00BB5719">
        <w:tc>
          <w:tcPr>
            <w:tcW w:w="5000" w:type="pct"/>
          </w:tcPr>
          <w:p w:rsidR="005B6669" w:rsidRPr="00346F31" w:rsidRDefault="005B6669" w:rsidP="00D630EC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46F3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se încorporează în cadrul normativ în vigoare </w:t>
            </w:r>
            <w:r w:rsidR="00ED7F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346F3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nu necesită modificarea/abrogarea unor acte normative.</w:t>
            </w:r>
          </w:p>
        </w:tc>
      </w:tr>
      <w:tr w:rsidR="005B6669" w:rsidRPr="00A05273" w:rsidTr="00BB5719">
        <w:tc>
          <w:tcPr>
            <w:tcW w:w="5000" w:type="pct"/>
          </w:tcPr>
          <w:p w:rsidR="005B6669" w:rsidRPr="00346F31" w:rsidRDefault="005B6669" w:rsidP="007256B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5B6669" w:rsidRPr="00A05273" w:rsidTr="00BB5719">
        <w:tc>
          <w:tcPr>
            <w:tcW w:w="5000" w:type="pct"/>
          </w:tcPr>
          <w:p w:rsidR="005B6669" w:rsidRPr="00346F31" w:rsidRDefault="005B6669" w:rsidP="007267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46F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Proiectul nu necesită măsuri pentru a fi implementat.</w:t>
            </w:r>
          </w:p>
        </w:tc>
      </w:tr>
    </w:tbl>
    <w:p w:rsidR="00E33D41" w:rsidRPr="00BB5719" w:rsidRDefault="00E33D41" w:rsidP="00BB5719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/>
          <w:bCs/>
          <w:sz w:val="24"/>
          <w:szCs w:val="24"/>
          <w:vertAlign w:val="superscript"/>
          <w:lang w:val="ro-RO"/>
        </w:rPr>
      </w:pPr>
    </w:p>
    <w:p w:rsidR="004560B7" w:rsidRPr="00BB5719" w:rsidRDefault="004560B7" w:rsidP="00BB5719">
      <w:pPr>
        <w:tabs>
          <w:tab w:val="left" w:pos="884"/>
          <w:tab w:val="left" w:pos="1196"/>
        </w:tabs>
        <w:spacing w:after="0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BB5719">
        <w:rPr>
          <w:rFonts w:ascii="Times New Roman" w:hAnsi="Times New Roman"/>
          <w:b/>
          <w:color w:val="000000"/>
          <w:sz w:val="24"/>
          <w:szCs w:val="24"/>
          <w:lang w:val="ro-RO"/>
        </w:rPr>
        <w:t>Ministru</w:t>
      </w:r>
      <w:r w:rsidRPr="00BB5719">
        <w:rPr>
          <w:rFonts w:ascii="Times New Roman" w:hAnsi="Times New Roman"/>
          <w:sz w:val="24"/>
          <w:szCs w:val="24"/>
          <w:lang w:val="ro-RO"/>
        </w:rPr>
        <w:tab/>
      </w:r>
      <w:r w:rsidRPr="00BB5719">
        <w:rPr>
          <w:rFonts w:ascii="Times New Roman" w:hAnsi="Times New Roman"/>
          <w:sz w:val="24"/>
          <w:szCs w:val="24"/>
          <w:lang w:val="ro-RO"/>
        </w:rPr>
        <w:tab/>
      </w:r>
      <w:r w:rsidRPr="00BB5719">
        <w:rPr>
          <w:rFonts w:ascii="Times New Roman" w:hAnsi="Times New Roman"/>
          <w:sz w:val="24"/>
          <w:szCs w:val="24"/>
          <w:lang w:val="ro-RO"/>
        </w:rPr>
        <w:tab/>
      </w:r>
      <w:r w:rsidRPr="00BB5719">
        <w:rPr>
          <w:rFonts w:ascii="Times New Roman" w:hAnsi="Times New Roman"/>
          <w:sz w:val="24"/>
          <w:szCs w:val="24"/>
          <w:lang w:val="ro-RO"/>
        </w:rPr>
        <w:tab/>
      </w:r>
      <w:r w:rsidRPr="00BB5719">
        <w:rPr>
          <w:rFonts w:ascii="Times New Roman" w:hAnsi="Times New Roman"/>
          <w:sz w:val="24"/>
          <w:szCs w:val="24"/>
          <w:lang w:val="ro-RO"/>
        </w:rPr>
        <w:tab/>
      </w:r>
      <w:r w:rsidRPr="00BB5719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Dan </w:t>
      </w:r>
      <w:r w:rsidR="005E3840" w:rsidRPr="00BB5719">
        <w:rPr>
          <w:rFonts w:ascii="Times New Roman" w:hAnsi="Times New Roman"/>
          <w:b/>
          <w:color w:val="000000"/>
          <w:sz w:val="24"/>
          <w:szCs w:val="24"/>
          <w:lang w:val="ro-RO"/>
        </w:rPr>
        <w:t>PERCIUN</w:t>
      </w:r>
    </w:p>
    <w:p w:rsidR="00251B9A" w:rsidRDefault="00251B9A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E57E7" w:rsidRDefault="007E57E7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E57E7" w:rsidRDefault="007E57E7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256B5" w:rsidRPr="00763614" w:rsidRDefault="007256B5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4560B7" w:rsidRPr="00763614" w:rsidRDefault="004560B7" w:rsidP="004560B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763614">
        <w:rPr>
          <w:rFonts w:ascii="Times New Roman" w:hAnsi="Times New Roman"/>
          <w:sz w:val="20"/>
          <w:szCs w:val="20"/>
          <w:lang w:val="ro-RO"/>
        </w:rPr>
        <w:t>Arcadii Andronic, tel: 022-23</w:t>
      </w:r>
      <w:r w:rsidR="00835D34">
        <w:rPr>
          <w:rFonts w:ascii="Times New Roman" w:hAnsi="Times New Roman"/>
          <w:sz w:val="20"/>
          <w:szCs w:val="20"/>
          <w:lang w:val="ro-RO"/>
        </w:rPr>
        <w:t>2107</w:t>
      </w:r>
      <w:bookmarkStart w:id="0" w:name="_GoBack"/>
      <w:bookmarkEnd w:id="0"/>
    </w:p>
    <w:p w:rsidR="0063398B" w:rsidRPr="00763614" w:rsidRDefault="00C0071A" w:rsidP="008034E0">
      <w:pPr>
        <w:tabs>
          <w:tab w:val="left" w:pos="550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hyperlink r:id="rId7" w:history="1">
        <w:r w:rsidRPr="006D088F">
          <w:rPr>
            <w:rStyle w:val="a5"/>
            <w:rFonts w:ascii="Times New Roman" w:hAnsi="Times New Roman"/>
            <w:sz w:val="20"/>
            <w:szCs w:val="20"/>
            <w:lang w:val="ro-RO"/>
          </w:rPr>
          <w:t>arcadii.andronic@mec.gov.md</w:t>
        </w:r>
      </w:hyperlink>
    </w:p>
    <w:sectPr w:rsidR="0063398B" w:rsidRPr="00763614" w:rsidSect="00BB5719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049A"/>
    <w:multiLevelType w:val="hybridMultilevel"/>
    <w:tmpl w:val="5FE8B5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665A5"/>
    <w:multiLevelType w:val="hybridMultilevel"/>
    <w:tmpl w:val="61F8F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41"/>
    <w:rsid w:val="00025431"/>
    <w:rsid w:val="000318ED"/>
    <w:rsid w:val="0004079E"/>
    <w:rsid w:val="00071ABD"/>
    <w:rsid w:val="0008417F"/>
    <w:rsid w:val="000A09F7"/>
    <w:rsid w:val="000D2194"/>
    <w:rsid w:val="001251FE"/>
    <w:rsid w:val="001512AE"/>
    <w:rsid w:val="00161889"/>
    <w:rsid w:val="00192883"/>
    <w:rsid w:val="001972BE"/>
    <w:rsid w:val="001D3D63"/>
    <w:rsid w:val="00205E78"/>
    <w:rsid w:val="00212FB9"/>
    <w:rsid w:val="002312E4"/>
    <w:rsid w:val="00240EA8"/>
    <w:rsid w:val="00251B9A"/>
    <w:rsid w:val="002631D7"/>
    <w:rsid w:val="002A3A56"/>
    <w:rsid w:val="002A72BB"/>
    <w:rsid w:val="002C7D2D"/>
    <w:rsid w:val="002E3F9B"/>
    <w:rsid w:val="002F43AB"/>
    <w:rsid w:val="0035509E"/>
    <w:rsid w:val="00370A96"/>
    <w:rsid w:val="003F03C5"/>
    <w:rsid w:val="00404B3F"/>
    <w:rsid w:val="004560B7"/>
    <w:rsid w:val="0046005B"/>
    <w:rsid w:val="0048374E"/>
    <w:rsid w:val="004847C5"/>
    <w:rsid w:val="0049102C"/>
    <w:rsid w:val="004A24B1"/>
    <w:rsid w:val="004D10FD"/>
    <w:rsid w:val="004D7B50"/>
    <w:rsid w:val="004E66C2"/>
    <w:rsid w:val="004F75EE"/>
    <w:rsid w:val="00500176"/>
    <w:rsid w:val="00505DFE"/>
    <w:rsid w:val="00522BC9"/>
    <w:rsid w:val="005305F1"/>
    <w:rsid w:val="0054168F"/>
    <w:rsid w:val="005B6669"/>
    <w:rsid w:val="005E3840"/>
    <w:rsid w:val="005E7ED9"/>
    <w:rsid w:val="005F1A2C"/>
    <w:rsid w:val="0063398B"/>
    <w:rsid w:val="006339BA"/>
    <w:rsid w:val="00644A55"/>
    <w:rsid w:val="00672CA6"/>
    <w:rsid w:val="00681A5A"/>
    <w:rsid w:val="00694C12"/>
    <w:rsid w:val="006A31DA"/>
    <w:rsid w:val="006B7633"/>
    <w:rsid w:val="006B786E"/>
    <w:rsid w:val="006D7435"/>
    <w:rsid w:val="007168F6"/>
    <w:rsid w:val="007212A5"/>
    <w:rsid w:val="007256B5"/>
    <w:rsid w:val="00726745"/>
    <w:rsid w:val="00763614"/>
    <w:rsid w:val="00793C94"/>
    <w:rsid w:val="007E57E7"/>
    <w:rsid w:val="007E7F9A"/>
    <w:rsid w:val="007F6158"/>
    <w:rsid w:val="00802E3D"/>
    <w:rsid w:val="008034E0"/>
    <w:rsid w:val="00835D34"/>
    <w:rsid w:val="00836BCA"/>
    <w:rsid w:val="00874F7B"/>
    <w:rsid w:val="00897C20"/>
    <w:rsid w:val="008A58CB"/>
    <w:rsid w:val="008E546F"/>
    <w:rsid w:val="008E570C"/>
    <w:rsid w:val="008E71D4"/>
    <w:rsid w:val="00901BAA"/>
    <w:rsid w:val="00906226"/>
    <w:rsid w:val="00937ECD"/>
    <w:rsid w:val="009529E0"/>
    <w:rsid w:val="009604C6"/>
    <w:rsid w:val="00980D84"/>
    <w:rsid w:val="00984DA7"/>
    <w:rsid w:val="009A239E"/>
    <w:rsid w:val="009D711D"/>
    <w:rsid w:val="009F565B"/>
    <w:rsid w:val="00A05273"/>
    <w:rsid w:val="00AA1BA1"/>
    <w:rsid w:val="00AC4169"/>
    <w:rsid w:val="00AF7778"/>
    <w:rsid w:val="00B0696D"/>
    <w:rsid w:val="00B1145A"/>
    <w:rsid w:val="00B1327B"/>
    <w:rsid w:val="00B33F4E"/>
    <w:rsid w:val="00B3413A"/>
    <w:rsid w:val="00B3644A"/>
    <w:rsid w:val="00B36D9A"/>
    <w:rsid w:val="00B745D8"/>
    <w:rsid w:val="00B8417C"/>
    <w:rsid w:val="00B94910"/>
    <w:rsid w:val="00B96179"/>
    <w:rsid w:val="00BB5719"/>
    <w:rsid w:val="00BE69BC"/>
    <w:rsid w:val="00C00532"/>
    <w:rsid w:val="00C0071A"/>
    <w:rsid w:val="00C22741"/>
    <w:rsid w:val="00C33E2A"/>
    <w:rsid w:val="00C344D0"/>
    <w:rsid w:val="00C70731"/>
    <w:rsid w:val="00C73B18"/>
    <w:rsid w:val="00C852D5"/>
    <w:rsid w:val="00C85FDF"/>
    <w:rsid w:val="00C8784E"/>
    <w:rsid w:val="00C92961"/>
    <w:rsid w:val="00CE4F23"/>
    <w:rsid w:val="00D00804"/>
    <w:rsid w:val="00D1679A"/>
    <w:rsid w:val="00D34F5F"/>
    <w:rsid w:val="00D54789"/>
    <w:rsid w:val="00D57BAA"/>
    <w:rsid w:val="00D630EC"/>
    <w:rsid w:val="00D63194"/>
    <w:rsid w:val="00D95E02"/>
    <w:rsid w:val="00DB1C51"/>
    <w:rsid w:val="00DD3791"/>
    <w:rsid w:val="00E11993"/>
    <w:rsid w:val="00E22BCF"/>
    <w:rsid w:val="00E33D41"/>
    <w:rsid w:val="00E601FC"/>
    <w:rsid w:val="00EB4775"/>
    <w:rsid w:val="00EC2AFA"/>
    <w:rsid w:val="00ED7FC3"/>
    <w:rsid w:val="00F13042"/>
    <w:rsid w:val="00F33422"/>
    <w:rsid w:val="00F33C24"/>
    <w:rsid w:val="00F72A2B"/>
    <w:rsid w:val="00F75911"/>
    <w:rsid w:val="00F80406"/>
    <w:rsid w:val="00F81010"/>
    <w:rsid w:val="00F84B77"/>
    <w:rsid w:val="00F96A7A"/>
    <w:rsid w:val="00FA4FAE"/>
    <w:rsid w:val="00FC0E14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48E00-FF68-4C76-93A8-8EC5450F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41"/>
    <w:rPr>
      <w:rFonts w:ascii="Calibri" w:eastAsia="Calibri" w:hAnsi="Calibri" w:cs="Times New Roman"/>
      <w:lang w:val="ru-RU" w:eastAsia="ru-RU"/>
    </w:rPr>
  </w:style>
  <w:style w:type="paragraph" w:styleId="4">
    <w:name w:val="heading 4"/>
    <w:basedOn w:val="a"/>
    <w:link w:val="40"/>
    <w:uiPriority w:val="9"/>
    <w:qFormat/>
    <w:rsid w:val="000A09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E33D41"/>
  </w:style>
  <w:style w:type="paragraph" w:styleId="a3">
    <w:name w:val="Normal (Web)"/>
    <w:basedOn w:val="a"/>
    <w:uiPriority w:val="99"/>
    <w:rsid w:val="00E33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No Spacing"/>
    <w:uiPriority w:val="1"/>
    <w:qFormat/>
    <w:rsid w:val="00E33D41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rsid w:val="00B3644A"/>
    <w:rPr>
      <w:color w:val="0563C1"/>
      <w:u w:val="single"/>
    </w:rPr>
  </w:style>
  <w:style w:type="paragraph" w:styleId="3">
    <w:name w:val="Body Text Indent 3"/>
    <w:basedOn w:val="a"/>
    <w:link w:val="30"/>
    <w:rsid w:val="007F6158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7F6158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docbody1">
    <w:name w:val="doc_body1"/>
    <w:uiPriority w:val="99"/>
    <w:rsid w:val="007F6158"/>
    <w:rPr>
      <w:rFonts w:ascii="Times New Roman" w:hAnsi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63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398B"/>
    <w:rPr>
      <w:rFonts w:ascii="Segoe UI" w:eastAsia="Calibri" w:hAnsi="Segoe UI" w:cs="Segoe UI"/>
      <w:sz w:val="18"/>
      <w:szCs w:val="18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793C94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6188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A09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adii.andronic@mec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c.gov.md/ro/content/anunturi-privind-initierea-elaborarii-deciziil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FF0F4-0B8A-4781-A978-0A6CFFB7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1388</Words>
  <Characters>7915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Dediu</dc:creator>
  <cp:lastModifiedBy>Учетная запись Майкрософт</cp:lastModifiedBy>
  <cp:revision>38</cp:revision>
  <cp:lastPrinted>2024-09-11T07:46:00Z</cp:lastPrinted>
  <dcterms:created xsi:type="dcterms:W3CDTF">2023-08-10T12:14:00Z</dcterms:created>
  <dcterms:modified xsi:type="dcterms:W3CDTF">2024-09-25T13:00:00Z</dcterms:modified>
</cp:coreProperties>
</file>