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4FE3A" w14:textId="77777777" w:rsidR="003C442D" w:rsidRPr="00A249FD" w:rsidRDefault="00346E38"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jc w:val="center"/>
        <w:rPr>
          <w:sz w:val="24"/>
          <w:szCs w:val="24"/>
          <w:lang w:val="ro-RO"/>
        </w:rPr>
      </w:pPr>
      <w:r w:rsidRPr="00A249FD">
        <w:rPr>
          <w:b/>
          <w:sz w:val="24"/>
          <w:szCs w:val="24"/>
          <w:lang w:val="ro-RO"/>
        </w:rPr>
        <w:t>NOTA DE FUNDAMENTARE</w:t>
      </w:r>
    </w:p>
    <w:p w14:paraId="185A8C94" w14:textId="053AF2F5" w:rsidR="003C442D" w:rsidRPr="00A249FD" w:rsidRDefault="00346E38"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right="282" w:firstLine="0"/>
        <w:jc w:val="center"/>
        <w:rPr>
          <w:sz w:val="24"/>
          <w:szCs w:val="24"/>
          <w:lang w:val="ro-RO"/>
        </w:rPr>
      </w:pPr>
      <w:r w:rsidRPr="00A249FD">
        <w:rPr>
          <w:b/>
          <w:sz w:val="24"/>
          <w:szCs w:val="24"/>
          <w:lang w:val="ro-RO"/>
        </w:rPr>
        <w:t xml:space="preserve">la proiectul </w:t>
      </w:r>
      <w:r w:rsidR="00CD1A49" w:rsidRPr="00A249FD">
        <w:rPr>
          <w:rFonts w:eastAsiaTheme="minorEastAsia"/>
          <w:b/>
          <w:bCs/>
          <w:spacing w:val="-1"/>
          <w:sz w:val="24"/>
          <w:szCs w:val="24"/>
          <w:lang w:val="ro-RO" w:eastAsia="ro-MD"/>
        </w:rPr>
        <w:t xml:space="preserve">de Lege </w:t>
      </w:r>
      <w:r w:rsidR="00404B62" w:rsidRPr="00A249FD">
        <w:rPr>
          <w:rFonts w:eastAsiaTheme="minorEastAsia"/>
          <w:b/>
          <w:bCs/>
          <w:spacing w:val="-1"/>
          <w:sz w:val="24"/>
          <w:szCs w:val="24"/>
          <w:lang w:val="ro-RO" w:eastAsia="ro-MD"/>
        </w:rPr>
        <w:t>privind normele de  punere la dispoziție pe piață a produselor fertilizante</w:t>
      </w:r>
    </w:p>
    <w:tbl>
      <w:tblPr>
        <w:tblStyle w:val="Tabelgril"/>
        <w:tblW w:w="0" w:type="auto"/>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0"/>
      </w:tblGrid>
      <w:tr w:rsidR="003C442D" w:rsidRPr="00A249FD" w14:paraId="11C6B7C0" w14:textId="77777777" w:rsidTr="006B0BFC">
        <w:tc>
          <w:tcPr>
            <w:tcW w:w="978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64CFC508"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1. Denumirea sau numele autorului și, după caz, a/al participanților la elaborarea proiectului actului normativ</w:t>
            </w:r>
          </w:p>
        </w:tc>
      </w:tr>
      <w:tr w:rsidR="003C442D" w:rsidRPr="00A249FD" w14:paraId="532EF2E6"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83ED30" w14:textId="632AD70C"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 </w:t>
            </w:r>
            <w:r w:rsidR="00D46A9F" w:rsidRPr="00A249FD">
              <w:rPr>
                <w:rFonts w:ascii="Times New Roman" w:eastAsiaTheme="minorEastAsia" w:hAnsi="Times New Roman"/>
                <w:sz w:val="24"/>
                <w:szCs w:val="24"/>
                <w:lang w:val="ro-RO" w:eastAsia="ro-MD"/>
              </w:rPr>
              <w:t>Proiectul</w:t>
            </w:r>
            <w:r w:rsidR="00D46A9F" w:rsidRPr="00A249FD">
              <w:rPr>
                <w:rFonts w:ascii="Times New Roman" w:eastAsiaTheme="minorEastAsia" w:hAnsi="Times New Roman"/>
                <w:spacing w:val="54"/>
                <w:sz w:val="24"/>
                <w:szCs w:val="24"/>
                <w:lang w:val="ro-RO" w:eastAsia="ro-MD"/>
              </w:rPr>
              <w:t xml:space="preserve"> </w:t>
            </w:r>
            <w:r w:rsidR="00CD1A49" w:rsidRPr="00A249FD">
              <w:rPr>
                <w:rFonts w:ascii="Times New Roman" w:eastAsiaTheme="minorEastAsia" w:hAnsi="Times New Roman"/>
                <w:sz w:val="24"/>
                <w:szCs w:val="24"/>
                <w:lang w:val="ro-RO" w:eastAsia="ro-MD"/>
              </w:rPr>
              <w:t xml:space="preserve">de Lege </w:t>
            </w:r>
            <w:r w:rsidR="00404B62" w:rsidRPr="00A249FD">
              <w:rPr>
                <w:rFonts w:ascii="Times New Roman" w:eastAsiaTheme="minorEastAsia" w:hAnsi="Times New Roman"/>
                <w:sz w:val="24"/>
                <w:szCs w:val="24"/>
                <w:lang w:val="ro-RO" w:eastAsia="ro-MD"/>
              </w:rPr>
              <w:t xml:space="preserve">privind normele de  punere la dispoziție pe piață a produselor fertilizante </w:t>
            </w:r>
            <w:r w:rsidR="00D46A9F" w:rsidRPr="00A249FD">
              <w:rPr>
                <w:rFonts w:ascii="Times New Roman" w:hAnsi="Times New Roman"/>
                <w:sz w:val="24"/>
                <w:szCs w:val="24"/>
                <w:lang w:val="ro-RO"/>
              </w:rPr>
              <w:t>(în</w:t>
            </w:r>
            <w:r w:rsidR="00D46A9F" w:rsidRPr="00A249FD">
              <w:rPr>
                <w:rFonts w:ascii="Times New Roman" w:hAnsi="Times New Roman"/>
                <w:spacing w:val="1"/>
                <w:sz w:val="24"/>
                <w:szCs w:val="24"/>
                <w:lang w:val="ro-RO"/>
              </w:rPr>
              <w:t xml:space="preserve"> </w:t>
            </w:r>
            <w:r w:rsidR="00D46A9F" w:rsidRPr="00A249FD">
              <w:rPr>
                <w:rFonts w:ascii="Times New Roman" w:hAnsi="Times New Roman"/>
                <w:sz w:val="24"/>
                <w:szCs w:val="24"/>
                <w:lang w:val="ro-RO"/>
              </w:rPr>
              <w:t xml:space="preserve">continuare – </w:t>
            </w:r>
            <w:r w:rsidR="00D46A9F" w:rsidRPr="00A249FD">
              <w:rPr>
                <w:rFonts w:ascii="Times New Roman" w:hAnsi="Times New Roman"/>
                <w:i/>
                <w:sz w:val="24"/>
                <w:szCs w:val="24"/>
                <w:lang w:val="ro-RO"/>
              </w:rPr>
              <w:t>proiect</w:t>
            </w:r>
            <w:r w:rsidR="00D46A9F" w:rsidRPr="00A249FD">
              <w:rPr>
                <w:rFonts w:ascii="Times New Roman" w:hAnsi="Times New Roman"/>
                <w:sz w:val="24"/>
                <w:szCs w:val="24"/>
                <w:lang w:val="ro-RO"/>
              </w:rPr>
              <w:t xml:space="preserve">) este elaborat de Ministerul </w:t>
            </w:r>
            <w:r w:rsidR="00404B62" w:rsidRPr="00A249FD">
              <w:rPr>
                <w:rFonts w:ascii="Times New Roman" w:hAnsi="Times New Roman"/>
                <w:sz w:val="24"/>
                <w:szCs w:val="24"/>
                <w:lang w:val="ro-RO"/>
              </w:rPr>
              <w:t>Agriculturii și Industriei Alimentare</w:t>
            </w:r>
            <w:r w:rsidR="00D46A9F" w:rsidRPr="00A249FD">
              <w:rPr>
                <w:rFonts w:ascii="Times New Roman" w:hAnsi="Times New Roman"/>
                <w:sz w:val="24"/>
                <w:szCs w:val="24"/>
                <w:lang w:val="ro-RO"/>
              </w:rPr>
              <w:t>.</w:t>
            </w:r>
          </w:p>
        </w:tc>
      </w:tr>
      <w:tr w:rsidR="003C442D" w:rsidRPr="00A249FD" w14:paraId="0856DDAD"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293EB1"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2. Condițiile ce au impus elaborarea proiectului actului normativ</w:t>
            </w:r>
          </w:p>
        </w:tc>
      </w:tr>
      <w:tr w:rsidR="003C442D" w:rsidRPr="00A249FD" w14:paraId="45BF157F"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D99DC9B" w14:textId="5E80C247" w:rsidR="00287ED4" w:rsidRPr="00A249FD" w:rsidRDefault="000E3FCF"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2.1. Temeiul legal sau, după caz, sursa proiectului actului normativ</w:t>
            </w:r>
          </w:p>
          <w:p w14:paraId="0782F35E" w14:textId="0B2CA8B4" w:rsidR="00D46A9F" w:rsidRPr="00A249FD" w:rsidRDefault="00287ED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Proiectul de act normativ asigură armonizarea legislației naționale cu </w:t>
            </w:r>
            <w:proofErr w:type="spellStart"/>
            <w:r w:rsidR="003B5FA8" w:rsidRPr="00A249FD">
              <w:rPr>
                <w:rFonts w:ascii="Times New Roman" w:hAnsi="Times New Roman"/>
                <w:i/>
                <w:sz w:val="24"/>
                <w:szCs w:val="24"/>
                <w:lang w:val="ro-RO"/>
              </w:rPr>
              <w:t>acquisul</w:t>
            </w:r>
            <w:proofErr w:type="spellEnd"/>
            <w:r w:rsidR="00CD418B" w:rsidRPr="00A249FD">
              <w:rPr>
                <w:rFonts w:ascii="Times New Roman" w:hAnsi="Times New Roman"/>
                <w:i/>
                <w:sz w:val="24"/>
                <w:szCs w:val="24"/>
                <w:lang w:val="ro-RO"/>
              </w:rPr>
              <w:t xml:space="preserve"> european</w:t>
            </w:r>
            <w:r w:rsidRPr="00A249FD">
              <w:rPr>
                <w:rFonts w:ascii="Times New Roman" w:hAnsi="Times New Roman"/>
                <w:sz w:val="24"/>
                <w:szCs w:val="24"/>
                <w:lang w:val="ro-RO"/>
              </w:rPr>
              <w:t xml:space="preserve"> referitor la </w:t>
            </w:r>
            <w:r w:rsidR="00CD418B" w:rsidRPr="00A249FD">
              <w:rPr>
                <w:rFonts w:ascii="Times New Roman" w:hAnsi="Times New Roman"/>
                <w:sz w:val="24"/>
                <w:szCs w:val="24"/>
                <w:lang w:val="ro-RO"/>
              </w:rPr>
              <w:t>produsele fertilizante</w:t>
            </w:r>
            <w:r w:rsidRPr="00A249FD">
              <w:rPr>
                <w:rFonts w:ascii="Times New Roman" w:hAnsi="Times New Roman"/>
                <w:sz w:val="24"/>
                <w:szCs w:val="24"/>
                <w:lang w:val="ro-RO"/>
              </w:rPr>
              <w:t xml:space="preserve"> și </w:t>
            </w:r>
            <w:r w:rsidR="00CD418B" w:rsidRPr="00A249FD">
              <w:rPr>
                <w:rFonts w:ascii="Times New Roman" w:hAnsi="Times New Roman"/>
                <w:sz w:val="24"/>
                <w:szCs w:val="24"/>
                <w:lang w:val="ro-RO"/>
              </w:rPr>
              <w:t>transpune parțial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w:t>
            </w:r>
            <w:r w:rsidRPr="00A249FD">
              <w:rPr>
                <w:rFonts w:ascii="Times New Roman" w:hAnsi="Times New Roman"/>
                <w:sz w:val="24"/>
                <w:szCs w:val="24"/>
                <w:lang w:val="ro-RO"/>
              </w:rPr>
              <w:t xml:space="preserve">, </w:t>
            </w:r>
            <w:r w:rsidR="00CD418B" w:rsidRPr="00A249FD">
              <w:rPr>
                <w:rFonts w:ascii="Times New Roman" w:hAnsi="Times New Roman"/>
                <w:sz w:val="24"/>
                <w:szCs w:val="24"/>
                <w:lang w:val="ro-RO"/>
              </w:rPr>
              <w:t>publicat în Jurnalul Oficial al Uniunii Europene L 170 din 25 iunie 2019, așa cum a fost modificat ultima dată prin Regulamentul delegat (UE) 2024/1682 al Comisiei din 4 martie 2024 de modificare a Regulamentului (UE) 2019/1009 al Parlamentului European și al Consiliului în ceea ce privește adăugarea gunoiului de grajd prelucrat ca materie componentă în produsele fertilizante UE</w:t>
            </w:r>
            <w:r w:rsidR="003B5FA8" w:rsidRPr="00A249FD">
              <w:rPr>
                <w:rFonts w:ascii="Times New Roman" w:hAnsi="Times New Roman"/>
                <w:sz w:val="24"/>
                <w:szCs w:val="24"/>
                <w:lang w:val="ro-RO"/>
              </w:rPr>
              <w:t xml:space="preserve"> </w:t>
            </w:r>
            <w:r w:rsidRPr="00A249FD">
              <w:rPr>
                <w:rFonts w:ascii="Times New Roman" w:hAnsi="Times New Roman"/>
                <w:sz w:val="24"/>
                <w:szCs w:val="24"/>
                <w:lang w:val="ro-RO"/>
              </w:rPr>
              <w:t>și creează cadrul normativ în domeniul menționat.</w:t>
            </w:r>
          </w:p>
        </w:tc>
      </w:tr>
      <w:tr w:rsidR="003C442D" w:rsidRPr="00A249FD" w14:paraId="2F5F9D65"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A87364" w14:textId="77777777"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3C442D" w:rsidRPr="00A249FD" w14:paraId="03D7F050"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967AF77" w14:textId="3FD976D6"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Domeniul îngrășămintelor este unul foarte prior</w:t>
            </w:r>
            <w:r w:rsidR="003B5FA8" w:rsidRPr="00A249FD">
              <w:rPr>
                <w:rFonts w:ascii="Times New Roman" w:hAnsi="Times New Roman"/>
                <w:lang w:val="ro-RO"/>
              </w:rPr>
              <w:t>i</w:t>
            </w:r>
            <w:r w:rsidRPr="00A249FD">
              <w:rPr>
                <w:rFonts w:ascii="Times New Roman" w:hAnsi="Times New Roman"/>
                <w:lang w:val="ro-RO"/>
              </w:rPr>
              <w:t xml:space="preserve">tar pentru agricultura. În dependență de tehnologia de producere agricolă, prețul îngrășămintelor minerale, bonitatea solurilor și </w:t>
            </w:r>
            <w:r w:rsidR="003B5FA8" w:rsidRPr="00A249FD">
              <w:rPr>
                <w:rFonts w:ascii="Times New Roman" w:hAnsi="Times New Roman"/>
                <w:lang w:val="ro-RO"/>
              </w:rPr>
              <w:t>substraturilor</w:t>
            </w:r>
            <w:r w:rsidRPr="00A249FD">
              <w:rPr>
                <w:rFonts w:ascii="Times New Roman" w:hAnsi="Times New Roman"/>
                <w:lang w:val="ro-RO"/>
              </w:rPr>
              <w:t>,  agricultura este ramura cea mai dependentă de industria producerii îngrășămintelor. Republica Moldova, importă 100% din îngrășămintele sintetizate, ce face ca obiectivul de asigurare alimentară a populației să fie expus riscului în cazul când o altă alternativă ale acestora nu există. În același timp, pe termen lung, utilizarea exclusivă a îngrășămintelor de sinteză chimică face c</w:t>
            </w:r>
            <w:r w:rsidR="003B5FA8" w:rsidRPr="00A249FD">
              <w:rPr>
                <w:rFonts w:ascii="Times New Roman" w:hAnsi="Times New Roman"/>
                <w:lang w:val="ro-RO"/>
              </w:rPr>
              <w:t>a solurile fertile să cape</w:t>
            </w:r>
            <w:r w:rsidRPr="00A249FD">
              <w:rPr>
                <w:rFonts w:ascii="Times New Roman" w:hAnsi="Times New Roman"/>
                <w:lang w:val="ro-RO"/>
              </w:rPr>
              <w:t xml:space="preserve">te o mineralizare mai înaltă, </w:t>
            </w:r>
            <w:r w:rsidR="007B4A51" w:rsidRPr="00A249FD">
              <w:rPr>
                <w:rFonts w:ascii="Times New Roman" w:hAnsi="Times New Roman"/>
                <w:lang w:val="ro-RO"/>
              </w:rPr>
              <w:t>știrbind</w:t>
            </w:r>
            <w:r w:rsidRPr="00A249FD">
              <w:rPr>
                <w:rFonts w:ascii="Times New Roman" w:hAnsi="Times New Roman"/>
                <w:lang w:val="ro-RO"/>
              </w:rPr>
              <w:t xml:space="preserve"> din bonitatea acestora.  </w:t>
            </w:r>
          </w:p>
          <w:p w14:paraId="79C34DC1" w14:textId="76FE4DD5" w:rsidR="00C6582D" w:rsidRPr="00A249FD" w:rsidRDefault="007B4A51"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Analizând</w:t>
            </w:r>
            <w:r w:rsidR="00C6582D" w:rsidRPr="00A249FD">
              <w:rPr>
                <w:rFonts w:ascii="Times New Roman" w:hAnsi="Times New Roman"/>
                <w:lang w:val="ro-RO"/>
              </w:rPr>
              <w:t xml:space="preserve"> starea humică a solurilor de către cercetătorii Institutului pentru Protecția Solurilor „N. </w:t>
            </w:r>
            <w:proofErr w:type="spellStart"/>
            <w:r w:rsidR="00C6582D" w:rsidRPr="00A249FD">
              <w:rPr>
                <w:rFonts w:ascii="Times New Roman" w:hAnsi="Times New Roman"/>
                <w:lang w:val="ro-RO"/>
              </w:rPr>
              <w:t>Dimo</w:t>
            </w:r>
            <w:proofErr w:type="spellEnd"/>
            <w:r w:rsidR="00C6582D" w:rsidRPr="00A249FD">
              <w:rPr>
                <w:rFonts w:ascii="Times New Roman" w:hAnsi="Times New Roman"/>
                <w:lang w:val="ro-RO"/>
              </w:rPr>
              <w:t xml:space="preserve">” conform metodologiei germane, </w:t>
            </w:r>
            <w:r w:rsidRPr="00A249FD">
              <w:rPr>
                <w:rFonts w:ascii="Times New Roman" w:hAnsi="Times New Roman"/>
                <w:lang w:val="ro-RO"/>
              </w:rPr>
              <w:t>conținutul</w:t>
            </w:r>
            <w:r w:rsidR="00C6582D" w:rsidRPr="00A249FD">
              <w:rPr>
                <w:rFonts w:ascii="Times New Roman" w:hAnsi="Times New Roman"/>
                <w:lang w:val="ro-RO"/>
              </w:rPr>
              <w:t xml:space="preserve"> de humus </w:t>
            </w:r>
            <w:proofErr w:type="spellStart"/>
            <w:r w:rsidR="00C6582D" w:rsidRPr="00A249FD">
              <w:rPr>
                <w:rFonts w:ascii="Times New Roman" w:hAnsi="Times New Roman"/>
                <w:lang w:val="ro-RO"/>
              </w:rPr>
              <w:t>în</w:t>
            </w:r>
            <w:proofErr w:type="spellEnd"/>
            <w:r w:rsidR="00C6582D" w:rsidRPr="00A249FD">
              <w:rPr>
                <w:rFonts w:ascii="Times New Roman" w:hAnsi="Times New Roman"/>
                <w:lang w:val="ro-RO"/>
              </w:rPr>
              <w:t xml:space="preserve"> </w:t>
            </w:r>
            <w:r w:rsidR="003B5FA8" w:rsidRPr="00A249FD">
              <w:rPr>
                <w:rFonts w:ascii="Times New Roman" w:hAnsi="Times New Roman"/>
                <w:lang w:val="ro-RO"/>
              </w:rPr>
              <w:t>corelație</w:t>
            </w:r>
            <w:r w:rsidR="00C6582D" w:rsidRPr="00A249FD">
              <w:rPr>
                <w:rFonts w:ascii="Times New Roman" w:hAnsi="Times New Roman"/>
                <w:lang w:val="ro-RO"/>
              </w:rPr>
              <w:t xml:space="preserve"> cu textura solurilor, a fos</w:t>
            </w:r>
            <w:r w:rsidR="003B5FA8" w:rsidRPr="00A249FD">
              <w:rPr>
                <w:rFonts w:ascii="Times New Roman" w:hAnsi="Times New Roman"/>
                <w:lang w:val="ro-RO"/>
              </w:rPr>
              <w:t>t</w:t>
            </w:r>
            <w:r w:rsidR="00C6582D" w:rsidRPr="00A249FD">
              <w:rPr>
                <w:rFonts w:ascii="Times New Roman" w:hAnsi="Times New Roman"/>
                <w:lang w:val="ro-RO"/>
              </w:rPr>
              <w:t xml:space="preserve"> constatată  un nivel suboptimal al </w:t>
            </w:r>
            <w:r w:rsidR="003B5FA8" w:rsidRPr="00A249FD">
              <w:rPr>
                <w:rFonts w:ascii="Times New Roman" w:hAnsi="Times New Roman"/>
                <w:lang w:val="ro-RO"/>
              </w:rPr>
              <w:t>stării</w:t>
            </w:r>
            <w:r w:rsidR="00C6582D" w:rsidRPr="00A249FD">
              <w:rPr>
                <w:rFonts w:ascii="Times New Roman" w:hAnsi="Times New Roman"/>
                <w:lang w:val="ro-RO"/>
              </w:rPr>
              <w:t xml:space="preserve"> humice. Un astfel de nivel al </w:t>
            </w:r>
            <w:r w:rsidR="003B5FA8" w:rsidRPr="00A249FD">
              <w:rPr>
                <w:rFonts w:ascii="Times New Roman" w:hAnsi="Times New Roman"/>
                <w:lang w:val="ro-RO"/>
              </w:rPr>
              <w:t>conținutului</w:t>
            </w:r>
            <w:r w:rsidR="00C6582D" w:rsidRPr="00A249FD">
              <w:rPr>
                <w:rFonts w:ascii="Times New Roman" w:hAnsi="Times New Roman"/>
                <w:lang w:val="ro-RO"/>
              </w:rPr>
              <w:t xml:space="preserve"> de humus se </w:t>
            </w:r>
            <w:r w:rsidR="003B5FA8" w:rsidRPr="00A249FD">
              <w:rPr>
                <w:rFonts w:ascii="Times New Roman" w:hAnsi="Times New Roman"/>
                <w:lang w:val="ro-RO"/>
              </w:rPr>
              <w:t>caracterizează</w:t>
            </w:r>
            <w:r w:rsidR="00C6582D" w:rsidRPr="00A249FD">
              <w:rPr>
                <w:rFonts w:ascii="Times New Roman" w:hAnsi="Times New Roman"/>
                <w:lang w:val="ro-RO"/>
              </w:rPr>
              <w:t xml:space="preserve">̆ prin </w:t>
            </w:r>
            <w:r w:rsidR="003B5FA8" w:rsidRPr="00A249FD">
              <w:rPr>
                <w:rFonts w:ascii="Times New Roman" w:hAnsi="Times New Roman"/>
                <w:lang w:val="ro-RO"/>
              </w:rPr>
              <w:t>substanță</w:t>
            </w:r>
            <w:r w:rsidR="00C6582D" w:rsidRPr="00A249FD">
              <w:rPr>
                <w:rFonts w:ascii="Times New Roman" w:hAnsi="Times New Roman"/>
                <w:lang w:val="ro-RO"/>
              </w:rPr>
              <w:t xml:space="preserve">̆ organică puternic fixată </w:t>
            </w:r>
            <w:proofErr w:type="spellStart"/>
            <w:r w:rsidR="00C6582D" w:rsidRPr="00A249FD">
              <w:rPr>
                <w:rFonts w:ascii="Times New Roman" w:hAnsi="Times New Roman"/>
                <w:lang w:val="ro-RO"/>
              </w:rPr>
              <w:t>în</w:t>
            </w:r>
            <w:proofErr w:type="spellEnd"/>
            <w:r w:rsidR="00C6582D" w:rsidRPr="00A249FD">
              <w:rPr>
                <w:rFonts w:ascii="Times New Roman" w:hAnsi="Times New Roman"/>
                <w:lang w:val="ro-RO"/>
              </w:rPr>
              <w:t xml:space="preserve"> partea minerală a solurilor, humus care se </w:t>
            </w:r>
            <w:r w:rsidR="003B5FA8" w:rsidRPr="00A249FD">
              <w:rPr>
                <w:rFonts w:ascii="Times New Roman" w:hAnsi="Times New Roman"/>
                <w:lang w:val="ro-RO"/>
              </w:rPr>
              <w:t>mineralizează</w:t>
            </w:r>
            <w:r w:rsidR="00C6582D" w:rsidRPr="00A249FD">
              <w:rPr>
                <w:rFonts w:ascii="Times New Roman" w:hAnsi="Times New Roman"/>
                <w:lang w:val="ro-RO"/>
              </w:rPr>
              <w:t xml:space="preserve">̆ greu, iar solul are o capacitate de nitrificare mică. La concluzii similare ajunge </w:t>
            </w:r>
            <w:proofErr w:type="spellStart"/>
            <w:r w:rsidR="00C6582D" w:rsidRPr="00A249FD">
              <w:rPr>
                <w:rFonts w:ascii="Times New Roman" w:hAnsi="Times New Roman"/>
                <w:lang w:val="ro-RO"/>
              </w:rPr>
              <w:t>în</w:t>
            </w:r>
            <w:proofErr w:type="spellEnd"/>
            <w:r w:rsidR="00C6582D" w:rsidRPr="00A249FD">
              <w:rPr>
                <w:rFonts w:ascii="Times New Roman" w:hAnsi="Times New Roman"/>
                <w:lang w:val="ro-RO"/>
              </w:rPr>
              <w:t xml:space="preserve"> studiul </w:t>
            </w:r>
            <w:r w:rsidR="003B5FA8" w:rsidRPr="00A249FD">
              <w:rPr>
                <w:rFonts w:ascii="Times New Roman" w:hAnsi="Times New Roman"/>
                <w:lang w:val="ro-RO"/>
              </w:rPr>
              <w:t>acumulării</w:t>
            </w:r>
            <w:r w:rsidR="00C6582D" w:rsidRPr="00A249FD">
              <w:rPr>
                <w:rFonts w:ascii="Times New Roman" w:hAnsi="Times New Roman"/>
                <w:lang w:val="ro-RO"/>
              </w:rPr>
              <w:t xml:space="preserve"> </w:t>
            </w:r>
            <w:proofErr w:type="spellStart"/>
            <w:r w:rsidR="00C6582D" w:rsidRPr="00A249FD">
              <w:rPr>
                <w:rFonts w:ascii="Times New Roman" w:hAnsi="Times New Roman"/>
                <w:lang w:val="ro-RO"/>
              </w:rPr>
              <w:t>și</w:t>
            </w:r>
            <w:proofErr w:type="spellEnd"/>
            <w:r w:rsidR="00C6582D" w:rsidRPr="00A249FD">
              <w:rPr>
                <w:rFonts w:ascii="Times New Roman" w:hAnsi="Times New Roman"/>
                <w:lang w:val="ro-RO"/>
              </w:rPr>
              <w:t xml:space="preserve"> </w:t>
            </w:r>
            <w:r w:rsidR="003B5FA8" w:rsidRPr="00A249FD">
              <w:rPr>
                <w:rFonts w:ascii="Times New Roman" w:hAnsi="Times New Roman"/>
                <w:lang w:val="ro-RO"/>
              </w:rPr>
              <w:t>transformării</w:t>
            </w:r>
            <w:r w:rsidR="00C6582D" w:rsidRPr="00A249FD">
              <w:rPr>
                <w:rFonts w:ascii="Times New Roman" w:hAnsi="Times New Roman"/>
                <w:lang w:val="ro-RO"/>
              </w:rPr>
              <w:t xml:space="preserve"> azotului </w:t>
            </w:r>
            <w:proofErr w:type="spellStart"/>
            <w:r w:rsidR="00C6582D" w:rsidRPr="00A249FD">
              <w:rPr>
                <w:rFonts w:ascii="Times New Roman" w:hAnsi="Times New Roman"/>
                <w:lang w:val="ro-RO"/>
              </w:rPr>
              <w:t>în</w:t>
            </w:r>
            <w:proofErr w:type="spellEnd"/>
            <w:r w:rsidR="00C6582D" w:rsidRPr="00A249FD">
              <w:rPr>
                <w:rFonts w:ascii="Times New Roman" w:hAnsi="Times New Roman"/>
                <w:lang w:val="ro-RO"/>
              </w:rPr>
              <w:t xml:space="preserve"> sol, </w:t>
            </w:r>
            <w:r w:rsidR="003B5FA8" w:rsidRPr="00A249FD">
              <w:rPr>
                <w:rFonts w:ascii="Times New Roman" w:hAnsi="Times New Roman"/>
                <w:lang w:val="ro-RO"/>
              </w:rPr>
              <w:t>calculând</w:t>
            </w:r>
            <w:r w:rsidR="00C6582D" w:rsidRPr="00A249FD">
              <w:rPr>
                <w:rFonts w:ascii="Times New Roman" w:hAnsi="Times New Roman"/>
                <w:lang w:val="ro-RO"/>
              </w:rPr>
              <w:t xml:space="preserve"> </w:t>
            </w:r>
            <w:r w:rsidR="003B5FA8" w:rsidRPr="00A249FD">
              <w:rPr>
                <w:rFonts w:ascii="Times New Roman" w:hAnsi="Times New Roman"/>
                <w:lang w:val="ro-RO"/>
              </w:rPr>
              <w:t>bilanțul</w:t>
            </w:r>
            <w:r w:rsidR="00C6582D" w:rsidRPr="00A249FD">
              <w:rPr>
                <w:rFonts w:ascii="Times New Roman" w:hAnsi="Times New Roman"/>
                <w:lang w:val="ro-RO"/>
              </w:rPr>
              <w:t xml:space="preserve"> total de azot </w:t>
            </w:r>
            <w:proofErr w:type="spellStart"/>
            <w:r w:rsidR="00C6582D" w:rsidRPr="00A249FD">
              <w:rPr>
                <w:rFonts w:ascii="Times New Roman" w:hAnsi="Times New Roman"/>
                <w:lang w:val="ro-RO"/>
              </w:rPr>
              <w:t>în</w:t>
            </w:r>
            <w:proofErr w:type="spellEnd"/>
            <w:r w:rsidR="00C6582D" w:rsidRPr="00A249FD">
              <w:rPr>
                <w:rFonts w:ascii="Times New Roman" w:hAnsi="Times New Roman"/>
                <w:lang w:val="ro-RO"/>
              </w:rPr>
              <w:t xml:space="preserve"> ultimii 195 ani de utilizare a solurilor, </w:t>
            </w:r>
            <w:r w:rsidR="003B5FA8" w:rsidRPr="00A249FD">
              <w:rPr>
                <w:rFonts w:ascii="Times New Roman" w:hAnsi="Times New Roman"/>
                <w:lang w:val="ro-RO"/>
              </w:rPr>
              <w:t>indicând</w:t>
            </w:r>
            <w:r w:rsidR="00C6582D" w:rsidRPr="00A249FD">
              <w:rPr>
                <w:rFonts w:ascii="Times New Roman" w:hAnsi="Times New Roman"/>
                <w:lang w:val="ro-RO"/>
              </w:rPr>
              <w:t xml:space="preserve"> o medie negativă pe </w:t>
            </w:r>
            <w:proofErr w:type="spellStart"/>
            <w:r w:rsidR="00C6582D" w:rsidRPr="00A249FD">
              <w:rPr>
                <w:rFonts w:ascii="Times New Roman" w:hAnsi="Times New Roman"/>
                <w:lang w:val="ro-RO"/>
              </w:rPr>
              <w:t>țara</w:t>
            </w:r>
            <w:proofErr w:type="spellEnd"/>
            <w:r w:rsidR="00C6582D" w:rsidRPr="00A249FD">
              <w:rPr>
                <w:rFonts w:ascii="Times New Roman" w:hAnsi="Times New Roman"/>
                <w:lang w:val="ro-RO"/>
              </w:rPr>
              <w:t xml:space="preserve">̆ de 4,44 t/ha de azot. </w:t>
            </w:r>
            <w:proofErr w:type="spellStart"/>
            <w:r w:rsidR="00C6582D" w:rsidRPr="00A249FD">
              <w:rPr>
                <w:rFonts w:ascii="Times New Roman" w:hAnsi="Times New Roman"/>
                <w:lang w:val="ro-RO"/>
              </w:rPr>
              <w:t>În</w:t>
            </w:r>
            <w:proofErr w:type="spellEnd"/>
            <w:r w:rsidR="00C6582D" w:rsidRPr="00A249FD">
              <w:rPr>
                <w:rFonts w:ascii="Times New Roman" w:hAnsi="Times New Roman"/>
                <w:lang w:val="ro-RO"/>
              </w:rPr>
              <w:t xml:space="preserve"> urma acestor studii se consideră imperios aprobarea de </w:t>
            </w:r>
            <w:r w:rsidR="003B5FA8" w:rsidRPr="00A249FD">
              <w:rPr>
                <w:rFonts w:ascii="Times New Roman" w:hAnsi="Times New Roman"/>
                <w:lang w:val="ro-RO"/>
              </w:rPr>
              <w:t>măsuri</w:t>
            </w:r>
            <w:r w:rsidR="00C6582D" w:rsidRPr="00A249FD">
              <w:rPr>
                <w:rFonts w:ascii="Times New Roman" w:hAnsi="Times New Roman"/>
                <w:lang w:val="ro-RO"/>
              </w:rPr>
              <w:t xml:space="preserve"> pentru conservarea </w:t>
            </w:r>
            <w:proofErr w:type="spellStart"/>
            <w:r w:rsidR="00C6582D" w:rsidRPr="00A249FD">
              <w:rPr>
                <w:rFonts w:ascii="Times New Roman" w:hAnsi="Times New Roman"/>
                <w:lang w:val="ro-RO"/>
              </w:rPr>
              <w:t>și</w:t>
            </w:r>
            <w:proofErr w:type="spellEnd"/>
            <w:r w:rsidR="00C6582D" w:rsidRPr="00A249FD">
              <w:rPr>
                <w:rFonts w:ascii="Times New Roman" w:hAnsi="Times New Roman"/>
                <w:lang w:val="ro-RO"/>
              </w:rPr>
              <w:t xml:space="preserve"> refacerea rezervelor de humus din sol, pentru ameliorarea </w:t>
            </w:r>
            <w:r w:rsidR="003B5FA8" w:rsidRPr="00A249FD">
              <w:rPr>
                <w:rFonts w:ascii="Times New Roman" w:hAnsi="Times New Roman"/>
                <w:lang w:val="ro-RO"/>
              </w:rPr>
              <w:t>însușirilor</w:t>
            </w:r>
            <w:r w:rsidR="00C6582D" w:rsidRPr="00A249FD">
              <w:rPr>
                <w:rFonts w:ascii="Times New Roman" w:hAnsi="Times New Roman"/>
                <w:lang w:val="ro-RO"/>
              </w:rPr>
              <w:t xml:space="preserve"> agrofizice, agrochimice </w:t>
            </w:r>
            <w:proofErr w:type="spellStart"/>
            <w:r w:rsidR="00C6582D" w:rsidRPr="00A249FD">
              <w:rPr>
                <w:rFonts w:ascii="Times New Roman" w:hAnsi="Times New Roman"/>
                <w:lang w:val="ro-RO"/>
              </w:rPr>
              <w:t>și</w:t>
            </w:r>
            <w:proofErr w:type="spellEnd"/>
            <w:r w:rsidR="00C6582D" w:rsidRPr="00A249FD">
              <w:rPr>
                <w:rFonts w:ascii="Times New Roman" w:hAnsi="Times New Roman"/>
                <w:lang w:val="ro-RO"/>
              </w:rPr>
              <w:t xml:space="preserve"> biologice ale solului. Una din aceste măsuri este renunțarea treptată la îngrășămintele exclusiv minerale sau de sinteză chimică.</w:t>
            </w:r>
          </w:p>
          <w:p w14:paraId="70413E19" w14:textId="78542206"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Pe termen mediu, cele mai afectate segmente rămân a fi fermierii, care sunt nevoiți sau să procure îngrășăminte minerale la prețuri extreme, și odată cu ei populația, care sunt expuși să procure produse alimentare la prețuri ajustate la prețurile inputurilor.</w:t>
            </w:r>
          </w:p>
          <w:p w14:paraId="11F83554"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Pe termen lung, este afectată securitatea alimentară, deci toate entitățile care sunt implicate în acest lanț de producere și de asigurare, prin erodarea texturii și fertilității solurilor aflate în circuit agricol. </w:t>
            </w:r>
          </w:p>
          <w:p w14:paraId="7A228EE2"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Prin intervenția propusă vor fi aduse reglementări ce vor permite în primul rând producerea unor produse după Categoriile funcționale de produse. Funcționalitatea lărgită va permite utilizatorilor să utilizeze produsele fertilizante în scopuri mult mai lărgite ce vor ameliora și influența doar nutriția plantelor (recoltele scontate) dar și dezvoltare durabilă a solurilor.</w:t>
            </w:r>
          </w:p>
          <w:p w14:paraId="1AD07D39" w14:textId="5884BE95"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Categoriile funcționale de produse sunt repa</w:t>
            </w:r>
            <w:r w:rsidR="00A4143B" w:rsidRPr="00A249FD">
              <w:rPr>
                <w:rFonts w:ascii="Times New Roman" w:hAnsi="Times New Roman"/>
                <w:lang w:val="ro-RO"/>
              </w:rPr>
              <w:t>r</w:t>
            </w:r>
            <w:r w:rsidRPr="00A249FD">
              <w:rPr>
                <w:rFonts w:ascii="Times New Roman" w:hAnsi="Times New Roman"/>
                <w:lang w:val="ro-RO"/>
              </w:rPr>
              <w:t>tizate în 7 tipuri</w:t>
            </w:r>
            <w:r w:rsidR="00A4143B" w:rsidRPr="00A249FD">
              <w:rPr>
                <w:rFonts w:ascii="Times New Roman" w:hAnsi="Times New Roman"/>
                <w:lang w:val="ro-RO"/>
              </w:rPr>
              <w:t xml:space="preserve"> (fig. 1)</w:t>
            </w:r>
            <w:r w:rsidRPr="00A249FD">
              <w:rPr>
                <w:rFonts w:ascii="Times New Roman" w:hAnsi="Times New Roman"/>
                <w:lang w:val="ro-RO"/>
              </w:rPr>
              <w:t xml:space="preserve">: </w:t>
            </w:r>
          </w:p>
          <w:p w14:paraId="4B60B6C4"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1.   Îngrășământ (Îngrășământ organic,  Îngrășământ </w:t>
            </w:r>
            <w:proofErr w:type="spellStart"/>
            <w:r w:rsidRPr="00A249FD">
              <w:rPr>
                <w:rFonts w:ascii="Times New Roman" w:hAnsi="Times New Roman"/>
                <w:lang w:val="ro-RO"/>
              </w:rPr>
              <w:t>organo</w:t>
            </w:r>
            <w:proofErr w:type="spellEnd"/>
            <w:r w:rsidRPr="00A249FD">
              <w:rPr>
                <w:rFonts w:ascii="Times New Roman" w:hAnsi="Times New Roman"/>
                <w:lang w:val="ro-RO"/>
              </w:rPr>
              <w:t>-mineral, Îngrășământ anorganic) 2.   Amendament mineral bazic; 3.   Ameliorator de sol; 4.   Substrat de cultură; 5.   Inhibitor; 6.   Biostimulator al plantelor; 7.   Amestec de produse fertilizante</w:t>
            </w:r>
          </w:p>
          <w:p w14:paraId="58506CD8"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lastRenderedPageBreak/>
              <w:t xml:space="preserve">La momentul actual cerințe esențiale sunt stabilite doar pentru îngrășămintele minerale/anorganice, care și ele la rândul lor pot fi distinse în: </w:t>
            </w:r>
          </w:p>
          <w:p w14:paraId="206C8D09" w14:textId="77777777" w:rsidR="00C6582D" w:rsidRPr="00A249FD" w:rsidRDefault="00C6582D" w:rsidP="006B0BFC">
            <w:pPr>
              <w:pStyle w:val="NormalWeb"/>
              <w:shd w:val="clear" w:color="auto" w:fill="FFFFFF" w:themeFill="background1"/>
              <w:rPr>
                <w:rFonts w:ascii="Times New Roman" w:hAnsi="Times New Roman"/>
                <w:lang w:val="ro-RO"/>
              </w:rPr>
            </w:pPr>
            <w:proofErr w:type="spellStart"/>
            <w:r w:rsidRPr="00A249FD">
              <w:rPr>
                <w:rFonts w:ascii="Times New Roman" w:hAnsi="Times New Roman"/>
                <w:lang w:val="ro-RO"/>
              </w:rPr>
              <w:t>I.Îngrășământ</w:t>
            </w:r>
            <w:proofErr w:type="spellEnd"/>
            <w:r w:rsidRPr="00A249FD">
              <w:rPr>
                <w:rFonts w:ascii="Times New Roman" w:hAnsi="Times New Roman"/>
                <w:lang w:val="ro-RO"/>
              </w:rPr>
              <w:t xml:space="preserve"> anorganic cu macroelemente</w:t>
            </w:r>
          </w:p>
          <w:p w14:paraId="7F6B61B1"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(a)Îngrășământ anorganic solid cu macroelemente</w:t>
            </w:r>
          </w:p>
          <w:p w14:paraId="558FB1D2"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(i)Îngrășământ anorganic solid simplu cu macroelement</w:t>
            </w:r>
          </w:p>
          <w:p w14:paraId="04A59C23"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(A)Îngrășământ anorganic solid simplu cu macroelemente pe bază de nitrat de amoniu cu conținut ridicat de azot</w:t>
            </w:r>
          </w:p>
          <w:p w14:paraId="60638BD5"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(ii)Îngrășământ anorganic solid compus cu macroelemente</w:t>
            </w:r>
          </w:p>
          <w:p w14:paraId="65F84F28"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(A)Îngrășământ anorganic solid compus cu macroelemente pe bază de nitrat de amoniu cu conținut ridicat de azot</w:t>
            </w:r>
          </w:p>
          <w:p w14:paraId="02019723"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(b)Îngrășământ anorganic lichid cu macroelemente</w:t>
            </w:r>
          </w:p>
          <w:p w14:paraId="120FD8E2"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(i)Îngrășământ anorganic lichid simplu cu macroelement</w:t>
            </w:r>
          </w:p>
          <w:p w14:paraId="05000E4E"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(ii)Îngrășământ anorganic lichid compus cu macroelemente</w:t>
            </w:r>
          </w:p>
          <w:p w14:paraId="6E31734A" w14:textId="77777777" w:rsidR="00C6582D" w:rsidRPr="00A249FD" w:rsidRDefault="00C6582D" w:rsidP="006B0BFC">
            <w:pPr>
              <w:pStyle w:val="NormalWeb"/>
              <w:shd w:val="clear" w:color="auto" w:fill="FFFFFF" w:themeFill="background1"/>
              <w:rPr>
                <w:rFonts w:ascii="Times New Roman" w:hAnsi="Times New Roman"/>
                <w:lang w:val="ro-RO"/>
              </w:rPr>
            </w:pPr>
            <w:proofErr w:type="spellStart"/>
            <w:r w:rsidRPr="00A249FD">
              <w:rPr>
                <w:rFonts w:ascii="Times New Roman" w:hAnsi="Times New Roman"/>
                <w:lang w:val="ro-RO"/>
              </w:rPr>
              <w:t>II.Îngrășământ</w:t>
            </w:r>
            <w:proofErr w:type="spellEnd"/>
            <w:r w:rsidRPr="00A249FD">
              <w:rPr>
                <w:rFonts w:ascii="Times New Roman" w:hAnsi="Times New Roman"/>
                <w:lang w:val="ro-RO"/>
              </w:rPr>
              <w:t xml:space="preserve"> anorganic cu oligoelemente</w:t>
            </w:r>
          </w:p>
          <w:p w14:paraId="7A20DD7C"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(a)Îngrășământ anorganic simplu cu oligoelement</w:t>
            </w:r>
          </w:p>
          <w:p w14:paraId="59DDC4C6"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(b)Îngrășământ anorganic compus cu oligoelemente</w:t>
            </w:r>
          </w:p>
          <w:p w14:paraId="2BD2BAF8" w14:textId="01A00109" w:rsidR="00C6582D" w:rsidRPr="00A249FD" w:rsidRDefault="00E111C2"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Luând</w:t>
            </w:r>
            <w:r w:rsidR="00C6582D" w:rsidRPr="00A249FD">
              <w:rPr>
                <w:rFonts w:ascii="Times New Roman" w:hAnsi="Times New Roman"/>
                <w:lang w:val="ro-RO"/>
              </w:rPr>
              <w:t xml:space="preserve"> în considerație tendințele de dezvoltare a sectorului zootehnic și strategiile de dezvoltare ale acestuia, există potențial actual de dezvoltare a sectorului de producere a îngrășămintelor organice, a celor </w:t>
            </w:r>
            <w:proofErr w:type="spellStart"/>
            <w:r w:rsidR="00C6582D" w:rsidRPr="00A249FD">
              <w:rPr>
                <w:rFonts w:ascii="Times New Roman" w:hAnsi="Times New Roman"/>
                <w:lang w:val="ro-RO"/>
              </w:rPr>
              <w:t>organo</w:t>
            </w:r>
            <w:proofErr w:type="spellEnd"/>
            <w:r w:rsidR="00C6582D" w:rsidRPr="00A249FD">
              <w:rPr>
                <w:rFonts w:ascii="Times New Roman" w:hAnsi="Times New Roman"/>
                <w:lang w:val="ro-RO"/>
              </w:rPr>
              <w:t xml:space="preserve">-minerale dar și ale amelioratori </w:t>
            </w:r>
            <w:r w:rsidRPr="00A249FD">
              <w:rPr>
                <w:rFonts w:ascii="Times New Roman" w:hAnsi="Times New Roman"/>
                <w:lang w:val="ro-RO"/>
              </w:rPr>
              <w:t>organici</w:t>
            </w:r>
            <w:r w:rsidR="00C6582D" w:rsidRPr="00A249FD">
              <w:rPr>
                <w:rFonts w:ascii="Times New Roman" w:hAnsi="Times New Roman"/>
                <w:lang w:val="ro-RO"/>
              </w:rPr>
              <w:t xml:space="preserve"> ai solului. Întrucât îngrășămintele cu marcaj CE sunt puse la dispoziție liber pe piața locală, iar potențial de dezvoltarea a unor tipuri de produse fertilizante, devine </w:t>
            </w:r>
            <w:r w:rsidRPr="00A249FD">
              <w:rPr>
                <w:rFonts w:ascii="Times New Roman" w:hAnsi="Times New Roman"/>
                <w:lang w:val="ro-RO"/>
              </w:rPr>
              <w:t>oportun</w:t>
            </w:r>
            <w:r w:rsidR="00C6582D" w:rsidRPr="00A249FD">
              <w:rPr>
                <w:rFonts w:ascii="Times New Roman" w:hAnsi="Times New Roman"/>
                <w:lang w:val="ro-RO"/>
              </w:rPr>
              <w:t xml:space="preserve"> de stabilit ca aceste produse să poată fi produse sub aceleași condiții ale </w:t>
            </w:r>
            <w:r w:rsidRPr="00A249FD">
              <w:rPr>
                <w:rFonts w:ascii="Times New Roman" w:hAnsi="Times New Roman"/>
                <w:lang w:val="ro-RO"/>
              </w:rPr>
              <w:t>Uniunii</w:t>
            </w:r>
            <w:r w:rsidR="00C6582D" w:rsidRPr="00A249FD">
              <w:rPr>
                <w:rFonts w:ascii="Times New Roman" w:hAnsi="Times New Roman"/>
                <w:lang w:val="ro-RO"/>
              </w:rPr>
              <w:t xml:space="preserve"> Europene și ulterior să se bucure de libera circulație.</w:t>
            </w:r>
          </w:p>
          <w:p w14:paraId="4E5B8A2B"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În același timp, aceste produse sunt la puși la dispoziție pe piața locală fără o reglementare în acest sens. </w:t>
            </w:r>
          </w:p>
          <w:p w14:paraId="33C04EAF" w14:textId="009C7883" w:rsidR="006C61A2" w:rsidRPr="00A249FD" w:rsidRDefault="00695A52" w:rsidP="006B0BFC">
            <w:pPr>
              <w:pStyle w:val="NormalWeb"/>
              <w:shd w:val="clear" w:color="auto" w:fill="FFFFFF" w:themeFill="background1"/>
              <w:jc w:val="right"/>
              <w:rPr>
                <w:rFonts w:ascii="Times New Roman" w:hAnsi="Times New Roman"/>
                <w:i/>
                <w:lang w:val="ro-RO"/>
              </w:rPr>
            </w:pPr>
            <w:r w:rsidRPr="007D7986">
              <w:rPr>
                <w:rFonts w:ascii="Times New Roman" w:hAnsi="Times New Roman"/>
                <w:i/>
                <w:lang w:val="ro-RO"/>
              </w:rPr>
              <w:t>Fig. 1</w:t>
            </w:r>
            <w:r w:rsidR="006C61A2" w:rsidRPr="007D7986">
              <w:rPr>
                <w:rFonts w:ascii="Times New Roman" w:hAnsi="Times New Roman"/>
                <w:i/>
                <w:lang w:val="ro-RO"/>
              </w:rPr>
              <w:t xml:space="preserve"> Distribuția în UE a valorii de piață  pe categorie de produse fertilizante.</w:t>
            </w:r>
            <w:r w:rsidR="006C61A2" w:rsidRPr="007D7986">
              <w:rPr>
                <w:rFonts w:ascii="Times New Roman" w:hAnsi="Times New Roman"/>
                <w:i/>
                <w:lang w:val="ro-RO"/>
              </w:rPr>
              <w:br/>
              <w:t>(</w:t>
            </w:r>
            <w:proofErr w:type="spellStart"/>
            <w:r w:rsidR="006C61A2" w:rsidRPr="007D7986">
              <w:rPr>
                <w:rFonts w:ascii="Times New Roman" w:hAnsi="Times New Roman"/>
                <w:i/>
                <w:lang w:val="ro-RO"/>
              </w:rPr>
              <w:t>Source</w:t>
            </w:r>
            <w:proofErr w:type="spellEnd"/>
            <w:r w:rsidR="006C61A2" w:rsidRPr="007D7986">
              <w:rPr>
                <w:rFonts w:ascii="Times New Roman" w:hAnsi="Times New Roman"/>
                <w:i/>
                <w:lang w:val="ro-RO"/>
              </w:rPr>
              <w:t xml:space="preserve">: </w:t>
            </w:r>
            <w:proofErr w:type="spellStart"/>
            <w:r w:rsidR="006C61A2" w:rsidRPr="007D7986">
              <w:rPr>
                <w:rFonts w:ascii="Times New Roman" w:hAnsi="Times New Roman"/>
                <w:i/>
                <w:lang w:val="ro-RO"/>
              </w:rPr>
              <w:t>the</w:t>
            </w:r>
            <w:proofErr w:type="spellEnd"/>
            <w:r w:rsidR="006C61A2" w:rsidRPr="007D7986">
              <w:rPr>
                <w:rFonts w:ascii="Times New Roman" w:hAnsi="Times New Roman"/>
                <w:i/>
                <w:lang w:val="ro-RO"/>
              </w:rPr>
              <w:t xml:space="preserve"> </w:t>
            </w:r>
            <w:proofErr w:type="spellStart"/>
            <w:r w:rsidR="006C61A2" w:rsidRPr="007D7986">
              <w:rPr>
                <w:rFonts w:ascii="Times New Roman" w:hAnsi="Times New Roman"/>
                <w:i/>
                <w:lang w:val="ro-RO"/>
              </w:rPr>
              <w:t>Fertilisers</w:t>
            </w:r>
            <w:proofErr w:type="spellEnd"/>
            <w:r w:rsidR="006C61A2" w:rsidRPr="007D7986">
              <w:rPr>
                <w:rFonts w:ascii="Times New Roman" w:hAnsi="Times New Roman"/>
                <w:i/>
                <w:lang w:val="ro-RO"/>
              </w:rPr>
              <w:t xml:space="preserve"> </w:t>
            </w:r>
            <w:proofErr w:type="spellStart"/>
            <w:r w:rsidR="006C61A2" w:rsidRPr="007D7986">
              <w:rPr>
                <w:rFonts w:ascii="Times New Roman" w:hAnsi="Times New Roman"/>
                <w:i/>
                <w:lang w:val="ro-RO"/>
              </w:rPr>
              <w:t>Study</w:t>
            </w:r>
            <w:proofErr w:type="spellEnd"/>
            <w:r w:rsidR="006C61A2" w:rsidRPr="007D7986">
              <w:rPr>
                <w:rFonts w:ascii="Times New Roman" w:hAnsi="Times New Roman"/>
                <w:i/>
                <w:lang w:val="ro-RO"/>
              </w:rPr>
              <w:t>- 2018</w:t>
            </w:r>
            <w:r w:rsidR="006C61A2" w:rsidRPr="00A249FD">
              <w:rPr>
                <w:rFonts w:ascii="Times New Roman" w:hAnsi="Times New Roman"/>
                <w:i/>
                <w:lang w:val="ro-RO"/>
              </w:rPr>
              <w:t>)</w:t>
            </w:r>
          </w:p>
          <w:p w14:paraId="73975E05" w14:textId="77777777" w:rsidR="006C61A2" w:rsidRPr="00A249FD" w:rsidRDefault="006C61A2" w:rsidP="006B0BFC">
            <w:pPr>
              <w:pStyle w:val="NormalWeb"/>
              <w:shd w:val="clear" w:color="auto" w:fill="FFFFFF" w:themeFill="background1"/>
              <w:rPr>
                <w:rFonts w:ascii="Times New Roman" w:hAnsi="Times New Roman"/>
                <w:lang w:val="ro-RO"/>
              </w:rPr>
            </w:pPr>
            <w:r w:rsidRPr="00A249FD">
              <w:rPr>
                <w:noProof/>
                <w:lang w:val="ro-RO" w:eastAsia="ro-RO"/>
              </w:rPr>
              <w:drawing>
                <wp:inline distT="0" distB="0" distL="0" distR="0" wp14:anchorId="1ED0B3DF" wp14:editId="47913B97">
                  <wp:extent cx="5756910" cy="23691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369185"/>
                          </a:xfrm>
                          <a:prstGeom prst="rect">
                            <a:avLst/>
                          </a:prstGeom>
                          <a:noFill/>
                          <a:ln>
                            <a:noFill/>
                          </a:ln>
                        </pic:spPr>
                      </pic:pic>
                    </a:graphicData>
                  </a:graphic>
                </wp:inline>
              </w:drawing>
            </w:r>
          </w:p>
          <w:p w14:paraId="019AF6E6" w14:textId="77777777" w:rsidR="006C61A2" w:rsidRPr="00A249FD" w:rsidRDefault="006C61A2" w:rsidP="006B0BFC">
            <w:pPr>
              <w:pStyle w:val="NormalWeb"/>
              <w:shd w:val="clear" w:color="auto" w:fill="FFFFFF" w:themeFill="background1"/>
              <w:rPr>
                <w:rFonts w:ascii="Times New Roman" w:hAnsi="Times New Roman"/>
                <w:lang w:val="ro-RO"/>
              </w:rPr>
            </w:pPr>
          </w:p>
          <w:p w14:paraId="28D077CD" w14:textId="49F369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Condițiile pentru punerea la dispoziție a îngrășămintelor pe piața internă au fost armonizate prin Regulamentul (CE) nr. 2003/2003 al Parlamentului European și al Consiliului, care se reglementează aproape exclusiv la îngrășămintele provenite din materii anorganice, obținute prin extracție sau prin procedee chimice. Există, de asemenea, necesitatea utilizării unor materii reciclate sau organice în scopul fertilizării. De aceea sunt necesare condiții noi pentru ca îngrășămintele produse din aceste materii reciclate sau organice să fie disponibile pe întreaga piață internă, pentru a oferi un stimulent important pentru utilizarea lor într-o mai mare măsură. Promovarea utilizării pe o scară mai largă a </w:t>
            </w:r>
            <w:proofErr w:type="spellStart"/>
            <w:r w:rsidRPr="00A249FD">
              <w:rPr>
                <w:rFonts w:ascii="Times New Roman" w:hAnsi="Times New Roman"/>
                <w:lang w:val="ro-RO"/>
              </w:rPr>
              <w:t>nutrienților</w:t>
            </w:r>
            <w:proofErr w:type="spellEnd"/>
            <w:r w:rsidRPr="00A249FD">
              <w:rPr>
                <w:rFonts w:ascii="Times New Roman" w:hAnsi="Times New Roman"/>
                <w:lang w:val="ro-RO"/>
              </w:rPr>
              <w:t xml:space="preserve"> reciclați ar oferi un ajutor suplimentar dezvoltării economiei circulare și ar permite o utilizare generală a </w:t>
            </w:r>
            <w:proofErr w:type="spellStart"/>
            <w:r w:rsidRPr="00A249FD">
              <w:rPr>
                <w:rFonts w:ascii="Times New Roman" w:hAnsi="Times New Roman"/>
                <w:lang w:val="ro-RO"/>
              </w:rPr>
              <w:t>nutrienților</w:t>
            </w:r>
            <w:proofErr w:type="spellEnd"/>
            <w:r w:rsidRPr="00A249FD">
              <w:rPr>
                <w:rFonts w:ascii="Times New Roman" w:hAnsi="Times New Roman"/>
                <w:lang w:val="ro-RO"/>
              </w:rPr>
              <w:t xml:space="preserve"> mai eficientă din punctul de vedere al utilizării resurselor, diminuând, în același timp, dependența față de </w:t>
            </w:r>
            <w:proofErr w:type="spellStart"/>
            <w:r w:rsidRPr="00A249FD">
              <w:rPr>
                <w:rFonts w:ascii="Times New Roman" w:hAnsi="Times New Roman"/>
                <w:lang w:val="ro-RO"/>
              </w:rPr>
              <w:t>nutrienți</w:t>
            </w:r>
            <w:proofErr w:type="spellEnd"/>
            <w:r w:rsidRPr="00A249FD">
              <w:rPr>
                <w:rFonts w:ascii="Times New Roman" w:hAnsi="Times New Roman"/>
                <w:lang w:val="ro-RO"/>
              </w:rPr>
              <w:t xml:space="preserve"> </w:t>
            </w:r>
            <w:r w:rsidR="00E111C2" w:rsidRPr="00A249FD">
              <w:rPr>
                <w:rFonts w:ascii="Times New Roman" w:hAnsi="Times New Roman"/>
                <w:lang w:val="ro-RO"/>
              </w:rPr>
              <w:lastRenderedPageBreak/>
              <w:t>anorganici</w:t>
            </w:r>
            <w:r w:rsidRPr="00A249FD">
              <w:rPr>
                <w:rFonts w:ascii="Times New Roman" w:hAnsi="Times New Roman"/>
                <w:lang w:val="ro-RO"/>
              </w:rPr>
              <w:t>, importați în exclusivitate. Domeniul de aplicare al armonizării ar trebui, prin urmare, să fie extins pentru a include materiile organice.</w:t>
            </w:r>
          </w:p>
          <w:p w14:paraId="2D49B16F" w14:textId="77777777" w:rsidR="00C6582D" w:rsidRPr="00A249FD" w:rsidRDefault="00C6582D"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Totodată alte produse pe piața internațională sunt utilizate cu scopul de a îmbunătăți eficiența nutrițională, cu efectul benefic de reducere a cantității de îngrășăminte utilizate și, prin urmare, a impactului lor asupra mediului. Pentru a facilita libera circulație a acestora pe piața internă, nu numai îngrășămintele, adică produsele destinate să furnizeze plantelor </w:t>
            </w:r>
            <w:proofErr w:type="spellStart"/>
            <w:r w:rsidRPr="00A249FD">
              <w:rPr>
                <w:rFonts w:ascii="Times New Roman" w:hAnsi="Times New Roman"/>
                <w:lang w:val="ro-RO"/>
              </w:rPr>
              <w:t>nutrienți</w:t>
            </w:r>
            <w:proofErr w:type="spellEnd"/>
            <w:r w:rsidRPr="00A249FD">
              <w:rPr>
                <w:rFonts w:ascii="Times New Roman" w:hAnsi="Times New Roman"/>
                <w:lang w:val="ro-RO"/>
              </w:rPr>
              <w:t>, ci și produsele destinate să îmbunătățească eficiența nutrițională a plantelor ar trebui să facă obiectul armonizării.</w:t>
            </w:r>
          </w:p>
          <w:p w14:paraId="5000239A" w14:textId="120EDD50" w:rsidR="00370B62" w:rsidRPr="00A249FD" w:rsidRDefault="00370B62"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Produsele care au mai multe funcții, dintre care una este inclusă în domeniul de aplicare al Legii nr. 403/2023 privind introducerea pe piață a produselor fitosanitare și pentru modificarea unor acte normative, sunt produse de protecție a plantelor care intră în domeniul de aplicare al Legii respective. Aceste produse ar trebui să rămână sub controlul adaptat pentru astfel de produse și care este prevăzut de respectiva Lege. În cazul în care aceste produse au, de asemenea, funcția de produs fertilizant, ar fi eronat să se prevadă pentru ele marcajul CE în temeiul noilor prevederi, întrucât punerea la dispoziție pe piață a unui produs de protecție a plantelor este condiționată de o autorizație a produsului valabilă. În consecință, ar trebui ca astfel de produse să fie excluse din domeniul de aplicare în un act unificat astfel cum este momentan, îngreunând și mai mult clasificarea produselor în sine.</w:t>
            </w:r>
          </w:p>
          <w:p w14:paraId="7C8C183F" w14:textId="6F4531B4" w:rsidR="006179A9" w:rsidRPr="00A249FD" w:rsidRDefault="00E627B4"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Legal, reglementarea are loc prin Legea nr. 119/2004 cu privire la produsele de uz fitosanitar și la fertilizanți. Obiectul de reglementare este atât pentru produsele fitosanitare cât și pentru fertilizanți. Prin transpunerea Regulamentului 1107/2009 prin Legea nr. 403/2023 privind introducerea pe piață a produselor fitosanitare și pentru modificarea unor acte normative</w:t>
            </w:r>
            <w:r w:rsidR="006179A9" w:rsidRPr="00A249FD">
              <w:rPr>
                <w:rFonts w:ascii="Times New Roman" w:hAnsi="Times New Roman"/>
                <w:lang w:val="ro-RO"/>
              </w:rPr>
              <w:t>, au fost stabilite responsabilități către Guvern. Art. 59  al Legii prenotate prevede intrarea în vigoare este de 1 noiembrie 2024, iar Guvernul, în termen de 12 luni de la data publicării prezentei legi:</w:t>
            </w:r>
          </w:p>
          <w:p w14:paraId="258B2FE9" w14:textId="0F2BD2DA" w:rsidR="006179A9" w:rsidRPr="00A249FD" w:rsidRDefault="006179A9"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a) va aduce actele sale normative în </w:t>
            </w:r>
            <w:r w:rsidR="00AA5835" w:rsidRPr="00A249FD">
              <w:rPr>
                <w:rFonts w:ascii="Times New Roman" w:hAnsi="Times New Roman"/>
                <w:lang w:val="ro-RO"/>
              </w:rPr>
              <w:t>concordanță</w:t>
            </w:r>
            <w:r w:rsidRPr="00A249FD">
              <w:rPr>
                <w:rFonts w:ascii="Times New Roman" w:hAnsi="Times New Roman"/>
                <w:lang w:val="ro-RO"/>
              </w:rPr>
              <w:t xml:space="preserve"> cu prezenta lege;</w:t>
            </w:r>
          </w:p>
          <w:p w14:paraId="67B9BD68" w14:textId="77777777" w:rsidR="006179A9" w:rsidRPr="00A249FD" w:rsidRDefault="006179A9"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b) va asigura elaborarea actelor normative necesare pentru punerea în aplicare a prezentei legi;</w:t>
            </w:r>
          </w:p>
          <w:p w14:paraId="5AFC3EF4" w14:textId="1536768C" w:rsidR="00C6582D" w:rsidRPr="00A249FD" w:rsidRDefault="006179A9"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c) va prezenta Parlamentului propuneri privind aducerea </w:t>
            </w:r>
            <w:r w:rsidR="00AA5835" w:rsidRPr="00A249FD">
              <w:rPr>
                <w:rFonts w:ascii="Times New Roman" w:hAnsi="Times New Roman"/>
                <w:lang w:val="ro-RO"/>
              </w:rPr>
              <w:t>legislației</w:t>
            </w:r>
            <w:r w:rsidRPr="00A249FD">
              <w:rPr>
                <w:rFonts w:ascii="Times New Roman" w:hAnsi="Times New Roman"/>
                <w:lang w:val="ro-RO"/>
              </w:rPr>
              <w:t xml:space="preserve"> în conformitate cu prezenta lege. </w:t>
            </w:r>
          </w:p>
          <w:p w14:paraId="2FDB45A0" w14:textId="2FF499DD" w:rsidR="00CF203C" w:rsidRPr="00A249FD" w:rsidRDefault="00AA5835"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În respectarea principiului activității de legiferare de consecutivitatea, de coerență, de stabilitate și de predictibilitate a normelor juridice devine </w:t>
            </w:r>
            <w:proofErr w:type="spellStart"/>
            <w:r w:rsidRPr="00A249FD">
              <w:rPr>
                <w:rFonts w:ascii="Times New Roman" w:hAnsi="Times New Roman"/>
                <w:lang w:val="ro-RO"/>
              </w:rPr>
              <w:t>mandatoriu</w:t>
            </w:r>
            <w:proofErr w:type="spellEnd"/>
            <w:r w:rsidRPr="00A249FD">
              <w:rPr>
                <w:rFonts w:ascii="Times New Roman" w:hAnsi="Times New Roman"/>
                <w:lang w:val="ro-RO"/>
              </w:rPr>
              <w:t xml:space="preserve"> elaborarea unui cadrul Legal ce ar răspunde actualizărilor tehnologice la produsele fertilizante, reglementarea la plasare pe piață ale produselor și eliminarea barierelor în calea comerțului.</w:t>
            </w:r>
            <w:r w:rsidR="00617B4E" w:rsidRPr="00A249FD">
              <w:rPr>
                <w:rFonts w:ascii="Times New Roman" w:hAnsi="Times New Roman"/>
                <w:lang w:val="ro-RO"/>
              </w:rPr>
              <w:t xml:space="preserve"> De asemenea, având în vedere Acordul Zona de Liber Schimb Aprofundat și Cuprinzător (DCFTA) și aplicarea de reguli de origine din cadrul Convenției Pan-</w:t>
            </w:r>
            <w:proofErr w:type="spellStart"/>
            <w:r w:rsidR="00617B4E" w:rsidRPr="00A249FD">
              <w:rPr>
                <w:rFonts w:ascii="Times New Roman" w:hAnsi="Times New Roman"/>
                <w:lang w:val="ro-RO"/>
              </w:rPr>
              <w:t>EuroMed</w:t>
            </w:r>
            <w:proofErr w:type="spellEnd"/>
            <w:r w:rsidR="00617B4E" w:rsidRPr="00A249FD">
              <w:rPr>
                <w:rFonts w:ascii="Times New Roman" w:hAnsi="Times New Roman"/>
                <w:lang w:val="ro-RO"/>
              </w:rPr>
              <w:t xml:space="preserve"> (PEM), ca zonă de cumul al proceselor de fabricație cu UE și alte țări PEM, și care favorizează pozitiv integrarea economică regională a comerțului cu bunuri al Republicii Moldova, în calitate de soluție este armonizarea progresivă și comprehensivă cu legile UE a legislației naționale pe orizontală și pe sectoare pentru produsele industriale. De îndată ce Republica Moldova este gata și armonizarea legislației va fi finalizată, părțile </w:t>
            </w:r>
            <w:r w:rsidR="00CF203C" w:rsidRPr="00A249FD">
              <w:rPr>
                <w:rFonts w:ascii="Times New Roman" w:hAnsi="Times New Roman"/>
                <w:lang w:val="ro-RO"/>
              </w:rPr>
              <w:t>prin</w:t>
            </w:r>
            <w:r w:rsidR="00617B4E" w:rsidRPr="00A249FD">
              <w:rPr>
                <w:rFonts w:ascii="Times New Roman" w:hAnsi="Times New Roman"/>
                <w:lang w:val="ro-RO"/>
              </w:rPr>
              <w:t xml:space="preserve"> Acord </w:t>
            </w:r>
            <w:r w:rsidR="00CF203C" w:rsidRPr="00A249FD">
              <w:rPr>
                <w:rFonts w:ascii="Times New Roman" w:hAnsi="Times New Roman"/>
                <w:lang w:val="ro-RO"/>
              </w:rPr>
              <w:t>va tinde la</w:t>
            </w:r>
            <w:r w:rsidR="00617B4E" w:rsidRPr="00A249FD">
              <w:rPr>
                <w:rFonts w:ascii="Times New Roman" w:hAnsi="Times New Roman"/>
                <w:lang w:val="ro-RO"/>
              </w:rPr>
              <w:t xml:space="preserve"> evaluarea conformității și acceptarea standardelor industriale în sectoarele industriale selectate. Acest acord va recunoaște acreditarea Republicii Moldova și politicile de supraveghere a </w:t>
            </w:r>
            <w:r w:rsidR="00CF203C" w:rsidRPr="00A249FD">
              <w:rPr>
                <w:rFonts w:ascii="Times New Roman" w:hAnsi="Times New Roman"/>
                <w:lang w:val="ro-RO"/>
              </w:rPr>
              <w:t>pieței</w:t>
            </w:r>
            <w:r w:rsidR="00617B4E" w:rsidRPr="00A249FD">
              <w:rPr>
                <w:rFonts w:ascii="Times New Roman" w:hAnsi="Times New Roman"/>
                <w:lang w:val="ro-RO"/>
              </w:rPr>
              <w:t xml:space="preserve"> pentru bunurile industriale, care vor reduce costurile comerciale în produsele industriale pentru afacerile din ambele părți.</w:t>
            </w:r>
            <w:r w:rsidR="00CF203C" w:rsidRPr="00A249FD">
              <w:rPr>
                <w:rFonts w:ascii="Times New Roman" w:hAnsi="Times New Roman"/>
                <w:lang w:val="ro-RO"/>
              </w:rPr>
              <w:t xml:space="preserve"> În aceste sens, pentru peste 50 de grupe de produse(inclusiv fertilizanții) la nivelul UE au fost selectate ca obiecte de reglementare a Listei legislației de armonizare a Uniunii care  să permită implementarea principiului de liberă circulație a bunurilor. </w:t>
            </w:r>
          </w:p>
          <w:p w14:paraId="55BF91FE" w14:textId="1C9DC753" w:rsidR="00CF203C" w:rsidRPr="00A249FD" w:rsidRDefault="00CF203C"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Totodată, pentru a garantă că produsele care beneficiază de libera circulație a mărfurilor în cadrul UE îndeplinesc cerințe care oferă un nivel ridicat de protecție a intereselor publice precum sănătatea și siguranța în general, sănătatea și siguranța la locul de muncă, protecția consumatorilor, protecția mediului și securitatea, garantând totodată că libera circulație a produselor nu este restricționată într-o măsură mai mare decât cea permisă prin legislația comunitară de armonizare sau în alte norme comunitare corespunzătoare. Astfel, </w:t>
            </w:r>
            <w:r w:rsidR="00E111C2" w:rsidRPr="00A249FD">
              <w:rPr>
                <w:rFonts w:ascii="Times New Roman" w:hAnsi="Times New Roman"/>
                <w:lang w:val="ro-RO"/>
              </w:rPr>
              <w:t>este necesar de elaborat și/sau transpus</w:t>
            </w:r>
            <w:r w:rsidRPr="00A249FD">
              <w:rPr>
                <w:rFonts w:ascii="Times New Roman" w:hAnsi="Times New Roman"/>
                <w:lang w:val="ro-RO"/>
              </w:rPr>
              <w:t xml:space="preserve"> dispoziții cu privire la normele referitoare la acreditare, supravegherea pieței, verificarea produselor provenite din țările terțe și marcajul CE</w:t>
            </w:r>
            <w:r w:rsidR="00E111C2" w:rsidRPr="00A249FD">
              <w:rPr>
                <w:rFonts w:ascii="Times New Roman" w:hAnsi="Times New Roman"/>
                <w:lang w:val="ro-RO"/>
              </w:rPr>
              <w:t>.</w:t>
            </w:r>
          </w:p>
          <w:p w14:paraId="5311558D" w14:textId="4B304C60" w:rsidR="00542E63" w:rsidRPr="00A249FD" w:rsidRDefault="00542E63"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lastRenderedPageBreak/>
              <w:t>În același context, siguranța produselor</w:t>
            </w:r>
            <w:r w:rsidR="009C7F4B" w:rsidRPr="00A249FD">
              <w:rPr>
                <w:rFonts w:ascii="Times New Roman" w:hAnsi="Times New Roman"/>
                <w:lang w:val="ro-RO"/>
              </w:rPr>
              <w:t xml:space="preserve">, în lumina standardelor de siguranță, trebuie luată în considerare. Contaminanții din produsele fertilizante UE, cum ar fi cadmiul, ar putea prezenta riscuri pentru sănătatea și siguranța oamenilor, a animalelor sau a plantelor, sau pentru mediu, deoarece se acumulează în mediu și intră în lanțul alimentar. Prin urmare, prezența acestora ar trebui să fie limitată în astfel de produse. În plus, impuritățile din produsele fertilizante UE care sunt obținute din </w:t>
            </w:r>
            <w:proofErr w:type="spellStart"/>
            <w:r w:rsidR="009C7F4B" w:rsidRPr="00A249FD">
              <w:rPr>
                <w:rFonts w:ascii="Times New Roman" w:hAnsi="Times New Roman"/>
                <w:lang w:val="ro-RO"/>
              </w:rPr>
              <w:t>biodeșeuri</w:t>
            </w:r>
            <w:proofErr w:type="spellEnd"/>
            <w:r w:rsidR="009C7F4B" w:rsidRPr="00A249FD">
              <w:rPr>
                <w:rFonts w:ascii="Times New Roman" w:hAnsi="Times New Roman"/>
                <w:lang w:val="ro-RO"/>
              </w:rPr>
              <w:t xml:space="preserve">, în special polimeri, dar și metale și sticlă, ar trebui să fie evitate sau limitate, în măsura în care acest lucru este posibil din punct de vedere tehnic, prin detectarea unor astfel de impurități în </w:t>
            </w:r>
            <w:proofErr w:type="spellStart"/>
            <w:r w:rsidR="009C7F4B" w:rsidRPr="00A249FD">
              <w:rPr>
                <w:rFonts w:ascii="Times New Roman" w:hAnsi="Times New Roman"/>
                <w:lang w:val="ro-RO"/>
              </w:rPr>
              <w:t>biodeșeurile</w:t>
            </w:r>
            <w:proofErr w:type="spellEnd"/>
            <w:r w:rsidR="009C7F4B" w:rsidRPr="00A249FD">
              <w:rPr>
                <w:rFonts w:ascii="Times New Roman" w:hAnsi="Times New Roman"/>
                <w:lang w:val="ro-RO"/>
              </w:rPr>
              <w:t xml:space="preserve"> colectate separat, înainte de prelucrare. La fel, ar trebui să fie permisă libera circulație pe piața internă a unui produs fertilizant UE care respectă cerințele din regulamentul UE. În cazul în care una sau mai multe dintre materiile componente constituie un produs derivat în sensul subprodusele de origine animală și produsele derivate care nu sunt destinate consumului uman atunci când sunt puse la dispoziție pe piață, însă a ajuns la un punct din lanțul de prelucrare dincolo de care nu mai prezintă niciun risc semnificativ pentru sănătatea și siguranța oamenilor, a animalelor sau a plantelor, sau pentru mediu („punctul final în lanțul de prelucrare”), menținerea aplicării dispozițiilor față de subprodusele de origine animală în cazul acelui produs ar reprezenta o sarcină administrativă inutilă. Prin urmare, aceste produse fertilizante ar trebui excluse de la cerințele prevederilor față de subproduse de origine animală. </w:t>
            </w:r>
          </w:p>
          <w:p w14:paraId="1A21C829" w14:textId="1CB8AC2A" w:rsidR="00E111C2" w:rsidRPr="00A249FD" w:rsidRDefault="00E111C2"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Pe de altă parte, Decizia nr. 768/2008/CE a Parlamentului European și a Consiliului stabilește principii comune și dispoziții de referință menite să se aplice în întreaga legislație sectorială, astfel încât să confere o bază coerentă pentru revizuirea și reformarea legislației respective. Prin urmare, prevederile vechi ar trebui să fie înlocuit în conformitate cu principiile comune și dispozițiile de referință menționate. Spre deosebire de majoritatea celorlalte măsuri de armonizare a produselor din dreptul Uniunii, Regulamentul (CE) nr. 2003/2003 nu împiedică punerea la dispoziție pe piața internă a îngrășămintelor nearmonizate, în conformitate cu dreptul intern și cu normele generale privind libera circulație din Tratatul privind funcționarea Uniunii Europene (TFUE). Având în vedere importanța produselor fertilizante pentru agricultura - deci și pentru economia țării, această posibilitate ar trebui să fie menținută. Respectarea normelor armonizate ar trebui așadar să rămână opțională și să fie necesară numai pentru produsele, destinate să furnizeze plantelor </w:t>
            </w:r>
            <w:proofErr w:type="spellStart"/>
            <w:r w:rsidRPr="00A249FD">
              <w:rPr>
                <w:rFonts w:ascii="Times New Roman" w:hAnsi="Times New Roman"/>
                <w:lang w:val="ro-RO"/>
              </w:rPr>
              <w:t>nutrienți</w:t>
            </w:r>
            <w:proofErr w:type="spellEnd"/>
            <w:r w:rsidRPr="00A249FD">
              <w:rPr>
                <w:rFonts w:ascii="Times New Roman" w:hAnsi="Times New Roman"/>
                <w:lang w:val="ro-RO"/>
              </w:rPr>
              <w:t xml:space="preserve"> sau să îmbunătățească eficiența nutrițională a plantelor, care poartă marcajul CE atunci când sunt puse la dispoziție pe piață. Prin urmare, prezentul Lege ar trebui să reglementeze și produsele fertilizante care nu poartă marcajul CE atunci când sunt puse la dispoziție pe piață.</w:t>
            </w:r>
          </w:p>
          <w:p w14:paraId="40C2985C" w14:textId="5203F14F" w:rsidR="007B4A51" w:rsidRPr="00A249FD" w:rsidRDefault="007B4A51"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Astfel</w:t>
            </w:r>
            <w:r w:rsidR="00542E63" w:rsidRPr="00A249FD">
              <w:rPr>
                <w:rFonts w:ascii="Times New Roman" w:hAnsi="Times New Roman"/>
                <w:lang w:val="ro-RO"/>
              </w:rPr>
              <w:t>,</w:t>
            </w:r>
            <w:r w:rsidRPr="00A249FD">
              <w:rPr>
                <w:rFonts w:ascii="Times New Roman" w:hAnsi="Times New Roman"/>
                <w:lang w:val="ro-RO"/>
              </w:rPr>
              <w:t xml:space="preserve"> pentru a ajusta și a armoniza cadrul normativ nați</w:t>
            </w:r>
            <w:r w:rsidR="00542E63" w:rsidRPr="00A249FD">
              <w:rPr>
                <w:rFonts w:ascii="Times New Roman" w:hAnsi="Times New Roman"/>
                <w:lang w:val="ro-RO"/>
              </w:rPr>
              <w:t xml:space="preserve">onal cu cel european dar și a permite implementarea principiului de coerență sunt necesare ca produsele fertilizante să fie parte a Domeniilor reglementate ale Listei domeniilor/categoriilor de produse reglementate, a autorităților de reglementare </w:t>
            </w:r>
            <w:proofErr w:type="spellStart"/>
            <w:r w:rsidR="00542E63" w:rsidRPr="00A249FD">
              <w:rPr>
                <w:rFonts w:ascii="Times New Roman" w:hAnsi="Times New Roman"/>
                <w:lang w:val="ro-RO"/>
              </w:rPr>
              <w:t>şi</w:t>
            </w:r>
            <w:proofErr w:type="spellEnd"/>
            <w:r w:rsidR="00542E63" w:rsidRPr="00A249FD">
              <w:rPr>
                <w:rFonts w:ascii="Times New Roman" w:hAnsi="Times New Roman"/>
                <w:lang w:val="ro-RO"/>
              </w:rPr>
              <w:t xml:space="preserve"> a autorităților de supraveghere a pieței adoptate prin Anexa nr. 1 al Legii nr. 162/2023 privind supravegherea pieței </w:t>
            </w:r>
            <w:proofErr w:type="spellStart"/>
            <w:r w:rsidR="00542E63" w:rsidRPr="00A249FD">
              <w:rPr>
                <w:rFonts w:ascii="Times New Roman" w:hAnsi="Times New Roman"/>
                <w:lang w:val="ro-RO"/>
              </w:rPr>
              <w:t>şi</w:t>
            </w:r>
            <w:proofErr w:type="spellEnd"/>
            <w:r w:rsidR="00542E63" w:rsidRPr="00A249FD">
              <w:rPr>
                <w:rFonts w:ascii="Times New Roman" w:hAnsi="Times New Roman"/>
                <w:lang w:val="ro-RO"/>
              </w:rPr>
              <w:t xml:space="preserve"> conformitatea produselor  dar și a Listei domeniilor reglementate din anexa nr. 3 la Legea nr. 235/2011 privind activitățile de acreditare </w:t>
            </w:r>
            <w:proofErr w:type="spellStart"/>
            <w:r w:rsidR="00542E63" w:rsidRPr="00A249FD">
              <w:rPr>
                <w:rFonts w:ascii="Times New Roman" w:hAnsi="Times New Roman"/>
                <w:lang w:val="ro-RO"/>
              </w:rPr>
              <w:t>şi</w:t>
            </w:r>
            <w:proofErr w:type="spellEnd"/>
            <w:r w:rsidR="00542E63" w:rsidRPr="00A249FD">
              <w:rPr>
                <w:rFonts w:ascii="Times New Roman" w:hAnsi="Times New Roman"/>
                <w:lang w:val="ro-RO"/>
              </w:rPr>
              <w:t xml:space="preserve"> de evaluare a conformității.</w:t>
            </w:r>
          </w:p>
          <w:p w14:paraId="0225EBE9" w14:textId="73B175B6" w:rsidR="00733DB2" w:rsidRPr="00A249FD" w:rsidRDefault="00AA5835" w:rsidP="006B0BFC">
            <w:pPr>
              <w:pStyle w:val="NormalWeb"/>
              <w:shd w:val="clear" w:color="auto" w:fill="FFFFFF" w:themeFill="background1"/>
              <w:rPr>
                <w:rFonts w:ascii="Times New Roman" w:hAnsi="Times New Roman"/>
                <w:lang w:val="ro-RO"/>
              </w:rPr>
            </w:pPr>
            <w:r w:rsidRPr="00A249FD">
              <w:rPr>
                <w:rFonts w:ascii="Times New Roman" w:hAnsi="Times New Roman"/>
                <w:lang w:val="ro-RO"/>
              </w:rPr>
              <w:t xml:space="preserve"> </w:t>
            </w:r>
            <w:r w:rsidR="00667E58" w:rsidRPr="00A249FD">
              <w:rPr>
                <w:rFonts w:ascii="Times New Roman" w:hAnsi="Times New Roman"/>
                <w:lang w:val="ro-RO"/>
              </w:rPr>
              <w:t>Deoarece proiectul de act normativ inserează norme de reglementare a activității de întreprinzător și impune anumite reguli și obligații producătorului/operatorului de apă potabilă, prin prisma prevederilor art. 25 al Legii nr. 100/2017 privind actele normative și ale Legii nr. 235/2006 cu privire la principiile de bază ale activității de întreprinzător, se impune elaborarea analizei impactului de reglementare.</w:t>
            </w:r>
          </w:p>
        </w:tc>
      </w:tr>
      <w:tr w:rsidR="003C442D" w:rsidRPr="00A249FD" w14:paraId="1C6288E8"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E2AD60E"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lastRenderedPageBreak/>
              <w:t>3. Obiectivele urmărite și soluțiile propuse</w:t>
            </w:r>
          </w:p>
        </w:tc>
      </w:tr>
      <w:tr w:rsidR="003C442D" w:rsidRPr="00A249FD" w14:paraId="091A1D18"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103A6CA" w14:textId="6C50F299"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3.1. Principalele prevederi ale proiectului și evidențierea elementelor noi</w:t>
            </w:r>
          </w:p>
          <w:p w14:paraId="1D64C6DC" w14:textId="77777777" w:rsidR="00580F40" w:rsidRPr="00A249FD" w:rsidRDefault="00DC6588"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Proiectul prezentat asigură continuarea</w:t>
            </w:r>
            <w:r w:rsidR="00580F40" w:rsidRPr="00A249FD">
              <w:rPr>
                <w:rFonts w:ascii="Times New Roman" w:hAnsi="Times New Roman"/>
                <w:color w:val="000000" w:themeColor="text1"/>
                <w:lang w:val="ro-RO" w:eastAsia="en-US"/>
              </w:rPr>
              <w:t xml:space="preserve"> armonizarea progresivă și comprehensivă cu legile UE a legislației naționale pe orizontală și pe sectoare produselor fertilizante. </w:t>
            </w:r>
          </w:p>
          <w:p w14:paraId="0490FBAD" w14:textId="3479707E" w:rsidR="004E2A69" w:rsidRPr="00A249FD" w:rsidRDefault="00580F40"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Astfel, în calitate de obiectiv</w:t>
            </w:r>
            <w:r w:rsidR="000C7B01" w:rsidRPr="00A249FD">
              <w:rPr>
                <w:rFonts w:ascii="Times New Roman" w:hAnsi="Times New Roman"/>
                <w:color w:val="000000" w:themeColor="text1"/>
                <w:lang w:val="ro-RO" w:eastAsia="en-US"/>
              </w:rPr>
              <w:t xml:space="preserve"> general</w:t>
            </w:r>
            <w:r w:rsidR="00121FCC" w:rsidRPr="00A249FD">
              <w:rPr>
                <w:rFonts w:ascii="Times New Roman" w:hAnsi="Times New Roman"/>
                <w:color w:val="000000" w:themeColor="text1"/>
                <w:lang w:val="ro-RO" w:eastAsia="en-US"/>
              </w:rPr>
              <w:t xml:space="preserve"> de politici</w:t>
            </w:r>
            <w:r w:rsidRPr="00A249FD">
              <w:rPr>
                <w:rFonts w:ascii="Times New Roman" w:hAnsi="Times New Roman"/>
                <w:color w:val="000000" w:themeColor="text1"/>
                <w:lang w:val="ro-RO" w:eastAsia="en-US"/>
              </w:rPr>
              <w:t xml:space="preserve">, </w:t>
            </w:r>
            <w:r w:rsidR="00121FCC" w:rsidRPr="00A249FD">
              <w:rPr>
                <w:rFonts w:ascii="Times New Roman" w:hAnsi="Times New Roman"/>
                <w:color w:val="000000" w:themeColor="text1"/>
                <w:lang w:val="ro-RO" w:eastAsia="en-US"/>
              </w:rPr>
              <w:t>a fi</w:t>
            </w:r>
            <w:r w:rsidRPr="00A249FD">
              <w:rPr>
                <w:rFonts w:ascii="Times New Roman" w:hAnsi="Times New Roman"/>
                <w:color w:val="000000" w:themeColor="text1"/>
                <w:lang w:val="ro-RO" w:eastAsia="en-US"/>
              </w:rPr>
              <w:t xml:space="preserve"> liberalizarea pieței cu produse fertilizante nu doar a celor cu marcaj CE pe piața autohtonă, dar și </w:t>
            </w:r>
            <w:r w:rsidR="004E2A69" w:rsidRPr="00A249FD">
              <w:rPr>
                <w:rFonts w:ascii="Times New Roman" w:hAnsi="Times New Roman"/>
                <w:color w:val="000000" w:themeColor="text1"/>
                <w:lang w:val="ro-RO" w:eastAsia="en-US"/>
              </w:rPr>
              <w:t xml:space="preserve">oferirea posibilității producerii pe teritoriul Republicii Moldova a astfel de produse și integrarea prin recunoaștere a Republicii Moldova și politicile de supraveghere a pieței pentru produsele fertilizante. </w:t>
            </w:r>
          </w:p>
          <w:p w14:paraId="144925B4" w14:textId="77777777" w:rsidR="00121FCC" w:rsidRPr="00A249FD" w:rsidRDefault="000C7B01"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În calitate de obiective specifice s-ar deduce</w:t>
            </w:r>
          </w:p>
          <w:p w14:paraId="78FC4BB3" w14:textId="77777777"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lastRenderedPageBreak/>
              <w:t>– Să asigure o funcționare îmbunătățită a pieței interne și condiții de concurență echitabile pentru producătorii și importatorii de produse fertilizante, în special pentru cele fabricate din materii prime interne și secundare, în conformitate cu modelul economiei circulare;</w:t>
            </w:r>
          </w:p>
          <w:p w14:paraId="01F11C80" w14:textId="77777777"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Reducerea sarcinii administrative care rezultă din normele naționale divergente și aplicarea incompletă a recunoașterii reciproce a produselor fertilizante;</w:t>
            </w:r>
          </w:p>
          <w:p w14:paraId="19DF0164" w14:textId="77777777"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Îmbunătățirea siguranței produselor fertilizante în ceea ce privește protecția mediului și a sănătății umane (în special calitatea solului, a apei, a aerului și a alimentelor);</w:t>
            </w:r>
          </w:p>
          <w:p w14:paraId="0A73C36C" w14:textId="77777777"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Să asigure coerența cu alte legislații existente ale UE pentru a sprijini investițiile în noi oportunități economice pentru operatorii publici și privați.</w:t>
            </w:r>
          </w:p>
          <w:p w14:paraId="65E53A1C" w14:textId="4F3554FA"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Alte obiective identificate ar fi cele operaționale:</w:t>
            </w:r>
          </w:p>
          <w:p w14:paraId="1E0DAB85" w14:textId="77777777"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Limitarea nivelului de poluanți din produsele fertilizante;</w:t>
            </w:r>
          </w:p>
          <w:p w14:paraId="0D79E223" w14:textId="6A2B39D6"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Reducerea sarcinilor administrative pentru operatorii economici, autorități, îmbunătățirea eficienței generale a costurilor și simplificarea cadrului de reglementare;</w:t>
            </w:r>
          </w:p>
          <w:p w14:paraId="17E523DF" w14:textId="2F5DC6D5"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 Să faciliteze inovarea și să permită un acces mai rapid pe piață pentru produse mai durabile, în special pentru produsele ecologice rezultate din reciclarea </w:t>
            </w:r>
            <w:proofErr w:type="spellStart"/>
            <w:r w:rsidRPr="00A249FD">
              <w:rPr>
                <w:rFonts w:ascii="Times New Roman" w:hAnsi="Times New Roman"/>
                <w:color w:val="000000" w:themeColor="text1"/>
                <w:lang w:val="ro-RO" w:eastAsia="en-US"/>
              </w:rPr>
              <w:t>nutrienților</w:t>
            </w:r>
            <w:proofErr w:type="spellEnd"/>
            <w:r w:rsidRPr="00A249FD">
              <w:rPr>
                <w:rFonts w:ascii="Times New Roman" w:hAnsi="Times New Roman"/>
                <w:color w:val="000000" w:themeColor="text1"/>
                <w:lang w:val="ro-RO" w:eastAsia="en-US"/>
              </w:rPr>
              <w:t xml:space="preserve"> din biomasă, în conformitate cu obiectivele unei economii circulare europene;</w:t>
            </w:r>
          </w:p>
          <w:p w14:paraId="4C09D63B" w14:textId="02ABCF11" w:rsidR="00121FCC" w:rsidRPr="00A249FD" w:rsidRDefault="00121F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Raționalizarea cerințelor privind obligațiile de informare în ceea ce privește parametrii de calitate pentru toate categoriile de produse, pentru a permite fermierilor și consumatorilor să compare cu ușurință produsele și să remedieze lacunele de informare pentru utilizatori cu privire la îngrășămintele pe bază de amoniu în ceea ce privește impactul acestora asupra mediului.</w:t>
            </w:r>
          </w:p>
          <w:p w14:paraId="63737BA9" w14:textId="571EDBB8" w:rsidR="000C7B01" w:rsidRPr="00A249FD" w:rsidRDefault="000C7B01"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 </w:t>
            </w:r>
            <w:r w:rsidR="00897A64" w:rsidRPr="00A249FD">
              <w:rPr>
                <w:rFonts w:ascii="Times New Roman" w:hAnsi="Times New Roman"/>
                <w:color w:val="000000" w:themeColor="text1"/>
                <w:lang w:val="ro-RO" w:eastAsia="en-US"/>
              </w:rPr>
              <w:t xml:space="preserve">În intenția de armonizare au fost respectate metodele Regulamentului  privind armonizarea legislației Republicii Moldova cu legislația Uniunii Europene aprobat prin HG nr. 1171/2018 și au fost utilizați termenii prevăzuți în actul UE, astfel noțiunile au fost preluate integral. </w:t>
            </w:r>
          </w:p>
          <w:p w14:paraId="55DFF6A9" w14:textId="10D3A808" w:rsidR="00897A64" w:rsidRPr="00A249FD" w:rsidRDefault="00897A64"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În aceiași ordine de idei, pentru a nu periclita aprovizionarea cu fertilizanți a fermierilor prin definirea produselor fertilizante fără marcajul CE</w:t>
            </w:r>
            <w:r w:rsidR="003C234E" w:rsidRPr="00A249FD">
              <w:rPr>
                <w:rFonts w:ascii="Times New Roman" w:hAnsi="Times New Roman"/>
                <w:color w:val="000000" w:themeColor="text1"/>
                <w:lang w:val="ro-RO" w:eastAsia="en-US"/>
              </w:rPr>
              <w:t xml:space="preserve"> și pentru integrarea organică în cadrul normativ ale tuturor produselor fertilizante a fost considerat oportun reglementarea si produselor fertilizante fără marcajul CE, care conform definirii sunt altele decât cele cu marcaj CE. </w:t>
            </w:r>
            <w:r w:rsidR="00100DCC" w:rsidRPr="00A249FD">
              <w:rPr>
                <w:rFonts w:ascii="Times New Roman" w:hAnsi="Times New Roman"/>
                <w:color w:val="000000" w:themeColor="text1"/>
                <w:lang w:val="ro-RO" w:eastAsia="en-US"/>
              </w:rPr>
              <w:t>Astfel, pentru produsele fertilizante au fost preluate cerințele privind produsele, element care a determinat în continuare stabilirea față de autorități a competențelor și obligațiilor față de principalele părți interesate.</w:t>
            </w:r>
            <w:r w:rsidR="008C6D9E" w:rsidRPr="00A249FD">
              <w:rPr>
                <w:rFonts w:ascii="Times New Roman" w:hAnsi="Times New Roman"/>
                <w:color w:val="000000" w:themeColor="text1"/>
                <w:lang w:val="ro-RO" w:eastAsia="en-US"/>
              </w:rPr>
              <w:t xml:space="preserve"> În calitate de subiecți ai prevederilor prezentului proiect de Lege au fost stabilite Guvernul care va fi responsabil de stabilirea principalelor prevederi de evaluarea conformității. De menționat că pentru produsele fertilizante UE, acestea au fost stabilite la nivelul UE prin Anexa IV </w:t>
            </w:r>
            <w:r w:rsidR="00962D5F" w:rsidRPr="00A249FD">
              <w:rPr>
                <w:rFonts w:ascii="Times New Roman" w:hAnsi="Times New Roman"/>
                <w:color w:val="000000" w:themeColor="text1"/>
                <w:lang w:val="ro-RO" w:eastAsia="en-US"/>
              </w:rPr>
              <w:t xml:space="preserve">al Regulamentului UE  2019/1009, astfel </w:t>
            </w:r>
            <w:r w:rsidR="000023CF" w:rsidRPr="00A249FD">
              <w:rPr>
                <w:rFonts w:ascii="Times New Roman" w:hAnsi="Times New Roman"/>
                <w:color w:val="000000" w:themeColor="text1"/>
                <w:lang w:val="ro-RO" w:eastAsia="en-US"/>
              </w:rPr>
              <w:t xml:space="preserve">acestea urmează a fi transpuse prin Hotărâre de Guvern până la data intrării în vigoare a proiectului de Lege. </w:t>
            </w:r>
            <w:r w:rsidR="003229BC" w:rsidRPr="00A249FD">
              <w:rPr>
                <w:rFonts w:ascii="Times New Roman" w:hAnsi="Times New Roman"/>
                <w:color w:val="000000" w:themeColor="text1"/>
                <w:lang w:val="ro-RO" w:eastAsia="en-US"/>
              </w:rPr>
              <w:t xml:space="preserve">La fel, Guvernului, în conformitate cu prevederile angajamentelor de transpunere a </w:t>
            </w:r>
            <w:proofErr w:type="spellStart"/>
            <w:r w:rsidR="003229BC" w:rsidRPr="00A249FD">
              <w:rPr>
                <w:rFonts w:ascii="Times New Roman" w:hAnsi="Times New Roman"/>
                <w:color w:val="000000" w:themeColor="text1"/>
                <w:lang w:val="ro-RO" w:eastAsia="en-US"/>
              </w:rPr>
              <w:t>acquisului</w:t>
            </w:r>
            <w:proofErr w:type="spellEnd"/>
            <w:r w:rsidR="003229BC" w:rsidRPr="00A249FD">
              <w:rPr>
                <w:rFonts w:ascii="Times New Roman" w:hAnsi="Times New Roman"/>
                <w:color w:val="000000" w:themeColor="text1"/>
                <w:lang w:val="ro-RO" w:eastAsia="en-US"/>
              </w:rPr>
              <w:t xml:space="preserve"> UE, i-a fost stabilit competențe de a stabili condiții de  utilizare a produselor fertilizante. Aceste prevederi ar reieși din Regulamentul combaterii poluării apelor cu nitrați proveniți din agricultură sau Directiva CE 1991/676.</w:t>
            </w:r>
          </w:p>
          <w:p w14:paraId="22E1FF18" w14:textId="5BE9BC2D" w:rsidR="003229BC" w:rsidRPr="00A249FD" w:rsidRDefault="00F822CC"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Procedura de notificare a organismelor de evaluare a conformității a fost transpusă prin preluarea fidelă utilizând limbajul juridic </w:t>
            </w:r>
            <w:proofErr w:type="spellStart"/>
            <w:r w:rsidRPr="00A249FD">
              <w:rPr>
                <w:rFonts w:ascii="Times New Roman" w:hAnsi="Times New Roman"/>
                <w:color w:val="000000" w:themeColor="text1"/>
                <w:lang w:val="ro-RO" w:eastAsia="en-US"/>
              </w:rPr>
              <w:t>şi</w:t>
            </w:r>
            <w:proofErr w:type="spellEnd"/>
            <w:r w:rsidRPr="00A249FD">
              <w:rPr>
                <w:rFonts w:ascii="Times New Roman" w:hAnsi="Times New Roman"/>
                <w:color w:val="000000" w:themeColor="text1"/>
                <w:lang w:val="ro-RO" w:eastAsia="en-US"/>
              </w:rPr>
              <w:t xml:space="preserve"> terminologia identică sau similară cu cele ale Regulamentului 2019/1009. În acest sens evaluarea conformității fertilizanților se realizează de către organisme de evaluare a conformității care se notifică la solicitare la Comisia Europeană de către Autoritatea de reglementare. Organismele de evaluare a conformității sunt evaluate, acreditate și monitorizate de către organismul național de acreditare în conformitate cu prevederile Legii nr. 235/2011 privind activitățile de acreditare </w:t>
            </w:r>
            <w:proofErr w:type="spellStart"/>
            <w:r w:rsidRPr="00A249FD">
              <w:rPr>
                <w:rFonts w:ascii="Times New Roman" w:hAnsi="Times New Roman"/>
                <w:color w:val="000000" w:themeColor="text1"/>
                <w:lang w:val="ro-RO" w:eastAsia="en-US"/>
              </w:rPr>
              <w:t>şi</w:t>
            </w:r>
            <w:proofErr w:type="spellEnd"/>
            <w:r w:rsidRPr="00A249FD">
              <w:rPr>
                <w:rFonts w:ascii="Times New Roman" w:hAnsi="Times New Roman"/>
                <w:color w:val="000000" w:themeColor="text1"/>
                <w:lang w:val="ro-RO" w:eastAsia="en-US"/>
              </w:rPr>
              <w:t xml:space="preserve"> de evaluare a conformității. </w:t>
            </w:r>
          </w:p>
          <w:p w14:paraId="3254AA3A" w14:textId="03773ACC" w:rsidR="00854709" w:rsidRPr="00A249FD" w:rsidRDefault="00854709"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Regimul juridic al produselor fertilizante care nu au marcajul CE este reglementat prin definirea ca produse fertilizante MD. În vederea punerii la dispoziție pe piață sau introducerii pe piață, produsele fertilizante MD din producția internă sau din import, acestea trebuie să corespundă criteriilor pentru a fi incluse în lista de identificare. De menționat că criteriile sunt planificate de a fi preluate din Anexele 1 și 2 ale Regulamentului </w:t>
            </w:r>
            <w:r w:rsidR="0012143A" w:rsidRPr="00A249FD">
              <w:rPr>
                <w:rFonts w:ascii="Times New Roman" w:hAnsi="Times New Roman"/>
                <w:color w:val="000000" w:themeColor="text1"/>
                <w:lang w:val="ro-RO" w:eastAsia="en-US"/>
              </w:rPr>
              <w:t xml:space="preserve">UE 2019/1009 cu specificare a denumirii generice a produsului fertilizant, date despre metoda de fabricație, materii prime și ingrediente principale, cantitatea minimă de substanțe active care are influență asupra eficacității și identificarea cantităților maxime admisibile de impurităților. </w:t>
            </w:r>
            <w:r w:rsidR="00CB3487" w:rsidRPr="00A249FD">
              <w:rPr>
                <w:rFonts w:ascii="Times New Roman" w:hAnsi="Times New Roman"/>
                <w:color w:val="000000" w:themeColor="text1"/>
                <w:lang w:val="ro-RO" w:eastAsia="en-US"/>
              </w:rPr>
              <w:t xml:space="preserve">Aceasta ar permite necesitatea autorizării </w:t>
            </w:r>
            <w:r w:rsidR="00CB3487" w:rsidRPr="00A249FD">
              <w:rPr>
                <w:rFonts w:ascii="Times New Roman" w:hAnsi="Times New Roman"/>
                <w:color w:val="000000" w:themeColor="text1"/>
                <w:lang w:val="ro-RO" w:eastAsia="en-US"/>
              </w:rPr>
              <w:lastRenderedPageBreak/>
              <w:t>produselor fertilizante, întrucât conform principalelor criterii stabilite de Regulamentului UE se încadrează 99% din toate produsele fertilizante cunoscute pe piața UE.</w:t>
            </w:r>
          </w:p>
          <w:p w14:paraId="10176381" w14:textId="0DABCC11" w:rsidR="00CB3487" w:rsidRPr="00A249FD" w:rsidRDefault="00566A6A"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În același timp, prin intenția de abrogare a prevederilor ce ține de fertilizanți din Legea nr. 119/2004, devine necesar stabilirea prevederilor referitor la import, transportare, depozitare și utilizare acestora. În cest sens, devine elocvent însoțirea produselor cu fișa tehnică de securitate, care prin esența sa și cerințele față de aceasta, stabilește deja condițiile de depozitare și/sau transportare, manipulare și chiar utilizare. </w:t>
            </w:r>
          </w:p>
          <w:p w14:paraId="12C061B9" w14:textId="509A1DFC" w:rsidR="005112F5" w:rsidRPr="00A249FD" w:rsidRDefault="005112F5"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Relațiile dintre importatori, producători, distribuitori și utilizatori cu Autoritatea competentă de supravegherea pieței a fost reglementată prin păstrarea evidențelor și doar la solicitare, eliminând prevederile de raportare obligatorie. </w:t>
            </w:r>
          </w:p>
          <w:p w14:paraId="437D282F" w14:textId="2B8B3178" w:rsidR="005112F5" w:rsidRPr="00A249FD" w:rsidRDefault="005112F5"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Totodată, </w:t>
            </w:r>
            <w:r w:rsidR="00FD5FF2" w:rsidRPr="00A249FD">
              <w:rPr>
                <w:rFonts w:ascii="Times New Roman" w:hAnsi="Times New Roman"/>
                <w:color w:val="000000" w:themeColor="text1"/>
                <w:lang w:val="ro-RO" w:eastAsia="en-US"/>
              </w:rPr>
              <w:t>u</w:t>
            </w:r>
            <w:r w:rsidRPr="00A249FD">
              <w:rPr>
                <w:rFonts w:ascii="Times New Roman" w:hAnsi="Times New Roman"/>
                <w:color w:val="000000" w:themeColor="text1"/>
                <w:lang w:val="ro-RO" w:eastAsia="en-US"/>
              </w:rPr>
              <w:t>tilizatorul produselor fertilizante gestionează și returnează ambalajele și deșeurile de ambalaje conform graficului stabilit de distribuitor sau importator la procurarea acestora. În cazul când utilizatorul este importator, acesta gestionează ambalajele și/sau deșeurile de ambalaje conform prevederilor stabilite de Guvern în acest sens</w:t>
            </w:r>
            <w:r w:rsidR="00FD5FF2" w:rsidRPr="00A249FD">
              <w:rPr>
                <w:rFonts w:ascii="Times New Roman" w:hAnsi="Times New Roman"/>
                <w:color w:val="000000" w:themeColor="text1"/>
                <w:lang w:val="ro-RO" w:eastAsia="en-US"/>
              </w:rPr>
              <w:t xml:space="preserve">. Această prevedere novice vine să reglementeze vidul privind principiile economiei circulare și responsabilitatea utilizatorilor produselor fertilizante în calitate de ultimii ce manipulează ambalajele. </w:t>
            </w:r>
          </w:p>
          <w:p w14:paraId="1C43A6AA" w14:textId="5DF508EB" w:rsidR="000023CF" w:rsidRPr="00A249FD" w:rsidRDefault="000023CF"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Odată urmate cerințele privind produsele fertilizante va fi posibil stabilirea Declarația de conformitate pentru produsele fertilizante UE. </w:t>
            </w:r>
          </w:p>
          <w:p w14:paraId="09FA94B5" w14:textId="618D92A7" w:rsidR="00944BD0" w:rsidRPr="00A249FD" w:rsidRDefault="000023CF" w:rsidP="006B0BFC">
            <w:pPr>
              <w:pStyle w:val="NormalWeb"/>
              <w:shd w:val="clear" w:color="auto" w:fill="FFFFFF" w:themeFill="background1"/>
              <w:rPr>
                <w:rFonts w:ascii="Times New Roman" w:hAnsi="Times New Roman"/>
                <w:color w:val="000000" w:themeColor="text1"/>
                <w:lang w:val="ro-RO" w:eastAsia="en-US"/>
              </w:rPr>
            </w:pPr>
            <w:r w:rsidRPr="00A249FD">
              <w:rPr>
                <w:rFonts w:ascii="Times New Roman" w:hAnsi="Times New Roman"/>
                <w:color w:val="000000" w:themeColor="text1"/>
                <w:lang w:val="ro-RO" w:eastAsia="en-US"/>
              </w:rPr>
              <w:t xml:space="preserve">Autoritatea competentă de elaborarea politicilor responsabilă de domeniul fertilizanților conform </w:t>
            </w:r>
            <w:r w:rsidR="00854709" w:rsidRPr="00A249FD">
              <w:rPr>
                <w:rFonts w:ascii="Times New Roman" w:hAnsi="Times New Roman"/>
                <w:color w:val="000000" w:themeColor="text1"/>
                <w:lang w:val="ro-RO" w:eastAsia="en-US"/>
              </w:rPr>
              <w:t>prevederilor Legii nr. 162</w:t>
            </w:r>
            <w:r w:rsidR="00944BD0" w:rsidRPr="00A249FD">
              <w:rPr>
                <w:rFonts w:ascii="Times New Roman" w:hAnsi="Times New Roman"/>
                <w:color w:val="000000" w:themeColor="text1"/>
                <w:lang w:val="ro-RO" w:eastAsia="en-US"/>
              </w:rPr>
              <w:t xml:space="preserve">/2023 privind supravegherea pieței și conformitatea produselor în calitate de autoritate de reglementare este responsabilă de stabilirea Categoriilor funcționale de produse pentru produsele fertilizante UE, Categoriilor de materii componente, Cerințe de etichetare pentru produsele fertilizante, modelului Declarației de Conformitate </w:t>
            </w:r>
          </w:p>
          <w:p w14:paraId="0B2AEEDC" w14:textId="5CC3D48A" w:rsidR="00621366" w:rsidRPr="00A249FD" w:rsidRDefault="00DC6588" w:rsidP="006B0BFC">
            <w:pPr>
              <w:pStyle w:val="NormalWeb"/>
              <w:shd w:val="clear" w:color="auto" w:fill="FFFFFF" w:themeFill="background1"/>
              <w:rPr>
                <w:rFonts w:ascii="Times New Roman" w:hAnsi="Times New Roman"/>
                <w:color w:val="000000" w:themeColor="text1"/>
                <w:lang w:val="ro-RO"/>
              </w:rPr>
            </w:pPr>
            <w:r w:rsidRPr="00A249FD">
              <w:rPr>
                <w:rFonts w:ascii="Times New Roman" w:hAnsi="Times New Roman"/>
                <w:lang w:val="ro-RO"/>
              </w:rPr>
              <w:t>Prevederile fundamentale ale prezentului act normativ se adresează în mod direct sănătății publice</w:t>
            </w:r>
            <w:r w:rsidR="003F5E96" w:rsidRPr="00A249FD">
              <w:rPr>
                <w:rFonts w:ascii="Times New Roman" w:hAnsi="Times New Roman"/>
                <w:lang w:val="ro-RO"/>
              </w:rPr>
              <w:t>, diversificării pieței, punerea bazei juridice pentru dezvoltarea economică</w:t>
            </w:r>
            <w:r w:rsidRPr="00A249FD">
              <w:rPr>
                <w:rFonts w:ascii="Times New Roman" w:hAnsi="Times New Roman"/>
                <w:lang w:val="ro-RO"/>
              </w:rPr>
              <w:t xml:space="preserve"> și identificării riscurilor </w:t>
            </w:r>
            <w:r w:rsidR="003F5E96" w:rsidRPr="00A249FD">
              <w:rPr>
                <w:rFonts w:ascii="Times New Roman" w:hAnsi="Times New Roman"/>
                <w:lang w:val="ro-RO"/>
              </w:rPr>
              <w:t>de import, depozitare și utilizare ale produselor fertilizante</w:t>
            </w:r>
            <w:r w:rsidRPr="00A249FD">
              <w:rPr>
                <w:rFonts w:ascii="Times New Roman" w:hAnsi="Times New Roman"/>
                <w:lang w:val="ro-RO"/>
              </w:rPr>
              <w:t xml:space="preserve">. </w:t>
            </w:r>
          </w:p>
        </w:tc>
      </w:tr>
      <w:tr w:rsidR="003C442D" w:rsidRPr="00A249FD" w14:paraId="6A4A4B3F"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2638FE8" w14:textId="1514E086" w:rsidR="00621366"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3.2. Opțiunile alternative analizate și motivele pentru care acestea nu au fost luate în considerare</w:t>
            </w:r>
          </w:p>
          <w:p w14:paraId="5BCEE3E5" w14:textId="77777777" w:rsidR="00621366" w:rsidRPr="00A249FD" w:rsidRDefault="00C57E2F"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În calitate de opțiuni alternative poate servi doar reglementarea produselor fertilizante care nu dețin marcajul CE, ori pentru produsele fertilizante UE alte prevederi nu pot fi acceptate apriori decât cele stabilite de către Parlamentul European</w:t>
            </w:r>
            <w:r w:rsidR="000E3FCF" w:rsidRPr="00A249FD">
              <w:rPr>
                <w:rFonts w:ascii="Times New Roman" w:hAnsi="Times New Roman"/>
                <w:sz w:val="24"/>
                <w:szCs w:val="24"/>
                <w:lang w:val="ro-RO"/>
              </w:rPr>
              <w:t>.</w:t>
            </w:r>
          </w:p>
          <w:p w14:paraId="7E6107F8" w14:textId="77777777" w:rsidR="00C57E2F" w:rsidRPr="00A249FD" w:rsidRDefault="00C57E2F"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Alternativă poate servi autorizarea/omologarea în continuare a produselor fertilizante, dar întrucât această opțiune nu garantează </w:t>
            </w:r>
            <w:r w:rsidR="00492679" w:rsidRPr="00A249FD">
              <w:rPr>
                <w:rFonts w:ascii="Times New Roman" w:hAnsi="Times New Roman"/>
                <w:sz w:val="24"/>
                <w:szCs w:val="24"/>
                <w:lang w:val="ro-RO"/>
              </w:rPr>
              <w:t>introducerea pe piață a produselor fertilizante conforme, este oportun concentrarea asupra controlului oficial bazat pe indicatori de risc.</w:t>
            </w:r>
          </w:p>
          <w:p w14:paraId="529CAC7F" w14:textId="77777777" w:rsidR="00DB7735" w:rsidRPr="00A249FD" w:rsidRDefault="00DB773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Riscurile unei lipse de intervenție pot fi identificate în pierderea potențialului de producere a produselor fertilizante pe teritoriul Republicii Moldova, apte de a fi exportate pe piața UE, asigurarea fermierilor cu produse</w:t>
            </w:r>
            <w:r w:rsidR="009C323A" w:rsidRPr="00A249FD">
              <w:rPr>
                <w:rFonts w:ascii="Times New Roman" w:hAnsi="Times New Roman"/>
                <w:sz w:val="24"/>
                <w:szCs w:val="24"/>
                <w:lang w:val="ro-RO"/>
              </w:rPr>
              <w:t xml:space="preserve"> fertilizante de toate tipurile și </w:t>
            </w:r>
            <w:r w:rsidRPr="00A249FD">
              <w:rPr>
                <w:rFonts w:ascii="Times New Roman" w:hAnsi="Times New Roman"/>
                <w:sz w:val="24"/>
                <w:szCs w:val="24"/>
                <w:lang w:val="ro-RO"/>
              </w:rPr>
              <w:t>siguranța produselor alimentare prin prisma contaminaților și a limitelor de contaminați</w:t>
            </w:r>
            <w:r w:rsidR="009C323A" w:rsidRPr="00A249FD">
              <w:rPr>
                <w:rFonts w:ascii="Times New Roman" w:hAnsi="Times New Roman"/>
                <w:sz w:val="24"/>
                <w:szCs w:val="24"/>
                <w:lang w:val="ro-RO"/>
              </w:rPr>
              <w:t xml:space="preserve"> depășite la produsele </w:t>
            </w:r>
            <w:proofErr w:type="spellStart"/>
            <w:r w:rsidR="009C323A" w:rsidRPr="00A249FD">
              <w:rPr>
                <w:rFonts w:ascii="Times New Roman" w:hAnsi="Times New Roman"/>
                <w:sz w:val="24"/>
                <w:szCs w:val="24"/>
                <w:lang w:val="ro-RO"/>
              </w:rPr>
              <w:t>agro</w:t>
            </w:r>
            <w:proofErr w:type="spellEnd"/>
            <w:r w:rsidR="009C323A" w:rsidRPr="00A249FD">
              <w:rPr>
                <w:rFonts w:ascii="Times New Roman" w:hAnsi="Times New Roman"/>
                <w:sz w:val="24"/>
                <w:szCs w:val="24"/>
                <w:lang w:val="ro-RO"/>
              </w:rPr>
              <w:t>-alimentare.</w:t>
            </w:r>
          </w:p>
          <w:p w14:paraId="49DACF2A" w14:textId="7A0F58B1" w:rsidR="009C323A" w:rsidRPr="00A249FD" w:rsidRDefault="009C323A"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Pentru a nu periclita punerea la dispoziție a produselor fertilizante au fost identificate perioade </w:t>
            </w:r>
            <w:r w:rsidR="00045F4A" w:rsidRPr="00A249FD">
              <w:rPr>
                <w:rFonts w:ascii="Times New Roman" w:hAnsi="Times New Roman"/>
                <w:sz w:val="24"/>
                <w:szCs w:val="24"/>
                <w:lang w:val="ro-RO"/>
              </w:rPr>
              <w:t>de intrare în vigoare. Acestea devin foarte esențiale pentru ca relațiile comerciale deja create să nu sufere urmare a intrării în vigoare a prevederilor ce ține de produsele fertilizante care nu dispun de marcajul CE.</w:t>
            </w:r>
          </w:p>
        </w:tc>
      </w:tr>
      <w:tr w:rsidR="003C442D" w:rsidRPr="00A249FD" w14:paraId="04B7CD53"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358EE5" w14:textId="77777777"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 </w:t>
            </w:r>
          </w:p>
        </w:tc>
      </w:tr>
      <w:tr w:rsidR="003C442D" w:rsidRPr="00A249FD" w14:paraId="05B1DA3A" w14:textId="77777777" w:rsidTr="00E853B9">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4C8C5F"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 xml:space="preserve">4. Analiza impactului de reglementare </w:t>
            </w:r>
          </w:p>
        </w:tc>
      </w:tr>
      <w:tr w:rsidR="003C442D" w:rsidRPr="00A249FD" w14:paraId="0D0D16BF"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013CD9" w14:textId="781D85D3"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4.1. Impactul asupra sectorului public</w:t>
            </w:r>
          </w:p>
          <w:p w14:paraId="52F23B5F" w14:textId="399B4EB4" w:rsidR="00FE3148" w:rsidRPr="00A249FD" w:rsidRDefault="00FE314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Pentru produsele fertilizante UE </w:t>
            </w:r>
            <w:r w:rsidR="008205BA" w:rsidRPr="00A249FD">
              <w:rPr>
                <w:rFonts w:ascii="Times New Roman" w:hAnsi="Times New Roman"/>
                <w:sz w:val="24"/>
                <w:szCs w:val="24"/>
                <w:lang w:val="ro-RO"/>
              </w:rPr>
              <w:t xml:space="preserve">instituțional apar organismele notificate către Comisia Europeană. În calitate de Organismele de evaluare a conformității acestea trebuie să fie imparțiale de industrie. Autoritatea de notificare are rol de informare a Comisiei Europene privind </w:t>
            </w:r>
            <w:r w:rsidR="00C73C52" w:rsidRPr="00A249FD">
              <w:rPr>
                <w:rFonts w:ascii="Times New Roman" w:hAnsi="Times New Roman"/>
                <w:sz w:val="24"/>
                <w:szCs w:val="24"/>
                <w:lang w:val="ro-RO"/>
              </w:rPr>
              <w:t>organismele notificate. În acest sens, devine necesar ajustarea fișelor de post a unor funcționari publici pentru a prevedea obligațiile ce reiese din aceste prevederi.</w:t>
            </w:r>
          </w:p>
          <w:p w14:paraId="16272E07" w14:textId="7BB5B172" w:rsidR="00C73C52" w:rsidRPr="00A249FD" w:rsidRDefault="00C73C5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Pe de altă parte, prin excluderea necesității de autorizare/omologare a produselor fertilizante care nu au marcajul CE, personalul din cadrul autorității </w:t>
            </w:r>
            <w:proofErr w:type="spellStart"/>
            <w:r w:rsidRPr="00A249FD">
              <w:rPr>
                <w:rFonts w:ascii="Times New Roman" w:hAnsi="Times New Roman"/>
                <w:sz w:val="24"/>
                <w:szCs w:val="24"/>
                <w:lang w:val="ro-RO"/>
              </w:rPr>
              <w:t>autorizante</w:t>
            </w:r>
            <w:proofErr w:type="spellEnd"/>
            <w:r w:rsidRPr="00A249FD">
              <w:rPr>
                <w:rFonts w:ascii="Times New Roman" w:hAnsi="Times New Roman"/>
                <w:sz w:val="24"/>
                <w:szCs w:val="24"/>
                <w:lang w:val="ro-RO"/>
              </w:rPr>
              <w:t xml:space="preserve"> va fi disponibil de preluare cu </w:t>
            </w:r>
            <w:r w:rsidRPr="00A249FD">
              <w:rPr>
                <w:rFonts w:ascii="Times New Roman" w:hAnsi="Times New Roman"/>
                <w:sz w:val="24"/>
                <w:szCs w:val="24"/>
                <w:lang w:val="ro-RO"/>
              </w:rPr>
              <w:lastRenderedPageBreak/>
              <w:t>alte activități. Autoritatea competentă de supravegherea pieței se va baza în exclusivitate pe indicatorii de risc la planificarea controlului oficial, ori notificarea simplistă ar permite ca personalul implicat în examinarea notificărilor de la aparatul central să fie concentrat în elaborarea planului anual de control în baza indicatorilor de risc și monitorizarea în implementarea acestuia.</w:t>
            </w:r>
          </w:p>
          <w:p w14:paraId="31DC7FCF" w14:textId="1DF934C9" w:rsidR="00FE3148" w:rsidRPr="00A249FD" w:rsidRDefault="00C4241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Prin statutul de țară candidat de aderare la UE sunt posibile costuri administrative</w:t>
            </w:r>
            <w:r w:rsidR="00D74D54" w:rsidRPr="00A249FD">
              <w:rPr>
                <w:rFonts w:ascii="Times New Roman" w:hAnsi="Times New Roman"/>
                <w:sz w:val="24"/>
                <w:szCs w:val="24"/>
                <w:lang w:val="ro-RO"/>
              </w:rPr>
              <w:t xml:space="preserve"> în același timp, costul Guvernanței </w:t>
            </w:r>
            <w:r w:rsidR="00FE5B56" w:rsidRPr="00A249FD">
              <w:rPr>
                <w:rFonts w:ascii="Times New Roman" w:hAnsi="Times New Roman"/>
                <w:sz w:val="24"/>
                <w:szCs w:val="24"/>
                <w:lang w:val="ro-RO"/>
              </w:rPr>
              <w:t xml:space="preserve">anuale la nivel de UE </w:t>
            </w:r>
            <w:r w:rsidR="00D74D54" w:rsidRPr="00A249FD">
              <w:rPr>
                <w:rFonts w:ascii="Times New Roman" w:hAnsi="Times New Roman"/>
                <w:sz w:val="24"/>
                <w:szCs w:val="24"/>
                <w:lang w:val="ro-RO"/>
              </w:rPr>
              <w:t xml:space="preserve">pentru opțiunea </w:t>
            </w:r>
            <w:r w:rsidR="00FE5B56" w:rsidRPr="00A249FD">
              <w:rPr>
                <w:rFonts w:ascii="Times New Roman" w:hAnsi="Times New Roman"/>
                <w:sz w:val="24"/>
                <w:szCs w:val="24"/>
                <w:lang w:val="ro-RO"/>
              </w:rPr>
              <w:t>de</w:t>
            </w:r>
            <w:r w:rsidR="00D74D54" w:rsidRPr="00A249FD">
              <w:rPr>
                <w:rFonts w:ascii="Times New Roman" w:hAnsi="Times New Roman"/>
                <w:sz w:val="24"/>
                <w:szCs w:val="24"/>
                <w:lang w:val="ro-RO"/>
              </w:rPr>
              <w:t xml:space="preserve"> evaluare și includere</w:t>
            </w:r>
            <w:r w:rsidR="00FE5B56" w:rsidRPr="00A249FD">
              <w:rPr>
                <w:rFonts w:ascii="Times New Roman" w:hAnsi="Times New Roman"/>
                <w:sz w:val="24"/>
                <w:szCs w:val="24"/>
                <w:lang w:val="ro-RO"/>
              </w:rPr>
              <w:t xml:space="preserve"> </w:t>
            </w:r>
            <w:r w:rsidR="00D74D54" w:rsidRPr="00A249FD">
              <w:rPr>
                <w:rFonts w:ascii="Times New Roman" w:hAnsi="Times New Roman"/>
                <w:sz w:val="24"/>
                <w:szCs w:val="24"/>
                <w:lang w:val="ro-RO"/>
              </w:rPr>
              <w:t xml:space="preserve">a tipurilor de fertilizanți </w:t>
            </w:r>
            <w:r w:rsidR="00FE5B56" w:rsidRPr="00A249FD">
              <w:rPr>
                <w:rFonts w:ascii="Times New Roman" w:hAnsi="Times New Roman"/>
                <w:sz w:val="24"/>
                <w:szCs w:val="24"/>
                <w:lang w:val="ro-RO"/>
              </w:rPr>
              <w:t xml:space="preserve">prin autorizarea consolidată la nivel de UE și includerea </w:t>
            </w:r>
            <w:r w:rsidR="00D74D54" w:rsidRPr="00A249FD">
              <w:rPr>
                <w:rFonts w:ascii="Times New Roman" w:hAnsi="Times New Roman"/>
                <w:sz w:val="24"/>
                <w:szCs w:val="24"/>
                <w:lang w:val="ro-RO"/>
              </w:rPr>
              <w:t xml:space="preserve">în actele de punerea în aplicarea a prezentului proiect de Lege, ar </w:t>
            </w:r>
            <w:r w:rsidR="00FE5B56" w:rsidRPr="00A249FD">
              <w:rPr>
                <w:rFonts w:ascii="Times New Roman" w:hAnsi="Times New Roman"/>
                <w:sz w:val="24"/>
                <w:szCs w:val="24"/>
                <w:lang w:val="ro-RO"/>
              </w:rPr>
              <w:t>face posibil economisirea</w:t>
            </w:r>
            <w:r w:rsidR="00D74D54" w:rsidRPr="00A249FD">
              <w:rPr>
                <w:rFonts w:ascii="Times New Roman" w:hAnsi="Times New Roman"/>
                <w:sz w:val="24"/>
                <w:szCs w:val="24"/>
                <w:lang w:val="ro-RO"/>
              </w:rPr>
              <w:t xml:space="preserve">, conform studiului comandat de Consiliul Europei nr. 2016/0084 din 17 martie 2016, </w:t>
            </w:r>
            <w:r w:rsidR="00FE5B56" w:rsidRPr="00A249FD">
              <w:rPr>
                <w:rFonts w:ascii="Times New Roman" w:hAnsi="Times New Roman"/>
                <w:sz w:val="24"/>
                <w:szCs w:val="24"/>
                <w:lang w:val="ro-RO"/>
              </w:rPr>
              <w:t xml:space="preserve">a </w:t>
            </w:r>
            <w:r w:rsidR="00D74D54" w:rsidRPr="00A249FD">
              <w:rPr>
                <w:rFonts w:ascii="Times New Roman" w:hAnsi="Times New Roman"/>
                <w:sz w:val="24"/>
                <w:szCs w:val="24"/>
                <w:lang w:val="ro-RO"/>
              </w:rPr>
              <w:t>circa 150 - 375 mii euro pentru gestionarea diferitor cereri de includerea unui noi tip de fertilizant</w:t>
            </w:r>
            <w:r w:rsidR="00FE5B56" w:rsidRPr="00A249FD">
              <w:rPr>
                <w:rFonts w:ascii="Times New Roman" w:hAnsi="Times New Roman"/>
                <w:sz w:val="24"/>
                <w:szCs w:val="24"/>
                <w:lang w:val="ro-RO"/>
              </w:rPr>
              <w:t xml:space="preserve"> anual</w:t>
            </w:r>
            <w:r w:rsidR="00D74D54" w:rsidRPr="00A249FD">
              <w:rPr>
                <w:rFonts w:ascii="Times New Roman" w:hAnsi="Times New Roman"/>
                <w:sz w:val="24"/>
                <w:szCs w:val="24"/>
                <w:lang w:val="ro-RO"/>
              </w:rPr>
              <w:t>.</w:t>
            </w:r>
            <w:r w:rsidR="00947357" w:rsidRPr="00A249FD">
              <w:rPr>
                <w:rFonts w:ascii="Times New Roman" w:hAnsi="Times New Roman"/>
                <w:sz w:val="24"/>
                <w:szCs w:val="24"/>
                <w:lang w:val="ro-RO"/>
              </w:rPr>
              <w:t xml:space="preserve"> Totodată, sunt excluse și costurile pentru avize solicitate de către Comisia Europeană de la EFSA și ECHA pentru fiecare grup de produse, deci, </w:t>
            </w:r>
            <w:r w:rsidR="00D74D54" w:rsidRPr="00A249FD">
              <w:rPr>
                <w:rFonts w:ascii="Times New Roman" w:hAnsi="Times New Roman"/>
                <w:sz w:val="24"/>
                <w:szCs w:val="24"/>
                <w:lang w:val="ro-RO"/>
              </w:rPr>
              <w:t xml:space="preserve"> </w:t>
            </w:r>
            <w:r w:rsidR="00947357" w:rsidRPr="00A249FD">
              <w:rPr>
                <w:rFonts w:ascii="Times New Roman" w:hAnsi="Times New Roman"/>
                <w:sz w:val="24"/>
                <w:szCs w:val="24"/>
                <w:lang w:val="ro-RO"/>
              </w:rPr>
              <w:t>p</w:t>
            </w:r>
            <w:r w:rsidR="00FE5B56" w:rsidRPr="00A249FD">
              <w:rPr>
                <w:rFonts w:ascii="Times New Roman" w:hAnsi="Times New Roman"/>
                <w:sz w:val="24"/>
                <w:szCs w:val="24"/>
                <w:lang w:val="ro-RO"/>
              </w:rPr>
              <w:t>rin transpunerea prevederilor similare</w:t>
            </w:r>
            <w:r w:rsidR="00D74D54" w:rsidRPr="00A249FD">
              <w:rPr>
                <w:rFonts w:ascii="Times New Roman" w:hAnsi="Times New Roman"/>
                <w:sz w:val="24"/>
                <w:szCs w:val="24"/>
                <w:lang w:val="ro-RO"/>
              </w:rPr>
              <w:t xml:space="preserve">, nu ar mai exista costuri de guvernanță </w:t>
            </w:r>
            <w:r w:rsidR="00FE5B56" w:rsidRPr="00A249FD">
              <w:rPr>
                <w:rFonts w:ascii="Times New Roman" w:hAnsi="Times New Roman"/>
                <w:sz w:val="24"/>
                <w:szCs w:val="24"/>
                <w:lang w:val="ro-RO"/>
              </w:rPr>
              <w:t>la nivel național</w:t>
            </w:r>
            <w:r w:rsidR="00D74D54" w:rsidRPr="00A249FD">
              <w:rPr>
                <w:rFonts w:ascii="Times New Roman" w:hAnsi="Times New Roman"/>
                <w:sz w:val="24"/>
                <w:szCs w:val="24"/>
                <w:lang w:val="ro-RO"/>
              </w:rPr>
              <w:t>, deoarece introducerea pe piață a produselor fertilizante ar fi pe deplin armonizată.</w:t>
            </w:r>
          </w:p>
          <w:p w14:paraId="0111EB47" w14:textId="5D6ECD7A" w:rsidR="002761EE" w:rsidRPr="00A249FD" w:rsidRDefault="00D74D5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Pentru a estima costurile suplimentare ale evaluărilor produselor nou armonizate, este important să se estimeze numărul de produse care nu sunt încă armonizate și numărul de tipuri corespunzătoare. </w:t>
            </w:r>
            <w:r w:rsidR="005279D2" w:rsidRPr="00A249FD">
              <w:rPr>
                <w:rFonts w:ascii="Times New Roman" w:hAnsi="Times New Roman"/>
                <w:sz w:val="24"/>
                <w:szCs w:val="24"/>
                <w:lang w:val="ro-RO"/>
              </w:rPr>
              <w:t xml:space="preserve">Conform datelor disponibile la nivelul Consiliului Europei și </w:t>
            </w:r>
            <w:r w:rsidR="002761EE" w:rsidRPr="00A249FD">
              <w:rPr>
                <w:rFonts w:ascii="Times New Roman" w:hAnsi="Times New Roman"/>
                <w:sz w:val="24"/>
                <w:szCs w:val="24"/>
                <w:lang w:val="ro-RO"/>
              </w:rPr>
              <w:t>cerințelor</w:t>
            </w:r>
            <w:r w:rsidR="005279D2" w:rsidRPr="00A249FD">
              <w:rPr>
                <w:rFonts w:ascii="Times New Roman" w:hAnsi="Times New Roman"/>
                <w:sz w:val="24"/>
                <w:szCs w:val="24"/>
                <w:lang w:val="ro-RO"/>
              </w:rPr>
              <w:t xml:space="preserve"> vechi față de fertilizanți CE la momentul intenției de aprobare a Regulamentului UE 2019/1009</w:t>
            </w:r>
            <w:r w:rsidRPr="00A249FD">
              <w:rPr>
                <w:rFonts w:ascii="Times New Roman" w:hAnsi="Times New Roman"/>
                <w:sz w:val="24"/>
                <w:szCs w:val="24"/>
                <w:lang w:val="ro-RO"/>
              </w:rPr>
              <w:t xml:space="preserve">, </w:t>
            </w:r>
            <w:r w:rsidR="005279D2" w:rsidRPr="00A249FD">
              <w:rPr>
                <w:rFonts w:ascii="Times New Roman" w:hAnsi="Times New Roman"/>
                <w:sz w:val="24"/>
                <w:szCs w:val="24"/>
                <w:lang w:val="ro-RO"/>
              </w:rPr>
              <w:t xml:space="preserve">existau o sută de tipuri, </w:t>
            </w:r>
            <w:r w:rsidRPr="00A249FD">
              <w:rPr>
                <w:rFonts w:ascii="Times New Roman" w:hAnsi="Times New Roman"/>
                <w:sz w:val="24"/>
                <w:szCs w:val="24"/>
                <w:lang w:val="ro-RO"/>
              </w:rPr>
              <w:t xml:space="preserve">enumerate </w:t>
            </w:r>
            <w:r w:rsidR="005279D2" w:rsidRPr="00A249FD">
              <w:rPr>
                <w:rFonts w:ascii="Times New Roman" w:hAnsi="Times New Roman"/>
                <w:sz w:val="24"/>
                <w:szCs w:val="24"/>
                <w:lang w:val="ro-RO"/>
              </w:rPr>
              <w:t>conform criteriilor față de Îngrășăminte anorganice și aproximativ 2</w:t>
            </w:r>
            <w:r w:rsidRPr="00A249FD">
              <w:rPr>
                <w:rFonts w:ascii="Times New Roman" w:hAnsi="Times New Roman"/>
                <w:sz w:val="24"/>
                <w:szCs w:val="24"/>
                <w:lang w:val="ro-RO"/>
              </w:rPr>
              <w:t xml:space="preserve">400 de produse </w:t>
            </w:r>
            <w:r w:rsidR="00254999" w:rsidRPr="00A249FD">
              <w:rPr>
                <w:rFonts w:ascii="Times New Roman" w:hAnsi="Times New Roman"/>
                <w:sz w:val="24"/>
                <w:szCs w:val="24"/>
                <w:lang w:val="ro-RO"/>
              </w:rPr>
              <w:t>fertil</w:t>
            </w:r>
            <w:r w:rsidR="002761EE" w:rsidRPr="00A249FD">
              <w:rPr>
                <w:rFonts w:ascii="Times New Roman" w:hAnsi="Times New Roman"/>
                <w:sz w:val="24"/>
                <w:szCs w:val="24"/>
                <w:lang w:val="ro-RO"/>
              </w:rPr>
              <w:t>izante</w:t>
            </w:r>
            <w:r w:rsidR="005279D2" w:rsidRPr="00A249FD">
              <w:rPr>
                <w:rFonts w:ascii="Times New Roman" w:hAnsi="Times New Roman"/>
                <w:sz w:val="24"/>
                <w:szCs w:val="24"/>
                <w:lang w:val="ro-RO"/>
              </w:rPr>
              <w:t xml:space="preserve"> CE sunt introduse pe piața UE</w:t>
            </w:r>
            <w:r w:rsidRPr="00A249FD">
              <w:rPr>
                <w:rFonts w:ascii="Times New Roman" w:hAnsi="Times New Roman"/>
                <w:sz w:val="24"/>
                <w:szCs w:val="24"/>
                <w:lang w:val="ro-RO"/>
              </w:rPr>
              <w:t xml:space="preserve">. </w:t>
            </w:r>
          </w:p>
          <w:p w14:paraId="5BA1475C" w14:textId="277BC52E" w:rsidR="00D74D54" w:rsidRPr="00A249FD" w:rsidRDefault="00D74D5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În medie, 1 tip permite introducerea pe piață a 24 de îngrășăminte CE. Nu sunt disponibile informații echivalente pentru îngrășămintele </w:t>
            </w:r>
            <w:r w:rsidR="002761EE" w:rsidRPr="00A249FD">
              <w:rPr>
                <w:rFonts w:ascii="Times New Roman" w:hAnsi="Times New Roman"/>
                <w:sz w:val="24"/>
                <w:szCs w:val="24"/>
                <w:lang w:val="ro-RO"/>
              </w:rPr>
              <w:t>autorizate la nivel național</w:t>
            </w:r>
            <w:r w:rsidRPr="00A249FD">
              <w:rPr>
                <w:rFonts w:ascii="Times New Roman" w:hAnsi="Times New Roman"/>
                <w:sz w:val="24"/>
                <w:szCs w:val="24"/>
                <w:lang w:val="ro-RO"/>
              </w:rPr>
              <w:t xml:space="preserve">, dar s-ar presupune că, pe baza cotelor de piață actuale ale îngrășămintelor CE și ale îngrășămintelor naționale, numărul de noi tipuri de îngrășăminte anorganice care urmează să fie examinate în vederea includerii </w:t>
            </w:r>
            <w:r w:rsidR="005279D2" w:rsidRPr="00A249FD">
              <w:rPr>
                <w:rFonts w:ascii="Times New Roman" w:hAnsi="Times New Roman"/>
                <w:sz w:val="24"/>
                <w:szCs w:val="24"/>
                <w:lang w:val="ro-RO"/>
              </w:rPr>
              <w:t>conform noilor prevederi</w:t>
            </w:r>
            <w:r w:rsidRPr="00A249FD">
              <w:rPr>
                <w:rFonts w:ascii="Times New Roman" w:hAnsi="Times New Roman"/>
                <w:sz w:val="24"/>
                <w:szCs w:val="24"/>
                <w:lang w:val="ro-RO"/>
              </w:rPr>
              <w:t xml:space="preserve"> s-ar putea ridica la 30-40.</w:t>
            </w:r>
          </w:p>
          <w:p w14:paraId="553B7A2C" w14:textId="46153938" w:rsidR="00D74D54" w:rsidRPr="00A249FD" w:rsidRDefault="00D74D5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Pentru celelalte categorii de produse, numărul de produse noi și numărul de tipuri noi care ar trebui să fie enumerate în </w:t>
            </w:r>
            <w:r w:rsidR="005279D2" w:rsidRPr="00A249FD">
              <w:rPr>
                <w:rFonts w:ascii="Times New Roman" w:hAnsi="Times New Roman"/>
                <w:sz w:val="24"/>
                <w:szCs w:val="24"/>
                <w:lang w:val="ro-RO"/>
              </w:rPr>
              <w:t xml:space="preserve">actele de punere în aplicare a Legii curente, </w:t>
            </w:r>
            <w:r w:rsidRPr="00A249FD">
              <w:rPr>
                <w:rFonts w:ascii="Times New Roman" w:hAnsi="Times New Roman"/>
                <w:sz w:val="24"/>
                <w:szCs w:val="24"/>
                <w:lang w:val="ro-RO"/>
              </w:rPr>
              <w:t>au fost estimate împreună cu reprezentanții industriei</w:t>
            </w:r>
            <w:r w:rsidR="005279D2" w:rsidRPr="00A249FD">
              <w:rPr>
                <w:rFonts w:ascii="Times New Roman" w:hAnsi="Times New Roman"/>
                <w:sz w:val="24"/>
                <w:szCs w:val="24"/>
                <w:lang w:val="ro-RO"/>
              </w:rPr>
              <w:t xml:space="preserve"> din UE</w:t>
            </w:r>
            <w:r w:rsidRPr="00A249FD">
              <w:rPr>
                <w:rFonts w:ascii="Times New Roman" w:hAnsi="Times New Roman"/>
                <w:sz w:val="24"/>
                <w:szCs w:val="24"/>
                <w:lang w:val="ro-RO"/>
              </w:rPr>
              <w:t xml:space="preserve">, astfel cum se explică în tabelul de mai jos: </w:t>
            </w:r>
          </w:p>
          <w:p w14:paraId="2C5210E1" w14:textId="0AC134D3" w:rsidR="00FE3148" w:rsidRPr="00A249FD" w:rsidRDefault="003F7DB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Tabelul 1</w:t>
            </w:r>
            <w:r w:rsidR="00D74D54" w:rsidRPr="00A249FD">
              <w:rPr>
                <w:rFonts w:ascii="Times New Roman" w:hAnsi="Times New Roman"/>
                <w:sz w:val="24"/>
                <w:szCs w:val="24"/>
                <w:lang w:val="ro-RO"/>
              </w:rPr>
              <w:t xml:space="preserve">: Numărul de produse nearmonizate și tipurile corespunzătoare care </w:t>
            </w:r>
            <w:r w:rsidR="00D343EC" w:rsidRPr="00A249FD">
              <w:rPr>
                <w:rFonts w:ascii="Times New Roman" w:hAnsi="Times New Roman"/>
                <w:sz w:val="24"/>
                <w:szCs w:val="24"/>
                <w:lang w:val="ro-RO"/>
              </w:rPr>
              <w:t>au fost identificate plenipotențiar de a fi incluse conform reglementărilor Regulamentului UE 2019/1009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020"/>
              <w:gridCol w:w="3082"/>
            </w:tblGrid>
            <w:tr w:rsidR="002761EE" w:rsidRPr="00830D82" w14:paraId="6D82BCFF" w14:textId="77777777" w:rsidTr="00830D82">
              <w:trPr>
                <w:cantSplit/>
                <w:trHeight w:val="723"/>
              </w:trPr>
              <w:tc>
                <w:tcPr>
                  <w:tcW w:w="3432" w:type="dxa"/>
                </w:tcPr>
                <w:p w14:paraId="2E3C8740" w14:textId="77777777" w:rsidR="002761EE" w:rsidRPr="00830D82" w:rsidRDefault="002761EE" w:rsidP="006B0BFC">
                  <w:pPr>
                    <w:shd w:val="clear" w:color="auto" w:fill="FFFFFF" w:themeFill="background1"/>
                    <w:contextualSpacing/>
                    <w:jc w:val="left"/>
                    <w:rPr>
                      <w:color w:val="000000"/>
                      <w:sz w:val="24"/>
                      <w:szCs w:val="24"/>
                      <w:lang w:val="ro-RO"/>
                    </w:rPr>
                  </w:pPr>
                </w:p>
              </w:tc>
              <w:tc>
                <w:tcPr>
                  <w:tcW w:w="3136" w:type="dxa"/>
                  <w:vAlign w:val="center"/>
                </w:tcPr>
                <w:p w14:paraId="631D62B0" w14:textId="77777777" w:rsidR="002761EE" w:rsidRPr="00830D82" w:rsidRDefault="002761EE" w:rsidP="006B0BFC">
                  <w:pPr>
                    <w:pStyle w:val="P68B1DB1-Normal58"/>
                    <w:shd w:val="clear" w:color="auto" w:fill="FFFFFF" w:themeFill="background1"/>
                    <w:spacing w:before="0" w:after="0"/>
                    <w:contextualSpacing/>
                    <w:jc w:val="center"/>
                    <w:rPr>
                      <w:b w:val="0"/>
                      <w:i w:val="0"/>
                      <w:szCs w:val="24"/>
                      <w:lang w:val="ro-RO"/>
                    </w:rPr>
                  </w:pPr>
                  <w:r w:rsidRPr="00830D82">
                    <w:rPr>
                      <w:b w:val="0"/>
                      <w:i w:val="0"/>
                      <w:szCs w:val="24"/>
                      <w:lang w:val="ro-RO"/>
                    </w:rPr>
                    <w:t>Gama de produse nearmonizate de pe piața UE</w:t>
                  </w:r>
                </w:p>
              </w:tc>
              <w:tc>
                <w:tcPr>
                  <w:tcW w:w="3203" w:type="dxa"/>
                </w:tcPr>
                <w:p w14:paraId="795FDBDE" w14:textId="77777777" w:rsidR="002761EE" w:rsidRPr="00830D82" w:rsidRDefault="002761EE" w:rsidP="006B0BFC">
                  <w:pPr>
                    <w:pStyle w:val="P68B1DB1-Normal58"/>
                    <w:shd w:val="clear" w:color="auto" w:fill="FFFFFF" w:themeFill="background1"/>
                    <w:spacing w:before="0" w:after="0"/>
                    <w:contextualSpacing/>
                    <w:jc w:val="center"/>
                    <w:rPr>
                      <w:b w:val="0"/>
                      <w:i w:val="0"/>
                      <w:szCs w:val="24"/>
                      <w:lang w:val="ro-RO"/>
                    </w:rPr>
                  </w:pPr>
                  <w:r w:rsidRPr="00830D82">
                    <w:rPr>
                      <w:b w:val="0"/>
                      <w:i w:val="0"/>
                      <w:szCs w:val="24"/>
                      <w:lang w:val="ro-RO"/>
                    </w:rPr>
                    <w:t>Gama de tipuri care acoperă piața nearmonizată</w:t>
                  </w:r>
                </w:p>
              </w:tc>
            </w:tr>
            <w:tr w:rsidR="002761EE" w:rsidRPr="00830D82" w14:paraId="12DE6C6E" w14:textId="77777777" w:rsidTr="00830D82">
              <w:trPr>
                <w:trHeight w:val="479"/>
              </w:trPr>
              <w:tc>
                <w:tcPr>
                  <w:tcW w:w="3432" w:type="dxa"/>
                  <w:vAlign w:val="center"/>
                </w:tcPr>
                <w:p w14:paraId="4B996B76" w14:textId="58A38002" w:rsidR="002761EE" w:rsidRPr="00830D82" w:rsidRDefault="002761EE" w:rsidP="006B0BFC">
                  <w:pPr>
                    <w:shd w:val="clear" w:color="auto" w:fill="FFFFFF" w:themeFill="background1"/>
                    <w:ind w:firstLine="0"/>
                    <w:contextualSpacing/>
                    <w:jc w:val="left"/>
                    <w:rPr>
                      <w:sz w:val="24"/>
                      <w:szCs w:val="24"/>
                      <w:lang w:val="ro-RO"/>
                    </w:rPr>
                  </w:pPr>
                  <w:r w:rsidRPr="00830D82">
                    <w:rPr>
                      <w:sz w:val="24"/>
                      <w:szCs w:val="24"/>
                      <w:lang w:val="ro-RO"/>
                    </w:rPr>
                    <w:t>Îngrășăminte anorganice</w:t>
                  </w:r>
                </w:p>
              </w:tc>
              <w:tc>
                <w:tcPr>
                  <w:tcW w:w="3136" w:type="dxa"/>
                  <w:vAlign w:val="center"/>
                </w:tcPr>
                <w:p w14:paraId="57BC6C33" w14:textId="77777777"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840-960</w:t>
                  </w:r>
                </w:p>
              </w:tc>
              <w:tc>
                <w:tcPr>
                  <w:tcW w:w="3203" w:type="dxa"/>
                  <w:vAlign w:val="center"/>
                </w:tcPr>
                <w:p w14:paraId="728FD4AA" w14:textId="77777777"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30-40</w:t>
                  </w:r>
                </w:p>
              </w:tc>
            </w:tr>
            <w:tr w:rsidR="002761EE" w:rsidRPr="00830D82" w14:paraId="4AAE9264" w14:textId="77777777" w:rsidTr="00830D82">
              <w:trPr>
                <w:trHeight w:val="902"/>
              </w:trPr>
              <w:tc>
                <w:tcPr>
                  <w:tcW w:w="3432" w:type="dxa"/>
                  <w:vAlign w:val="center"/>
                </w:tcPr>
                <w:p w14:paraId="79F2765F" w14:textId="77777777" w:rsidR="002761EE" w:rsidRPr="00830D82" w:rsidRDefault="002761EE" w:rsidP="006B0BFC">
                  <w:pPr>
                    <w:pStyle w:val="P68B1DB1-Normal12"/>
                    <w:shd w:val="clear" w:color="auto" w:fill="FFFFFF" w:themeFill="background1"/>
                    <w:spacing w:before="0" w:after="0"/>
                    <w:contextualSpacing/>
                    <w:jc w:val="left"/>
                    <w:rPr>
                      <w:i w:val="0"/>
                      <w:szCs w:val="24"/>
                      <w:lang w:val="ro-RO"/>
                    </w:rPr>
                  </w:pPr>
                  <w:r w:rsidRPr="00830D82">
                    <w:rPr>
                      <w:i w:val="0"/>
                      <w:szCs w:val="24"/>
                      <w:lang w:val="ro-RO"/>
                    </w:rPr>
                    <w:t>Îngrășăminte organice</w:t>
                  </w:r>
                </w:p>
              </w:tc>
              <w:tc>
                <w:tcPr>
                  <w:tcW w:w="3136" w:type="dxa"/>
                  <w:vAlign w:val="center"/>
                </w:tcPr>
                <w:p w14:paraId="65B4267A" w14:textId="1A04B905" w:rsidR="002761EE" w:rsidRPr="00830D82" w:rsidRDefault="00830D82" w:rsidP="006B0BFC">
                  <w:pPr>
                    <w:shd w:val="clear" w:color="auto" w:fill="FFFFFF" w:themeFill="background1"/>
                    <w:contextualSpacing/>
                    <w:rPr>
                      <w:color w:val="000000"/>
                      <w:sz w:val="24"/>
                      <w:szCs w:val="24"/>
                      <w:lang w:val="ro-RO"/>
                    </w:rPr>
                  </w:pPr>
                  <w:r>
                    <w:rPr>
                      <w:color w:val="000000"/>
                      <w:sz w:val="24"/>
                      <w:szCs w:val="24"/>
                      <w:lang w:val="ro-RO"/>
                    </w:rPr>
                    <w:t xml:space="preserve">         </w:t>
                  </w:r>
                  <w:r w:rsidR="002761EE" w:rsidRPr="00830D82">
                    <w:rPr>
                      <w:color w:val="000000"/>
                      <w:sz w:val="24"/>
                      <w:szCs w:val="24"/>
                      <w:lang w:val="ro-RO"/>
                    </w:rPr>
                    <w:t>1 000-1 100</w:t>
                  </w:r>
                </w:p>
              </w:tc>
              <w:tc>
                <w:tcPr>
                  <w:tcW w:w="3203" w:type="dxa"/>
                  <w:vAlign w:val="center"/>
                </w:tcPr>
                <w:p w14:paraId="4B34FBD9" w14:textId="77777777"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200-220</w:t>
                  </w:r>
                </w:p>
              </w:tc>
            </w:tr>
            <w:tr w:rsidR="002761EE" w:rsidRPr="00830D82" w14:paraId="20EB2C5E" w14:textId="77777777" w:rsidTr="00830D82">
              <w:trPr>
                <w:trHeight w:val="902"/>
              </w:trPr>
              <w:tc>
                <w:tcPr>
                  <w:tcW w:w="3432" w:type="dxa"/>
                  <w:vAlign w:val="center"/>
                </w:tcPr>
                <w:p w14:paraId="2632E903" w14:textId="77777777" w:rsidR="002761EE" w:rsidRPr="00830D82" w:rsidRDefault="002761EE" w:rsidP="006B0BFC">
                  <w:pPr>
                    <w:pStyle w:val="P68B1DB1-Normal12"/>
                    <w:shd w:val="clear" w:color="auto" w:fill="FFFFFF" w:themeFill="background1"/>
                    <w:spacing w:before="0" w:after="0"/>
                    <w:contextualSpacing/>
                    <w:jc w:val="left"/>
                    <w:rPr>
                      <w:i w:val="0"/>
                      <w:szCs w:val="24"/>
                      <w:lang w:val="ro-RO"/>
                    </w:rPr>
                  </w:pPr>
                  <w:r w:rsidRPr="00830D82">
                    <w:rPr>
                      <w:i w:val="0"/>
                      <w:szCs w:val="24"/>
                      <w:lang w:val="ro-RO"/>
                    </w:rPr>
                    <w:t xml:space="preserve">Îngrășăminte </w:t>
                  </w:r>
                  <w:proofErr w:type="spellStart"/>
                  <w:r w:rsidRPr="00830D82">
                    <w:rPr>
                      <w:i w:val="0"/>
                      <w:szCs w:val="24"/>
                      <w:lang w:val="ro-RO"/>
                    </w:rPr>
                    <w:t>organo</w:t>
                  </w:r>
                  <w:proofErr w:type="spellEnd"/>
                  <w:r w:rsidRPr="00830D82">
                    <w:rPr>
                      <w:i w:val="0"/>
                      <w:szCs w:val="24"/>
                      <w:lang w:val="ro-RO"/>
                    </w:rPr>
                    <w:t>-minerale</w:t>
                  </w:r>
                </w:p>
              </w:tc>
              <w:tc>
                <w:tcPr>
                  <w:tcW w:w="3136" w:type="dxa"/>
                  <w:vAlign w:val="center"/>
                </w:tcPr>
                <w:p w14:paraId="0A21D409" w14:textId="77777777" w:rsidR="002761EE" w:rsidRPr="00830D82" w:rsidRDefault="002761EE" w:rsidP="006B0BFC">
                  <w:pPr>
                    <w:pStyle w:val="P68B1DB1-Normal12"/>
                    <w:shd w:val="clear" w:color="auto" w:fill="FFFFFF" w:themeFill="background1"/>
                    <w:spacing w:before="0" w:after="0"/>
                    <w:contextualSpacing/>
                    <w:jc w:val="center"/>
                    <w:rPr>
                      <w:i w:val="0"/>
                      <w:szCs w:val="24"/>
                      <w:lang w:val="ro-RO"/>
                    </w:rPr>
                  </w:pPr>
                  <w:r w:rsidRPr="00830D82">
                    <w:rPr>
                      <w:i w:val="0"/>
                      <w:szCs w:val="24"/>
                      <w:lang w:val="ro-RO"/>
                    </w:rPr>
                    <w:t>600-700</w:t>
                  </w:r>
                </w:p>
              </w:tc>
              <w:tc>
                <w:tcPr>
                  <w:tcW w:w="3203" w:type="dxa"/>
                  <w:vAlign w:val="center"/>
                </w:tcPr>
                <w:p w14:paraId="4ED01CBC" w14:textId="12CFABD5" w:rsidR="002761EE" w:rsidRPr="00830D82" w:rsidRDefault="00D343EC" w:rsidP="006B0BFC">
                  <w:pPr>
                    <w:shd w:val="clear" w:color="auto" w:fill="FFFFFF" w:themeFill="background1"/>
                    <w:contextualSpacing/>
                    <w:rPr>
                      <w:sz w:val="24"/>
                      <w:szCs w:val="24"/>
                      <w:lang w:val="ro-RO"/>
                    </w:rPr>
                  </w:pPr>
                  <w:r w:rsidRPr="00830D82">
                    <w:rPr>
                      <w:sz w:val="24"/>
                      <w:szCs w:val="24"/>
                      <w:lang w:val="ro-RO"/>
                    </w:rPr>
                    <w:t xml:space="preserve">       </w:t>
                  </w:r>
                  <w:r w:rsidR="002761EE" w:rsidRPr="00830D82">
                    <w:rPr>
                      <w:sz w:val="24"/>
                      <w:szCs w:val="24"/>
                      <w:lang w:val="ro-RO"/>
                    </w:rPr>
                    <w:t>25-30</w:t>
                  </w:r>
                </w:p>
              </w:tc>
            </w:tr>
            <w:tr w:rsidR="002761EE" w:rsidRPr="00830D82" w14:paraId="41038ADC" w14:textId="77777777" w:rsidTr="00830D82">
              <w:trPr>
                <w:trHeight w:val="479"/>
              </w:trPr>
              <w:tc>
                <w:tcPr>
                  <w:tcW w:w="3432" w:type="dxa"/>
                  <w:vAlign w:val="center"/>
                </w:tcPr>
                <w:p w14:paraId="7911E457" w14:textId="6E1877F1" w:rsidR="002761EE" w:rsidRPr="00830D82" w:rsidRDefault="00D343EC" w:rsidP="006B0BFC">
                  <w:pPr>
                    <w:shd w:val="clear" w:color="auto" w:fill="FFFFFF" w:themeFill="background1"/>
                    <w:ind w:firstLine="0"/>
                    <w:contextualSpacing/>
                    <w:jc w:val="left"/>
                    <w:rPr>
                      <w:sz w:val="24"/>
                      <w:szCs w:val="24"/>
                      <w:lang w:val="ro-RO"/>
                    </w:rPr>
                  </w:pPr>
                  <w:r w:rsidRPr="00830D82">
                    <w:rPr>
                      <w:sz w:val="24"/>
                      <w:szCs w:val="24"/>
                      <w:lang w:val="ro-RO"/>
                    </w:rPr>
                    <w:t>Amendament</w:t>
                  </w:r>
                  <w:r w:rsidR="002761EE" w:rsidRPr="00830D82">
                    <w:rPr>
                      <w:sz w:val="24"/>
                      <w:szCs w:val="24"/>
                      <w:lang w:val="ro-RO"/>
                    </w:rPr>
                    <w:t xml:space="preserve"> mineral bazic</w:t>
                  </w:r>
                </w:p>
              </w:tc>
              <w:tc>
                <w:tcPr>
                  <w:tcW w:w="3136" w:type="dxa"/>
                  <w:vAlign w:val="center"/>
                </w:tcPr>
                <w:p w14:paraId="3E71E7C6" w14:textId="77777777"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150-200</w:t>
                  </w:r>
                </w:p>
              </w:tc>
              <w:tc>
                <w:tcPr>
                  <w:tcW w:w="3203" w:type="dxa"/>
                  <w:vAlign w:val="center"/>
                </w:tcPr>
                <w:p w14:paraId="32D56EAC" w14:textId="77777777"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10-15</w:t>
                  </w:r>
                </w:p>
              </w:tc>
            </w:tr>
            <w:tr w:rsidR="002761EE" w:rsidRPr="00830D82" w14:paraId="6B7CB600" w14:textId="77777777" w:rsidTr="00830D82">
              <w:trPr>
                <w:trHeight w:val="244"/>
              </w:trPr>
              <w:tc>
                <w:tcPr>
                  <w:tcW w:w="3432" w:type="dxa"/>
                  <w:vAlign w:val="center"/>
                </w:tcPr>
                <w:p w14:paraId="3FF2F39D" w14:textId="77777777" w:rsidR="002761EE" w:rsidRPr="00830D82" w:rsidRDefault="002761EE" w:rsidP="006B0BFC">
                  <w:pPr>
                    <w:pStyle w:val="P68B1DB1-Normal12"/>
                    <w:shd w:val="clear" w:color="auto" w:fill="FFFFFF" w:themeFill="background1"/>
                    <w:spacing w:before="0" w:after="0"/>
                    <w:contextualSpacing/>
                    <w:jc w:val="left"/>
                    <w:rPr>
                      <w:i w:val="0"/>
                      <w:szCs w:val="24"/>
                      <w:lang w:val="ro-RO"/>
                    </w:rPr>
                  </w:pPr>
                  <w:r w:rsidRPr="00830D82">
                    <w:rPr>
                      <w:i w:val="0"/>
                      <w:szCs w:val="24"/>
                      <w:lang w:val="ro-RO"/>
                    </w:rPr>
                    <w:t>Amelioratori de sol</w:t>
                  </w:r>
                </w:p>
              </w:tc>
              <w:tc>
                <w:tcPr>
                  <w:tcW w:w="3136" w:type="dxa"/>
                  <w:vAlign w:val="center"/>
                </w:tcPr>
                <w:p w14:paraId="667891C5" w14:textId="4CB83C6B" w:rsidR="002761EE" w:rsidRPr="00830D82" w:rsidRDefault="002761EE" w:rsidP="006B0BFC">
                  <w:pPr>
                    <w:shd w:val="clear" w:color="auto" w:fill="FFFFFF" w:themeFill="background1"/>
                    <w:contextualSpacing/>
                    <w:jc w:val="center"/>
                    <w:rPr>
                      <w:sz w:val="24"/>
                      <w:szCs w:val="24"/>
                      <w:lang w:val="ro-RO"/>
                    </w:rPr>
                  </w:pPr>
                  <w:r w:rsidRPr="00830D82">
                    <w:rPr>
                      <w:color w:val="000000"/>
                      <w:sz w:val="24"/>
                      <w:szCs w:val="24"/>
                      <w:lang w:val="ro-RO"/>
                    </w:rPr>
                    <w:t>24 000-32 000</w:t>
                  </w:r>
                </w:p>
              </w:tc>
              <w:tc>
                <w:tcPr>
                  <w:tcW w:w="3203" w:type="dxa"/>
                  <w:vAlign w:val="center"/>
                </w:tcPr>
                <w:p w14:paraId="3A7D1433" w14:textId="392C27FC" w:rsidR="002761EE" w:rsidRPr="00830D82" w:rsidRDefault="00D343EC" w:rsidP="006B0BFC">
                  <w:pPr>
                    <w:shd w:val="clear" w:color="auto" w:fill="FFFFFF" w:themeFill="background1"/>
                    <w:contextualSpacing/>
                    <w:rPr>
                      <w:color w:val="000000"/>
                      <w:sz w:val="24"/>
                      <w:szCs w:val="24"/>
                      <w:lang w:val="ro-RO"/>
                    </w:rPr>
                  </w:pPr>
                  <w:r w:rsidRPr="00830D82">
                    <w:rPr>
                      <w:color w:val="000000"/>
                      <w:sz w:val="24"/>
                      <w:szCs w:val="24"/>
                      <w:lang w:val="ro-RO"/>
                    </w:rPr>
                    <w:t xml:space="preserve">    </w:t>
                  </w:r>
                  <w:r w:rsidR="002761EE" w:rsidRPr="00830D82">
                    <w:rPr>
                      <w:color w:val="000000"/>
                      <w:sz w:val="24"/>
                      <w:szCs w:val="24"/>
                      <w:lang w:val="ro-RO"/>
                    </w:rPr>
                    <w:t>30-40</w:t>
                  </w:r>
                </w:p>
              </w:tc>
            </w:tr>
            <w:tr w:rsidR="002761EE" w:rsidRPr="00830D82" w14:paraId="06BE6973" w14:textId="77777777" w:rsidTr="00830D82">
              <w:trPr>
                <w:trHeight w:val="479"/>
              </w:trPr>
              <w:tc>
                <w:tcPr>
                  <w:tcW w:w="3432" w:type="dxa"/>
                  <w:vAlign w:val="center"/>
                </w:tcPr>
                <w:p w14:paraId="2A5F1729" w14:textId="6AABAD03" w:rsidR="002761EE" w:rsidRPr="00830D82" w:rsidRDefault="002761EE" w:rsidP="006B0BFC">
                  <w:pPr>
                    <w:pStyle w:val="P68B1DB1-Normal59"/>
                    <w:shd w:val="clear" w:color="auto" w:fill="FFFFFF" w:themeFill="background1"/>
                    <w:spacing w:before="0" w:after="0"/>
                    <w:contextualSpacing/>
                    <w:jc w:val="left"/>
                    <w:rPr>
                      <w:i w:val="0"/>
                      <w:szCs w:val="24"/>
                      <w:lang w:val="ro-RO"/>
                    </w:rPr>
                  </w:pPr>
                  <w:r w:rsidRPr="00830D82">
                    <w:rPr>
                      <w:i w:val="0"/>
                      <w:szCs w:val="24"/>
                      <w:lang w:val="ro-RO"/>
                    </w:rPr>
                    <w:t>Medii de cultură/ Substrat de cultură</w:t>
                  </w:r>
                </w:p>
              </w:tc>
              <w:tc>
                <w:tcPr>
                  <w:tcW w:w="3136" w:type="dxa"/>
                  <w:vAlign w:val="center"/>
                </w:tcPr>
                <w:p w14:paraId="1D084ECC" w14:textId="77777777" w:rsidR="002761EE" w:rsidRPr="00830D82" w:rsidRDefault="002761EE" w:rsidP="006B0BFC">
                  <w:pPr>
                    <w:pStyle w:val="P68B1DB1-Normal12"/>
                    <w:shd w:val="clear" w:color="auto" w:fill="FFFFFF" w:themeFill="background1"/>
                    <w:spacing w:before="0" w:after="0"/>
                    <w:contextualSpacing/>
                    <w:jc w:val="center"/>
                    <w:rPr>
                      <w:i w:val="0"/>
                      <w:szCs w:val="24"/>
                      <w:lang w:val="ro-RO"/>
                    </w:rPr>
                  </w:pPr>
                  <w:r w:rsidRPr="00830D82">
                    <w:rPr>
                      <w:i w:val="0"/>
                      <w:szCs w:val="24"/>
                      <w:lang w:val="ro-RO"/>
                    </w:rPr>
                    <w:t>450 000-550 000</w:t>
                  </w:r>
                </w:p>
              </w:tc>
              <w:tc>
                <w:tcPr>
                  <w:tcW w:w="3203" w:type="dxa"/>
                  <w:vAlign w:val="center"/>
                </w:tcPr>
                <w:p w14:paraId="62C3A5D9" w14:textId="0F1524A9"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40-60</w:t>
                  </w:r>
                </w:p>
              </w:tc>
            </w:tr>
            <w:tr w:rsidR="002761EE" w:rsidRPr="00830D82" w14:paraId="0762F50F" w14:textId="77777777" w:rsidTr="00830D82">
              <w:trPr>
                <w:trHeight w:val="723"/>
              </w:trPr>
              <w:tc>
                <w:tcPr>
                  <w:tcW w:w="3432" w:type="dxa"/>
                  <w:vAlign w:val="center"/>
                </w:tcPr>
                <w:p w14:paraId="51E01EAB" w14:textId="20D00726" w:rsidR="002761EE" w:rsidRPr="00830D82" w:rsidRDefault="002761EE" w:rsidP="006B0BFC">
                  <w:pPr>
                    <w:shd w:val="clear" w:color="auto" w:fill="FFFFFF" w:themeFill="background1"/>
                    <w:ind w:firstLine="0"/>
                    <w:contextualSpacing/>
                    <w:jc w:val="left"/>
                    <w:rPr>
                      <w:color w:val="000000"/>
                      <w:sz w:val="24"/>
                      <w:szCs w:val="24"/>
                      <w:lang w:val="ro-RO"/>
                    </w:rPr>
                  </w:pPr>
                  <w:r w:rsidRPr="00830D82">
                    <w:rPr>
                      <w:color w:val="000000"/>
                      <w:sz w:val="24"/>
                      <w:szCs w:val="24"/>
                      <w:lang w:val="ro-RO"/>
                    </w:rPr>
                    <w:t>Biostimulatori ai plantelor și aditivi agronomici</w:t>
                  </w:r>
                </w:p>
              </w:tc>
              <w:tc>
                <w:tcPr>
                  <w:tcW w:w="3136" w:type="dxa"/>
                  <w:vAlign w:val="center"/>
                </w:tcPr>
                <w:p w14:paraId="1E056150" w14:textId="77777777" w:rsidR="002761EE" w:rsidRPr="00830D82" w:rsidRDefault="002761EE" w:rsidP="006B0BFC">
                  <w:pPr>
                    <w:pStyle w:val="P68B1DB1-Normal59"/>
                    <w:shd w:val="clear" w:color="auto" w:fill="FFFFFF" w:themeFill="background1"/>
                    <w:spacing w:before="0" w:after="0"/>
                    <w:contextualSpacing/>
                    <w:jc w:val="center"/>
                    <w:rPr>
                      <w:i w:val="0"/>
                      <w:szCs w:val="24"/>
                      <w:lang w:val="ro-RO"/>
                    </w:rPr>
                  </w:pPr>
                  <w:r w:rsidRPr="00830D82">
                    <w:rPr>
                      <w:i w:val="0"/>
                      <w:szCs w:val="24"/>
                      <w:lang w:val="ro-RO"/>
                    </w:rPr>
                    <w:t>625-665</w:t>
                  </w:r>
                </w:p>
              </w:tc>
              <w:tc>
                <w:tcPr>
                  <w:tcW w:w="3203" w:type="dxa"/>
                  <w:vAlign w:val="center"/>
                </w:tcPr>
                <w:p w14:paraId="4F72EFB6" w14:textId="6E06B80D" w:rsidR="002761EE" w:rsidRPr="00830D82" w:rsidRDefault="00D343EC" w:rsidP="006B0BFC">
                  <w:pPr>
                    <w:shd w:val="clear" w:color="auto" w:fill="FFFFFF" w:themeFill="background1"/>
                    <w:contextualSpacing/>
                    <w:rPr>
                      <w:color w:val="000000"/>
                      <w:sz w:val="24"/>
                      <w:szCs w:val="24"/>
                      <w:lang w:val="ro-RO"/>
                    </w:rPr>
                  </w:pPr>
                  <w:r w:rsidRPr="00830D82">
                    <w:rPr>
                      <w:color w:val="000000"/>
                      <w:sz w:val="24"/>
                      <w:szCs w:val="24"/>
                      <w:lang w:val="ro-RO"/>
                    </w:rPr>
                    <w:t xml:space="preserve">    </w:t>
                  </w:r>
                  <w:r w:rsidR="002761EE" w:rsidRPr="00830D82">
                    <w:rPr>
                      <w:color w:val="000000"/>
                      <w:sz w:val="24"/>
                      <w:szCs w:val="24"/>
                      <w:lang w:val="ro-RO"/>
                    </w:rPr>
                    <w:t>625-665</w:t>
                  </w:r>
                </w:p>
              </w:tc>
            </w:tr>
          </w:tbl>
          <w:p w14:paraId="3740FB33" w14:textId="77777777" w:rsidR="005279D2" w:rsidRPr="00A249FD" w:rsidRDefault="005279D2" w:rsidP="006B0BFC">
            <w:pPr>
              <w:shd w:val="clear" w:color="auto" w:fill="FFFFFF" w:themeFill="background1"/>
              <w:rPr>
                <w:rFonts w:ascii="Times New Roman" w:hAnsi="Times New Roman"/>
                <w:sz w:val="24"/>
                <w:szCs w:val="24"/>
                <w:lang w:val="ro-RO"/>
              </w:rPr>
            </w:pPr>
          </w:p>
          <w:p w14:paraId="568768B3" w14:textId="748F0E68" w:rsidR="00DC1883" w:rsidRPr="00A249FD" w:rsidRDefault="00DC1883"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Estimările costurilor prezentate pentru îngrășămintele anorganice se bazează pe ipotezele conform cărora statele membre au convenit să mențină toate tipurile deja incluse în anexa I la Regulamentul (CE) nr. 2003/2003. În consecință, ar trebui incluse numai tipurile care sunt </w:t>
            </w:r>
            <w:r w:rsidRPr="00A249FD">
              <w:rPr>
                <w:rFonts w:ascii="Times New Roman" w:hAnsi="Times New Roman"/>
                <w:sz w:val="24"/>
                <w:szCs w:val="24"/>
                <w:lang w:val="ro-RO"/>
              </w:rPr>
              <w:lastRenderedPageBreak/>
              <w:t>autorizate în prezent în temeiul legislației naționale, dar care nu sunt acoperite de un tip existent din anexa I (plus alte tipuri noi care nu sunt încă incluse în anexa I și nici autorizate în temeiul legislației naționale existente). Cu toate acestea, în practică, statele membre au dorit să vadă dovezi pentru unele dintre tipurile existente în Regulamentul (CE) nr. 2003/2003 care ar respecta efectiv limitele nou introduse pentru contaminanți, astfel încât reducerea costurilor să fie mică.</w:t>
            </w:r>
            <w:r w:rsidR="00FE5B56" w:rsidRPr="00A249FD">
              <w:rPr>
                <w:rFonts w:ascii="Times New Roman" w:hAnsi="Times New Roman"/>
                <w:sz w:val="24"/>
                <w:szCs w:val="24"/>
                <w:lang w:val="ro-RO"/>
              </w:rPr>
              <w:t xml:space="preserve"> Totodată, a fost organizat un sondaj în 6 state membre pentru a colecta informații cu privire la numărul de îngrășăminte </w:t>
            </w:r>
            <w:proofErr w:type="spellStart"/>
            <w:r w:rsidR="00FE5B56" w:rsidRPr="00A249FD">
              <w:rPr>
                <w:rFonts w:ascii="Times New Roman" w:hAnsi="Times New Roman"/>
                <w:sz w:val="24"/>
                <w:szCs w:val="24"/>
                <w:lang w:val="ro-RO"/>
              </w:rPr>
              <w:t>organo</w:t>
            </w:r>
            <w:proofErr w:type="spellEnd"/>
            <w:r w:rsidR="00FE5B56" w:rsidRPr="00A249FD">
              <w:rPr>
                <w:rFonts w:ascii="Times New Roman" w:hAnsi="Times New Roman"/>
                <w:sz w:val="24"/>
                <w:szCs w:val="24"/>
                <w:lang w:val="ro-RO"/>
              </w:rPr>
              <w:t>-minerale introduse pe piață și la numărul tipurilor corespunzătoare.</w:t>
            </w:r>
          </w:p>
          <w:p w14:paraId="018346C3" w14:textId="79ACAA42" w:rsidR="007353A2" w:rsidRPr="00A249FD" w:rsidRDefault="007353A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Costuri legate de supravegherea pieței produselor fertilizante </w:t>
            </w:r>
          </w:p>
          <w:p w14:paraId="243E68B4" w14:textId="306CC32A" w:rsidR="007353A2" w:rsidRPr="00A249FD" w:rsidRDefault="007353A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Autoritățile competente ale statelor membre consultate în cursul colectării datelor pentru cele studiile de caz nu au fost în măsură să diferențieze costurile de supraveghere a pieței îngrășămintelor CE de cele ale îngrășămintelor naționale (îngrășăminte naționale anorganice, var, îngrășăminte organice, amelioratori de sol, substraturi de cultură, biostimulatori ai plantelor). Autoritățile de supraveghere a pieței efectuează controale la sediile producătorilor, comercianților cu amănuntul, fermierilor și la frontierele externe ale UE pentru produsele importate din țări terțe.</w:t>
            </w:r>
          </w:p>
          <w:p w14:paraId="130DA203" w14:textId="7BE3D929" w:rsidR="00D74D54" w:rsidRPr="00A249FD" w:rsidRDefault="007353A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Frecvența controalelor depinde foarte mult de prioritățile autorităților. Unele state membre se asigură că fiecare producător național este controlat o dată la 1-5 ani, în funcție de evaluarea riscurilor și de controalele anterioare. Exemplu privind </w:t>
            </w:r>
            <w:r w:rsidRPr="00A249FD">
              <w:rPr>
                <w:rFonts w:ascii="Times New Roman" w:hAnsi="Times New Roman"/>
                <w:i/>
                <w:sz w:val="24"/>
                <w:szCs w:val="24"/>
                <w:lang w:val="ro-RO"/>
              </w:rPr>
              <w:t>controlul în dependență de indicatorii de risc</w:t>
            </w:r>
            <w:r w:rsidRPr="00A249FD">
              <w:rPr>
                <w:rFonts w:ascii="Times New Roman" w:hAnsi="Times New Roman"/>
                <w:sz w:val="24"/>
                <w:szCs w:val="24"/>
                <w:lang w:val="ro-RO"/>
              </w:rPr>
              <w:t xml:space="preserve"> este cel mai potrivi</w:t>
            </w:r>
            <w:r w:rsidR="006836DD" w:rsidRPr="00A249FD">
              <w:rPr>
                <w:rFonts w:ascii="Times New Roman" w:hAnsi="Times New Roman"/>
                <w:sz w:val="24"/>
                <w:szCs w:val="24"/>
                <w:lang w:val="ro-RO"/>
              </w:rPr>
              <w:t xml:space="preserve">t pentru Republica Moldova, întrucât unificarea prevederilor și excluderea necesitării autorizării a produselor fertilizante fără marcajul CE doar va </w:t>
            </w:r>
            <w:r w:rsidR="00673EE8" w:rsidRPr="00A249FD">
              <w:rPr>
                <w:rFonts w:ascii="Times New Roman" w:hAnsi="Times New Roman"/>
                <w:sz w:val="24"/>
                <w:szCs w:val="24"/>
                <w:lang w:val="ro-RO"/>
              </w:rPr>
              <w:t>consolida capacitățile autorității de supravegherea pieței pe de o parte la plasarea pe piață a produselor fertilizante și pe de altă parte utilizarea acestor produse.</w:t>
            </w:r>
          </w:p>
        </w:tc>
      </w:tr>
      <w:tr w:rsidR="003C442D" w:rsidRPr="00A249FD" w14:paraId="710E7B5B"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13ED41" w14:textId="77777777" w:rsidR="00633F2B"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4.2. Impactul financiar și argumentarea costurilor estimative</w:t>
            </w:r>
          </w:p>
          <w:p w14:paraId="5CD133CA" w14:textId="77777777" w:rsidR="00633F2B" w:rsidRPr="00A249FD" w:rsidRDefault="00633F2B" w:rsidP="006B0BFC">
            <w:pPr>
              <w:shd w:val="clear" w:color="auto" w:fill="FFFFFF" w:themeFill="background1"/>
              <w:ind w:firstLine="606"/>
              <w:rPr>
                <w:rFonts w:ascii="Times New Roman" w:hAnsi="Times New Roman"/>
                <w:sz w:val="24"/>
                <w:szCs w:val="24"/>
                <w:lang w:val="ro-RO"/>
              </w:rPr>
            </w:pPr>
            <w:r w:rsidRPr="00A249FD">
              <w:rPr>
                <w:rFonts w:ascii="Times New Roman" w:hAnsi="Times New Roman"/>
                <w:sz w:val="24"/>
                <w:szCs w:val="24"/>
                <w:lang w:val="ro-RO"/>
              </w:rPr>
              <w:t>Implementarea proiectului nu va presupune cheltuieli financiare suplimentare din bugetul de</w:t>
            </w:r>
          </w:p>
          <w:p w14:paraId="60BCC145" w14:textId="77777777" w:rsidR="00633F2B" w:rsidRPr="00A249FD" w:rsidRDefault="00633F2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stat. </w:t>
            </w:r>
          </w:p>
          <w:p w14:paraId="7240DAF8" w14:textId="79C70618" w:rsidR="00EC794B" w:rsidRPr="00A249FD" w:rsidRDefault="00EC794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În același timp, urmare a implementării noilor prevederi care exclud autorizare/omologarea produselor fertilizante se anticipează că resursele umane în autoritatea de autorizare vor fi redirecționate în fortificarea controlului oficial conform indicatorilor de risc prezentați. Pentru a stabili un program anual sau multianual de control la plasarea pe piață și utilizarea produselor, în primii trei ani va fi necesar concentrarea pe monitorizarea fluxului și trasabilitatea produselor. În această etapă se anticipează cea mai intensă perioadă de activitatea cu un necesar suplimentar de resurse umane la autoritatea competentă de supravegherea pieței. Ulterior, după aplicarea tuturor concluziilor pe marginea planului se anticipează că intensitatea dată va reveni la aceiași indicatori ce sunt până la </w:t>
            </w:r>
            <w:r w:rsidR="006E30C1" w:rsidRPr="00A249FD">
              <w:rPr>
                <w:rFonts w:ascii="Times New Roman" w:hAnsi="Times New Roman"/>
                <w:sz w:val="24"/>
                <w:szCs w:val="24"/>
                <w:lang w:val="ro-RO"/>
              </w:rPr>
              <w:t xml:space="preserve">implementarea proiectului dat. </w:t>
            </w:r>
            <w:r w:rsidRPr="00A249FD">
              <w:rPr>
                <w:rFonts w:ascii="Times New Roman" w:hAnsi="Times New Roman"/>
                <w:sz w:val="24"/>
                <w:szCs w:val="24"/>
                <w:lang w:val="ro-RO"/>
              </w:rPr>
              <w:t xml:space="preserve"> </w:t>
            </w:r>
          </w:p>
          <w:p w14:paraId="5CC9450F" w14:textId="1D64EB5A" w:rsidR="00144FB3" w:rsidRPr="00A249FD" w:rsidRDefault="00E40AB7"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Totuși, ridicarea nivelului de competență pentru </w:t>
            </w:r>
            <w:r w:rsidR="00DD0FAD" w:rsidRPr="00A249FD">
              <w:rPr>
                <w:rFonts w:ascii="Times New Roman" w:hAnsi="Times New Roman"/>
                <w:sz w:val="24"/>
                <w:szCs w:val="24"/>
                <w:lang w:val="ro-RO"/>
              </w:rPr>
              <w:t xml:space="preserve">inspectorii autorității competente este inevitabilă, în special pentru a realiza cu succes controlul oficial în sectorul fertilizanților. Întrucât grupele de produse vor fi 7, iar variația produselor expuse pe piață va crește din ce în ce mai mult, planul anual/multianual de control va deveni din ce mai complex prin aplicarea indicatorilor de risc, iar cunoștințe în acest sector vor deveni vitale </w:t>
            </w:r>
            <w:r w:rsidR="00144FB3" w:rsidRPr="00A249FD">
              <w:rPr>
                <w:rFonts w:ascii="Times New Roman" w:hAnsi="Times New Roman"/>
                <w:sz w:val="24"/>
                <w:szCs w:val="24"/>
                <w:lang w:val="ro-RO"/>
              </w:rPr>
              <w:t>la asigurarea funcțiilor ce reiese din prezenta Lege. În acest sens, devine extrem de necesar realizarea misiunilor de format TAIEX- Instrumentul de asistență tehnică și schimb de informații al Comisiei Europene. Este în mare măsură determinată de nevoi și poate oferi expertiza adecvată, personalizată, pentru a aborda în termen scurt, conform:</w:t>
            </w:r>
          </w:p>
          <w:p w14:paraId="1ED9D5AA" w14:textId="77777777" w:rsidR="00144FB3" w:rsidRPr="00A249FD" w:rsidRDefault="00144FB3"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Ateliere de lucru: experții din statele membre ale UE prezintă domenii specifice ale legislației UE în cadrul atelierelor unui număr mare de funcționari beneficiari.</w:t>
            </w:r>
          </w:p>
          <w:p w14:paraId="25E69042" w14:textId="77777777" w:rsidR="00144FB3" w:rsidRPr="00A249FD" w:rsidRDefault="00144FB3"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Misiuni de experți: experții din statele membre ale UE sunt trimiși administrației beneficiare pentru a oferi consiliere aprofundată cu privire la transpunerea, implementarea sau punerea în aplicare a unei anumite părți a legislației UE.</w:t>
            </w:r>
          </w:p>
          <w:p w14:paraId="00A9EDE3" w14:textId="193901FB" w:rsidR="00E40AB7" w:rsidRPr="00A249FD" w:rsidRDefault="00144FB3"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Vizite de studiu: un grup de cinci practicieni dintr-o administrație beneficiară participă la o vizită de studiu în administrația unui stat membru UE.</w:t>
            </w:r>
          </w:p>
          <w:p w14:paraId="4A2E6611" w14:textId="017D5657" w:rsidR="00633F2B" w:rsidRPr="00A249FD" w:rsidRDefault="00144FB3" w:rsidP="006B0BFC">
            <w:pPr>
              <w:shd w:val="clear" w:color="auto" w:fill="FFFFFF" w:themeFill="background1"/>
              <w:ind w:firstLine="606"/>
              <w:rPr>
                <w:rFonts w:ascii="Times New Roman" w:hAnsi="Times New Roman"/>
                <w:sz w:val="24"/>
                <w:szCs w:val="24"/>
                <w:lang w:val="ro-RO"/>
              </w:rPr>
            </w:pPr>
            <w:r w:rsidRPr="00A249FD">
              <w:rPr>
                <w:rFonts w:ascii="Times New Roman" w:hAnsi="Times New Roman"/>
                <w:sz w:val="24"/>
                <w:szCs w:val="24"/>
                <w:lang w:val="ro-RO"/>
              </w:rPr>
              <w:t xml:space="preserve">Aceste oportunități au fost vociferate de înalt reprezentanții Comisie Europene prin dialogul cu DG NEAR la runda </w:t>
            </w:r>
            <w:proofErr w:type="spellStart"/>
            <w:r w:rsidRPr="00A249FD">
              <w:rPr>
                <w:rFonts w:ascii="Times New Roman" w:hAnsi="Times New Roman"/>
                <w:sz w:val="24"/>
                <w:szCs w:val="24"/>
                <w:lang w:val="ro-RO"/>
              </w:rPr>
              <w:t>screeningului</w:t>
            </w:r>
            <w:proofErr w:type="spellEnd"/>
            <w:r w:rsidRPr="00A249FD">
              <w:rPr>
                <w:rFonts w:ascii="Times New Roman" w:hAnsi="Times New Roman"/>
                <w:sz w:val="24"/>
                <w:szCs w:val="24"/>
                <w:lang w:val="ro-RO"/>
              </w:rPr>
              <w:t xml:space="preserve"> explicativ.</w:t>
            </w:r>
            <w:r w:rsidR="00BB4E0E" w:rsidRPr="00A249FD">
              <w:rPr>
                <w:rFonts w:ascii="Times New Roman" w:hAnsi="Times New Roman"/>
                <w:sz w:val="24"/>
                <w:szCs w:val="24"/>
                <w:lang w:val="ro-RO"/>
              </w:rPr>
              <w:t xml:space="preserve"> Costuri în acest sens sunt acoperite de către Comisia Europeană.</w:t>
            </w:r>
          </w:p>
        </w:tc>
      </w:tr>
      <w:tr w:rsidR="003C442D" w:rsidRPr="00A249FD" w14:paraId="1FC5214D"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02DED36" w14:textId="77777777"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4.3. Impactul asupra sectorului privat</w:t>
            </w:r>
          </w:p>
          <w:p w14:paraId="00855466" w14:textId="6877C9F7" w:rsidR="00FE71AA" w:rsidRPr="00A249FD" w:rsidRDefault="00FE71AA"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Conform datelor Biroului Național de Statistică</w:t>
            </w:r>
            <w:r w:rsidR="003F7DB4" w:rsidRPr="00A249FD">
              <w:rPr>
                <w:rFonts w:ascii="Times New Roman" w:hAnsi="Times New Roman"/>
                <w:sz w:val="24"/>
                <w:szCs w:val="24"/>
                <w:lang w:val="ro-RO"/>
              </w:rPr>
              <w:t xml:space="preserve"> (tab. 2</w:t>
            </w:r>
            <w:r w:rsidRPr="00A249FD">
              <w:rPr>
                <w:rFonts w:ascii="Times New Roman" w:hAnsi="Times New Roman"/>
                <w:sz w:val="24"/>
                <w:szCs w:val="24"/>
                <w:lang w:val="ro-RO"/>
              </w:rPr>
              <w:t xml:space="preserve">), anual Republica Moldova importă îngrășăminte minerale de cca </w:t>
            </w:r>
            <w:r w:rsidR="004D1412" w:rsidRPr="00A249FD">
              <w:rPr>
                <w:rFonts w:ascii="Times New Roman" w:hAnsi="Times New Roman"/>
                <w:sz w:val="24"/>
                <w:szCs w:val="24"/>
                <w:lang w:val="ro-RO"/>
              </w:rPr>
              <w:t>120,8</w:t>
            </w:r>
            <w:r w:rsidRPr="00A249FD">
              <w:rPr>
                <w:rFonts w:ascii="Times New Roman" w:hAnsi="Times New Roman"/>
                <w:sz w:val="24"/>
                <w:szCs w:val="24"/>
                <w:lang w:val="ro-RO"/>
              </w:rPr>
              <w:t xml:space="preserve"> mil USD</w:t>
            </w:r>
            <w:r w:rsidR="00ED7E81" w:rsidRPr="00A249FD">
              <w:rPr>
                <w:rFonts w:ascii="Times New Roman" w:hAnsi="Times New Roman"/>
                <w:sz w:val="24"/>
                <w:szCs w:val="24"/>
                <w:lang w:val="ro-RO"/>
              </w:rPr>
              <w:t>, și nu există platforme producere ale acestora</w:t>
            </w:r>
            <w:r w:rsidR="00353EDF" w:rsidRPr="00A249FD">
              <w:rPr>
                <w:rFonts w:ascii="Times New Roman" w:hAnsi="Times New Roman"/>
                <w:sz w:val="24"/>
                <w:szCs w:val="24"/>
                <w:lang w:val="ro-RO"/>
              </w:rPr>
              <w:t xml:space="preserve"> autohton</w:t>
            </w:r>
            <w:r w:rsidR="00ED7E81" w:rsidRPr="00A249FD">
              <w:rPr>
                <w:rFonts w:ascii="Times New Roman" w:hAnsi="Times New Roman"/>
                <w:sz w:val="24"/>
                <w:szCs w:val="24"/>
                <w:lang w:val="ro-RO"/>
              </w:rPr>
              <w:t xml:space="preserve">. </w:t>
            </w:r>
            <w:r w:rsidR="004D1412" w:rsidRPr="00A249FD">
              <w:rPr>
                <w:rFonts w:ascii="Times New Roman" w:hAnsi="Times New Roman"/>
                <w:sz w:val="24"/>
                <w:szCs w:val="24"/>
                <w:lang w:val="ro-RO"/>
              </w:rPr>
              <w:t>Această dependență excesivă la importul fertilizanților pune presiune pe aprovizionarea continuă și stabilă la prețuri estimative a producției agroalimentare.</w:t>
            </w:r>
            <w:r w:rsidR="00C875EB" w:rsidRPr="00A249FD">
              <w:rPr>
                <w:rFonts w:ascii="Times New Roman" w:hAnsi="Times New Roman"/>
                <w:sz w:val="24"/>
                <w:szCs w:val="24"/>
                <w:lang w:val="ro-RO"/>
              </w:rPr>
              <w:t xml:space="preserve"> Pe de altă parte</w:t>
            </w:r>
            <w:r w:rsidR="00353EDF" w:rsidRPr="00A249FD">
              <w:rPr>
                <w:rFonts w:ascii="Times New Roman" w:hAnsi="Times New Roman"/>
                <w:sz w:val="24"/>
                <w:szCs w:val="24"/>
                <w:lang w:val="ro-RO"/>
              </w:rPr>
              <w:t>,</w:t>
            </w:r>
            <w:r w:rsidR="00C875EB" w:rsidRPr="00A249FD">
              <w:rPr>
                <w:rFonts w:ascii="Times New Roman" w:hAnsi="Times New Roman"/>
                <w:sz w:val="24"/>
                <w:szCs w:val="24"/>
                <w:lang w:val="ro-RO"/>
              </w:rPr>
              <w:t xml:space="preserve"> Republica Moldova continuă să fie țara cu cele mai mici rate de utilizare a fertilizanților la unitatea de suprafață de teren prelucrat în scopuri agricole</w:t>
            </w:r>
            <w:r w:rsidR="003F7DB4" w:rsidRPr="00A249FD">
              <w:rPr>
                <w:rFonts w:ascii="Times New Roman" w:hAnsi="Times New Roman"/>
                <w:sz w:val="24"/>
                <w:szCs w:val="24"/>
                <w:lang w:val="ro-RO"/>
              </w:rPr>
              <w:t xml:space="preserve"> (fig. 2</w:t>
            </w:r>
            <w:r w:rsidR="00C875EB" w:rsidRPr="00A249FD">
              <w:rPr>
                <w:rFonts w:ascii="Times New Roman" w:hAnsi="Times New Roman"/>
                <w:sz w:val="24"/>
                <w:szCs w:val="24"/>
                <w:lang w:val="ro-RO"/>
              </w:rPr>
              <w:t xml:space="preserve">). Acești factori fac ca producția </w:t>
            </w:r>
            <w:r w:rsidR="00353EDF" w:rsidRPr="00A249FD">
              <w:rPr>
                <w:rFonts w:ascii="Times New Roman" w:hAnsi="Times New Roman"/>
                <w:sz w:val="24"/>
                <w:szCs w:val="24"/>
                <w:lang w:val="ro-RO"/>
              </w:rPr>
              <w:t xml:space="preserve">agricolă să fie expusă riscului, iar fermierii să depindă de prețurile fertilizanților disponibile regional. </w:t>
            </w:r>
          </w:p>
          <w:p w14:paraId="51A42BA8" w14:textId="6F5382D2" w:rsidR="00FE71AA" w:rsidRPr="00830D82" w:rsidRDefault="003F7DB4" w:rsidP="006B0BFC">
            <w:pPr>
              <w:shd w:val="clear" w:color="auto" w:fill="FFFFFF" w:themeFill="background1"/>
              <w:rPr>
                <w:rFonts w:ascii="Times New Roman" w:hAnsi="Times New Roman"/>
                <w:i/>
                <w:sz w:val="24"/>
                <w:szCs w:val="24"/>
                <w:lang w:val="ro-RO"/>
              </w:rPr>
            </w:pPr>
            <w:r w:rsidRPr="00830D82">
              <w:rPr>
                <w:rFonts w:ascii="Times New Roman" w:hAnsi="Times New Roman"/>
                <w:i/>
                <w:sz w:val="24"/>
                <w:szCs w:val="24"/>
                <w:lang w:val="ro-RO"/>
              </w:rPr>
              <w:t>Tab. 2</w:t>
            </w:r>
            <w:r w:rsidR="00FE71AA" w:rsidRPr="00830D82">
              <w:rPr>
                <w:rFonts w:ascii="Times New Roman" w:hAnsi="Times New Roman"/>
                <w:i/>
                <w:sz w:val="24"/>
                <w:szCs w:val="24"/>
                <w:lang w:val="ro-RO"/>
              </w:rPr>
              <w:t xml:space="preserve"> Importurile de îngrășăminte în Republica Moldova în anii 2021-2023</w:t>
            </w:r>
          </w:p>
          <w:tbl>
            <w:tblPr>
              <w:tblW w:w="9828" w:type="dxa"/>
              <w:tblLook w:val="04A0" w:firstRow="1" w:lastRow="0" w:firstColumn="1" w:lastColumn="0" w:noHBand="0" w:noVBand="1"/>
            </w:tblPr>
            <w:tblGrid>
              <w:gridCol w:w="599"/>
              <w:gridCol w:w="896"/>
              <w:gridCol w:w="788"/>
              <w:gridCol w:w="1263"/>
              <w:gridCol w:w="978"/>
              <w:gridCol w:w="1209"/>
              <w:gridCol w:w="931"/>
              <w:gridCol w:w="1521"/>
              <w:gridCol w:w="1219"/>
            </w:tblGrid>
            <w:tr w:rsidR="00C67CC4" w:rsidRPr="00830D82" w14:paraId="39863F5E" w14:textId="77777777" w:rsidTr="00996565">
              <w:trPr>
                <w:trHeight w:val="316"/>
              </w:trPr>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BB096"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Cod NCM</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23B32" w14:textId="77777777" w:rsidR="00FE71AA" w:rsidRPr="00830D82" w:rsidRDefault="00FE71AA" w:rsidP="006B0BFC">
                  <w:pPr>
                    <w:shd w:val="clear" w:color="auto" w:fill="FFFFFF" w:themeFill="background1"/>
                    <w:ind w:firstLine="0"/>
                    <w:contextualSpacing/>
                    <w:rPr>
                      <w:rFonts w:eastAsia="Calibri"/>
                      <w:bCs/>
                      <w:sz w:val="14"/>
                      <w:szCs w:val="18"/>
                      <w:lang w:val="ro-RO"/>
                    </w:rPr>
                  </w:pPr>
                  <w:r w:rsidRPr="00830D82">
                    <w:rPr>
                      <w:rFonts w:eastAsia="Calibri"/>
                      <w:bCs/>
                      <w:sz w:val="14"/>
                      <w:szCs w:val="18"/>
                      <w:lang w:val="ro-RO"/>
                    </w:rPr>
                    <w:t>Denumirea mărfii</w:t>
                  </w:r>
                </w:p>
              </w:tc>
              <w:tc>
                <w:tcPr>
                  <w:tcW w:w="798" w:type="dxa"/>
                  <w:vMerge w:val="restart"/>
                  <w:tcBorders>
                    <w:top w:val="single" w:sz="4" w:space="0" w:color="auto"/>
                    <w:left w:val="nil"/>
                    <w:right w:val="single" w:sz="4" w:space="0" w:color="auto"/>
                  </w:tcBorders>
                  <w:shd w:val="clear" w:color="auto" w:fill="auto"/>
                  <w:hideMark/>
                </w:tcPr>
                <w:p w14:paraId="19459255"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 xml:space="preserve">Unitatea </w:t>
                  </w:r>
                  <w:proofErr w:type="spellStart"/>
                  <w:r w:rsidRPr="00830D82">
                    <w:rPr>
                      <w:rFonts w:eastAsia="Calibri"/>
                      <w:bCs/>
                      <w:sz w:val="16"/>
                      <w:szCs w:val="18"/>
                      <w:lang w:val="ro-RO"/>
                    </w:rPr>
                    <w:t>demăsură</w:t>
                  </w:r>
                  <w:proofErr w:type="spellEnd"/>
                </w:p>
              </w:tc>
              <w:tc>
                <w:tcPr>
                  <w:tcW w:w="23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0B7DF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2021</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EBCC06"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2022</w:t>
                  </w:r>
                </w:p>
              </w:tc>
              <w:tc>
                <w:tcPr>
                  <w:tcW w:w="29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EE439"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2023</w:t>
                  </w:r>
                </w:p>
              </w:tc>
            </w:tr>
            <w:tr w:rsidR="00C67CC4" w:rsidRPr="00830D82" w14:paraId="72BE03D1" w14:textId="77777777" w:rsidTr="00996565">
              <w:trPr>
                <w:trHeight w:val="316"/>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6E39B8C3" w14:textId="77777777" w:rsidR="00FE71AA" w:rsidRPr="00830D82" w:rsidRDefault="00FE71AA" w:rsidP="006B0BFC">
                  <w:pPr>
                    <w:shd w:val="clear" w:color="auto" w:fill="FFFFFF" w:themeFill="background1"/>
                    <w:ind w:firstLine="0"/>
                    <w:contextualSpacing/>
                    <w:rPr>
                      <w:rFonts w:eastAsia="Calibri"/>
                      <w:bCs/>
                      <w:sz w:val="18"/>
                      <w:szCs w:val="18"/>
                      <w:lang w:val="ro-RO"/>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771F2D9" w14:textId="77777777" w:rsidR="00FE71AA" w:rsidRPr="00830D82" w:rsidRDefault="00FE71AA" w:rsidP="006B0BFC">
                  <w:pPr>
                    <w:shd w:val="clear" w:color="auto" w:fill="FFFFFF" w:themeFill="background1"/>
                    <w:ind w:firstLine="0"/>
                    <w:contextualSpacing/>
                    <w:rPr>
                      <w:rFonts w:eastAsia="Calibri"/>
                      <w:bCs/>
                      <w:sz w:val="14"/>
                      <w:szCs w:val="18"/>
                      <w:lang w:val="ro-RO"/>
                    </w:rPr>
                  </w:pPr>
                </w:p>
              </w:tc>
              <w:tc>
                <w:tcPr>
                  <w:tcW w:w="798" w:type="dxa"/>
                  <w:vMerge/>
                  <w:tcBorders>
                    <w:left w:val="nil"/>
                    <w:right w:val="single" w:sz="4" w:space="0" w:color="auto"/>
                  </w:tcBorders>
                  <w:shd w:val="clear" w:color="auto" w:fill="auto"/>
                  <w:hideMark/>
                </w:tcPr>
                <w:p w14:paraId="297E38CA" w14:textId="77777777" w:rsidR="00FE71AA" w:rsidRPr="00830D82" w:rsidRDefault="00FE71AA" w:rsidP="006B0BFC">
                  <w:pPr>
                    <w:shd w:val="clear" w:color="auto" w:fill="FFFFFF" w:themeFill="background1"/>
                    <w:ind w:firstLine="0"/>
                    <w:contextualSpacing/>
                    <w:rPr>
                      <w:rFonts w:eastAsia="Calibri"/>
                      <w:bCs/>
                      <w:sz w:val="16"/>
                      <w:szCs w:val="18"/>
                      <w:lang w:val="ro-RO"/>
                    </w:rPr>
                  </w:pP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6A555B92"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Cantitatea</w:t>
                  </w:r>
                </w:p>
              </w:tc>
              <w:tc>
                <w:tcPr>
                  <w:tcW w:w="1035" w:type="dxa"/>
                  <w:tcBorders>
                    <w:top w:val="nil"/>
                    <w:left w:val="nil"/>
                    <w:bottom w:val="single" w:sz="4" w:space="0" w:color="auto"/>
                    <w:right w:val="single" w:sz="4" w:space="0" w:color="auto"/>
                  </w:tcBorders>
                  <w:shd w:val="clear" w:color="auto" w:fill="auto"/>
                  <w:vAlign w:val="center"/>
                  <w:hideMark/>
                </w:tcPr>
                <w:p w14:paraId="67A6E719"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Valoarea,</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08FC9BFA"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Cantitatea</w:t>
                  </w:r>
                </w:p>
              </w:tc>
              <w:tc>
                <w:tcPr>
                  <w:tcW w:w="984" w:type="dxa"/>
                  <w:tcBorders>
                    <w:top w:val="nil"/>
                    <w:left w:val="nil"/>
                    <w:bottom w:val="single" w:sz="4" w:space="0" w:color="auto"/>
                    <w:right w:val="single" w:sz="4" w:space="0" w:color="auto"/>
                  </w:tcBorders>
                  <w:shd w:val="clear" w:color="auto" w:fill="auto"/>
                  <w:vAlign w:val="center"/>
                  <w:hideMark/>
                </w:tcPr>
                <w:p w14:paraId="5DF87CE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Valoarea,</w:t>
                  </w:r>
                </w:p>
              </w:tc>
              <w:tc>
                <w:tcPr>
                  <w:tcW w:w="1618" w:type="dxa"/>
                  <w:vMerge w:val="restart"/>
                  <w:tcBorders>
                    <w:top w:val="nil"/>
                    <w:left w:val="single" w:sz="4" w:space="0" w:color="auto"/>
                    <w:bottom w:val="single" w:sz="4" w:space="0" w:color="auto"/>
                    <w:right w:val="single" w:sz="4" w:space="0" w:color="auto"/>
                  </w:tcBorders>
                  <w:shd w:val="clear" w:color="auto" w:fill="auto"/>
                  <w:vAlign w:val="center"/>
                  <w:hideMark/>
                </w:tcPr>
                <w:p w14:paraId="20DC2413"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Cantitatea</w:t>
                  </w:r>
                </w:p>
              </w:tc>
              <w:tc>
                <w:tcPr>
                  <w:tcW w:w="1293" w:type="dxa"/>
                  <w:tcBorders>
                    <w:top w:val="nil"/>
                    <w:left w:val="nil"/>
                    <w:bottom w:val="single" w:sz="4" w:space="0" w:color="auto"/>
                    <w:right w:val="single" w:sz="4" w:space="0" w:color="auto"/>
                  </w:tcBorders>
                  <w:shd w:val="clear" w:color="auto" w:fill="auto"/>
                  <w:vAlign w:val="center"/>
                  <w:hideMark/>
                </w:tcPr>
                <w:p w14:paraId="3860C04C"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Valoarea,</w:t>
                  </w:r>
                </w:p>
              </w:tc>
            </w:tr>
            <w:tr w:rsidR="00C67CC4" w:rsidRPr="00830D82" w14:paraId="4B2BF223" w14:textId="77777777" w:rsidTr="00996565">
              <w:trPr>
                <w:trHeight w:val="316"/>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EA54B74" w14:textId="77777777" w:rsidR="00FE71AA" w:rsidRPr="00830D82" w:rsidRDefault="00FE71AA" w:rsidP="006B0BFC">
                  <w:pPr>
                    <w:shd w:val="clear" w:color="auto" w:fill="FFFFFF" w:themeFill="background1"/>
                    <w:ind w:firstLine="0"/>
                    <w:contextualSpacing/>
                    <w:rPr>
                      <w:rFonts w:eastAsia="Calibri"/>
                      <w:bCs/>
                      <w:sz w:val="18"/>
                      <w:szCs w:val="18"/>
                      <w:lang w:val="ro-RO"/>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64C9BF3" w14:textId="77777777" w:rsidR="00FE71AA" w:rsidRPr="00830D82" w:rsidRDefault="00FE71AA" w:rsidP="006B0BFC">
                  <w:pPr>
                    <w:shd w:val="clear" w:color="auto" w:fill="FFFFFF" w:themeFill="background1"/>
                    <w:ind w:firstLine="0"/>
                    <w:contextualSpacing/>
                    <w:rPr>
                      <w:rFonts w:eastAsia="Calibri"/>
                      <w:bCs/>
                      <w:sz w:val="14"/>
                      <w:szCs w:val="18"/>
                      <w:lang w:val="ro-RO"/>
                    </w:rPr>
                  </w:pPr>
                </w:p>
              </w:tc>
              <w:tc>
                <w:tcPr>
                  <w:tcW w:w="798" w:type="dxa"/>
                  <w:vMerge/>
                  <w:tcBorders>
                    <w:left w:val="nil"/>
                    <w:bottom w:val="single" w:sz="4" w:space="0" w:color="auto"/>
                    <w:right w:val="single" w:sz="4" w:space="0" w:color="auto"/>
                  </w:tcBorders>
                  <w:shd w:val="clear" w:color="auto" w:fill="auto"/>
                  <w:hideMark/>
                </w:tcPr>
                <w:p w14:paraId="64078806" w14:textId="77777777" w:rsidR="00FE71AA" w:rsidRPr="00830D82" w:rsidRDefault="00FE71AA" w:rsidP="006B0BFC">
                  <w:pPr>
                    <w:shd w:val="clear" w:color="auto" w:fill="FFFFFF" w:themeFill="background1"/>
                    <w:ind w:firstLine="0"/>
                    <w:contextualSpacing/>
                    <w:rPr>
                      <w:rFonts w:eastAsia="Calibri"/>
                      <w:bCs/>
                      <w:sz w:val="16"/>
                      <w:szCs w:val="18"/>
                      <w:lang w:val="ro-RO"/>
                    </w:rPr>
                  </w:pPr>
                </w:p>
              </w:tc>
              <w:tc>
                <w:tcPr>
                  <w:tcW w:w="1283" w:type="dxa"/>
                  <w:vMerge/>
                  <w:tcBorders>
                    <w:top w:val="nil"/>
                    <w:left w:val="single" w:sz="4" w:space="0" w:color="auto"/>
                    <w:bottom w:val="single" w:sz="4" w:space="0" w:color="auto"/>
                    <w:right w:val="single" w:sz="4" w:space="0" w:color="auto"/>
                  </w:tcBorders>
                  <w:vAlign w:val="center"/>
                  <w:hideMark/>
                </w:tcPr>
                <w:p w14:paraId="0FFA4AB7" w14:textId="77777777" w:rsidR="00FE71AA" w:rsidRPr="00830D82" w:rsidRDefault="00FE71AA" w:rsidP="006B0BFC">
                  <w:pPr>
                    <w:shd w:val="clear" w:color="auto" w:fill="FFFFFF" w:themeFill="background1"/>
                    <w:ind w:firstLine="0"/>
                    <w:contextualSpacing/>
                    <w:rPr>
                      <w:rFonts w:eastAsia="Calibri"/>
                      <w:bCs/>
                      <w:sz w:val="18"/>
                      <w:szCs w:val="18"/>
                      <w:lang w:val="ro-RO"/>
                    </w:rPr>
                  </w:pPr>
                </w:p>
              </w:tc>
              <w:tc>
                <w:tcPr>
                  <w:tcW w:w="1035" w:type="dxa"/>
                  <w:tcBorders>
                    <w:top w:val="nil"/>
                    <w:left w:val="nil"/>
                    <w:bottom w:val="single" w:sz="4" w:space="0" w:color="auto"/>
                    <w:right w:val="single" w:sz="4" w:space="0" w:color="auto"/>
                  </w:tcBorders>
                  <w:shd w:val="clear" w:color="auto" w:fill="auto"/>
                  <w:vAlign w:val="center"/>
                  <w:hideMark/>
                </w:tcPr>
                <w:p w14:paraId="1010FD9D"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mii dolari SUA</w:t>
                  </w:r>
                </w:p>
              </w:tc>
              <w:tc>
                <w:tcPr>
                  <w:tcW w:w="1283" w:type="dxa"/>
                  <w:vMerge/>
                  <w:tcBorders>
                    <w:top w:val="nil"/>
                    <w:left w:val="single" w:sz="4" w:space="0" w:color="auto"/>
                    <w:bottom w:val="single" w:sz="4" w:space="0" w:color="auto"/>
                    <w:right w:val="single" w:sz="4" w:space="0" w:color="auto"/>
                  </w:tcBorders>
                  <w:vAlign w:val="center"/>
                  <w:hideMark/>
                </w:tcPr>
                <w:p w14:paraId="76DE2D2C" w14:textId="77777777" w:rsidR="00FE71AA" w:rsidRPr="00830D82" w:rsidRDefault="00FE71AA" w:rsidP="006B0BFC">
                  <w:pPr>
                    <w:shd w:val="clear" w:color="auto" w:fill="FFFFFF" w:themeFill="background1"/>
                    <w:ind w:firstLine="0"/>
                    <w:contextualSpacing/>
                    <w:rPr>
                      <w:rFonts w:eastAsia="Calibri"/>
                      <w:bCs/>
                      <w:sz w:val="18"/>
                      <w:szCs w:val="18"/>
                      <w:lang w:val="ro-RO"/>
                    </w:rPr>
                  </w:pPr>
                </w:p>
              </w:tc>
              <w:tc>
                <w:tcPr>
                  <w:tcW w:w="984" w:type="dxa"/>
                  <w:tcBorders>
                    <w:top w:val="nil"/>
                    <w:left w:val="nil"/>
                    <w:bottom w:val="single" w:sz="4" w:space="0" w:color="auto"/>
                    <w:right w:val="single" w:sz="4" w:space="0" w:color="auto"/>
                  </w:tcBorders>
                  <w:shd w:val="clear" w:color="auto" w:fill="auto"/>
                  <w:vAlign w:val="center"/>
                  <w:hideMark/>
                </w:tcPr>
                <w:p w14:paraId="4477F99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mii dolari SUA</w:t>
                  </w:r>
                </w:p>
              </w:tc>
              <w:tc>
                <w:tcPr>
                  <w:tcW w:w="1618" w:type="dxa"/>
                  <w:vMerge/>
                  <w:tcBorders>
                    <w:top w:val="nil"/>
                    <w:left w:val="single" w:sz="4" w:space="0" w:color="auto"/>
                    <w:bottom w:val="single" w:sz="4" w:space="0" w:color="auto"/>
                    <w:right w:val="single" w:sz="4" w:space="0" w:color="auto"/>
                  </w:tcBorders>
                  <w:vAlign w:val="center"/>
                  <w:hideMark/>
                </w:tcPr>
                <w:p w14:paraId="49AE81B3" w14:textId="77777777" w:rsidR="00FE71AA" w:rsidRPr="00830D82" w:rsidRDefault="00FE71AA" w:rsidP="006B0BFC">
                  <w:pPr>
                    <w:shd w:val="clear" w:color="auto" w:fill="FFFFFF" w:themeFill="background1"/>
                    <w:ind w:firstLine="0"/>
                    <w:contextualSpacing/>
                    <w:rPr>
                      <w:rFonts w:eastAsia="Calibri"/>
                      <w:bCs/>
                      <w:sz w:val="18"/>
                      <w:szCs w:val="18"/>
                      <w:lang w:val="ro-RO"/>
                    </w:rPr>
                  </w:pPr>
                </w:p>
              </w:tc>
              <w:tc>
                <w:tcPr>
                  <w:tcW w:w="1293" w:type="dxa"/>
                  <w:tcBorders>
                    <w:top w:val="nil"/>
                    <w:left w:val="nil"/>
                    <w:bottom w:val="single" w:sz="4" w:space="0" w:color="auto"/>
                    <w:right w:val="single" w:sz="4" w:space="0" w:color="auto"/>
                  </w:tcBorders>
                  <w:shd w:val="clear" w:color="auto" w:fill="auto"/>
                  <w:vAlign w:val="center"/>
                  <w:hideMark/>
                </w:tcPr>
                <w:p w14:paraId="46B28F30"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mii dolari SUA</w:t>
                  </w:r>
                </w:p>
              </w:tc>
            </w:tr>
            <w:tr w:rsidR="00C67CC4" w:rsidRPr="00830D82" w14:paraId="3C91DAB3" w14:textId="77777777" w:rsidTr="00996565">
              <w:trPr>
                <w:trHeight w:val="316"/>
              </w:trPr>
              <w:tc>
                <w:tcPr>
                  <w:tcW w:w="625" w:type="dxa"/>
                  <w:tcBorders>
                    <w:top w:val="nil"/>
                    <w:left w:val="single" w:sz="4" w:space="0" w:color="auto"/>
                    <w:bottom w:val="single" w:sz="4" w:space="0" w:color="auto"/>
                    <w:right w:val="single" w:sz="4" w:space="0" w:color="auto"/>
                  </w:tcBorders>
                  <w:shd w:val="clear" w:color="auto" w:fill="auto"/>
                  <w:hideMark/>
                </w:tcPr>
                <w:p w14:paraId="6FF5106A"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3101</w:t>
                  </w:r>
                </w:p>
              </w:tc>
              <w:tc>
                <w:tcPr>
                  <w:tcW w:w="909" w:type="dxa"/>
                  <w:tcBorders>
                    <w:top w:val="nil"/>
                    <w:left w:val="nil"/>
                    <w:bottom w:val="single" w:sz="4" w:space="0" w:color="auto"/>
                    <w:right w:val="single" w:sz="4" w:space="0" w:color="auto"/>
                  </w:tcBorders>
                  <w:shd w:val="clear" w:color="auto" w:fill="auto"/>
                  <w:hideMark/>
                </w:tcPr>
                <w:p w14:paraId="27839B56" w14:textId="77777777" w:rsidR="00FE71AA" w:rsidRPr="00830D82" w:rsidRDefault="00FE71AA" w:rsidP="006B0BFC">
                  <w:pPr>
                    <w:shd w:val="clear" w:color="auto" w:fill="FFFFFF" w:themeFill="background1"/>
                    <w:ind w:firstLine="0"/>
                    <w:contextualSpacing/>
                    <w:rPr>
                      <w:rFonts w:eastAsia="Calibri"/>
                      <w:bCs/>
                      <w:sz w:val="14"/>
                      <w:szCs w:val="18"/>
                      <w:lang w:val="ro-RO"/>
                    </w:rPr>
                  </w:pPr>
                  <w:proofErr w:type="spellStart"/>
                  <w:r w:rsidRPr="00830D82">
                    <w:rPr>
                      <w:rFonts w:eastAsia="Calibri"/>
                      <w:bCs/>
                      <w:sz w:val="14"/>
                      <w:szCs w:val="18"/>
                      <w:lang w:val="ro-RO"/>
                    </w:rPr>
                    <w:t>Ingrasaminte</w:t>
                  </w:r>
                  <w:proofErr w:type="spellEnd"/>
                  <w:r w:rsidRPr="00830D82">
                    <w:rPr>
                      <w:rFonts w:eastAsia="Calibri"/>
                      <w:bCs/>
                      <w:sz w:val="14"/>
                      <w:szCs w:val="18"/>
                      <w:lang w:val="ro-RO"/>
                    </w:rPr>
                    <w:t xml:space="preserve"> de origine animala sau vegetala</w:t>
                  </w:r>
                </w:p>
              </w:tc>
              <w:tc>
                <w:tcPr>
                  <w:tcW w:w="798" w:type="dxa"/>
                  <w:tcBorders>
                    <w:top w:val="nil"/>
                    <w:left w:val="nil"/>
                    <w:bottom w:val="single" w:sz="4" w:space="0" w:color="auto"/>
                    <w:right w:val="single" w:sz="4" w:space="0" w:color="auto"/>
                  </w:tcBorders>
                  <w:shd w:val="clear" w:color="auto" w:fill="auto"/>
                  <w:hideMark/>
                </w:tcPr>
                <w:p w14:paraId="7EEAEA36"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kg</w:t>
                  </w:r>
                </w:p>
              </w:tc>
              <w:tc>
                <w:tcPr>
                  <w:tcW w:w="1283" w:type="dxa"/>
                  <w:tcBorders>
                    <w:top w:val="nil"/>
                    <w:left w:val="nil"/>
                    <w:bottom w:val="single" w:sz="4" w:space="0" w:color="auto"/>
                    <w:right w:val="single" w:sz="4" w:space="0" w:color="auto"/>
                  </w:tcBorders>
                  <w:shd w:val="clear" w:color="auto" w:fill="auto"/>
                  <w:hideMark/>
                </w:tcPr>
                <w:p w14:paraId="15280DC2"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473.915,79</w:t>
                  </w:r>
                </w:p>
              </w:tc>
              <w:tc>
                <w:tcPr>
                  <w:tcW w:w="1035" w:type="dxa"/>
                  <w:tcBorders>
                    <w:top w:val="nil"/>
                    <w:left w:val="nil"/>
                    <w:bottom w:val="single" w:sz="4" w:space="0" w:color="auto"/>
                    <w:right w:val="single" w:sz="4" w:space="0" w:color="auto"/>
                  </w:tcBorders>
                  <w:shd w:val="clear" w:color="auto" w:fill="auto"/>
                  <w:hideMark/>
                </w:tcPr>
                <w:p w14:paraId="3CA493EF"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1.148,09</w:t>
                  </w:r>
                </w:p>
              </w:tc>
              <w:tc>
                <w:tcPr>
                  <w:tcW w:w="1283" w:type="dxa"/>
                  <w:tcBorders>
                    <w:top w:val="nil"/>
                    <w:left w:val="nil"/>
                    <w:bottom w:val="single" w:sz="4" w:space="0" w:color="auto"/>
                    <w:right w:val="single" w:sz="4" w:space="0" w:color="auto"/>
                  </w:tcBorders>
                  <w:shd w:val="clear" w:color="auto" w:fill="auto"/>
                  <w:hideMark/>
                </w:tcPr>
                <w:p w14:paraId="10CC041B"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448.939,46</w:t>
                  </w:r>
                </w:p>
              </w:tc>
              <w:tc>
                <w:tcPr>
                  <w:tcW w:w="984" w:type="dxa"/>
                  <w:tcBorders>
                    <w:top w:val="nil"/>
                    <w:left w:val="nil"/>
                    <w:bottom w:val="single" w:sz="4" w:space="0" w:color="auto"/>
                    <w:right w:val="single" w:sz="4" w:space="0" w:color="auto"/>
                  </w:tcBorders>
                  <w:shd w:val="clear" w:color="auto" w:fill="auto"/>
                  <w:hideMark/>
                </w:tcPr>
                <w:p w14:paraId="7DC62FD6"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1.169,37</w:t>
                  </w:r>
                </w:p>
              </w:tc>
              <w:tc>
                <w:tcPr>
                  <w:tcW w:w="1618" w:type="dxa"/>
                  <w:tcBorders>
                    <w:top w:val="nil"/>
                    <w:left w:val="nil"/>
                    <w:bottom w:val="single" w:sz="4" w:space="0" w:color="auto"/>
                    <w:right w:val="single" w:sz="4" w:space="0" w:color="auto"/>
                  </w:tcBorders>
                  <w:shd w:val="clear" w:color="auto" w:fill="auto"/>
                  <w:hideMark/>
                </w:tcPr>
                <w:p w14:paraId="37260F2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716.736,92</w:t>
                  </w:r>
                </w:p>
              </w:tc>
              <w:tc>
                <w:tcPr>
                  <w:tcW w:w="1293" w:type="dxa"/>
                  <w:tcBorders>
                    <w:top w:val="nil"/>
                    <w:left w:val="nil"/>
                    <w:bottom w:val="single" w:sz="4" w:space="0" w:color="auto"/>
                    <w:right w:val="single" w:sz="4" w:space="0" w:color="auto"/>
                  </w:tcBorders>
                  <w:shd w:val="clear" w:color="auto" w:fill="auto"/>
                  <w:hideMark/>
                </w:tcPr>
                <w:p w14:paraId="4A1FAF38"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888,50</w:t>
                  </w:r>
                </w:p>
              </w:tc>
            </w:tr>
            <w:tr w:rsidR="00C67CC4" w:rsidRPr="00830D82" w14:paraId="5D62DBE4" w14:textId="77777777" w:rsidTr="00996565">
              <w:trPr>
                <w:trHeight w:val="582"/>
              </w:trPr>
              <w:tc>
                <w:tcPr>
                  <w:tcW w:w="625" w:type="dxa"/>
                  <w:tcBorders>
                    <w:top w:val="nil"/>
                    <w:left w:val="single" w:sz="4" w:space="0" w:color="auto"/>
                    <w:bottom w:val="single" w:sz="4" w:space="0" w:color="auto"/>
                    <w:right w:val="single" w:sz="4" w:space="0" w:color="auto"/>
                  </w:tcBorders>
                  <w:shd w:val="clear" w:color="auto" w:fill="auto"/>
                  <w:hideMark/>
                </w:tcPr>
                <w:p w14:paraId="427FD952"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3102</w:t>
                  </w:r>
                </w:p>
              </w:tc>
              <w:tc>
                <w:tcPr>
                  <w:tcW w:w="909" w:type="dxa"/>
                  <w:tcBorders>
                    <w:top w:val="nil"/>
                    <w:left w:val="nil"/>
                    <w:bottom w:val="single" w:sz="4" w:space="0" w:color="auto"/>
                    <w:right w:val="single" w:sz="4" w:space="0" w:color="auto"/>
                  </w:tcBorders>
                  <w:shd w:val="clear" w:color="auto" w:fill="auto"/>
                  <w:hideMark/>
                </w:tcPr>
                <w:p w14:paraId="3DC105E4" w14:textId="77777777" w:rsidR="00FE71AA" w:rsidRPr="00830D82" w:rsidRDefault="00FE71AA" w:rsidP="006B0BFC">
                  <w:pPr>
                    <w:shd w:val="clear" w:color="auto" w:fill="FFFFFF" w:themeFill="background1"/>
                    <w:ind w:firstLine="0"/>
                    <w:contextualSpacing/>
                    <w:rPr>
                      <w:rFonts w:eastAsia="Calibri"/>
                      <w:bCs/>
                      <w:sz w:val="14"/>
                      <w:szCs w:val="18"/>
                      <w:lang w:val="ro-RO"/>
                    </w:rPr>
                  </w:pPr>
                  <w:proofErr w:type="spellStart"/>
                  <w:r w:rsidRPr="00830D82">
                    <w:rPr>
                      <w:rFonts w:eastAsia="Calibri"/>
                      <w:bCs/>
                      <w:sz w:val="14"/>
                      <w:szCs w:val="18"/>
                      <w:lang w:val="ro-RO"/>
                    </w:rPr>
                    <w:t>Ingrasaminte</w:t>
                  </w:r>
                  <w:proofErr w:type="spellEnd"/>
                  <w:r w:rsidRPr="00830D82">
                    <w:rPr>
                      <w:rFonts w:eastAsia="Calibri"/>
                      <w:bCs/>
                      <w:sz w:val="14"/>
                      <w:szCs w:val="18"/>
                      <w:lang w:val="ro-RO"/>
                    </w:rPr>
                    <w:t xml:space="preserve"> minerale sau chimice azotate:</w:t>
                  </w:r>
                </w:p>
              </w:tc>
              <w:tc>
                <w:tcPr>
                  <w:tcW w:w="798" w:type="dxa"/>
                  <w:tcBorders>
                    <w:top w:val="nil"/>
                    <w:left w:val="nil"/>
                    <w:bottom w:val="single" w:sz="4" w:space="0" w:color="auto"/>
                    <w:right w:val="single" w:sz="4" w:space="0" w:color="auto"/>
                  </w:tcBorders>
                  <w:shd w:val="clear" w:color="auto" w:fill="auto"/>
                  <w:hideMark/>
                </w:tcPr>
                <w:p w14:paraId="310BD345"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kg azot</w:t>
                  </w:r>
                </w:p>
              </w:tc>
              <w:tc>
                <w:tcPr>
                  <w:tcW w:w="1283" w:type="dxa"/>
                  <w:tcBorders>
                    <w:top w:val="nil"/>
                    <w:left w:val="nil"/>
                    <w:bottom w:val="single" w:sz="4" w:space="0" w:color="auto"/>
                    <w:right w:val="single" w:sz="4" w:space="0" w:color="auto"/>
                  </w:tcBorders>
                  <w:shd w:val="clear" w:color="auto" w:fill="auto"/>
                  <w:hideMark/>
                </w:tcPr>
                <w:p w14:paraId="2DB4D6EF"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39.628.106,13</w:t>
                  </w:r>
                </w:p>
              </w:tc>
              <w:tc>
                <w:tcPr>
                  <w:tcW w:w="1035" w:type="dxa"/>
                  <w:tcBorders>
                    <w:top w:val="nil"/>
                    <w:left w:val="nil"/>
                    <w:bottom w:val="single" w:sz="4" w:space="0" w:color="auto"/>
                    <w:right w:val="single" w:sz="4" w:space="0" w:color="auto"/>
                  </w:tcBorders>
                  <w:shd w:val="clear" w:color="auto" w:fill="auto"/>
                  <w:hideMark/>
                </w:tcPr>
                <w:p w14:paraId="0DA652A3"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34.335,83</w:t>
                  </w:r>
                </w:p>
              </w:tc>
              <w:tc>
                <w:tcPr>
                  <w:tcW w:w="1283" w:type="dxa"/>
                  <w:tcBorders>
                    <w:top w:val="nil"/>
                    <w:left w:val="nil"/>
                    <w:bottom w:val="single" w:sz="4" w:space="0" w:color="auto"/>
                    <w:right w:val="single" w:sz="4" w:space="0" w:color="auto"/>
                  </w:tcBorders>
                  <w:shd w:val="clear" w:color="auto" w:fill="auto"/>
                  <w:hideMark/>
                </w:tcPr>
                <w:p w14:paraId="40BCF97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35.048.276,02</w:t>
                  </w:r>
                </w:p>
              </w:tc>
              <w:tc>
                <w:tcPr>
                  <w:tcW w:w="984" w:type="dxa"/>
                  <w:tcBorders>
                    <w:top w:val="nil"/>
                    <w:left w:val="nil"/>
                    <w:bottom w:val="single" w:sz="4" w:space="0" w:color="auto"/>
                    <w:right w:val="single" w:sz="4" w:space="0" w:color="auto"/>
                  </w:tcBorders>
                  <w:shd w:val="clear" w:color="auto" w:fill="auto"/>
                  <w:hideMark/>
                </w:tcPr>
                <w:p w14:paraId="2CBAA07F"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70.564,23</w:t>
                  </w:r>
                </w:p>
              </w:tc>
              <w:tc>
                <w:tcPr>
                  <w:tcW w:w="1618" w:type="dxa"/>
                  <w:tcBorders>
                    <w:top w:val="nil"/>
                    <w:left w:val="nil"/>
                    <w:bottom w:val="single" w:sz="4" w:space="0" w:color="auto"/>
                    <w:right w:val="single" w:sz="4" w:space="0" w:color="auto"/>
                  </w:tcBorders>
                  <w:shd w:val="clear" w:color="auto" w:fill="auto"/>
                  <w:hideMark/>
                </w:tcPr>
                <w:p w14:paraId="0EABFB4F"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54.918.357,98</w:t>
                  </w:r>
                </w:p>
              </w:tc>
              <w:tc>
                <w:tcPr>
                  <w:tcW w:w="1293" w:type="dxa"/>
                  <w:tcBorders>
                    <w:top w:val="nil"/>
                    <w:left w:val="nil"/>
                    <w:bottom w:val="single" w:sz="4" w:space="0" w:color="auto"/>
                    <w:right w:val="single" w:sz="4" w:space="0" w:color="auto"/>
                  </w:tcBorders>
                  <w:shd w:val="clear" w:color="auto" w:fill="auto"/>
                  <w:hideMark/>
                </w:tcPr>
                <w:p w14:paraId="76D4D100"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74.934,65</w:t>
                  </w:r>
                </w:p>
              </w:tc>
            </w:tr>
            <w:tr w:rsidR="00C67CC4" w:rsidRPr="00830D82" w14:paraId="34E9A0BF" w14:textId="77777777" w:rsidTr="00830D82">
              <w:trPr>
                <w:trHeight w:val="702"/>
              </w:trPr>
              <w:tc>
                <w:tcPr>
                  <w:tcW w:w="625" w:type="dxa"/>
                  <w:tcBorders>
                    <w:top w:val="nil"/>
                    <w:left w:val="single" w:sz="4" w:space="0" w:color="auto"/>
                    <w:bottom w:val="single" w:sz="4" w:space="0" w:color="auto"/>
                    <w:right w:val="single" w:sz="4" w:space="0" w:color="auto"/>
                  </w:tcBorders>
                  <w:shd w:val="clear" w:color="auto" w:fill="auto"/>
                  <w:hideMark/>
                </w:tcPr>
                <w:p w14:paraId="349AB370"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3103</w:t>
                  </w:r>
                </w:p>
              </w:tc>
              <w:tc>
                <w:tcPr>
                  <w:tcW w:w="909" w:type="dxa"/>
                  <w:tcBorders>
                    <w:top w:val="nil"/>
                    <w:left w:val="nil"/>
                    <w:bottom w:val="single" w:sz="4" w:space="0" w:color="auto"/>
                    <w:right w:val="single" w:sz="4" w:space="0" w:color="auto"/>
                  </w:tcBorders>
                  <w:shd w:val="clear" w:color="auto" w:fill="auto"/>
                  <w:hideMark/>
                </w:tcPr>
                <w:p w14:paraId="2DE2A1F6" w14:textId="77777777" w:rsidR="00FE71AA" w:rsidRPr="00830D82" w:rsidRDefault="00FE71AA" w:rsidP="006B0BFC">
                  <w:pPr>
                    <w:shd w:val="clear" w:color="auto" w:fill="FFFFFF" w:themeFill="background1"/>
                    <w:ind w:firstLine="0"/>
                    <w:contextualSpacing/>
                    <w:rPr>
                      <w:rFonts w:eastAsia="Calibri"/>
                      <w:bCs/>
                      <w:sz w:val="14"/>
                      <w:szCs w:val="18"/>
                      <w:lang w:val="ro-RO"/>
                    </w:rPr>
                  </w:pPr>
                  <w:proofErr w:type="spellStart"/>
                  <w:r w:rsidRPr="00830D82">
                    <w:rPr>
                      <w:rFonts w:eastAsia="Calibri"/>
                      <w:bCs/>
                      <w:sz w:val="14"/>
                      <w:szCs w:val="18"/>
                      <w:lang w:val="ro-RO"/>
                    </w:rPr>
                    <w:t>Ingrasaminte</w:t>
                  </w:r>
                  <w:proofErr w:type="spellEnd"/>
                  <w:r w:rsidRPr="00830D82">
                    <w:rPr>
                      <w:rFonts w:eastAsia="Calibri"/>
                      <w:bCs/>
                      <w:sz w:val="14"/>
                      <w:szCs w:val="18"/>
                      <w:lang w:val="ro-RO"/>
                    </w:rPr>
                    <w:t xml:space="preserve"> minerale sau chimice fosfatice:</w:t>
                  </w:r>
                </w:p>
              </w:tc>
              <w:tc>
                <w:tcPr>
                  <w:tcW w:w="798" w:type="dxa"/>
                  <w:tcBorders>
                    <w:top w:val="nil"/>
                    <w:left w:val="nil"/>
                    <w:bottom w:val="single" w:sz="4" w:space="0" w:color="auto"/>
                    <w:right w:val="single" w:sz="4" w:space="0" w:color="auto"/>
                  </w:tcBorders>
                  <w:shd w:val="clear" w:color="auto" w:fill="auto"/>
                  <w:hideMark/>
                </w:tcPr>
                <w:p w14:paraId="6A6C1EC6"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kg pentoxid de fosfor</w:t>
                  </w:r>
                </w:p>
              </w:tc>
              <w:tc>
                <w:tcPr>
                  <w:tcW w:w="1283" w:type="dxa"/>
                  <w:tcBorders>
                    <w:top w:val="nil"/>
                    <w:left w:val="nil"/>
                    <w:bottom w:val="single" w:sz="4" w:space="0" w:color="auto"/>
                    <w:right w:val="single" w:sz="4" w:space="0" w:color="auto"/>
                  </w:tcBorders>
                  <w:shd w:val="clear" w:color="auto" w:fill="auto"/>
                  <w:hideMark/>
                </w:tcPr>
                <w:p w14:paraId="50E58BEA"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13.578,80</w:t>
                  </w:r>
                </w:p>
              </w:tc>
              <w:tc>
                <w:tcPr>
                  <w:tcW w:w="1035" w:type="dxa"/>
                  <w:tcBorders>
                    <w:top w:val="nil"/>
                    <w:left w:val="nil"/>
                    <w:bottom w:val="single" w:sz="4" w:space="0" w:color="auto"/>
                    <w:right w:val="single" w:sz="4" w:space="0" w:color="auto"/>
                  </w:tcBorders>
                  <w:shd w:val="clear" w:color="auto" w:fill="auto"/>
                  <w:hideMark/>
                </w:tcPr>
                <w:p w14:paraId="11355EC3"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39,96</w:t>
                  </w:r>
                </w:p>
              </w:tc>
              <w:tc>
                <w:tcPr>
                  <w:tcW w:w="1283" w:type="dxa"/>
                  <w:tcBorders>
                    <w:top w:val="nil"/>
                    <w:left w:val="nil"/>
                    <w:bottom w:val="single" w:sz="4" w:space="0" w:color="auto"/>
                    <w:right w:val="single" w:sz="4" w:space="0" w:color="auto"/>
                  </w:tcBorders>
                  <w:shd w:val="clear" w:color="auto" w:fill="auto"/>
                  <w:hideMark/>
                </w:tcPr>
                <w:p w14:paraId="47810EA5"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182.418,30</w:t>
                  </w:r>
                </w:p>
              </w:tc>
              <w:tc>
                <w:tcPr>
                  <w:tcW w:w="984" w:type="dxa"/>
                  <w:tcBorders>
                    <w:top w:val="nil"/>
                    <w:left w:val="nil"/>
                    <w:bottom w:val="single" w:sz="4" w:space="0" w:color="auto"/>
                    <w:right w:val="single" w:sz="4" w:space="0" w:color="auto"/>
                  </w:tcBorders>
                  <w:shd w:val="clear" w:color="auto" w:fill="auto"/>
                  <w:hideMark/>
                </w:tcPr>
                <w:p w14:paraId="3D1BA56F"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599,35</w:t>
                  </w:r>
                </w:p>
              </w:tc>
              <w:tc>
                <w:tcPr>
                  <w:tcW w:w="1618" w:type="dxa"/>
                  <w:tcBorders>
                    <w:top w:val="nil"/>
                    <w:left w:val="nil"/>
                    <w:bottom w:val="single" w:sz="4" w:space="0" w:color="auto"/>
                    <w:right w:val="single" w:sz="4" w:space="0" w:color="auto"/>
                  </w:tcBorders>
                  <w:shd w:val="clear" w:color="auto" w:fill="auto"/>
                  <w:hideMark/>
                </w:tcPr>
                <w:p w14:paraId="68A676D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556.739,53</w:t>
                  </w:r>
                </w:p>
              </w:tc>
              <w:tc>
                <w:tcPr>
                  <w:tcW w:w="1293" w:type="dxa"/>
                  <w:tcBorders>
                    <w:top w:val="nil"/>
                    <w:left w:val="nil"/>
                    <w:bottom w:val="single" w:sz="4" w:space="0" w:color="auto"/>
                    <w:right w:val="single" w:sz="4" w:space="0" w:color="auto"/>
                  </w:tcBorders>
                  <w:shd w:val="clear" w:color="auto" w:fill="auto"/>
                  <w:hideMark/>
                </w:tcPr>
                <w:p w14:paraId="5529853F"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711,73</w:t>
                  </w:r>
                </w:p>
              </w:tc>
            </w:tr>
            <w:tr w:rsidR="00C67CC4" w:rsidRPr="00830D82" w14:paraId="50CBD220" w14:textId="77777777" w:rsidTr="00830D82">
              <w:trPr>
                <w:trHeight w:val="672"/>
              </w:trPr>
              <w:tc>
                <w:tcPr>
                  <w:tcW w:w="625" w:type="dxa"/>
                  <w:tcBorders>
                    <w:top w:val="nil"/>
                    <w:left w:val="single" w:sz="4" w:space="0" w:color="auto"/>
                    <w:bottom w:val="single" w:sz="4" w:space="0" w:color="auto"/>
                    <w:right w:val="single" w:sz="4" w:space="0" w:color="auto"/>
                  </w:tcBorders>
                  <w:shd w:val="clear" w:color="auto" w:fill="auto"/>
                  <w:hideMark/>
                </w:tcPr>
                <w:p w14:paraId="01C89795"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3104</w:t>
                  </w:r>
                </w:p>
              </w:tc>
              <w:tc>
                <w:tcPr>
                  <w:tcW w:w="909" w:type="dxa"/>
                  <w:tcBorders>
                    <w:top w:val="nil"/>
                    <w:left w:val="nil"/>
                    <w:bottom w:val="single" w:sz="4" w:space="0" w:color="auto"/>
                    <w:right w:val="single" w:sz="4" w:space="0" w:color="auto"/>
                  </w:tcBorders>
                  <w:shd w:val="clear" w:color="auto" w:fill="auto"/>
                  <w:hideMark/>
                </w:tcPr>
                <w:p w14:paraId="076BDA97" w14:textId="77777777" w:rsidR="00FE71AA" w:rsidRPr="00830D82" w:rsidRDefault="00FE71AA" w:rsidP="006B0BFC">
                  <w:pPr>
                    <w:shd w:val="clear" w:color="auto" w:fill="FFFFFF" w:themeFill="background1"/>
                    <w:ind w:firstLine="0"/>
                    <w:contextualSpacing/>
                    <w:rPr>
                      <w:rFonts w:eastAsia="Calibri"/>
                      <w:bCs/>
                      <w:sz w:val="14"/>
                      <w:szCs w:val="18"/>
                      <w:lang w:val="ro-RO"/>
                    </w:rPr>
                  </w:pPr>
                  <w:proofErr w:type="spellStart"/>
                  <w:r w:rsidRPr="00830D82">
                    <w:rPr>
                      <w:rFonts w:eastAsia="Calibri"/>
                      <w:bCs/>
                      <w:sz w:val="14"/>
                      <w:szCs w:val="18"/>
                      <w:lang w:val="ro-RO"/>
                    </w:rPr>
                    <w:t>Ingrasaminte</w:t>
                  </w:r>
                  <w:proofErr w:type="spellEnd"/>
                  <w:r w:rsidRPr="00830D82">
                    <w:rPr>
                      <w:rFonts w:eastAsia="Calibri"/>
                      <w:bCs/>
                      <w:sz w:val="14"/>
                      <w:szCs w:val="18"/>
                      <w:lang w:val="ro-RO"/>
                    </w:rPr>
                    <w:t xml:space="preserve"> minerale sau chimice potasice:</w:t>
                  </w:r>
                </w:p>
              </w:tc>
              <w:tc>
                <w:tcPr>
                  <w:tcW w:w="798" w:type="dxa"/>
                  <w:tcBorders>
                    <w:top w:val="nil"/>
                    <w:left w:val="nil"/>
                    <w:bottom w:val="single" w:sz="4" w:space="0" w:color="auto"/>
                    <w:right w:val="single" w:sz="4" w:space="0" w:color="auto"/>
                  </w:tcBorders>
                  <w:shd w:val="clear" w:color="auto" w:fill="auto"/>
                  <w:hideMark/>
                </w:tcPr>
                <w:p w14:paraId="4FAD93D2"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kg oxid potasiu</w:t>
                  </w:r>
                </w:p>
              </w:tc>
              <w:tc>
                <w:tcPr>
                  <w:tcW w:w="1283" w:type="dxa"/>
                  <w:tcBorders>
                    <w:top w:val="nil"/>
                    <w:left w:val="nil"/>
                    <w:bottom w:val="single" w:sz="4" w:space="0" w:color="auto"/>
                    <w:right w:val="single" w:sz="4" w:space="0" w:color="auto"/>
                  </w:tcBorders>
                  <w:shd w:val="clear" w:color="auto" w:fill="auto"/>
                  <w:hideMark/>
                </w:tcPr>
                <w:p w14:paraId="510CBC44"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415.227,23</w:t>
                  </w:r>
                </w:p>
              </w:tc>
              <w:tc>
                <w:tcPr>
                  <w:tcW w:w="1035" w:type="dxa"/>
                  <w:tcBorders>
                    <w:top w:val="nil"/>
                    <w:left w:val="nil"/>
                    <w:bottom w:val="single" w:sz="4" w:space="0" w:color="auto"/>
                    <w:right w:val="single" w:sz="4" w:space="0" w:color="auto"/>
                  </w:tcBorders>
                  <w:shd w:val="clear" w:color="auto" w:fill="auto"/>
                  <w:hideMark/>
                </w:tcPr>
                <w:p w14:paraId="709F5737"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338,51</w:t>
                  </w:r>
                </w:p>
              </w:tc>
              <w:tc>
                <w:tcPr>
                  <w:tcW w:w="1283" w:type="dxa"/>
                  <w:tcBorders>
                    <w:top w:val="nil"/>
                    <w:left w:val="nil"/>
                    <w:bottom w:val="single" w:sz="4" w:space="0" w:color="auto"/>
                    <w:right w:val="single" w:sz="4" w:space="0" w:color="auto"/>
                  </w:tcBorders>
                  <w:shd w:val="clear" w:color="auto" w:fill="auto"/>
                  <w:hideMark/>
                </w:tcPr>
                <w:p w14:paraId="2BE1C301"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96.583,29</w:t>
                  </w:r>
                </w:p>
              </w:tc>
              <w:tc>
                <w:tcPr>
                  <w:tcW w:w="984" w:type="dxa"/>
                  <w:tcBorders>
                    <w:top w:val="nil"/>
                    <w:left w:val="nil"/>
                    <w:bottom w:val="single" w:sz="4" w:space="0" w:color="auto"/>
                    <w:right w:val="single" w:sz="4" w:space="0" w:color="auto"/>
                  </w:tcBorders>
                  <w:shd w:val="clear" w:color="auto" w:fill="auto"/>
                  <w:hideMark/>
                </w:tcPr>
                <w:p w14:paraId="0F02D81B"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285,51</w:t>
                  </w:r>
                </w:p>
              </w:tc>
              <w:tc>
                <w:tcPr>
                  <w:tcW w:w="1618" w:type="dxa"/>
                  <w:tcBorders>
                    <w:top w:val="nil"/>
                    <w:left w:val="nil"/>
                    <w:bottom w:val="single" w:sz="4" w:space="0" w:color="auto"/>
                    <w:right w:val="single" w:sz="4" w:space="0" w:color="auto"/>
                  </w:tcBorders>
                  <w:shd w:val="clear" w:color="auto" w:fill="auto"/>
                  <w:hideMark/>
                </w:tcPr>
                <w:p w14:paraId="7B293602"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114.772,82</w:t>
                  </w:r>
                </w:p>
              </w:tc>
              <w:tc>
                <w:tcPr>
                  <w:tcW w:w="1293" w:type="dxa"/>
                  <w:tcBorders>
                    <w:top w:val="nil"/>
                    <w:left w:val="nil"/>
                    <w:bottom w:val="single" w:sz="4" w:space="0" w:color="auto"/>
                    <w:right w:val="single" w:sz="4" w:space="0" w:color="auto"/>
                  </w:tcBorders>
                  <w:shd w:val="clear" w:color="auto" w:fill="auto"/>
                  <w:hideMark/>
                </w:tcPr>
                <w:p w14:paraId="7709DF63"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309,39</w:t>
                  </w:r>
                </w:p>
              </w:tc>
            </w:tr>
            <w:tr w:rsidR="00C67CC4" w:rsidRPr="00830D82" w14:paraId="738D23BD" w14:textId="77777777" w:rsidTr="00996565">
              <w:trPr>
                <w:trHeight w:val="316"/>
              </w:trPr>
              <w:tc>
                <w:tcPr>
                  <w:tcW w:w="625" w:type="dxa"/>
                  <w:tcBorders>
                    <w:top w:val="nil"/>
                    <w:left w:val="single" w:sz="4" w:space="0" w:color="auto"/>
                    <w:bottom w:val="single" w:sz="4" w:space="0" w:color="auto"/>
                    <w:right w:val="single" w:sz="4" w:space="0" w:color="auto"/>
                  </w:tcBorders>
                  <w:shd w:val="clear" w:color="auto" w:fill="auto"/>
                  <w:hideMark/>
                </w:tcPr>
                <w:p w14:paraId="3648E487"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3105</w:t>
                  </w:r>
                </w:p>
              </w:tc>
              <w:tc>
                <w:tcPr>
                  <w:tcW w:w="909" w:type="dxa"/>
                  <w:tcBorders>
                    <w:top w:val="nil"/>
                    <w:left w:val="nil"/>
                    <w:bottom w:val="single" w:sz="4" w:space="0" w:color="auto"/>
                    <w:right w:val="single" w:sz="4" w:space="0" w:color="auto"/>
                  </w:tcBorders>
                  <w:shd w:val="clear" w:color="auto" w:fill="auto"/>
                  <w:hideMark/>
                </w:tcPr>
                <w:p w14:paraId="2573CCC9" w14:textId="7490ACC0" w:rsidR="00FE71AA" w:rsidRPr="00830D82" w:rsidRDefault="00FE71AA" w:rsidP="006B0BFC">
                  <w:pPr>
                    <w:shd w:val="clear" w:color="auto" w:fill="FFFFFF" w:themeFill="background1"/>
                    <w:ind w:firstLine="0"/>
                    <w:contextualSpacing/>
                    <w:rPr>
                      <w:rFonts w:eastAsia="Calibri"/>
                      <w:bCs/>
                      <w:sz w:val="14"/>
                      <w:szCs w:val="18"/>
                      <w:lang w:val="ro-RO"/>
                    </w:rPr>
                  </w:pPr>
                  <w:proofErr w:type="spellStart"/>
                  <w:r w:rsidRPr="00830D82">
                    <w:rPr>
                      <w:rFonts w:eastAsia="Calibri"/>
                      <w:bCs/>
                      <w:sz w:val="14"/>
                      <w:szCs w:val="18"/>
                      <w:lang w:val="ro-RO"/>
                    </w:rPr>
                    <w:t>Ingrasaminte</w:t>
                  </w:r>
                  <w:proofErr w:type="spellEnd"/>
                  <w:r w:rsidRPr="00830D82">
                    <w:rPr>
                      <w:rFonts w:eastAsia="Calibri"/>
                      <w:bCs/>
                      <w:sz w:val="14"/>
                      <w:szCs w:val="18"/>
                      <w:lang w:val="ro-RO"/>
                    </w:rPr>
                    <w:t xml:space="preserve"> minerale sau chimice, care </w:t>
                  </w:r>
                  <w:proofErr w:type="spellStart"/>
                  <w:r w:rsidRPr="00830D82">
                    <w:rPr>
                      <w:rFonts w:eastAsia="Calibri"/>
                      <w:bCs/>
                      <w:sz w:val="14"/>
                      <w:szCs w:val="18"/>
                      <w:lang w:val="ro-RO"/>
                    </w:rPr>
                    <w:t>contin</w:t>
                  </w:r>
                  <w:proofErr w:type="spellEnd"/>
                  <w:r w:rsidRPr="00830D82">
                    <w:rPr>
                      <w:rFonts w:eastAsia="Calibri"/>
                      <w:bCs/>
                      <w:sz w:val="14"/>
                      <w:szCs w:val="18"/>
                      <w:lang w:val="ro-RO"/>
                    </w:rPr>
                    <w:t xml:space="preserve"> doua sau tre</w:t>
                  </w:r>
                  <w:r w:rsidR="00830D82" w:rsidRPr="00830D82">
                    <w:rPr>
                      <w:rFonts w:eastAsia="Calibri"/>
                      <w:bCs/>
                      <w:sz w:val="14"/>
                      <w:szCs w:val="18"/>
                      <w:lang w:val="ro-RO"/>
                    </w:rPr>
                    <w:t xml:space="preserve">i dintre elemente fertilizante </w:t>
                  </w:r>
                </w:p>
              </w:tc>
              <w:tc>
                <w:tcPr>
                  <w:tcW w:w="798" w:type="dxa"/>
                  <w:tcBorders>
                    <w:top w:val="nil"/>
                    <w:left w:val="nil"/>
                    <w:bottom w:val="single" w:sz="4" w:space="0" w:color="auto"/>
                    <w:right w:val="single" w:sz="4" w:space="0" w:color="auto"/>
                  </w:tcBorders>
                  <w:shd w:val="clear" w:color="auto" w:fill="auto"/>
                  <w:hideMark/>
                </w:tcPr>
                <w:p w14:paraId="66840845"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kg</w:t>
                  </w:r>
                </w:p>
              </w:tc>
              <w:tc>
                <w:tcPr>
                  <w:tcW w:w="1283" w:type="dxa"/>
                  <w:tcBorders>
                    <w:top w:val="nil"/>
                    <w:left w:val="nil"/>
                    <w:bottom w:val="single" w:sz="4" w:space="0" w:color="auto"/>
                    <w:right w:val="single" w:sz="4" w:space="0" w:color="auto"/>
                  </w:tcBorders>
                  <w:shd w:val="clear" w:color="auto" w:fill="auto"/>
                  <w:hideMark/>
                </w:tcPr>
                <w:p w14:paraId="723E2351"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106.264.606,55</w:t>
                  </w:r>
                </w:p>
              </w:tc>
              <w:tc>
                <w:tcPr>
                  <w:tcW w:w="1035" w:type="dxa"/>
                  <w:tcBorders>
                    <w:top w:val="nil"/>
                    <w:left w:val="nil"/>
                    <w:bottom w:val="single" w:sz="4" w:space="0" w:color="auto"/>
                    <w:right w:val="single" w:sz="4" w:space="0" w:color="auto"/>
                  </w:tcBorders>
                  <w:shd w:val="clear" w:color="auto" w:fill="auto"/>
                  <w:hideMark/>
                </w:tcPr>
                <w:p w14:paraId="54DDDBFA"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53.408,88</w:t>
                  </w:r>
                </w:p>
              </w:tc>
              <w:tc>
                <w:tcPr>
                  <w:tcW w:w="1283" w:type="dxa"/>
                  <w:tcBorders>
                    <w:top w:val="nil"/>
                    <w:left w:val="nil"/>
                    <w:bottom w:val="single" w:sz="4" w:space="0" w:color="auto"/>
                    <w:right w:val="single" w:sz="4" w:space="0" w:color="auto"/>
                  </w:tcBorders>
                  <w:shd w:val="clear" w:color="auto" w:fill="auto"/>
                  <w:hideMark/>
                </w:tcPr>
                <w:p w14:paraId="5E4CE1E8"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82.692.656,15</w:t>
                  </w:r>
                </w:p>
              </w:tc>
              <w:tc>
                <w:tcPr>
                  <w:tcW w:w="984" w:type="dxa"/>
                  <w:tcBorders>
                    <w:top w:val="nil"/>
                    <w:left w:val="nil"/>
                    <w:bottom w:val="single" w:sz="4" w:space="0" w:color="auto"/>
                    <w:right w:val="single" w:sz="4" w:space="0" w:color="auto"/>
                  </w:tcBorders>
                  <w:shd w:val="clear" w:color="auto" w:fill="auto"/>
                  <w:hideMark/>
                </w:tcPr>
                <w:p w14:paraId="46836430"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66.382,91</w:t>
                  </w:r>
                </w:p>
              </w:tc>
              <w:tc>
                <w:tcPr>
                  <w:tcW w:w="1618" w:type="dxa"/>
                  <w:tcBorders>
                    <w:top w:val="nil"/>
                    <w:left w:val="nil"/>
                    <w:bottom w:val="single" w:sz="4" w:space="0" w:color="auto"/>
                    <w:right w:val="single" w:sz="4" w:space="0" w:color="auto"/>
                  </w:tcBorders>
                  <w:shd w:val="clear" w:color="auto" w:fill="auto"/>
                  <w:hideMark/>
                </w:tcPr>
                <w:p w14:paraId="39A75649"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93.493.929,10</w:t>
                  </w:r>
                </w:p>
              </w:tc>
              <w:tc>
                <w:tcPr>
                  <w:tcW w:w="1293" w:type="dxa"/>
                  <w:tcBorders>
                    <w:top w:val="nil"/>
                    <w:left w:val="nil"/>
                    <w:bottom w:val="single" w:sz="4" w:space="0" w:color="auto"/>
                    <w:right w:val="single" w:sz="4" w:space="0" w:color="auto"/>
                  </w:tcBorders>
                  <w:shd w:val="clear" w:color="auto" w:fill="auto"/>
                  <w:hideMark/>
                </w:tcPr>
                <w:p w14:paraId="63A607FB" w14:textId="77777777" w:rsidR="00FE71AA" w:rsidRPr="00830D82" w:rsidRDefault="00FE71AA" w:rsidP="006B0BFC">
                  <w:pPr>
                    <w:shd w:val="clear" w:color="auto" w:fill="FFFFFF" w:themeFill="background1"/>
                    <w:ind w:firstLine="0"/>
                    <w:contextualSpacing/>
                    <w:rPr>
                      <w:rFonts w:eastAsia="Calibri"/>
                      <w:bCs/>
                      <w:sz w:val="18"/>
                      <w:szCs w:val="18"/>
                      <w:lang w:val="ro-RO"/>
                    </w:rPr>
                  </w:pPr>
                  <w:r w:rsidRPr="00830D82">
                    <w:rPr>
                      <w:rFonts w:eastAsia="Calibri"/>
                      <w:bCs/>
                      <w:sz w:val="18"/>
                      <w:szCs w:val="18"/>
                      <w:lang w:val="ro-RO"/>
                    </w:rPr>
                    <w:t>57.439,80</w:t>
                  </w:r>
                </w:p>
              </w:tc>
            </w:tr>
            <w:tr w:rsidR="00C67CC4" w:rsidRPr="00830D82" w14:paraId="42853455" w14:textId="77777777" w:rsidTr="00996565">
              <w:trPr>
                <w:trHeight w:val="316"/>
              </w:trPr>
              <w:tc>
                <w:tcPr>
                  <w:tcW w:w="625" w:type="dxa"/>
                  <w:tcBorders>
                    <w:top w:val="nil"/>
                    <w:left w:val="single" w:sz="4" w:space="0" w:color="auto"/>
                    <w:bottom w:val="single" w:sz="4" w:space="0" w:color="auto"/>
                    <w:right w:val="single" w:sz="4" w:space="0" w:color="auto"/>
                  </w:tcBorders>
                  <w:shd w:val="clear" w:color="auto" w:fill="auto"/>
                  <w:hideMark/>
                </w:tcPr>
                <w:p w14:paraId="08A0F7A9" w14:textId="77777777" w:rsidR="00FE71AA" w:rsidRPr="00830D82" w:rsidRDefault="00FE71AA" w:rsidP="006B0BFC">
                  <w:pPr>
                    <w:shd w:val="clear" w:color="auto" w:fill="FFFFFF" w:themeFill="background1"/>
                    <w:ind w:firstLine="0"/>
                    <w:contextualSpacing/>
                    <w:rPr>
                      <w:rFonts w:eastAsia="Calibri"/>
                      <w:bCs/>
                      <w:sz w:val="16"/>
                      <w:szCs w:val="18"/>
                      <w:lang w:val="ro-RO"/>
                    </w:rPr>
                  </w:pPr>
                  <w:r w:rsidRPr="00830D82">
                    <w:rPr>
                      <w:rFonts w:eastAsia="Calibri"/>
                      <w:bCs/>
                      <w:sz w:val="16"/>
                      <w:szCs w:val="18"/>
                      <w:lang w:val="ro-RO"/>
                    </w:rPr>
                    <w:t>Total</w:t>
                  </w:r>
                </w:p>
              </w:tc>
              <w:tc>
                <w:tcPr>
                  <w:tcW w:w="909" w:type="dxa"/>
                  <w:tcBorders>
                    <w:top w:val="nil"/>
                    <w:left w:val="nil"/>
                    <w:bottom w:val="single" w:sz="4" w:space="0" w:color="auto"/>
                    <w:right w:val="single" w:sz="4" w:space="0" w:color="auto"/>
                  </w:tcBorders>
                  <w:shd w:val="clear" w:color="auto" w:fill="auto"/>
                  <w:vAlign w:val="bottom"/>
                  <w:hideMark/>
                </w:tcPr>
                <w:p w14:paraId="2249B463"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 </w:t>
                  </w:r>
                </w:p>
              </w:tc>
              <w:tc>
                <w:tcPr>
                  <w:tcW w:w="798" w:type="dxa"/>
                  <w:tcBorders>
                    <w:top w:val="nil"/>
                    <w:left w:val="nil"/>
                    <w:bottom w:val="single" w:sz="4" w:space="0" w:color="auto"/>
                    <w:right w:val="single" w:sz="4" w:space="0" w:color="auto"/>
                  </w:tcBorders>
                  <w:shd w:val="clear" w:color="auto" w:fill="auto"/>
                  <w:noWrap/>
                  <w:vAlign w:val="bottom"/>
                  <w:hideMark/>
                </w:tcPr>
                <w:p w14:paraId="0099F0F7"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 </w:t>
                  </w:r>
                </w:p>
              </w:tc>
              <w:tc>
                <w:tcPr>
                  <w:tcW w:w="1283" w:type="dxa"/>
                  <w:tcBorders>
                    <w:top w:val="nil"/>
                    <w:left w:val="nil"/>
                    <w:bottom w:val="single" w:sz="4" w:space="0" w:color="auto"/>
                    <w:right w:val="single" w:sz="4" w:space="0" w:color="auto"/>
                  </w:tcBorders>
                  <w:shd w:val="clear" w:color="auto" w:fill="auto"/>
                  <w:noWrap/>
                  <w:vAlign w:val="bottom"/>
                  <w:hideMark/>
                </w:tcPr>
                <w:p w14:paraId="2CBDF3A5"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146.795.434,50</w:t>
                  </w:r>
                </w:p>
              </w:tc>
              <w:tc>
                <w:tcPr>
                  <w:tcW w:w="1035" w:type="dxa"/>
                  <w:tcBorders>
                    <w:top w:val="nil"/>
                    <w:left w:val="nil"/>
                    <w:bottom w:val="single" w:sz="4" w:space="0" w:color="auto"/>
                    <w:right w:val="single" w:sz="4" w:space="0" w:color="auto"/>
                  </w:tcBorders>
                  <w:shd w:val="clear" w:color="auto" w:fill="auto"/>
                  <w:noWrap/>
                  <w:vAlign w:val="bottom"/>
                  <w:hideMark/>
                </w:tcPr>
                <w:p w14:paraId="0E38D876"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89.271,27</w:t>
                  </w:r>
                </w:p>
              </w:tc>
              <w:tc>
                <w:tcPr>
                  <w:tcW w:w="1283" w:type="dxa"/>
                  <w:tcBorders>
                    <w:top w:val="nil"/>
                    <w:left w:val="nil"/>
                    <w:bottom w:val="single" w:sz="4" w:space="0" w:color="auto"/>
                    <w:right w:val="single" w:sz="4" w:space="0" w:color="auto"/>
                  </w:tcBorders>
                  <w:shd w:val="clear" w:color="auto" w:fill="auto"/>
                  <w:noWrap/>
                  <w:vAlign w:val="bottom"/>
                  <w:hideMark/>
                </w:tcPr>
                <w:p w14:paraId="35D4EBD7"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118.468.873,22</w:t>
                  </w:r>
                </w:p>
              </w:tc>
              <w:tc>
                <w:tcPr>
                  <w:tcW w:w="984" w:type="dxa"/>
                  <w:tcBorders>
                    <w:top w:val="nil"/>
                    <w:left w:val="nil"/>
                    <w:bottom w:val="single" w:sz="4" w:space="0" w:color="auto"/>
                    <w:right w:val="single" w:sz="4" w:space="0" w:color="auto"/>
                  </w:tcBorders>
                  <w:shd w:val="clear" w:color="auto" w:fill="auto"/>
                  <w:noWrap/>
                  <w:vAlign w:val="bottom"/>
                  <w:hideMark/>
                </w:tcPr>
                <w:p w14:paraId="44686571"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139.001,37</w:t>
                  </w:r>
                </w:p>
              </w:tc>
              <w:tc>
                <w:tcPr>
                  <w:tcW w:w="1618" w:type="dxa"/>
                  <w:tcBorders>
                    <w:top w:val="nil"/>
                    <w:left w:val="nil"/>
                    <w:bottom w:val="single" w:sz="4" w:space="0" w:color="auto"/>
                    <w:right w:val="single" w:sz="4" w:space="0" w:color="auto"/>
                  </w:tcBorders>
                  <w:shd w:val="clear" w:color="auto" w:fill="auto"/>
                  <w:noWrap/>
                  <w:vAlign w:val="bottom"/>
                  <w:hideMark/>
                </w:tcPr>
                <w:p w14:paraId="74088966"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149.800.536,35</w:t>
                  </w:r>
                </w:p>
              </w:tc>
              <w:tc>
                <w:tcPr>
                  <w:tcW w:w="1293" w:type="dxa"/>
                  <w:tcBorders>
                    <w:top w:val="nil"/>
                    <w:left w:val="nil"/>
                    <w:bottom w:val="single" w:sz="4" w:space="0" w:color="auto"/>
                    <w:right w:val="single" w:sz="4" w:space="0" w:color="auto"/>
                  </w:tcBorders>
                  <w:shd w:val="clear" w:color="auto" w:fill="auto"/>
                  <w:noWrap/>
                  <w:vAlign w:val="bottom"/>
                  <w:hideMark/>
                </w:tcPr>
                <w:p w14:paraId="068BF6BC" w14:textId="77777777" w:rsidR="00FE71AA" w:rsidRPr="00830D82" w:rsidRDefault="00FE71AA" w:rsidP="006B0BFC">
                  <w:pPr>
                    <w:shd w:val="clear" w:color="auto" w:fill="FFFFFF" w:themeFill="background1"/>
                    <w:ind w:firstLine="0"/>
                    <w:contextualSpacing/>
                    <w:rPr>
                      <w:rFonts w:eastAsia="Calibri"/>
                      <w:sz w:val="16"/>
                      <w:szCs w:val="18"/>
                      <w:lang w:val="ro-RO"/>
                    </w:rPr>
                  </w:pPr>
                  <w:r w:rsidRPr="00830D82">
                    <w:rPr>
                      <w:rFonts w:eastAsia="Calibri"/>
                      <w:sz w:val="16"/>
                      <w:szCs w:val="18"/>
                      <w:lang w:val="ro-RO"/>
                    </w:rPr>
                    <w:t>134.284,07</w:t>
                  </w:r>
                </w:p>
              </w:tc>
            </w:tr>
          </w:tbl>
          <w:p w14:paraId="55396349" w14:textId="31634E76" w:rsidR="00353EDF" w:rsidRDefault="00353EDF"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Pe de altă parte, Republica Moldova continuă să fie țara cu cele mai mici rate de utilizare a fertilizanților la unitatea de suprafață de teren prelucrat în scopuri agricole (fig. 1). Acești factori fac ca producția agricolă să fie expusă riscului, iar fermierii să depindă de prețurile fertilizanților disponibile regional. În acest sens, impactul disponibilității produselor fertilizante și preturile la aceste produse pe piața locală are un impact semnificativ asupra rentabilității </w:t>
            </w:r>
            <w:r w:rsidR="00A10812" w:rsidRPr="00A249FD">
              <w:rPr>
                <w:rFonts w:ascii="Times New Roman" w:hAnsi="Times New Roman"/>
                <w:sz w:val="24"/>
                <w:szCs w:val="24"/>
                <w:lang w:val="ro-RO"/>
              </w:rPr>
              <w:t>antreprenorialului</w:t>
            </w:r>
            <w:r w:rsidRPr="00A249FD">
              <w:rPr>
                <w:rFonts w:ascii="Times New Roman" w:hAnsi="Times New Roman"/>
                <w:sz w:val="24"/>
                <w:szCs w:val="24"/>
                <w:lang w:val="ro-RO"/>
              </w:rPr>
              <w:t xml:space="preserve"> în domeniul cultivării agricole. </w:t>
            </w:r>
            <w:r w:rsidR="00A10812" w:rsidRPr="00A249FD">
              <w:rPr>
                <w:rFonts w:ascii="Times New Roman" w:hAnsi="Times New Roman"/>
                <w:sz w:val="24"/>
                <w:szCs w:val="24"/>
                <w:lang w:val="ro-RO"/>
              </w:rPr>
              <w:t>Ori reglementarea cu aceleași condiții ca și pe teritoriul UE ar permite investirea în facilități de producere a produselor fertilizante, permițând diversificarea de aprovizionare</w:t>
            </w:r>
            <w:r w:rsidR="007D7986">
              <w:rPr>
                <w:rFonts w:ascii="Times New Roman" w:hAnsi="Times New Roman"/>
                <w:sz w:val="24"/>
                <w:szCs w:val="24"/>
                <w:lang w:val="ro-RO"/>
              </w:rPr>
              <w:t>.</w:t>
            </w:r>
          </w:p>
          <w:p w14:paraId="3BA5E13C" w14:textId="77777777" w:rsidR="00830D82" w:rsidRDefault="00830D82" w:rsidP="006B0BFC">
            <w:pPr>
              <w:shd w:val="clear" w:color="auto" w:fill="FFFFFF" w:themeFill="background1"/>
              <w:rPr>
                <w:rFonts w:ascii="Times New Roman" w:hAnsi="Times New Roman"/>
                <w:sz w:val="24"/>
                <w:szCs w:val="24"/>
                <w:lang w:val="ro-RO"/>
              </w:rPr>
            </w:pPr>
          </w:p>
          <w:p w14:paraId="38701CC3" w14:textId="57188DE8" w:rsidR="00FE71AA" w:rsidRPr="00A249FD" w:rsidRDefault="003F7DB4" w:rsidP="006B0BFC">
            <w:pPr>
              <w:shd w:val="clear" w:color="auto" w:fill="FFFFFF" w:themeFill="background1"/>
              <w:jc w:val="right"/>
              <w:rPr>
                <w:rFonts w:ascii="Times New Roman" w:hAnsi="Times New Roman"/>
                <w:i/>
                <w:sz w:val="24"/>
                <w:szCs w:val="24"/>
                <w:lang w:val="ro-RO"/>
              </w:rPr>
            </w:pPr>
            <w:r w:rsidRPr="00A249FD">
              <w:rPr>
                <w:rFonts w:ascii="Times New Roman" w:hAnsi="Times New Roman"/>
                <w:i/>
                <w:sz w:val="24"/>
                <w:szCs w:val="24"/>
                <w:lang w:val="ro-RO"/>
              </w:rPr>
              <w:t>Fig. 2 Evoluția utilizării fertilizanților la suprafețele de teren arabil, kg/ha</w:t>
            </w:r>
          </w:p>
          <w:p w14:paraId="48AD8A97" w14:textId="44AA9B6C" w:rsidR="00353EDF" w:rsidRPr="00A249FD" w:rsidRDefault="00353EDF" w:rsidP="006B0BFC">
            <w:pPr>
              <w:shd w:val="clear" w:color="auto" w:fill="FFFFFF" w:themeFill="background1"/>
              <w:ind w:firstLine="0"/>
              <w:rPr>
                <w:rFonts w:ascii="Times New Roman" w:hAnsi="Times New Roman"/>
                <w:sz w:val="24"/>
                <w:szCs w:val="24"/>
                <w:lang w:val="ro-RO"/>
              </w:rPr>
            </w:pPr>
            <w:r w:rsidRPr="00A249FD">
              <w:rPr>
                <w:noProof/>
                <w:lang w:val="ro-RO" w:eastAsia="ro-RO"/>
              </w:rPr>
              <w:drawing>
                <wp:inline distT="0" distB="0" distL="0" distR="0" wp14:anchorId="60194C88" wp14:editId="632CA73B">
                  <wp:extent cx="6283842" cy="2134235"/>
                  <wp:effectExtent l="0" t="0" r="3175" b="18415"/>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A626F0" w14:textId="77777777" w:rsidR="00996565" w:rsidRPr="00A249FD" w:rsidRDefault="0099656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Întrucât prețul la principalele tipuri de fertilizanți utilizați pe parcursul ultimilor 3 ani au suferit variații semnificative (fig. 3), prognozarea unor marje de profit a fost imposibil de către </w:t>
            </w:r>
            <w:r w:rsidRPr="00A249FD">
              <w:rPr>
                <w:rFonts w:ascii="Times New Roman" w:hAnsi="Times New Roman"/>
                <w:sz w:val="24"/>
                <w:szCs w:val="24"/>
                <w:lang w:val="ro-RO"/>
              </w:rPr>
              <w:lastRenderedPageBreak/>
              <w:t>producătorii agricoli. De aceea, stabilitatea de aprovizionare, inclusiv a prețului produselor fertilizante, devine un deziderat al producerii în sine, întrucât la unele culturi, în dependență de cultura aleasă și tehnologia utilizată fertilizanții constituie până la 15-40% din valoarea inputurilor totale per ciclu de vegetație.</w:t>
            </w:r>
          </w:p>
          <w:p w14:paraId="6415FE9C" w14:textId="3ACCA84F" w:rsidR="00996565" w:rsidRPr="00A249FD" w:rsidRDefault="00996565" w:rsidP="006B0BFC">
            <w:pPr>
              <w:shd w:val="clear" w:color="auto" w:fill="FFFFFF" w:themeFill="background1"/>
              <w:jc w:val="right"/>
              <w:rPr>
                <w:rFonts w:ascii="Times New Roman" w:hAnsi="Times New Roman"/>
                <w:i/>
                <w:sz w:val="28"/>
                <w:szCs w:val="28"/>
                <w:lang w:val="ro-RO"/>
              </w:rPr>
            </w:pPr>
            <w:r w:rsidRPr="00A249FD">
              <w:rPr>
                <w:rFonts w:ascii="Times New Roman" w:hAnsi="Times New Roman"/>
                <w:i/>
                <w:sz w:val="24"/>
                <w:szCs w:val="28"/>
                <w:lang w:val="ro-RO"/>
              </w:rPr>
              <w:t>Fig. 3. Prețul ureei în SUA ($/tonă</w:t>
            </w:r>
            <w:r w:rsidRPr="00A249FD">
              <w:rPr>
                <w:rFonts w:ascii="Times New Roman" w:hAnsi="Times New Roman"/>
                <w:i/>
                <w:sz w:val="28"/>
                <w:szCs w:val="28"/>
                <w:lang w:val="ro-RO"/>
              </w:rPr>
              <w:t>)</w:t>
            </w:r>
          </w:p>
          <w:p w14:paraId="02C41984" w14:textId="15E085D4" w:rsidR="00996565" w:rsidRPr="00A249FD" w:rsidRDefault="00996565" w:rsidP="006B0BFC">
            <w:pPr>
              <w:shd w:val="clear" w:color="auto" w:fill="FFFFFF" w:themeFill="background1"/>
              <w:rPr>
                <w:rFonts w:ascii="Times New Roman" w:hAnsi="Times New Roman"/>
                <w:sz w:val="24"/>
                <w:szCs w:val="24"/>
                <w:lang w:val="ro-RO"/>
              </w:rPr>
            </w:pPr>
            <w:r w:rsidRPr="00A249FD">
              <w:rPr>
                <w:noProof/>
                <w:sz w:val="28"/>
                <w:szCs w:val="28"/>
                <w:lang w:val="ro-RO" w:eastAsia="ro-RO"/>
              </w:rPr>
              <w:drawing>
                <wp:inline distT="0" distB="0" distL="0" distR="0" wp14:anchorId="7DFF070E" wp14:editId="3BBEABC8">
                  <wp:extent cx="2810256" cy="2084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637" cy="2105117"/>
                          </a:xfrm>
                          <a:prstGeom prst="rect">
                            <a:avLst/>
                          </a:prstGeom>
                          <a:noFill/>
                          <a:ln>
                            <a:noFill/>
                          </a:ln>
                        </pic:spPr>
                      </pic:pic>
                    </a:graphicData>
                  </a:graphic>
                </wp:inline>
              </w:drawing>
            </w:r>
            <w:r w:rsidRPr="00A249FD">
              <w:rPr>
                <w:noProof/>
                <w:sz w:val="28"/>
                <w:szCs w:val="28"/>
                <w:lang w:val="ro-RO" w:eastAsia="ro-RO"/>
              </w:rPr>
              <w:drawing>
                <wp:inline distT="0" distB="0" distL="0" distR="0" wp14:anchorId="617ACA17" wp14:editId="70216C3B">
                  <wp:extent cx="2622469" cy="1699895"/>
                  <wp:effectExtent l="0" t="0" r="6985" b="0"/>
                  <wp:docPr id="1" name="Imagine 1" descr="https://www.theglobaleconomy.com/graph_country.php?p=8&amp;m=1&amp;c=world&amp;i=urea_pr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globaleconomy.com/graph_country.php?p=8&amp;m=1&amp;c=world&amp;i=urea_pr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774" cy="1735096"/>
                          </a:xfrm>
                          <a:prstGeom prst="rect">
                            <a:avLst/>
                          </a:prstGeom>
                          <a:noFill/>
                          <a:ln>
                            <a:noFill/>
                          </a:ln>
                        </pic:spPr>
                      </pic:pic>
                    </a:graphicData>
                  </a:graphic>
                </wp:inline>
              </w:drawing>
            </w:r>
          </w:p>
          <w:p w14:paraId="6EE5E0EF" w14:textId="34FD59D1" w:rsidR="00996565" w:rsidRPr="00A249FD" w:rsidRDefault="0099656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 </w:t>
            </w:r>
            <w:r w:rsidRPr="00830D82">
              <w:rPr>
                <w:rFonts w:ascii="Times New Roman" w:hAnsi="Times New Roman"/>
                <w:b/>
                <w:i/>
                <w:color w:val="000000"/>
                <w:szCs w:val="28"/>
                <w:shd w:val="clear" w:color="auto" w:fill="FFFFFF"/>
                <w:lang w:val="ro-RO"/>
              </w:rPr>
              <w:t>Sursa</w:t>
            </w:r>
            <w:r w:rsidRPr="00830D82">
              <w:rPr>
                <w:rFonts w:ascii="Times New Roman" w:hAnsi="Times New Roman"/>
                <w:i/>
                <w:color w:val="000000"/>
                <w:szCs w:val="28"/>
                <w:shd w:val="clear" w:color="auto" w:fill="FFFFFF"/>
                <w:lang w:val="ro-RO"/>
              </w:rPr>
              <w:t xml:space="preserve">: World Bank </w:t>
            </w:r>
            <w:r w:rsidRPr="00830D82">
              <w:rPr>
                <w:rFonts w:ascii="Times New Roman" w:hAnsi="Times New Roman"/>
                <w:i/>
                <w:color w:val="1F497D" w:themeColor="text2"/>
                <w:szCs w:val="28"/>
                <w:u w:val="single"/>
                <w:shd w:val="clear" w:color="auto" w:fill="FFFFFF"/>
                <w:lang w:val="ro-RO"/>
              </w:rPr>
              <w:t>(https://www.theglobaleconomy.com/world/urea_prices/)</w:t>
            </w:r>
          </w:p>
          <w:p w14:paraId="2CF2153F" w14:textId="5686D329" w:rsidR="00EC794B" w:rsidRPr="00A249FD" w:rsidRDefault="00763860"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Criteriile analizate </w:t>
            </w:r>
            <w:r w:rsidR="00A10812" w:rsidRPr="00A249FD">
              <w:rPr>
                <w:rFonts w:ascii="Times New Roman" w:hAnsi="Times New Roman"/>
                <w:sz w:val="24"/>
                <w:szCs w:val="24"/>
                <w:lang w:val="ro-RO"/>
              </w:rPr>
              <w:t xml:space="preserve">în calitate de indicatori de impact asupra mediului privat </w:t>
            </w:r>
            <w:r w:rsidRPr="00A249FD">
              <w:rPr>
                <w:rFonts w:ascii="Times New Roman" w:hAnsi="Times New Roman"/>
                <w:sz w:val="24"/>
                <w:szCs w:val="24"/>
                <w:lang w:val="ro-RO"/>
              </w:rPr>
              <w:t>sunt legate de obiectivele de politică privind dezvoltarea în primul rând a unei piețe interne pentru produsele inovatoare obținute din materii prime secundare. Criteriile abordează problemele legate de potențialul de simplificare, de reducerea sarcinii administrative și de sprijinirea inovării. În termeni generali, se preconizează că o piață internă mai eficientă pentru produsele fertilizante ar însemna condiții de concurență mai echitabile pentru întreprinderi și un cadru de reglementare mai transparent și mai simplificat. O piață internă funcțională ar trebui să aducă beneficii utilizatorilor finali (fermieri, cultivatori și consumatori), deoarece opțiunile consumatorilor ar trebui să crească, iar o mai bună concurență ar putea duce la o reducere a prețurilor îngrășămintelor.</w:t>
            </w:r>
          </w:p>
          <w:p w14:paraId="29E0EC6C" w14:textId="1552AA83" w:rsidR="00214DDB" w:rsidRPr="00A249FD" w:rsidRDefault="00214DD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Evaluarea costurilor administrative pentru întreprinderi și autoritățile pentru fiecare opțiuni de politică examinate a fost evaluată în studiul privind îngrășămintele și a fost detaliată ulterior de către Comisie Europeană utilizând metodologia modelului UE de cost standard. Răspunsurile primite în urma contactelor bilaterale dintre Comisie și experții din industrie și sondajul privind IMM-urile au fost utilizate pentru a completa setul de date.</w:t>
            </w:r>
          </w:p>
          <w:p w14:paraId="34DAB5F0" w14:textId="77777777" w:rsidR="00214DDB" w:rsidRPr="00A249FD" w:rsidRDefault="00214DD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Costurile administrative includ:</w:t>
            </w:r>
          </w:p>
          <w:p w14:paraId="458295B3" w14:textId="77777777" w:rsidR="00214DDB" w:rsidRPr="00A249FD" w:rsidRDefault="00214DD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1.</w:t>
            </w:r>
            <w:r w:rsidRPr="00A249FD">
              <w:rPr>
                <w:rFonts w:ascii="Times New Roman" w:hAnsi="Times New Roman"/>
                <w:sz w:val="24"/>
                <w:szCs w:val="24"/>
                <w:lang w:val="ro-RO"/>
              </w:rPr>
              <w:tab/>
              <w:t>costurile de gestionare a legislației UE și a legislației naționale;</w:t>
            </w:r>
          </w:p>
          <w:p w14:paraId="3DB5C1E1" w14:textId="77777777" w:rsidR="00214DDB" w:rsidRPr="00A249FD" w:rsidRDefault="00214DD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2.</w:t>
            </w:r>
            <w:r w:rsidRPr="00A249FD">
              <w:rPr>
                <w:rFonts w:ascii="Times New Roman" w:hAnsi="Times New Roman"/>
                <w:sz w:val="24"/>
                <w:szCs w:val="24"/>
                <w:lang w:val="ro-RO"/>
              </w:rPr>
              <w:tab/>
              <w:t>costurile legate de introducerea pe piață a produselor UE sau naționale [de exemplu, costurile includerii în anexă (anexe)/autorizarea produselor], inclusiv costurile standardizării și recunoașterii reciproce;</w:t>
            </w:r>
          </w:p>
          <w:p w14:paraId="00DBA404" w14:textId="77777777" w:rsidR="00214DDB" w:rsidRPr="00A249FD" w:rsidRDefault="00214DD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3.</w:t>
            </w:r>
            <w:r w:rsidRPr="00A249FD">
              <w:rPr>
                <w:rFonts w:ascii="Times New Roman" w:hAnsi="Times New Roman"/>
                <w:sz w:val="24"/>
                <w:szCs w:val="24"/>
                <w:lang w:val="ro-RO"/>
              </w:rPr>
              <w:tab/>
              <w:t>costurile supravegherii pieței;</w:t>
            </w:r>
          </w:p>
          <w:p w14:paraId="0960A290" w14:textId="052FE7AD" w:rsidR="00214DDB" w:rsidRPr="00A249FD" w:rsidRDefault="00214DD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4.</w:t>
            </w:r>
            <w:r w:rsidRPr="00A249FD">
              <w:rPr>
                <w:rFonts w:ascii="Times New Roman" w:hAnsi="Times New Roman"/>
                <w:sz w:val="24"/>
                <w:szCs w:val="24"/>
                <w:lang w:val="ro-RO"/>
              </w:rPr>
              <w:tab/>
              <w:t>costurile de conformare</w:t>
            </w:r>
          </w:p>
          <w:p w14:paraId="2B019CF1" w14:textId="69BBC35D" w:rsidR="007353A2" w:rsidRPr="00A249FD" w:rsidRDefault="007353A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Numărul și dimensiunea întreprinderilor afectate variază în mare măsură în funcție de diferitele categorii de produse. Deși sunt disponibile date pentru piața îngrășămintelor anorganice la nivelul UE, există mai puține informații cu privire la numărul și dimensiunile întreprinderilor care produc alte produse fertilizante. Prin urmare, s-a constatat că nu este posibil să se diferențieze costurile pentru diferitele tipuri de societăți.</w:t>
            </w:r>
          </w:p>
          <w:p w14:paraId="0875F20A" w14:textId="6ED76E1E" w:rsidR="007353A2" w:rsidRPr="00A249FD" w:rsidRDefault="007353A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Costurile pentru industrie se referă la prezentarea unui dosar tehnic pentru analiză de către Grupul de lucru pentru îngrășăminte. Procedura națională de înregistrare cea mai sofisticată și mai costisitoare (și anume, Franța) a fost luată ca bază pentru acest calcul, având în vedere că societățile utilizează adesea aceleași informații care au fost prezentate anterior pentru obținerea unei autorizații/înregistrări naționale. Prin urmare, se presupune că costurile legate de pregătirea unui dosar tehnic la nivelul UE se ridică la </w:t>
            </w:r>
            <w:r w:rsidR="00830D82">
              <w:rPr>
                <w:rFonts w:ascii="Times New Roman" w:hAnsi="Times New Roman"/>
                <w:sz w:val="24"/>
                <w:szCs w:val="24"/>
                <w:lang w:val="ro-RO"/>
              </w:rPr>
              <w:t>cca</w:t>
            </w:r>
            <w:r w:rsidRPr="00A249FD">
              <w:rPr>
                <w:rFonts w:ascii="Times New Roman" w:hAnsi="Times New Roman"/>
                <w:sz w:val="24"/>
                <w:szCs w:val="24"/>
                <w:lang w:val="ro-RO"/>
              </w:rPr>
              <w:t xml:space="preserve"> 50 000 EUR.</w:t>
            </w:r>
          </w:p>
          <w:p w14:paraId="2ADD412A" w14:textId="77777777" w:rsidR="00EC794B" w:rsidRPr="00A249FD" w:rsidRDefault="00EC794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Costurile înregistrării și standardizării</w:t>
            </w:r>
          </w:p>
          <w:p w14:paraId="0519A94D" w14:textId="77777777" w:rsidR="00EC794B" w:rsidRPr="00A249FD" w:rsidRDefault="00EC794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Se poate presupune că costurile suportate de industrie pentru pregătirea dosarelor de cerere pentru tipuri vor fi mai mari decât media actuală, deoarece cerințele în materie de date vor fi probabil mai mari. De câțiva ani, Comisia a observat că enumerarea unui nou tip sau revizuirea unui tip existent generează mult mai multe întrebări din partea statelor membre decât în trecut, în special în ceea ce privește aspectele legate de siguranță. Această tendință generală este paralelă cu consolidarea generală a reglementărilor privind produsele agricole de bază (de exemplu, produsele de protecție a plantelor, aditivii furajeri etc.) care sunt destinate transformării în produse alimentare de bază. Acest lucru ar justifica o creștere a costurilor de pregătire a dosarelor. S-a presupus că costurile de pregătire a dosarului s-ar ridica la aproximativ 50 000 EUR.</w:t>
            </w:r>
          </w:p>
          <w:p w14:paraId="44809590" w14:textId="2C80AC1F" w:rsidR="00EC794B" w:rsidRPr="00A249FD" w:rsidRDefault="00EC794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Statele membre ar trebui să efectueze prima evaluare a dosarelor depuse și apoi să participe la procesul de evaluare inter </w:t>
            </w:r>
            <w:proofErr w:type="spellStart"/>
            <w:r w:rsidRPr="00A249FD">
              <w:rPr>
                <w:rFonts w:ascii="Times New Roman" w:hAnsi="Times New Roman"/>
                <w:sz w:val="24"/>
                <w:szCs w:val="24"/>
                <w:lang w:val="ro-RO"/>
              </w:rPr>
              <w:t>pares</w:t>
            </w:r>
            <w:proofErr w:type="spellEnd"/>
            <w:r w:rsidRPr="00A249FD">
              <w:rPr>
                <w:rFonts w:ascii="Times New Roman" w:hAnsi="Times New Roman"/>
                <w:sz w:val="24"/>
                <w:szCs w:val="24"/>
                <w:lang w:val="ro-RO"/>
              </w:rPr>
              <w:t xml:space="preserve">. În comparație cu opțiunea 1 (în special costurile de la punctul B.10), statele membre ar avea nevoie de mai multe ENI per dosar, deoarece dosarele ar fi mai cuprinzătoare, iar numărul lor ar crește. Conform cifrelor menționate mai sus, între 960-1 070 de noi tipuri ar trebui să fie evaluate și evaluate inter </w:t>
            </w:r>
            <w:proofErr w:type="spellStart"/>
            <w:r w:rsidRPr="00A249FD">
              <w:rPr>
                <w:rFonts w:ascii="Times New Roman" w:hAnsi="Times New Roman"/>
                <w:sz w:val="24"/>
                <w:szCs w:val="24"/>
                <w:lang w:val="ro-RO"/>
              </w:rPr>
              <w:t>pares</w:t>
            </w:r>
            <w:proofErr w:type="spellEnd"/>
            <w:r w:rsidRPr="00A249FD">
              <w:rPr>
                <w:rFonts w:ascii="Times New Roman" w:hAnsi="Times New Roman"/>
                <w:sz w:val="24"/>
                <w:szCs w:val="24"/>
                <w:lang w:val="ro-RO"/>
              </w:rPr>
              <w:t xml:space="preserve">. În consecință, numărul ENI ar crește la 5 ENI în ceea ce privește Comisia. Având în vedere că ar fi necesar un interval de timp de 20 de ani pentru a înregistra toate tipurile identificate, fiecare expert național ar trebui să se ocupe de aproximativ 10 procese de evaluare inter </w:t>
            </w:r>
            <w:proofErr w:type="spellStart"/>
            <w:r w:rsidRPr="00A249FD">
              <w:rPr>
                <w:rFonts w:ascii="Times New Roman" w:hAnsi="Times New Roman"/>
                <w:sz w:val="24"/>
                <w:szCs w:val="24"/>
                <w:lang w:val="ro-RO"/>
              </w:rPr>
              <w:t>pares</w:t>
            </w:r>
            <w:proofErr w:type="spellEnd"/>
            <w:r w:rsidRPr="00A249FD">
              <w:rPr>
                <w:rFonts w:ascii="Times New Roman" w:hAnsi="Times New Roman"/>
                <w:sz w:val="24"/>
                <w:szCs w:val="24"/>
                <w:lang w:val="ro-RO"/>
              </w:rPr>
              <w:t xml:space="preserve"> anual. Costurile suportate de Comisie ar urma să fie acoperite </w:t>
            </w:r>
            <w:r w:rsidR="00E53263" w:rsidRPr="00A249FD">
              <w:rPr>
                <w:rFonts w:ascii="Times New Roman" w:hAnsi="Times New Roman"/>
                <w:sz w:val="24"/>
                <w:szCs w:val="24"/>
                <w:lang w:val="ro-RO"/>
              </w:rPr>
              <w:t>ca costuri</w:t>
            </w:r>
            <w:r w:rsidRPr="00A249FD">
              <w:rPr>
                <w:rFonts w:ascii="Times New Roman" w:hAnsi="Times New Roman"/>
                <w:sz w:val="24"/>
                <w:szCs w:val="24"/>
                <w:lang w:val="ro-RO"/>
              </w:rPr>
              <w:t xml:space="preserve"> de guvernanță.</w:t>
            </w:r>
          </w:p>
          <w:p w14:paraId="0DE186FF" w14:textId="44253582" w:rsidR="00EC794B" w:rsidRPr="00A249FD" w:rsidRDefault="00EC794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Costurile pentru participarea la reuniunile grupurilor de lucru pentru îngrășăminte sunt acoperite la </w:t>
            </w:r>
            <w:r w:rsidR="00E53263" w:rsidRPr="00A249FD">
              <w:rPr>
                <w:rFonts w:ascii="Times New Roman" w:hAnsi="Times New Roman"/>
                <w:sz w:val="24"/>
                <w:szCs w:val="24"/>
                <w:lang w:val="ro-RO"/>
              </w:rPr>
              <w:t>fel de către Comisia Europeană</w:t>
            </w:r>
            <w:r w:rsidRPr="00A249FD">
              <w:rPr>
                <w:rFonts w:ascii="Times New Roman" w:hAnsi="Times New Roman"/>
                <w:sz w:val="24"/>
                <w:szCs w:val="24"/>
                <w:lang w:val="ro-RO"/>
              </w:rPr>
              <w:t xml:space="preserve">. Având în vedere că costurile pentru ECHA sau EFSA sunt deja incluse în costurile de guvernanță, nu este necesar să se facă o distincție între variantele de aici. Prin urmare, </w:t>
            </w:r>
            <w:r w:rsidR="00E53263" w:rsidRPr="00A249FD">
              <w:rPr>
                <w:rFonts w:ascii="Times New Roman" w:hAnsi="Times New Roman"/>
                <w:sz w:val="24"/>
                <w:szCs w:val="24"/>
                <w:lang w:val="ro-RO"/>
              </w:rPr>
              <w:t>sunt acoperite</w:t>
            </w:r>
            <w:r w:rsidRPr="00A249FD">
              <w:rPr>
                <w:rFonts w:ascii="Times New Roman" w:hAnsi="Times New Roman"/>
                <w:sz w:val="24"/>
                <w:szCs w:val="24"/>
                <w:lang w:val="ro-RO"/>
              </w:rPr>
              <w:t xml:space="preserve"> costurile pregătirii cererii de către industrie și costurile evaluării inter </w:t>
            </w:r>
            <w:proofErr w:type="spellStart"/>
            <w:r w:rsidRPr="00A249FD">
              <w:rPr>
                <w:rFonts w:ascii="Times New Roman" w:hAnsi="Times New Roman"/>
                <w:sz w:val="24"/>
                <w:szCs w:val="24"/>
                <w:lang w:val="ro-RO"/>
              </w:rPr>
              <w:t>pares</w:t>
            </w:r>
            <w:proofErr w:type="spellEnd"/>
            <w:r w:rsidRPr="00A249FD">
              <w:rPr>
                <w:rFonts w:ascii="Times New Roman" w:hAnsi="Times New Roman"/>
                <w:sz w:val="24"/>
                <w:szCs w:val="24"/>
                <w:lang w:val="ro-RO"/>
              </w:rPr>
              <w:t xml:space="preserve"> de către experții statelor membre înainte de luarea unei decizii finale cu privire la cerere în cadrul unei reuniuni a Grupului de lucru pentru îngrășăminte.</w:t>
            </w:r>
          </w:p>
          <w:p w14:paraId="200494D1" w14:textId="05E37CC5" w:rsidR="006E30C1" w:rsidRPr="00A249FD" w:rsidRDefault="00E53263"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Costurile elaborării și menținerii unui standard nou ar putea fi derivate din costurile standardizării calculate  de 97450  EUR. Întrucât costurile date sunt solicitate exclusiv dacă produsul dezvoltat are tendința de a i se aplica marc</w:t>
            </w:r>
            <w:r w:rsidR="008A06A5" w:rsidRPr="00A249FD">
              <w:rPr>
                <w:rFonts w:ascii="Times New Roman" w:hAnsi="Times New Roman"/>
                <w:sz w:val="24"/>
                <w:szCs w:val="24"/>
                <w:lang w:val="ro-RO"/>
              </w:rPr>
              <w:t xml:space="preserve">ajul CE, iar mare majoritate a standardelor armonizate de domeniul produselor fertilizante deja sunt consolidate la nivel de inițiatică d reglementare a Comisiei Europene, atunci se preconizează că opțiunea aleasă vă exclude industriei proprii </w:t>
            </w:r>
            <w:proofErr w:type="spellStart"/>
            <w:r w:rsidR="008A06A5" w:rsidRPr="00A249FD">
              <w:rPr>
                <w:rFonts w:ascii="Times New Roman" w:hAnsi="Times New Roman"/>
                <w:sz w:val="24"/>
                <w:szCs w:val="24"/>
                <w:lang w:val="ro-RO"/>
              </w:rPr>
              <w:t>plenipotențiare</w:t>
            </w:r>
            <w:proofErr w:type="spellEnd"/>
            <w:r w:rsidR="008A06A5" w:rsidRPr="00A249FD">
              <w:rPr>
                <w:rFonts w:ascii="Times New Roman" w:hAnsi="Times New Roman"/>
                <w:sz w:val="24"/>
                <w:szCs w:val="24"/>
                <w:lang w:val="ro-RO"/>
              </w:rPr>
              <w:t xml:space="preserve"> de dezvoltarea a produselor noi de asemenea cheltuieli.</w:t>
            </w:r>
            <w:r w:rsidR="00D73FAA" w:rsidRPr="00A249FD">
              <w:rPr>
                <w:rFonts w:ascii="Times New Roman" w:hAnsi="Times New Roman"/>
                <w:sz w:val="24"/>
                <w:szCs w:val="24"/>
                <w:lang w:val="ro-RO"/>
              </w:rPr>
              <w:t xml:space="preserve"> Alte costuri exceptate ar fi dezvoltarea capacităților naționale de care ar fi capabile pentru evaluarea substanțelor chimice pentru fiecare ingredient. Aceste costuri, la fel sunt acoperite prin prevederile  proiectului nou, de către Autoritatea europeană pentru substanțele</w:t>
            </w:r>
            <w:r w:rsidR="00273A1A" w:rsidRPr="00A249FD">
              <w:rPr>
                <w:rFonts w:ascii="Times New Roman" w:hAnsi="Times New Roman"/>
                <w:sz w:val="24"/>
                <w:szCs w:val="24"/>
                <w:lang w:val="ro-RO"/>
              </w:rPr>
              <w:t xml:space="preserve"> chimice, Autoritatea Europeană pentru siguranța alimentelor </w:t>
            </w:r>
            <w:r w:rsidR="00D73FAA" w:rsidRPr="00A249FD">
              <w:rPr>
                <w:rFonts w:ascii="Times New Roman" w:hAnsi="Times New Roman"/>
                <w:sz w:val="24"/>
                <w:szCs w:val="24"/>
                <w:lang w:val="ro-RO"/>
              </w:rPr>
              <w:t>și prin avizele sale  la fiecare ingredient (circa 311 ingrediente noi), producătorii pot să-și ajusteze Fișele cu date de securitate.</w:t>
            </w:r>
          </w:p>
          <w:p w14:paraId="6421E2BC" w14:textId="461A37DB" w:rsidR="00273A1A" w:rsidRPr="00A249FD" w:rsidRDefault="00273A1A"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La fel, producătorul întocmește documentația tehnică care îi permite să evalueze conformitatea produselor cu cerințele esențiale (conținutul de </w:t>
            </w:r>
            <w:proofErr w:type="spellStart"/>
            <w:r w:rsidRPr="00A249FD">
              <w:rPr>
                <w:rFonts w:ascii="Times New Roman" w:hAnsi="Times New Roman"/>
                <w:sz w:val="24"/>
                <w:szCs w:val="24"/>
                <w:lang w:val="ro-RO"/>
              </w:rPr>
              <w:t>nutrienți</w:t>
            </w:r>
            <w:proofErr w:type="spellEnd"/>
            <w:r w:rsidRPr="00A249FD">
              <w:rPr>
                <w:rFonts w:ascii="Times New Roman" w:hAnsi="Times New Roman"/>
                <w:sz w:val="24"/>
                <w:szCs w:val="24"/>
                <w:lang w:val="ro-RO"/>
              </w:rPr>
              <w:t xml:space="preserve"> sau alte criterii de calitate, informații privind contaminanții etc.). Documentația include, de asemenea, o descriere generală a metodei de producție. Producătorul păstrează documentația tehnică la dispoziția autorităților </w:t>
            </w:r>
            <w:r w:rsidR="00F00D22" w:rsidRPr="00A249FD">
              <w:rPr>
                <w:rFonts w:ascii="Times New Roman" w:hAnsi="Times New Roman"/>
                <w:sz w:val="24"/>
                <w:szCs w:val="24"/>
                <w:lang w:val="ro-RO"/>
              </w:rPr>
              <w:t>competente de supravegherea pieței</w:t>
            </w:r>
            <w:r w:rsidRPr="00A249FD">
              <w:rPr>
                <w:rFonts w:ascii="Times New Roman" w:hAnsi="Times New Roman"/>
                <w:sz w:val="24"/>
                <w:szCs w:val="24"/>
                <w:lang w:val="ro-RO"/>
              </w:rPr>
              <w:t>. Producătorul se asigură că procesul de fabricație și monitorizarea acestuia sunt de așa natură încât produsele respectă documentația tehnică; producătorul aplică apoi marcajul CE pe produsele sale. Producătorul furnizează o declarație de conformitate scrisă pentru fiecare produs conform și o păstrează împreună cu documentația tehnică.</w:t>
            </w:r>
            <w:r w:rsidR="00F00D22" w:rsidRPr="00A249FD">
              <w:rPr>
                <w:rFonts w:ascii="Times New Roman" w:hAnsi="Times New Roman"/>
                <w:sz w:val="24"/>
                <w:szCs w:val="24"/>
                <w:lang w:val="ro-RO"/>
              </w:rPr>
              <w:t xml:space="preserve"> Permițând </w:t>
            </w:r>
            <w:proofErr w:type="spellStart"/>
            <w:r w:rsidR="00F00D22" w:rsidRPr="00A249FD">
              <w:rPr>
                <w:rFonts w:ascii="Times New Roman" w:hAnsi="Times New Roman"/>
                <w:sz w:val="24"/>
                <w:szCs w:val="24"/>
                <w:lang w:val="ro-RO"/>
              </w:rPr>
              <w:t>autocertificarea</w:t>
            </w:r>
            <w:proofErr w:type="spellEnd"/>
            <w:r w:rsidR="00F00D22" w:rsidRPr="00A249FD">
              <w:rPr>
                <w:rFonts w:ascii="Times New Roman" w:hAnsi="Times New Roman"/>
                <w:sz w:val="24"/>
                <w:szCs w:val="24"/>
                <w:lang w:val="ro-RO"/>
              </w:rPr>
              <w:t>, costurile pentru administrare și testare ar fi relativ limitate. Costurile pentru producătorul autohton s-ar limita la colectarea și pregătirea documentației tehnice care demonstrează conformitatea produsului finit cu cerințele esențiale. Conform sondajului privind IMM-urile la nivel de UE, producătorii cheltuiesc în medie 30 mii EUR în fiecare an pentru sistemul lor de asigurare a calității. Cu toate acestea, aceste costuri ar putea fi considerate costuri de statu-quo, și anume costurile rezultate din colectarea și prelucrarea informațiilor care ar fi efectuate chiar și în absența legislației armonizate și, prin urmare, nu ar trebui luate în considerare în evaluarea actuală a costurilor sarcinii administrative.</w:t>
            </w:r>
            <w:r w:rsidR="00F7410D" w:rsidRPr="00A249FD">
              <w:rPr>
                <w:rFonts w:ascii="Times New Roman" w:hAnsi="Times New Roman"/>
                <w:sz w:val="24"/>
                <w:szCs w:val="24"/>
                <w:lang w:val="ro-RO"/>
              </w:rPr>
              <w:t xml:space="preserve"> Totodată, producătorul trebuie să pregătească documentația tehnică pentru a demonstra că produsul respectă cerințele esențiale </w:t>
            </w:r>
            <w:r w:rsidR="00F7410D" w:rsidRPr="00A249FD">
              <w:rPr>
                <w:rFonts w:ascii="Times New Roman" w:hAnsi="Times New Roman"/>
                <w:sz w:val="24"/>
                <w:szCs w:val="24"/>
                <w:lang w:val="ro-RO"/>
              </w:rPr>
              <w:lastRenderedPageBreak/>
              <w:t xml:space="preserve">prevăzute Prezentul proiect de Lege și să prezinte unui organism notificat un specimen reprezentativ al produsului avut în vedere. Organismul notificat examinează documentația tehnică, precum și produsul real, efectuează examinările și încercările corespunzătoare, dacă este necesar, și emite un certificat de examinare CE de tip prin care declară că tipul îndeplinește cerințele esențiale conform Regulamentului UE 2019/1009. Certificarea ar fi valabilă pentru durata de viață comercială a produsului, cu excepția cazului în care producătorul introduce noi materii prime și/sau un nou proces de producție. Costurile evaluării conformității produsului de către organismele notificate sunt, de regulă, costuri unice care ar fi necesare înainte de prima introducere pe piață a unui produs. Pentru ca declarația de conformitate să fie </w:t>
            </w:r>
            <w:proofErr w:type="spellStart"/>
            <w:r w:rsidR="00F7410D" w:rsidRPr="00A249FD">
              <w:rPr>
                <w:rFonts w:ascii="Times New Roman" w:hAnsi="Times New Roman"/>
                <w:sz w:val="24"/>
                <w:szCs w:val="24"/>
                <w:lang w:val="ro-RO"/>
              </w:rPr>
              <w:t>întoicmită</w:t>
            </w:r>
            <w:proofErr w:type="spellEnd"/>
            <w:r w:rsidR="00F7410D" w:rsidRPr="00A249FD">
              <w:rPr>
                <w:rFonts w:ascii="Times New Roman" w:hAnsi="Times New Roman"/>
                <w:sz w:val="24"/>
                <w:szCs w:val="24"/>
                <w:lang w:val="ro-RO"/>
              </w:rPr>
              <w:t>, producătorul ia măsurile necesare pentru ca procesul de fabricație să fie în conformitate cu tipul aprobat descris în certificatul de examinare CE de tip emis de organismul notificat. Astfel nu este necesar implicarea ulterioară a unui organism notificat.</w:t>
            </w:r>
            <w:r w:rsidR="00836E4B" w:rsidRPr="00A249FD">
              <w:rPr>
                <w:rFonts w:ascii="Times New Roman" w:hAnsi="Times New Roman"/>
                <w:sz w:val="24"/>
                <w:szCs w:val="24"/>
                <w:lang w:val="ro-RO"/>
              </w:rPr>
              <w:t xml:space="preserve"> La fel, organismele notificate ar trebuie să efectueze teste periodice cu privire la aspecte specifice (de exemplu, verificarea conținutului de contaminanți, testul de detonare pentru îngrășămintele pe bază de azotat de amoniu etc.). Costurile pentru testarea suplimentară ar depinde în principal de caracteristicile produselor care trebuie verificate. Din motive de claritate, se presupune că prezența contaminanților  și verificarea ocazională a parametrilor de calitate prin testare ar avea loc și că toate produsele introduse pe piață ar urma aceeași examinare la intervale regulate (și anume, o dată la cinci ani).</w:t>
            </w:r>
          </w:p>
          <w:p w14:paraId="6968DF88" w14:textId="47AA0FAB" w:rsidR="00EF27F9" w:rsidRPr="00A249FD" w:rsidRDefault="00FB00EF" w:rsidP="006B0BFC">
            <w:pPr>
              <w:shd w:val="clear" w:color="auto" w:fill="FFFFFF" w:themeFill="background1"/>
              <w:ind w:firstLine="0"/>
              <w:rPr>
                <w:rFonts w:ascii="Times New Roman" w:hAnsi="Times New Roman"/>
                <w:b/>
                <w:sz w:val="24"/>
                <w:szCs w:val="24"/>
                <w:lang w:val="ro-RO"/>
              </w:rPr>
            </w:pPr>
            <w:r w:rsidRPr="00A249FD">
              <w:rPr>
                <w:rFonts w:ascii="Times New Roman" w:hAnsi="Times New Roman"/>
                <w:i/>
                <w:sz w:val="24"/>
                <w:szCs w:val="24"/>
                <w:lang w:val="ro-RO"/>
              </w:rPr>
              <w:t xml:space="preserve">Tabelul </w:t>
            </w:r>
            <w:r w:rsidR="007D7986">
              <w:rPr>
                <w:rFonts w:ascii="Times New Roman" w:hAnsi="Times New Roman"/>
                <w:i/>
                <w:sz w:val="24"/>
                <w:szCs w:val="24"/>
                <w:lang w:val="ro-RO"/>
              </w:rPr>
              <w:t>3.</w:t>
            </w:r>
            <w:r w:rsidR="00EF27F9" w:rsidRPr="00A249FD">
              <w:rPr>
                <w:rFonts w:ascii="Times New Roman" w:hAnsi="Times New Roman"/>
                <w:sz w:val="24"/>
                <w:szCs w:val="24"/>
                <w:lang w:val="ro-RO"/>
              </w:rPr>
              <w:t xml:space="preserve"> Sinteza costurilor pe care industria </w:t>
            </w:r>
            <w:r w:rsidR="009B02B7" w:rsidRPr="00A249FD">
              <w:rPr>
                <w:rFonts w:ascii="Times New Roman" w:hAnsi="Times New Roman"/>
                <w:sz w:val="24"/>
                <w:szCs w:val="24"/>
                <w:lang w:val="ro-RO"/>
              </w:rPr>
              <w:t xml:space="preserve">UE </w:t>
            </w:r>
            <w:r w:rsidR="00EF27F9" w:rsidRPr="00A249FD">
              <w:rPr>
                <w:rFonts w:ascii="Times New Roman" w:hAnsi="Times New Roman"/>
                <w:sz w:val="24"/>
                <w:szCs w:val="24"/>
                <w:lang w:val="ro-RO"/>
              </w:rPr>
              <w:t>trebuie să le suporte pentru a introduce noi produse pe piață</w:t>
            </w:r>
            <w:r w:rsidRPr="00A249FD">
              <w:rPr>
                <w:rFonts w:ascii="Times New Roman" w:hAnsi="Times New Roman"/>
                <w:sz w:val="24"/>
                <w:szCs w:val="24"/>
                <w:lang w:val="ro-RO"/>
              </w:rPr>
              <w:t xml:space="preserve"> </w:t>
            </w:r>
            <w:r w:rsidR="00EF27F9" w:rsidRPr="00A249FD">
              <w:rPr>
                <w:rFonts w:ascii="Times New Roman" w:hAnsi="Times New Roman"/>
                <w:sz w:val="24"/>
                <w:szCs w:val="24"/>
                <w:lang w:val="ro-RO"/>
              </w:rPr>
              <w:t>în toate variantele (în EUR)</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101"/>
              <w:gridCol w:w="1517"/>
              <w:gridCol w:w="1319"/>
              <w:gridCol w:w="1492"/>
              <w:gridCol w:w="1213"/>
              <w:gridCol w:w="1503"/>
            </w:tblGrid>
            <w:tr w:rsidR="00BA264D" w:rsidRPr="00A249FD" w14:paraId="2462982C" w14:textId="77777777" w:rsidTr="00BA264D">
              <w:trPr>
                <w:trHeight w:val="376"/>
              </w:trPr>
              <w:tc>
                <w:tcPr>
                  <w:tcW w:w="1531" w:type="dxa"/>
                  <w:vAlign w:val="center"/>
                </w:tcPr>
                <w:p w14:paraId="775463EE" w14:textId="5828D00A" w:rsidR="00EF27F9" w:rsidRPr="00A249FD" w:rsidRDefault="00EF27F9" w:rsidP="006B0BFC">
                  <w:pPr>
                    <w:shd w:val="clear" w:color="auto" w:fill="FFFFFF" w:themeFill="background1"/>
                    <w:ind w:firstLine="0"/>
                    <w:contextualSpacing/>
                    <w:rPr>
                      <w:rFonts w:eastAsia="Calibri"/>
                      <w:i/>
                      <w:sz w:val="10"/>
                      <w:szCs w:val="18"/>
                      <w:lang w:val="ro-RO"/>
                    </w:rPr>
                  </w:pPr>
                </w:p>
              </w:tc>
              <w:tc>
                <w:tcPr>
                  <w:tcW w:w="1101" w:type="dxa"/>
                  <w:vAlign w:val="center"/>
                </w:tcPr>
                <w:p w14:paraId="7B8AA781" w14:textId="77777777" w:rsidR="00EF27F9" w:rsidRPr="00A249FD" w:rsidRDefault="00EF27F9" w:rsidP="006B0BFC">
                  <w:pPr>
                    <w:shd w:val="clear" w:color="auto" w:fill="FFFFFF" w:themeFill="background1"/>
                    <w:ind w:firstLine="0"/>
                    <w:contextualSpacing/>
                    <w:rPr>
                      <w:rFonts w:eastAsia="Calibri"/>
                      <w:i/>
                      <w:sz w:val="14"/>
                      <w:szCs w:val="18"/>
                      <w:lang w:val="ro-RO"/>
                    </w:rPr>
                  </w:pPr>
                  <w:r w:rsidRPr="00A249FD">
                    <w:rPr>
                      <w:rFonts w:eastAsia="Calibri"/>
                      <w:i/>
                      <w:sz w:val="14"/>
                      <w:szCs w:val="18"/>
                      <w:lang w:val="ro-RO"/>
                    </w:rPr>
                    <w:t>Tipul certificării</w:t>
                  </w:r>
                </w:p>
              </w:tc>
              <w:tc>
                <w:tcPr>
                  <w:tcW w:w="1517" w:type="dxa"/>
                  <w:vAlign w:val="center"/>
                </w:tcPr>
                <w:p w14:paraId="1148FE6C" w14:textId="6EDC72E4" w:rsidR="00EF27F9" w:rsidRPr="00A249FD" w:rsidRDefault="00FB00EF" w:rsidP="006B0BFC">
                  <w:pPr>
                    <w:shd w:val="clear" w:color="auto" w:fill="FFFFFF" w:themeFill="background1"/>
                    <w:ind w:firstLine="0"/>
                    <w:contextualSpacing/>
                    <w:rPr>
                      <w:rFonts w:eastAsia="Calibri"/>
                      <w:i/>
                      <w:sz w:val="14"/>
                      <w:szCs w:val="18"/>
                      <w:lang w:val="ro-RO"/>
                    </w:rPr>
                  </w:pPr>
                  <w:r w:rsidRPr="00A249FD">
                    <w:rPr>
                      <w:i/>
                      <w:sz w:val="14"/>
                      <w:szCs w:val="18"/>
                      <w:lang w:val="ro-RO"/>
                    </w:rPr>
                    <w:t>costurile legate de pregătirea și evaluarea cererilor de înregistrare a îngrășămintelor în temeiul legislației CE</w:t>
                  </w:r>
                </w:p>
              </w:tc>
              <w:tc>
                <w:tcPr>
                  <w:tcW w:w="1319" w:type="dxa"/>
                  <w:vAlign w:val="center"/>
                </w:tcPr>
                <w:p w14:paraId="385520C5" w14:textId="0748C5AE" w:rsidR="00EF27F9" w:rsidRPr="00A249FD" w:rsidRDefault="00FB00EF" w:rsidP="006B0BFC">
                  <w:pPr>
                    <w:shd w:val="clear" w:color="auto" w:fill="FFFFFF" w:themeFill="background1"/>
                    <w:ind w:firstLine="0"/>
                    <w:contextualSpacing/>
                    <w:rPr>
                      <w:rFonts w:eastAsia="Calibri"/>
                      <w:i/>
                      <w:sz w:val="14"/>
                      <w:szCs w:val="18"/>
                      <w:lang w:val="ro-RO"/>
                    </w:rPr>
                  </w:pPr>
                  <w:r w:rsidRPr="00A249FD">
                    <w:rPr>
                      <w:i/>
                      <w:sz w:val="14"/>
                      <w:szCs w:val="18"/>
                      <w:lang w:val="ro-RO"/>
                    </w:rPr>
                    <w:t>Costurile legate de activitățile de standardizare ale CEN*</w:t>
                  </w:r>
                </w:p>
              </w:tc>
              <w:tc>
                <w:tcPr>
                  <w:tcW w:w="1492" w:type="dxa"/>
                  <w:vAlign w:val="center"/>
                </w:tcPr>
                <w:p w14:paraId="34D6ED80" w14:textId="108F5170" w:rsidR="00EF27F9" w:rsidRPr="00A249FD" w:rsidRDefault="00FB00EF" w:rsidP="006B0BFC">
                  <w:pPr>
                    <w:shd w:val="clear" w:color="auto" w:fill="FFFFFF" w:themeFill="background1"/>
                    <w:ind w:firstLine="0"/>
                    <w:contextualSpacing/>
                    <w:rPr>
                      <w:rFonts w:eastAsia="Calibri"/>
                      <w:i/>
                      <w:sz w:val="14"/>
                      <w:szCs w:val="18"/>
                      <w:lang w:val="ro-RO"/>
                    </w:rPr>
                  </w:pPr>
                  <w:r w:rsidRPr="00A249FD">
                    <w:rPr>
                      <w:i/>
                      <w:sz w:val="14"/>
                      <w:szCs w:val="18"/>
                      <w:lang w:val="ro-RO"/>
                    </w:rPr>
                    <w:t>Costuri legate de înregistrarea îngrășămintelor ca îngrășăminte naționale pe an pentru întregul sector</w:t>
                  </w:r>
                </w:p>
              </w:tc>
              <w:tc>
                <w:tcPr>
                  <w:tcW w:w="1213" w:type="dxa"/>
                  <w:vAlign w:val="center"/>
                </w:tcPr>
                <w:p w14:paraId="3462095D" w14:textId="12A48C05" w:rsidR="00EF27F9" w:rsidRPr="00A249FD" w:rsidRDefault="00FB00EF" w:rsidP="006B0BFC">
                  <w:pPr>
                    <w:shd w:val="clear" w:color="auto" w:fill="FFFFFF" w:themeFill="background1"/>
                    <w:ind w:firstLine="0"/>
                    <w:contextualSpacing/>
                    <w:rPr>
                      <w:rFonts w:eastAsia="Calibri"/>
                      <w:i/>
                      <w:sz w:val="14"/>
                      <w:szCs w:val="18"/>
                      <w:lang w:val="ro-RO"/>
                    </w:rPr>
                  </w:pPr>
                  <w:r w:rsidRPr="00A249FD">
                    <w:rPr>
                      <w:i/>
                      <w:sz w:val="14"/>
                      <w:szCs w:val="18"/>
                      <w:lang w:val="ro-RO"/>
                    </w:rPr>
                    <w:t>Costuri legate de Regulamentul privind recunoașterea reciprocă a îngrășămintelor naționale</w:t>
                  </w:r>
                </w:p>
              </w:tc>
              <w:tc>
                <w:tcPr>
                  <w:tcW w:w="1503" w:type="dxa"/>
                  <w:vAlign w:val="center"/>
                </w:tcPr>
                <w:p w14:paraId="300E01AA" w14:textId="77777777" w:rsidR="00EF27F9" w:rsidRPr="00A249FD" w:rsidRDefault="00EF27F9" w:rsidP="006B0BFC">
                  <w:pPr>
                    <w:shd w:val="clear" w:color="auto" w:fill="FFFFFF" w:themeFill="background1"/>
                    <w:ind w:firstLine="0"/>
                    <w:contextualSpacing/>
                    <w:rPr>
                      <w:rFonts w:eastAsia="Calibri"/>
                      <w:b/>
                      <w:sz w:val="14"/>
                      <w:szCs w:val="18"/>
                      <w:lang w:val="ro-RO"/>
                    </w:rPr>
                  </w:pPr>
                  <w:r w:rsidRPr="00A249FD">
                    <w:rPr>
                      <w:rFonts w:eastAsia="Calibri"/>
                      <w:b/>
                      <w:sz w:val="14"/>
                      <w:szCs w:val="18"/>
                      <w:lang w:val="ro-RO"/>
                    </w:rPr>
                    <w:t xml:space="preserve">Costuri </w:t>
                  </w:r>
                  <w:r w:rsidRPr="00A249FD">
                    <w:rPr>
                      <w:rFonts w:eastAsia="Calibri"/>
                      <w:b/>
                      <w:sz w:val="14"/>
                      <w:szCs w:val="18"/>
                      <w:u w:val="single"/>
                      <w:lang w:val="ro-RO"/>
                    </w:rPr>
                    <w:t>anuale</w:t>
                  </w:r>
                  <w:r w:rsidRPr="00A249FD">
                    <w:rPr>
                      <w:rFonts w:eastAsia="Calibri"/>
                      <w:b/>
                      <w:sz w:val="14"/>
                      <w:szCs w:val="18"/>
                      <w:lang w:val="ro-RO"/>
                    </w:rPr>
                    <w:t xml:space="preserve"> totale</w:t>
                  </w:r>
                </w:p>
              </w:tc>
            </w:tr>
            <w:tr w:rsidR="00BA264D" w:rsidRPr="00A249FD" w14:paraId="43678D76" w14:textId="77777777" w:rsidTr="00BA264D">
              <w:trPr>
                <w:trHeight w:val="248"/>
              </w:trPr>
              <w:tc>
                <w:tcPr>
                  <w:tcW w:w="1531" w:type="dxa"/>
                  <w:vAlign w:val="center"/>
                </w:tcPr>
                <w:p w14:paraId="75749969" w14:textId="77012CB2" w:rsidR="00EF27F9" w:rsidRPr="00A249FD" w:rsidRDefault="00EF27F9" w:rsidP="006B0BFC">
                  <w:pPr>
                    <w:shd w:val="clear" w:color="auto" w:fill="FFFFFF" w:themeFill="background1"/>
                    <w:ind w:firstLine="0"/>
                    <w:contextualSpacing/>
                    <w:rPr>
                      <w:rFonts w:eastAsia="Calibri"/>
                      <w:sz w:val="10"/>
                      <w:szCs w:val="18"/>
                      <w:lang w:val="ro-RO"/>
                    </w:rPr>
                  </w:pPr>
                  <w:r w:rsidRPr="00A249FD">
                    <w:rPr>
                      <w:rFonts w:eastAsia="Calibri"/>
                      <w:sz w:val="10"/>
                      <w:szCs w:val="18"/>
                      <w:lang w:val="ro-RO"/>
                    </w:rPr>
                    <w:t xml:space="preserve">Varianta </w:t>
                  </w:r>
                  <w:r w:rsidR="00FB00EF" w:rsidRPr="00A249FD">
                    <w:rPr>
                      <w:rFonts w:eastAsia="Calibri"/>
                      <w:sz w:val="10"/>
                      <w:szCs w:val="18"/>
                      <w:lang w:val="ro-RO"/>
                    </w:rPr>
                    <w:t xml:space="preserve">cu </w:t>
                  </w:r>
                  <w:proofErr w:type="spellStart"/>
                  <w:r w:rsidR="00FB00EF" w:rsidRPr="00A249FD">
                    <w:rPr>
                      <w:sz w:val="10"/>
                      <w:szCs w:val="18"/>
                      <w:lang w:val="ro-RO"/>
                    </w:rPr>
                    <w:t>Autocertificarea</w:t>
                  </w:r>
                  <w:proofErr w:type="spellEnd"/>
                </w:p>
              </w:tc>
              <w:tc>
                <w:tcPr>
                  <w:tcW w:w="1101" w:type="dxa"/>
                  <w:vAlign w:val="center"/>
                </w:tcPr>
                <w:p w14:paraId="152E51A6"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Nu se aplică</w:t>
                  </w:r>
                </w:p>
              </w:tc>
              <w:tc>
                <w:tcPr>
                  <w:tcW w:w="1517" w:type="dxa"/>
                  <w:vAlign w:val="center"/>
                </w:tcPr>
                <w:p w14:paraId="2CFF1490"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319" w:type="dxa"/>
                  <w:vAlign w:val="center"/>
                </w:tcPr>
                <w:p w14:paraId="50C4A82F"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2375050B"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5B4F3509"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08B28366"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882 150</w:t>
                  </w:r>
                </w:p>
              </w:tc>
            </w:tr>
            <w:tr w:rsidR="00BA264D" w:rsidRPr="00A249FD" w14:paraId="785C0269" w14:textId="77777777" w:rsidTr="00BA264D">
              <w:trPr>
                <w:trHeight w:val="127"/>
              </w:trPr>
              <w:tc>
                <w:tcPr>
                  <w:tcW w:w="1531" w:type="dxa"/>
                  <w:vMerge w:val="restart"/>
                  <w:vAlign w:val="center"/>
                </w:tcPr>
                <w:p w14:paraId="76AAC48D" w14:textId="1334D744" w:rsidR="00EF27F9" w:rsidRPr="00A249FD" w:rsidRDefault="00FB00EF" w:rsidP="006B0BFC">
                  <w:pPr>
                    <w:shd w:val="clear" w:color="auto" w:fill="FFFFFF" w:themeFill="background1"/>
                    <w:ind w:firstLine="0"/>
                    <w:contextualSpacing/>
                    <w:rPr>
                      <w:rFonts w:eastAsia="Calibri"/>
                      <w:sz w:val="10"/>
                      <w:szCs w:val="18"/>
                      <w:lang w:val="ro-RO"/>
                    </w:rPr>
                  </w:pPr>
                  <w:r w:rsidRPr="00A249FD">
                    <w:rPr>
                      <w:rFonts w:eastAsia="Calibri"/>
                      <w:sz w:val="10"/>
                      <w:szCs w:val="18"/>
                      <w:lang w:val="ro-RO"/>
                    </w:rPr>
                    <w:t>verificarea prin certificare de către o parte terță a conformității produselor cu criteriile esențiale de siguranță</w:t>
                  </w:r>
                </w:p>
              </w:tc>
              <w:tc>
                <w:tcPr>
                  <w:tcW w:w="1101" w:type="dxa"/>
                  <w:vAlign w:val="center"/>
                </w:tcPr>
                <w:p w14:paraId="10434984"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Pe produs</w:t>
                  </w:r>
                </w:p>
              </w:tc>
              <w:tc>
                <w:tcPr>
                  <w:tcW w:w="1517" w:type="dxa"/>
                  <w:vAlign w:val="center"/>
                </w:tcPr>
                <w:p w14:paraId="0067FCD6"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53 634 500</w:t>
                  </w:r>
                </w:p>
              </w:tc>
              <w:tc>
                <w:tcPr>
                  <w:tcW w:w="1319" w:type="dxa"/>
                  <w:vAlign w:val="center"/>
                </w:tcPr>
                <w:p w14:paraId="305B53D7"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3AAC3E7E"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7CE63266"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26286FF6"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54 516 650</w:t>
                  </w:r>
                </w:p>
              </w:tc>
            </w:tr>
            <w:tr w:rsidR="00BA264D" w:rsidRPr="00A249FD" w14:paraId="070FB9E4" w14:textId="77777777" w:rsidTr="00BA264D">
              <w:trPr>
                <w:trHeight w:val="127"/>
              </w:trPr>
              <w:tc>
                <w:tcPr>
                  <w:tcW w:w="1531" w:type="dxa"/>
                  <w:vMerge/>
                </w:tcPr>
                <w:p w14:paraId="7CD5725F" w14:textId="77777777" w:rsidR="00EF27F9" w:rsidRPr="00A249FD" w:rsidRDefault="00EF27F9" w:rsidP="006B0BFC">
                  <w:pPr>
                    <w:shd w:val="clear" w:color="auto" w:fill="FFFFFF" w:themeFill="background1"/>
                    <w:ind w:firstLine="0"/>
                    <w:contextualSpacing/>
                    <w:rPr>
                      <w:rFonts w:eastAsia="Calibri"/>
                      <w:sz w:val="10"/>
                      <w:szCs w:val="18"/>
                      <w:lang w:val="ro-RO"/>
                    </w:rPr>
                  </w:pPr>
                </w:p>
              </w:tc>
              <w:tc>
                <w:tcPr>
                  <w:tcW w:w="1101" w:type="dxa"/>
                  <w:vAlign w:val="center"/>
                </w:tcPr>
                <w:p w14:paraId="2391AD03"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Pe familie</w:t>
                  </w:r>
                </w:p>
              </w:tc>
              <w:tc>
                <w:tcPr>
                  <w:tcW w:w="1517" w:type="dxa"/>
                  <w:vAlign w:val="center"/>
                </w:tcPr>
                <w:p w14:paraId="26A7015E"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5 000 000</w:t>
                  </w:r>
                </w:p>
              </w:tc>
              <w:tc>
                <w:tcPr>
                  <w:tcW w:w="1319" w:type="dxa"/>
                  <w:vAlign w:val="center"/>
                </w:tcPr>
                <w:p w14:paraId="6FEC2C3E"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526A3019"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4EC4065F"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51355BCD"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5 882 150</w:t>
                  </w:r>
                </w:p>
              </w:tc>
            </w:tr>
            <w:tr w:rsidR="00BA264D" w:rsidRPr="00A249FD" w14:paraId="3B657DA9" w14:textId="77777777" w:rsidTr="00BA264D">
              <w:trPr>
                <w:trHeight w:val="248"/>
              </w:trPr>
              <w:tc>
                <w:tcPr>
                  <w:tcW w:w="1531" w:type="dxa"/>
                  <w:vMerge w:val="restart"/>
                  <w:vAlign w:val="center"/>
                </w:tcPr>
                <w:p w14:paraId="015B2152" w14:textId="366335D6" w:rsidR="00EF27F9" w:rsidRPr="00A249FD" w:rsidRDefault="00FB00EF" w:rsidP="006B0BFC">
                  <w:pPr>
                    <w:shd w:val="clear" w:color="auto" w:fill="FFFFFF" w:themeFill="background1"/>
                    <w:ind w:firstLine="0"/>
                    <w:contextualSpacing/>
                    <w:rPr>
                      <w:rFonts w:eastAsia="Calibri"/>
                      <w:sz w:val="10"/>
                      <w:szCs w:val="18"/>
                      <w:lang w:val="ro-RO"/>
                    </w:rPr>
                  </w:pPr>
                  <w:r w:rsidRPr="00A249FD">
                    <w:rPr>
                      <w:rFonts w:eastAsia="Calibri"/>
                      <w:sz w:val="10"/>
                      <w:szCs w:val="18"/>
                      <w:lang w:val="ro-RO"/>
                    </w:rPr>
                    <w:t>Verificarea prin certificarea de către o parte terță a conformității produselor cu criteriile esențiale de siguranță, plus teste periodice privind aspecte specifice</w:t>
                  </w:r>
                </w:p>
              </w:tc>
              <w:tc>
                <w:tcPr>
                  <w:tcW w:w="1101" w:type="dxa"/>
                  <w:vAlign w:val="center"/>
                </w:tcPr>
                <w:p w14:paraId="2019F0D3"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Pe produs</w:t>
                  </w:r>
                </w:p>
              </w:tc>
              <w:tc>
                <w:tcPr>
                  <w:tcW w:w="1517" w:type="dxa"/>
                  <w:vAlign w:val="center"/>
                </w:tcPr>
                <w:p w14:paraId="1E38A4AC"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155 540 050</w:t>
                  </w:r>
                </w:p>
              </w:tc>
              <w:tc>
                <w:tcPr>
                  <w:tcW w:w="1319" w:type="dxa"/>
                  <w:vAlign w:val="center"/>
                </w:tcPr>
                <w:p w14:paraId="7E122D8A"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1A6A0188"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6FC979F9"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1F592ECF"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156 422 500</w:t>
                  </w:r>
                </w:p>
              </w:tc>
            </w:tr>
            <w:tr w:rsidR="00BA264D" w:rsidRPr="00A249FD" w14:paraId="307CB293" w14:textId="77777777" w:rsidTr="00BA264D">
              <w:trPr>
                <w:trHeight w:val="131"/>
              </w:trPr>
              <w:tc>
                <w:tcPr>
                  <w:tcW w:w="1531" w:type="dxa"/>
                  <w:vMerge/>
                  <w:vAlign w:val="center"/>
                </w:tcPr>
                <w:p w14:paraId="3F929AA8" w14:textId="77777777" w:rsidR="00EF27F9" w:rsidRPr="00A249FD" w:rsidRDefault="00EF27F9" w:rsidP="006B0BFC">
                  <w:pPr>
                    <w:shd w:val="clear" w:color="auto" w:fill="FFFFFF" w:themeFill="background1"/>
                    <w:ind w:firstLine="0"/>
                    <w:contextualSpacing/>
                    <w:rPr>
                      <w:rFonts w:eastAsia="Calibri"/>
                      <w:sz w:val="10"/>
                      <w:szCs w:val="18"/>
                      <w:lang w:val="ro-RO"/>
                    </w:rPr>
                  </w:pPr>
                </w:p>
              </w:tc>
              <w:tc>
                <w:tcPr>
                  <w:tcW w:w="1101" w:type="dxa"/>
                  <w:vAlign w:val="center"/>
                </w:tcPr>
                <w:p w14:paraId="7643E5D6"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Pe familie</w:t>
                  </w:r>
                </w:p>
              </w:tc>
              <w:tc>
                <w:tcPr>
                  <w:tcW w:w="1517" w:type="dxa"/>
                  <w:vAlign w:val="center"/>
                </w:tcPr>
                <w:p w14:paraId="25D53589"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14 500 000</w:t>
                  </w:r>
                </w:p>
              </w:tc>
              <w:tc>
                <w:tcPr>
                  <w:tcW w:w="1319" w:type="dxa"/>
                  <w:vAlign w:val="center"/>
                </w:tcPr>
                <w:p w14:paraId="7F7386BB"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0E04BC75"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66BE862E"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362E7CF6"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15 382 150</w:t>
                  </w:r>
                </w:p>
              </w:tc>
            </w:tr>
            <w:tr w:rsidR="00BA264D" w:rsidRPr="00A249FD" w14:paraId="6E5CCC03" w14:textId="77777777" w:rsidTr="00BA264D">
              <w:trPr>
                <w:trHeight w:val="248"/>
              </w:trPr>
              <w:tc>
                <w:tcPr>
                  <w:tcW w:w="1531" w:type="dxa"/>
                  <w:vMerge w:val="restart"/>
                  <w:vAlign w:val="center"/>
                </w:tcPr>
                <w:p w14:paraId="3ADB76A3" w14:textId="77777777" w:rsidR="00EF27F9" w:rsidRPr="00A249FD" w:rsidRDefault="00EF27F9" w:rsidP="006B0BFC">
                  <w:pPr>
                    <w:shd w:val="clear" w:color="auto" w:fill="FFFFFF" w:themeFill="background1"/>
                    <w:ind w:firstLine="0"/>
                    <w:contextualSpacing/>
                    <w:rPr>
                      <w:rFonts w:eastAsia="Calibri"/>
                      <w:sz w:val="10"/>
                      <w:szCs w:val="18"/>
                      <w:lang w:val="ro-RO"/>
                    </w:rPr>
                  </w:pPr>
                </w:p>
                <w:p w14:paraId="10631EC3" w14:textId="69F3B192" w:rsidR="00EF27F9" w:rsidRPr="00A249FD" w:rsidRDefault="00FB00EF" w:rsidP="006B0BFC">
                  <w:pPr>
                    <w:shd w:val="clear" w:color="auto" w:fill="FFFFFF" w:themeFill="background1"/>
                    <w:ind w:firstLine="0"/>
                    <w:contextualSpacing/>
                    <w:rPr>
                      <w:rFonts w:eastAsia="Calibri"/>
                      <w:sz w:val="10"/>
                      <w:szCs w:val="18"/>
                      <w:lang w:val="ro-RO"/>
                    </w:rPr>
                  </w:pPr>
                  <w:r w:rsidRPr="00A249FD">
                    <w:rPr>
                      <w:rFonts w:eastAsia="Calibri"/>
                      <w:sz w:val="10"/>
                      <w:szCs w:val="18"/>
                      <w:lang w:val="ro-RO"/>
                    </w:rPr>
                    <w:t>Verificarea prin certificarea de către o parte terță a conformității produselor cu criteriile esențiale de siguranță, plus verificări ale produselor efectuate la intervale aleatorii</w:t>
                  </w:r>
                </w:p>
              </w:tc>
              <w:tc>
                <w:tcPr>
                  <w:tcW w:w="1101" w:type="dxa"/>
                  <w:vAlign w:val="center"/>
                </w:tcPr>
                <w:p w14:paraId="459FE69F"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Pe produs</w:t>
                  </w:r>
                </w:p>
              </w:tc>
              <w:tc>
                <w:tcPr>
                  <w:tcW w:w="1517" w:type="dxa"/>
                  <w:vAlign w:val="center"/>
                </w:tcPr>
                <w:p w14:paraId="225F3C0D"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308 398 375</w:t>
                  </w:r>
                </w:p>
              </w:tc>
              <w:tc>
                <w:tcPr>
                  <w:tcW w:w="1319" w:type="dxa"/>
                  <w:vAlign w:val="center"/>
                </w:tcPr>
                <w:p w14:paraId="3A8F93D8"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31278622"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545196D3"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5913F9A3"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309 280 525</w:t>
                  </w:r>
                </w:p>
              </w:tc>
            </w:tr>
            <w:tr w:rsidR="00BA264D" w:rsidRPr="00A249FD" w14:paraId="30AD0F3B" w14:textId="77777777" w:rsidTr="00BA264D">
              <w:trPr>
                <w:trHeight w:val="131"/>
              </w:trPr>
              <w:tc>
                <w:tcPr>
                  <w:tcW w:w="1531" w:type="dxa"/>
                  <w:vMerge/>
                </w:tcPr>
                <w:p w14:paraId="790B7B35" w14:textId="77777777" w:rsidR="00EF27F9" w:rsidRPr="00A249FD" w:rsidRDefault="00EF27F9" w:rsidP="006B0BFC">
                  <w:pPr>
                    <w:shd w:val="clear" w:color="auto" w:fill="FFFFFF" w:themeFill="background1"/>
                    <w:ind w:firstLine="0"/>
                    <w:contextualSpacing/>
                    <w:rPr>
                      <w:rFonts w:eastAsia="Calibri"/>
                      <w:sz w:val="10"/>
                      <w:szCs w:val="18"/>
                      <w:lang w:val="ro-RO"/>
                    </w:rPr>
                  </w:pPr>
                </w:p>
              </w:tc>
              <w:tc>
                <w:tcPr>
                  <w:tcW w:w="1101" w:type="dxa"/>
                  <w:vAlign w:val="center"/>
                </w:tcPr>
                <w:p w14:paraId="4882A4A7"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Pe familie</w:t>
                  </w:r>
                </w:p>
              </w:tc>
              <w:tc>
                <w:tcPr>
                  <w:tcW w:w="1517" w:type="dxa"/>
                  <w:vAlign w:val="center"/>
                </w:tcPr>
                <w:p w14:paraId="56F37302"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28 750 000</w:t>
                  </w:r>
                </w:p>
              </w:tc>
              <w:tc>
                <w:tcPr>
                  <w:tcW w:w="1319" w:type="dxa"/>
                  <w:vAlign w:val="center"/>
                </w:tcPr>
                <w:p w14:paraId="548FF37C"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882 150</w:t>
                  </w:r>
                </w:p>
              </w:tc>
              <w:tc>
                <w:tcPr>
                  <w:tcW w:w="1492" w:type="dxa"/>
                  <w:vAlign w:val="center"/>
                </w:tcPr>
                <w:p w14:paraId="317CBB22"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213" w:type="dxa"/>
                  <w:vAlign w:val="center"/>
                </w:tcPr>
                <w:p w14:paraId="1923CE16" w14:textId="77777777" w:rsidR="00EF27F9" w:rsidRPr="00A249FD" w:rsidRDefault="00EF27F9" w:rsidP="006B0BFC">
                  <w:pPr>
                    <w:shd w:val="clear" w:color="auto" w:fill="FFFFFF" w:themeFill="background1"/>
                    <w:ind w:firstLine="0"/>
                    <w:contextualSpacing/>
                    <w:rPr>
                      <w:rFonts w:eastAsia="Calibri"/>
                      <w:i/>
                      <w:sz w:val="18"/>
                      <w:szCs w:val="18"/>
                      <w:lang w:val="ro-RO"/>
                    </w:rPr>
                  </w:pPr>
                  <w:r w:rsidRPr="00A249FD">
                    <w:rPr>
                      <w:rFonts w:eastAsia="Calibri"/>
                      <w:i/>
                      <w:sz w:val="18"/>
                      <w:szCs w:val="18"/>
                      <w:lang w:val="ro-RO"/>
                    </w:rPr>
                    <w:t>0</w:t>
                  </w:r>
                </w:p>
              </w:tc>
              <w:tc>
                <w:tcPr>
                  <w:tcW w:w="1503" w:type="dxa"/>
                  <w:vAlign w:val="center"/>
                </w:tcPr>
                <w:p w14:paraId="0DA5E774" w14:textId="77777777" w:rsidR="00EF27F9" w:rsidRPr="00A249FD" w:rsidRDefault="00EF27F9" w:rsidP="006B0BFC">
                  <w:pPr>
                    <w:shd w:val="clear" w:color="auto" w:fill="FFFFFF" w:themeFill="background1"/>
                    <w:ind w:firstLine="0"/>
                    <w:contextualSpacing/>
                    <w:rPr>
                      <w:rFonts w:eastAsia="Calibri"/>
                      <w:b/>
                      <w:sz w:val="18"/>
                      <w:szCs w:val="18"/>
                      <w:lang w:val="ro-RO"/>
                    </w:rPr>
                  </w:pPr>
                  <w:r w:rsidRPr="00A249FD">
                    <w:rPr>
                      <w:rFonts w:eastAsia="Calibri"/>
                      <w:b/>
                      <w:sz w:val="18"/>
                      <w:szCs w:val="18"/>
                      <w:lang w:val="ro-RO"/>
                    </w:rPr>
                    <w:t>29 632 150</w:t>
                  </w:r>
                </w:p>
              </w:tc>
            </w:tr>
          </w:tbl>
          <w:p w14:paraId="6ACDE7E5" w14:textId="03F179A8" w:rsidR="006E30C1" w:rsidRPr="00A249FD" w:rsidRDefault="00FB00EF" w:rsidP="006B0BFC">
            <w:pPr>
              <w:shd w:val="clear" w:color="auto" w:fill="FFFFFF" w:themeFill="background1"/>
              <w:rPr>
                <w:rFonts w:ascii="Times New Roman" w:hAnsi="Times New Roman"/>
                <w:sz w:val="24"/>
                <w:szCs w:val="24"/>
                <w:lang w:val="ro-RO"/>
              </w:rPr>
            </w:pPr>
            <w:r w:rsidRPr="00A249FD">
              <w:rPr>
                <w:rFonts w:ascii="Times New Roman" w:hAnsi="Times New Roman"/>
                <w:i/>
                <w:szCs w:val="24"/>
                <w:lang w:val="ro-RO"/>
              </w:rPr>
              <w:t>* costurile anuale de pregătire a proiectelor de standarde și de menținere a standardelor EN publicate pentru categoriile de produse care fac obiectul mandatului actual al CEN privind îngrășămintele CE</w:t>
            </w:r>
            <w:r w:rsidRPr="00A249FD">
              <w:rPr>
                <w:sz w:val="24"/>
                <w:szCs w:val="24"/>
                <w:lang w:val="ro-RO"/>
              </w:rPr>
              <w:t xml:space="preserve">; </w:t>
            </w:r>
          </w:p>
          <w:p w14:paraId="78463173" w14:textId="77777777" w:rsidR="006E30C1" w:rsidRPr="00A249FD" w:rsidRDefault="006E30C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Aceste costuri ar include costurile de acreditare și costurile de punere în aplicare a noilor standarde EN armonizate.</w:t>
            </w:r>
          </w:p>
          <w:p w14:paraId="37E41352" w14:textId="59A877DF" w:rsidR="006E30C1" w:rsidRPr="00A249FD" w:rsidRDefault="006E30C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Acreditarea este atestarea de către un organism național de acreditare, bazată pe standarde armonizate, a faptului că un organism notificat are competența tehnică de a efectua o activitate specifică de evaluare a conformității. Acreditarea este utilizată în sectorul reglementat pentru a îndeplini cerințele anumitor legislații și ale domeniului voluntar în care nu există o legislație specifică. Acesta se bazează pe un sistem de evaluare </w:t>
            </w:r>
            <w:r w:rsidRPr="00830D82">
              <w:rPr>
                <w:rFonts w:ascii="Times New Roman" w:hAnsi="Times New Roman"/>
                <w:i/>
                <w:sz w:val="24"/>
                <w:szCs w:val="24"/>
                <w:lang w:val="ro-RO"/>
              </w:rPr>
              <w:t xml:space="preserve">inter </w:t>
            </w:r>
            <w:proofErr w:type="spellStart"/>
            <w:r w:rsidRPr="00830D82">
              <w:rPr>
                <w:rFonts w:ascii="Times New Roman" w:hAnsi="Times New Roman"/>
                <w:i/>
                <w:sz w:val="24"/>
                <w:szCs w:val="24"/>
                <w:lang w:val="ro-RO"/>
              </w:rPr>
              <w:t>pares</w:t>
            </w:r>
            <w:proofErr w:type="spellEnd"/>
            <w:r w:rsidRPr="00A249FD">
              <w:rPr>
                <w:rFonts w:ascii="Times New Roman" w:hAnsi="Times New Roman"/>
                <w:sz w:val="24"/>
                <w:szCs w:val="24"/>
                <w:lang w:val="ro-RO"/>
              </w:rPr>
              <w:t xml:space="preserve"> care asigură buna funcționare a acreditării.</w:t>
            </w:r>
          </w:p>
          <w:p w14:paraId="1EBDDDBC" w14:textId="37975150" w:rsidR="006E30C1" w:rsidRPr="00A249FD" w:rsidRDefault="006E30C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Regulamentul (CE) nr. 765/2008 oferă un cadru legislativ pentru acreditare la nivel național</w:t>
            </w:r>
            <w:r w:rsidR="00830D82">
              <w:rPr>
                <w:rFonts w:ascii="Times New Roman" w:hAnsi="Times New Roman"/>
                <w:sz w:val="24"/>
                <w:szCs w:val="24"/>
                <w:lang w:val="ro-RO"/>
              </w:rPr>
              <w:t xml:space="preserve"> (prin transpunerea principalelor prevederi în Legea nr. 235/2011)</w:t>
            </w:r>
            <w:r w:rsidRPr="00A249FD">
              <w:rPr>
                <w:rFonts w:ascii="Times New Roman" w:hAnsi="Times New Roman"/>
                <w:sz w:val="24"/>
                <w:szCs w:val="24"/>
                <w:lang w:val="ro-RO"/>
              </w:rPr>
              <w:t xml:space="preserve"> și la nivelul UE și instituie o politică generală cu normele, procedurile și infrastructurile sale. Pentru a asigura condiții de concurență echitabile pentru produsele fertilizante derivate din deșeuri și în conformitate cu criteriile UE privind deșeurile biologice elaborate de JRC, se propune ca acreditarea organismelor notificate să devină obligatorie într-un viitor regulament.</w:t>
            </w:r>
            <w:r w:rsidRPr="00A249FD">
              <w:rPr>
                <w:rFonts w:ascii="Times New Roman" w:hAnsi="Times New Roman"/>
                <w:b/>
                <w:sz w:val="24"/>
                <w:szCs w:val="24"/>
                <w:lang w:val="ro-RO"/>
              </w:rPr>
              <w:t xml:space="preserve"> </w:t>
            </w:r>
            <w:r w:rsidR="00830D82" w:rsidRPr="00830D82">
              <w:rPr>
                <w:rFonts w:ascii="Times New Roman" w:hAnsi="Times New Roman"/>
                <w:sz w:val="24"/>
                <w:szCs w:val="24"/>
                <w:lang w:val="ro-RO"/>
              </w:rPr>
              <w:t>O</w:t>
            </w:r>
            <w:r w:rsidRPr="00A249FD">
              <w:rPr>
                <w:rFonts w:ascii="Times New Roman" w:hAnsi="Times New Roman"/>
                <w:sz w:val="24"/>
                <w:szCs w:val="24"/>
                <w:lang w:val="ro-RO"/>
              </w:rPr>
              <w:t xml:space="preserve"> estimare exactă a taxelor probabile de acreditare pentru organismele notificate</w:t>
            </w:r>
            <w:r w:rsidR="00830D82">
              <w:rPr>
                <w:rFonts w:ascii="Times New Roman" w:hAnsi="Times New Roman"/>
                <w:sz w:val="24"/>
                <w:szCs w:val="24"/>
                <w:lang w:val="ro-RO"/>
              </w:rPr>
              <w:t xml:space="preserve"> este greu de furnizat</w:t>
            </w:r>
            <w:r w:rsidRPr="00A249FD">
              <w:rPr>
                <w:rFonts w:ascii="Times New Roman" w:hAnsi="Times New Roman"/>
                <w:sz w:val="24"/>
                <w:szCs w:val="24"/>
                <w:lang w:val="ro-RO"/>
              </w:rPr>
              <w:t xml:space="preserve">, deoarece acest lucru depinde de complexitatea domeniului de aplicare al acreditării solicitate. Aceste onorarii includ nu numai timpul petrecut de echipa de evaluare la sediile organismelor notificate (audituri), ci și timpul petrecut la birou și cheltuielile de deplasare. În cadrul viitorului regulament, se prevede menținerea </w:t>
            </w:r>
            <w:r w:rsidRPr="00A249FD">
              <w:rPr>
                <w:rFonts w:ascii="Times New Roman" w:hAnsi="Times New Roman"/>
                <w:sz w:val="24"/>
                <w:szCs w:val="24"/>
                <w:lang w:val="ro-RO"/>
              </w:rPr>
              <w:lastRenderedPageBreak/>
              <w:t>numărului de cerințe esențiale la un nivel cât mai scăzut posibil, pentru a evita costurile inutile pentru organismele notificate, care vor percepe în cele din urmă taxe întreprinderilor.</w:t>
            </w:r>
          </w:p>
          <w:p w14:paraId="74F0265F" w14:textId="77777777" w:rsidR="006E30C1" w:rsidRPr="00A249FD" w:rsidRDefault="006E30C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ORBIT/ECN (2008) a realizat o prezentare generală a costurilor de asigurare a calității compostului în conformitate cu principalele sisteme existente în prezent în diferite țări. Tabelul 44 arată că costurile de asigurare a calității (taxele care trebuie plătite organismelor notificate) sunt determinate în principal de dimensiunea instalației de compostare și variază de la mai puțin de 0,08 EUR/tonă de factori de producție la peste 3 EUR/tonă de factori de producție. Costurile de asigurare a calității din tabelul 44 acoperă cheltuielile externe aferente procedurii de reînnoire a certificatelor de acreditare sau a etichetelor de calitate în timpul funcționării continue a instalațiilor. În prima perioadă de depunere a cererilor și de validare (primii 1-2 ani de „recunoaștere”), costurile sunt considerabil mai mari din cauza unei prime evaluări a instalațiilor și a frecvenței mai mari a testelor. </w:t>
            </w:r>
          </w:p>
          <w:p w14:paraId="3BFD09BE" w14:textId="1B92278F" w:rsidR="006E30C1" w:rsidRPr="00A249FD" w:rsidRDefault="006E30C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Costurile totale de producție a compostului într-o instalație de compostare bazată pe cele mai bune practici, cu o capacitate de 20 </w:t>
            </w:r>
            <w:r w:rsidR="00830D82">
              <w:rPr>
                <w:rFonts w:ascii="Times New Roman" w:hAnsi="Times New Roman"/>
                <w:sz w:val="24"/>
                <w:szCs w:val="24"/>
                <w:lang w:val="ro-RO"/>
              </w:rPr>
              <w:t>mii</w:t>
            </w:r>
            <w:r w:rsidRPr="00A249FD">
              <w:rPr>
                <w:rFonts w:ascii="Times New Roman" w:hAnsi="Times New Roman"/>
                <w:sz w:val="24"/>
                <w:szCs w:val="24"/>
                <w:lang w:val="ro-RO"/>
              </w:rPr>
              <w:t xml:space="preserve"> de tone, au fost estimate la 45 EUR/tonă de materii prime (Eunomia, 2002). O comparație cu costurile tipice de asigurare a calității pentru o instalație de această dimensiu</w:t>
            </w:r>
            <w:r w:rsidR="00830D82">
              <w:rPr>
                <w:rFonts w:ascii="Times New Roman" w:hAnsi="Times New Roman"/>
                <w:sz w:val="24"/>
                <w:szCs w:val="24"/>
                <w:lang w:val="ro-RO"/>
              </w:rPr>
              <w:t>ne în conformitate cu tabelul 4</w:t>
            </w:r>
            <w:r w:rsidRPr="00A249FD">
              <w:rPr>
                <w:rFonts w:ascii="Times New Roman" w:hAnsi="Times New Roman"/>
                <w:sz w:val="24"/>
                <w:szCs w:val="24"/>
                <w:lang w:val="ro-RO"/>
              </w:rPr>
              <w:t xml:space="preserve"> arată că costurile externe de asigurare a calității reprezintă mai puțin de 1 % din costurile totale de producție, dar pentru instalațiile mai mici, asigurarea calității poate reprezenta mai mult de 15 % din costurile totale.</w:t>
            </w:r>
          </w:p>
          <w:p w14:paraId="386670B9" w14:textId="4515BCF5" w:rsidR="006E30C1" w:rsidRPr="00A249FD" w:rsidRDefault="006E30C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Cu toate acestea, mai multe instalații de compostare și digestie dispun deja de sisteme adecvate de asigurare a calității (</w:t>
            </w:r>
            <w:r w:rsidR="00830D82">
              <w:rPr>
                <w:rFonts w:ascii="Times New Roman" w:hAnsi="Times New Roman"/>
                <w:sz w:val="24"/>
                <w:szCs w:val="24"/>
                <w:lang w:val="ro-RO"/>
              </w:rPr>
              <w:t xml:space="preserve">un exemplu ar servi SRL </w:t>
            </w:r>
            <w:proofErr w:type="spellStart"/>
            <w:r w:rsidR="00830D82">
              <w:rPr>
                <w:rFonts w:ascii="Times New Roman" w:hAnsi="Times New Roman"/>
                <w:sz w:val="24"/>
                <w:szCs w:val="24"/>
                <w:lang w:val="ro-RO"/>
              </w:rPr>
              <w:t>G</w:t>
            </w:r>
            <w:r w:rsidR="007D7986">
              <w:rPr>
                <w:rFonts w:ascii="Times New Roman" w:hAnsi="Times New Roman"/>
                <w:sz w:val="24"/>
                <w:szCs w:val="24"/>
                <w:lang w:val="ro-RO"/>
              </w:rPr>
              <w:t>arma</w:t>
            </w:r>
            <w:proofErr w:type="spellEnd"/>
            <w:r w:rsidR="00830D82">
              <w:rPr>
                <w:rFonts w:ascii="Times New Roman" w:hAnsi="Times New Roman"/>
                <w:sz w:val="24"/>
                <w:szCs w:val="24"/>
                <w:lang w:val="ro-RO"/>
              </w:rPr>
              <w:t xml:space="preserve"> grup</w:t>
            </w:r>
            <w:r w:rsidRPr="00A249FD">
              <w:rPr>
                <w:rFonts w:ascii="Times New Roman" w:hAnsi="Times New Roman"/>
                <w:sz w:val="24"/>
                <w:szCs w:val="24"/>
                <w:lang w:val="ro-RO"/>
              </w:rPr>
              <w:t xml:space="preserve">), </w:t>
            </w:r>
            <w:r w:rsidR="00830D82">
              <w:rPr>
                <w:rFonts w:ascii="Times New Roman" w:hAnsi="Times New Roman"/>
                <w:sz w:val="24"/>
                <w:szCs w:val="24"/>
                <w:lang w:val="ro-RO"/>
              </w:rPr>
              <w:t>pe când altele</w:t>
            </w:r>
            <w:r w:rsidRPr="00A249FD">
              <w:rPr>
                <w:rFonts w:ascii="Times New Roman" w:hAnsi="Times New Roman"/>
                <w:sz w:val="24"/>
                <w:szCs w:val="24"/>
                <w:lang w:val="ro-RO"/>
              </w:rPr>
              <w:t xml:space="preserve"> efectuează în mod regulat o anumită formă de testare a conformității</w:t>
            </w:r>
            <w:r w:rsidR="007D7986">
              <w:rPr>
                <w:rFonts w:ascii="Times New Roman" w:hAnsi="Times New Roman"/>
                <w:sz w:val="24"/>
                <w:szCs w:val="24"/>
                <w:lang w:val="ro-RO"/>
              </w:rPr>
              <w:t xml:space="preserve"> </w:t>
            </w:r>
            <w:r w:rsidR="00830D82">
              <w:rPr>
                <w:rFonts w:ascii="Times New Roman" w:hAnsi="Times New Roman"/>
                <w:sz w:val="24"/>
                <w:szCs w:val="24"/>
                <w:lang w:val="ro-RO"/>
              </w:rPr>
              <w:t>(autocontro</w:t>
            </w:r>
            <w:r w:rsidR="007D7986">
              <w:rPr>
                <w:rFonts w:ascii="Times New Roman" w:hAnsi="Times New Roman"/>
                <w:sz w:val="24"/>
                <w:szCs w:val="24"/>
                <w:lang w:val="ro-RO"/>
              </w:rPr>
              <w:t>l</w:t>
            </w:r>
            <w:r w:rsidR="00830D82">
              <w:rPr>
                <w:rFonts w:ascii="Times New Roman" w:hAnsi="Times New Roman"/>
                <w:sz w:val="24"/>
                <w:szCs w:val="24"/>
                <w:lang w:val="ro-RO"/>
              </w:rPr>
              <w:t>)</w:t>
            </w:r>
            <w:r w:rsidRPr="00A249FD">
              <w:rPr>
                <w:rFonts w:ascii="Times New Roman" w:hAnsi="Times New Roman"/>
                <w:sz w:val="24"/>
                <w:szCs w:val="24"/>
                <w:lang w:val="ro-RO"/>
              </w:rPr>
              <w:t xml:space="preserve">, astfel încât nu toate costurile de asigurare a calității asociate sistemului UE de încetare a statutului de deșeu ar fi </w:t>
            </w:r>
            <w:r w:rsidR="00830D82">
              <w:rPr>
                <w:rFonts w:ascii="Times New Roman" w:hAnsi="Times New Roman"/>
                <w:sz w:val="24"/>
                <w:szCs w:val="24"/>
                <w:lang w:val="ro-RO"/>
              </w:rPr>
              <w:t>complementare</w:t>
            </w:r>
            <w:r w:rsidRPr="00A249FD">
              <w:rPr>
                <w:rFonts w:ascii="Times New Roman" w:hAnsi="Times New Roman"/>
                <w:sz w:val="24"/>
                <w:szCs w:val="24"/>
                <w:lang w:val="ro-RO"/>
              </w:rPr>
              <w:t>.</w:t>
            </w:r>
          </w:p>
          <w:p w14:paraId="4CFF2A78" w14:textId="4B307DB8" w:rsidR="006E30C1" w:rsidRPr="00A249FD" w:rsidRDefault="00F60CDE" w:rsidP="006B0BFC">
            <w:pPr>
              <w:keepNext/>
              <w:shd w:val="clear" w:color="auto" w:fill="FFFFFF" w:themeFill="background1"/>
              <w:spacing w:before="60" w:after="60" w:line="280" w:lineRule="atLeast"/>
              <w:rPr>
                <w:rFonts w:ascii="Times New Roman" w:hAnsi="Times New Roman"/>
                <w:i/>
                <w:sz w:val="24"/>
                <w:szCs w:val="24"/>
                <w:lang w:val="ro-RO"/>
              </w:rPr>
            </w:pPr>
            <w:bookmarkStart w:id="0" w:name="_Ref306097737"/>
            <w:r>
              <w:rPr>
                <w:rFonts w:ascii="Times New Roman" w:hAnsi="Times New Roman"/>
                <w:i/>
                <w:sz w:val="24"/>
                <w:szCs w:val="24"/>
                <w:lang w:val="ro-RO"/>
              </w:rPr>
              <w:t>Tab.</w:t>
            </w:r>
            <w:r w:rsidR="009B02B7" w:rsidRPr="00A249FD">
              <w:rPr>
                <w:rFonts w:ascii="Times New Roman" w:hAnsi="Times New Roman"/>
                <w:i/>
                <w:sz w:val="24"/>
                <w:szCs w:val="24"/>
                <w:lang w:val="ro-RO"/>
              </w:rPr>
              <w:t xml:space="preserve"> </w:t>
            </w:r>
            <w:r>
              <w:rPr>
                <w:rFonts w:ascii="Times New Roman" w:hAnsi="Times New Roman"/>
                <w:i/>
                <w:sz w:val="24"/>
                <w:szCs w:val="24"/>
                <w:lang w:val="ro-RO"/>
              </w:rPr>
              <w:t>4.</w:t>
            </w:r>
            <w:r w:rsidR="006E30C1" w:rsidRPr="00A249FD">
              <w:rPr>
                <w:rFonts w:ascii="Times New Roman" w:hAnsi="Times New Roman"/>
                <w:i/>
                <w:sz w:val="24"/>
                <w:szCs w:val="24"/>
                <w:lang w:val="ro-RO"/>
              </w:rPr>
              <w:t xml:space="preserve"> </w:t>
            </w:r>
            <w:bookmarkEnd w:id="0"/>
            <w:r w:rsidR="006E30C1" w:rsidRPr="00A249FD">
              <w:rPr>
                <w:rFonts w:ascii="Times New Roman" w:hAnsi="Times New Roman"/>
                <w:i/>
                <w:sz w:val="24"/>
                <w:szCs w:val="24"/>
                <w:lang w:val="ro-RO"/>
              </w:rPr>
              <w:t xml:space="preserve"> Costul asigurării calității compostului în anumite țări europene </w:t>
            </w:r>
            <w:r w:rsidR="009B02B7" w:rsidRPr="00A249FD">
              <w:rPr>
                <w:rFonts w:ascii="Times New Roman" w:hAnsi="Times New Roman"/>
                <w:i/>
                <w:sz w:val="24"/>
                <w:szCs w:val="24"/>
                <w:lang w:val="ro-RO"/>
              </w:rPr>
              <w:t>Sursa: ORBIT/ECN</w:t>
            </w:r>
            <w:r w:rsidR="006E30C1" w:rsidRPr="00A249FD">
              <w:rPr>
                <w:rFonts w:ascii="Times New Roman" w:hAnsi="Times New Roman"/>
                <w:i/>
                <w:sz w:val="24"/>
                <w:szCs w:val="24"/>
                <w:lang w:val="ro-RO"/>
              </w:rPr>
              <w:t>.</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946"/>
              <w:gridCol w:w="1493"/>
              <w:gridCol w:w="676"/>
              <w:gridCol w:w="543"/>
              <w:gridCol w:w="828"/>
              <w:gridCol w:w="811"/>
              <w:gridCol w:w="543"/>
              <w:gridCol w:w="1081"/>
              <w:gridCol w:w="654"/>
              <w:gridCol w:w="748"/>
            </w:tblGrid>
            <w:tr w:rsidR="006E30C1" w:rsidRPr="00A249FD" w14:paraId="367C6129" w14:textId="77777777" w:rsidTr="00273AEE">
              <w:tc>
                <w:tcPr>
                  <w:tcW w:w="9215" w:type="dxa"/>
                  <w:gridSpan w:val="11"/>
                  <w:shd w:val="clear" w:color="auto" w:fill="D9D9D9"/>
                  <w:tcMar>
                    <w:left w:w="28" w:type="dxa"/>
                    <w:right w:w="28" w:type="dxa"/>
                  </w:tcMar>
                </w:tcPr>
                <w:p w14:paraId="740D1F72" w14:textId="77777777" w:rsidR="006E30C1" w:rsidRPr="00A249FD" w:rsidRDefault="006E30C1" w:rsidP="006B0BFC">
                  <w:pPr>
                    <w:pStyle w:val="P68B1DB1-Normal61"/>
                    <w:shd w:val="clear" w:color="auto" w:fill="FFFFFF" w:themeFill="background1"/>
                    <w:spacing w:before="0" w:after="0"/>
                    <w:jc w:val="center"/>
                    <w:rPr>
                      <w:b w:val="0"/>
                      <w:sz w:val="24"/>
                      <w:szCs w:val="24"/>
                      <w:lang w:val="ro-RO"/>
                    </w:rPr>
                  </w:pPr>
                  <w:bookmarkStart w:id="1" w:name="OLE_LINK4"/>
                  <w:bookmarkStart w:id="2" w:name="OLE_LINK5"/>
                  <w:r w:rsidRPr="00A249FD">
                    <w:rPr>
                      <w:b w:val="0"/>
                      <w:sz w:val="24"/>
                      <w:szCs w:val="24"/>
                      <w:lang w:val="ro-RO"/>
                    </w:rPr>
                    <w:t>Costuri de asigurare a calității/tonă input și an (EURO fără TVA)</w:t>
                  </w:r>
                </w:p>
              </w:tc>
            </w:tr>
            <w:tr w:rsidR="009B02B7" w:rsidRPr="00A249FD" w14:paraId="3EDD210B" w14:textId="77777777" w:rsidTr="00273AEE">
              <w:trPr>
                <w:trHeight w:val="1020"/>
              </w:trPr>
              <w:tc>
                <w:tcPr>
                  <w:tcW w:w="1135" w:type="dxa"/>
                  <w:shd w:val="clear" w:color="auto" w:fill="D9D9D9"/>
                  <w:tcMar>
                    <w:left w:w="0" w:type="dxa"/>
                    <w:right w:w="57" w:type="dxa"/>
                  </w:tcMar>
                </w:tcPr>
                <w:p w14:paraId="5CA82867" w14:textId="77777777" w:rsidR="006E30C1" w:rsidRPr="00A249FD" w:rsidRDefault="006E30C1" w:rsidP="006B0BFC">
                  <w:pPr>
                    <w:pStyle w:val="P68B1DB1-Normal30"/>
                    <w:shd w:val="clear" w:color="auto" w:fill="FFFFFF" w:themeFill="background1"/>
                    <w:spacing w:before="0" w:after="0"/>
                    <w:jc w:val="center"/>
                    <w:rPr>
                      <w:b w:val="0"/>
                      <w:sz w:val="20"/>
                      <w:szCs w:val="24"/>
                      <w:lang w:val="ro-RO"/>
                    </w:rPr>
                  </w:pPr>
                  <w:r w:rsidRPr="00A249FD">
                    <w:rPr>
                      <w:b w:val="0"/>
                      <w:sz w:val="20"/>
                      <w:szCs w:val="24"/>
                      <w:lang w:val="ro-RO"/>
                    </w:rPr>
                    <w:t>Producție/an (tone)</w:t>
                  </w:r>
                </w:p>
              </w:tc>
              <w:tc>
                <w:tcPr>
                  <w:tcW w:w="992" w:type="dxa"/>
                  <w:shd w:val="clear" w:color="auto" w:fill="D9D9D9"/>
                  <w:tcMar>
                    <w:left w:w="0" w:type="dxa"/>
                    <w:right w:w="57" w:type="dxa"/>
                  </w:tcMar>
                </w:tcPr>
                <w:p w14:paraId="3A22CE56" w14:textId="7AA7C6C8"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AT (</w:t>
                  </w:r>
                  <w:r w:rsidRPr="00A249FD">
                    <w:rPr>
                      <w:sz w:val="20"/>
                      <w:szCs w:val="24"/>
                      <w:vertAlign w:val="superscript"/>
                      <w:lang w:val="ro-RO"/>
                    </w:rPr>
                    <w:t>1</w:t>
                  </w:r>
                  <w:r w:rsidRPr="00A249FD">
                    <w:rPr>
                      <w:sz w:val="20"/>
                      <w:szCs w:val="24"/>
                      <w:lang w:val="ro-RO"/>
                    </w:rPr>
                    <w:t>)</w:t>
                  </w:r>
                  <w:r w:rsidR="009B02B7" w:rsidRPr="00A249FD">
                    <w:rPr>
                      <w:sz w:val="20"/>
                      <w:szCs w:val="24"/>
                      <w:lang w:val="ro-RO"/>
                    </w:rPr>
                    <w:br/>
                    <w:t>A</w:t>
                  </w:r>
                  <w:r w:rsidRPr="00A249FD">
                    <w:rPr>
                      <w:sz w:val="20"/>
                      <w:szCs w:val="24"/>
                      <w:lang w:val="ro-RO"/>
                    </w:rPr>
                    <w:t xml:space="preserve">gricultură </w:t>
                  </w:r>
                  <w:r w:rsidRPr="00A249FD">
                    <w:rPr>
                      <w:sz w:val="20"/>
                      <w:szCs w:val="24"/>
                      <w:lang w:val="ro-RO"/>
                    </w:rPr>
                    <w:br/>
                  </w:r>
                </w:p>
              </w:tc>
              <w:tc>
                <w:tcPr>
                  <w:tcW w:w="993" w:type="dxa"/>
                  <w:shd w:val="clear" w:color="auto" w:fill="D9D9D9"/>
                  <w:tcMar>
                    <w:left w:w="0" w:type="dxa"/>
                    <w:right w:w="57" w:type="dxa"/>
                  </w:tcMar>
                </w:tcPr>
                <w:p w14:paraId="645287B1" w14:textId="45887C94"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AT (</w:t>
                  </w:r>
                  <w:r w:rsidRPr="00A249FD">
                    <w:rPr>
                      <w:sz w:val="20"/>
                      <w:szCs w:val="24"/>
                      <w:vertAlign w:val="superscript"/>
                      <w:lang w:val="ro-RO"/>
                    </w:rPr>
                    <w:t>2</w:t>
                  </w:r>
                  <w:r w:rsidRPr="00A249FD">
                    <w:rPr>
                      <w:sz w:val="20"/>
                      <w:szCs w:val="24"/>
                      <w:lang w:val="ro-RO"/>
                    </w:rPr>
                    <w:t>) (KGVÖ)</w:t>
                  </w:r>
                  <w:r w:rsidRPr="00A249FD">
                    <w:rPr>
                      <w:sz w:val="20"/>
                      <w:szCs w:val="24"/>
                      <w:lang w:val="ro-RO"/>
                    </w:rPr>
                    <w:br/>
                    <w:t>Sectorul industrial</w:t>
                  </w:r>
                  <w:r w:rsidR="009B02B7" w:rsidRPr="00A249FD">
                    <w:rPr>
                      <w:sz w:val="20"/>
                      <w:szCs w:val="24"/>
                      <w:lang w:val="ro-RO"/>
                    </w:rPr>
                    <w:t xml:space="preserve">/cultivare de </w:t>
                  </w:r>
                  <w:r w:rsidRPr="00A249FD">
                    <w:rPr>
                      <w:sz w:val="20"/>
                      <w:szCs w:val="24"/>
                      <w:lang w:val="ro-RO"/>
                    </w:rPr>
                    <w:t xml:space="preserve"> </w:t>
                  </w:r>
                  <w:r w:rsidRPr="00A249FD">
                    <w:rPr>
                      <w:sz w:val="20"/>
                      <w:szCs w:val="24"/>
                      <w:lang w:val="ro-RO"/>
                    </w:rPr>
                    <w:br/>
                    <w:t>plante</w:t>
                  </w:r>
                </w:p>
              </w:tc>
              <w:tc>
                <w:tcPr>
                  <w:tcW w:w="708" w:type="dxa"/>
                  <w:shd w:val="clear" w:color="auto" w:fill="D9D9D9"/>
                  <w:tcMar>
                    <w:left w:w="0" w:type="dxa"/>
                    <w:right w:w="57" w:type="dxa"/>
                  </w:tcMar>
                </w:tcPr>
                <w:p w14:paraId="4D2C71F5" w14:textId="77777777"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DE (</w:t>
                  </w:r>
                  <w:r w:rsidRPr="00A249FD">
                    <w:rPr>
                      <w:sz w:val="20"/>
                      <w:szCs w:val="24"/>
                      <w:vertAlign w:val="superscript"/>
                      <w:lang w:val="ro-RO"/>
                    </w:rPr>
                    <w:t>3</w:t>
                  </w:r>
                  <w:r w:rsidRPr="00A249FD">
                    <w:rPr>
                      <w:sz w:val="20"/>
                      <w:szCs w:val="24"/>
                      <w:lang w:val="ro-RO"/>
                    </w:rPr>
                    <w:t xml:space="preserve">) </w:t>
                  </w:r>
                  <w:r w:rsidRPr="00A249FD">
                    <w:rPr>
                      <w:sz w:val="20"/>
                      <w:szCs w:val="24"/>
                      <w:lang w:val="ro-RO"/>
                    </w:rPr>
                    <w:br/>
                    <w:t>(BGK)</w:t>
                  </w:r>
                </w:p>
              </w:tc>
              <w:tc>
                <w:tcPr>
                  <w:tcW w:w="567" w:type="dxa"/>
                  <w:shd w:val="clear" w:color="auto" w:fill="D9D9D9"/>
                  <w:tcMar>
                    <w:left w:w="0" w:type="dxa"/>
                    <w:right w:w="57" w:type="dxa"/>
                  </w:tcMar>
                </w:tcPr>
                <w:p w14:paraId="3D1CA9FB" w14:textId="77777777"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IT (</w:t>
                  </w:r>
                  <w:r w:rsidRPr="00A249FD">
                    <w:rPr>
                      <w:sz w:val="20"/>
                      <w:szCs w:val="24"/>
                      <w:vertAlign w:val="superscript"/>
                      <w:lang w:val="ro-RO"/>
                    </w:rPr>
                    <w:t>4</w:t>
                  </w:r>
                  <w:r w:rsidRPr="00A249FD">
                    <w:rPr>
                      <w:sz w:val="20"/>
                      <w:szCs w:val="24"/>
                      <w:lang w:val="ro-RO"/>
                    </w:rPr>
                    <w:t>) (CIC)</w:t>
                  </w:r>
                </w:p>
              </w:tc>
              <w:tc>
                <w:tcPr>
                  <w:tcW w:w="851" w:type="dxa"/>
                  <w:shd w:val="clear" w:color="auto" w:fill="D9D9D9"/>
                  <w:tcMar>
                    <w:left w:w="0" w:type="dxa"/>
                    <w:right w:w="57" w:type="dxa"/>
                  </w:tcMar>
                </w:tcPr>
                <w:p w14:paraId="0FB1E431" w14:textId="75F8A7E9"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NL (</w:t>
                  </w:r>
                  <w:r w:rsidRPr="00A249FD">
                    <w:rPr>
                      <w:sz w:val="20"/>
                      <w:szCs w:val="24"/>
                      <w:vertAlign w:val="superscript"/>
                      <w:lang w:val="ro-RO"/>
                    </w:rPr>
                    <w:t>5</w:t>
                  </w:r>
                  <w:r w:rsidRPr="00A249FD">
                    <w:rPr>
                      <w:sz w:val="20"/>
                      <w:szCs w:val="24"/>
                      <w:lang w:val="ro-RO"/>
                    </w:rPr>
                    <w:t>)</w:t>
                  </w:r>
                  <w:r w:rsidRPr="00A249FD">
                    <w:rPr>
                      <w:sz w:val="20"/>
                      <w:szCs w:val="24"/>
                      <w:lang w:val="ro-RO"/>
                    </w:rPr>
                    <w:br/>
                    <w:t xml:space="preserve">(BVOR) </w:t>
                  </w:r>
                  <w:r w:rsidRPr="00A249FD">
                    <w:rPr>
                      <w:sz w:val="20"/>
                      <w:szCs w:val="24"/>
                      <w:lang w:val="ro-RO"/>
                    </w:rPr>
                    <w:br/>
                    <w:t>(</w:t>
                  </w:r>
                  <w:r w:rsidR="009B02B7" w:rsidRPr="00A249FD">
                    <w:rPr>
                      <w:sz w:val="20"/>
                      <w:szCs w:val="24"/>
                      <w:lang w:val="ro-RO"/>
                    </w:rPr>
                    <w:t>Cultivare de plante</w:t>
                  </w:r>
                  <w:r w:rsidRPr="00A249FD">
                    <w:rPr>
                      <w:sz w:val="20"/>
                      <w:szCs w:val="24"/>
                      <w:lang w:val="ro-RO"/>
                    </w:rPr>
                    <w:t>)</w:t>
                  </w:r>
                </w:p>
              </w:tc>
              <w:tc>
                <w:tcPr>
                  <w:tcW w:w="850" w:type="dxa"/>
                  <w:shd w:val="clear" w:color="auto" w:fill="D9D9D9"/>
                  <w:tcMar>
                    <w:left w:w="0" w:type="dxa"/>
                    <w:right w:w="57" w:type="dxa"/>
                  </w:tcMar>
                </w:tcPr>
                <w:p w14:paraId="368BF5C2" w14:textId="77777777"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NL (</w:t>
                  </w:r>
                  <w:r w:rsidRPr="00A249FD">
                    <w:rPr>
                      <w:sz w:val="20"/>
                      <w:szCs w:val="24"/>
                      <w:vertAlign w:val="superscript"/>
                      <w:lang w:val="ro-RO"/>
                    </w:rPr>
                    <w:t>6</w:t>
                  </w:r>
                  <w:r w:rsidRPr="00A249FD">
                    <w:rPr>
                      <w:sz w:val="20"/>
                      <w:szCs w:val="24"/>
                      <w:lang w:val="ro-RO"/>
                    </w:rPr>
                    <w:t xml:space="preserve">) </w:t>
                  </w:r>
                  <w:r w:rsidRPr="00A249FD">
                    <w:rPr>
                      <w:sz w:val="20"/>
                      <w:szCs w:val="24"/>
                      <w:lang w:val="ro-RO"/>
                    </w:rPr>
                    <w:br/>
                    <w:t>(VA)</w:t>
                  </w:r>
                </w:p>
                <w:p w14:paraId="325FD1AB" w14:textId="77777777" w:rsidR="006E30C1" w:rsidRPr="00A249FD" w:rsidRDefault="006E30C1" w:rsidP="006B0BFC">
                  <w:pPr>
                    <w:pStyle w:val="P68B1DB1-Normal30"/>
                    <w:shd w:val="clear" w:color="auto" w:fill="FFFFFF" w:themeFill="background1"/>
                    <w:spacing w:before="0" w:after="0"/>
                    <w:jc w:val="center"/>
                    <w:rPr>
                      <w:b w:val="0"/>
                      <w:sz w:val="20"/>
                      <w:szCs w:val="24"/>
                      <w:lang w:val="ro-RO"/>
                    </w:rPr>
                  </w:pPr>
                  <w:r w:rsidRPr="00A249FD">
                    <w:rPr>
                      <w:b w:val="0"/>
                      <w:sz w:val="20"/>
                      <w:szCs w:val="24"/>
                      <w:lang w:val="ro-RO"/>
                    </w:rPr>
                    <w:t>(VFG</w:t>
                  </w:r>
                  <w:r w:rsidRPr="00A249FD">
                    <w:rPr>
                      <w:b w:val="0"/>
                      <w:sz w:val="20"/>
                      <w:szCs w:val="24"/>
                      <w:lang w:val="ro-RO"/>
                    </w:rPr>
                    <w:br/>
                    <w:t>plante)</w:t>
                  </w:r>
                </w:p>
              </w:tc>
              <w:tc>
                <w:tcPr>
                  <w:tcW w:w="567" w:type="dxa"/>
                  <w:shd w:val="clear" w:color="auto" w:fill="D9D9D9"/>
                  <w:tcMar>
                    <w:left w:w="0" w:type="dxa"/>
                    <w:right w:w="57" w:type="dxa"/>
                  </w:tcMar>
                </w:tcPr>
                <w:p w14:paraId="20FB5DD2" w14:textId="77777777"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SE (</w:t>
                  </w:r>
                  <w:r w:rsidRPr="00A249FD">
                    <w:rPr>
                      <w:sz w:val="20"/>
                      <w:szCs w:val="24"/>
                      <w:vertAlign w:val="superscript"/>
                      <w:lang w:val="ro-RO"/>
                    </w:rPr>
                    <w:t>7</w:t>
                  </w:r>
                  <w:r w:rsidRPr="00A249FD">
                    <w:rPr>
                      <w:sz w:val="20"/>
                      <w:szCs w:val="24"/>
                      <w:lang w:val="ro-RO"/>
                    </w:rPr>
                    <w:t>)</w:t>
                  </w:r>
                </w:p>
                <w:p w14:paraId="664B0CD1" w14:textId="77777777" w:rsidR="006E30C1" w:rsidRPr="00A249FD" w:rsidRDefault="006E30C1" w:rsidP="006B0BFC">
                  <w:pPr>
                    <w:pStyle w:val="P68B1DB1-Normal30"/>
                    <w:shd w:val="clear" w:color="auto" w:fill="FFFFFF" w:themeFill="background1"/>
                    <w:spacing w:before="0" w:after="0"/>
                    <w:jc w:val="center"/>
                    <w:rPr>
                      <w:b w:val="0"/>
                      <w:sz w:val="20"/>
                      <w:szCs w:val="24"/>
                      <w:lang w:val="ro-RO"/>
                    </w:rPr>
                  </w:pPr>
                  <w:r w:rsidRPr="00A249FD">
                    <w:rPr>
                      <w:b w:val="0"/>
                      <w:sz w:val="20"/>
                      <w:szCs w:val="24"/>
                      <w:lang w:val="ro-RO"/>
                    </w:rPr>
                    <w:t>(SP)</w:t>
                  </w:r>
                </w:p>
              </w:tc>
              <w:tc>
                <w:tcPr>
                  <w:tcW w:w="1134" w:type="dxa"/>
                  <w:shd w:val="clear" w:color="auto" w:fill="D9D9D9"/>
                  <w:tcMar>
                    <w:left w:w="0" w:type="dxa"/>
                    <w:right w:w="57" w:type="dxa"/>
                  </w:tcMar>
                </w:tcPr>
                <w:p w14:paraId="68378B5C" w14:textId="77777777"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Regatul Unit (</w:t>
                  </w:r>
                  <w:r w:rsidRPr="00A249FD">
                    <w:rPr>
                      <w:sz w:val="20"/>
                      <w:szCs w:val="24"/>
                      <w:vertAlign w:val="superscript"/>
                      <w:lang w:val="ro-RO"/>
                    </w:rPr>
                    <w:t>8</w:t>
                  </w:r>
                  <w:r w:rsidRPr="00A249FD">
                    <w:rPr>
                      <w:sz w:val="20"/>
                      <w:szCs w:val="24"/>
                      <w:lang w:val="ro-RO"/>
                    </w:rPr>
                    <w:t xml:space="preserve">) </w:t>
                  </w:r>
                  <w:r w:rsidRPr="00A249FD">
                    <w:rPr>
                      <w:sz w:val="20"/>
                      <w:szCs w:val="24"/>
                      <w:lang w:val="ro-RO"/>
                    </w:rPr>
                    <w:br/>
                    <w:t xml:space="preserve">(TCA) </w:t>
                  </w:r>
                  <w:r w:rsidRPr="00A249FD">
                    <w:rPr>
                      <w:sz w:val="20"/>
                      <w:szCs w:val="24"/>
                      <w:lang w:val="ro-RO"/>
                    </w:rPr>
                    <w:br/>
                    <w:t>Utilizare în agricultură/ horticultură</w:t>
                  </w:r>
                </w:p>
              </w:tc>
              <w:tc>
                <w:tcPr>
                  <w:tcW w:w="709" w:type="dxa"/>
                  <w:shd w:val="clear" w:color="auto" w:fill="D9D9D9"/>
                  <w:tcMar>
                    <w:left w:w="0" w:type="dxa"/>
                    <w:right w:w="57" w:type="dxa"/>
                  </w:tcMar>
                </w:tcPr>
                <w:p w14:paraId="35EA35AB" w14:textId="77777777" w:rsidR="006E30C1" w:rsidRPr="00A249FD" w:rsidRDefault="006E30C1" w:rsidP="006B0BFC">
                  <w:pPr>
                    <w:pStyle w:val="P68B1DB1-Normal31"/>
                    <w:shd w:val="clear" w:color="auto" w:fill="FFFFFF" w:themeFill="background1"/>
                    <w:spacing w:before="0" w:after="0"/>
                    <w:jc w:val="center"/>
                    <w:rPr>
                      <w:sz w:val="20"/>
                      <w:szCs w:val="24"/>
                      <w:lang w:val="ro-RO"/>
                    </w:rPr>
                  </w:pPr>
                  <w:r w:rsidRPr="00A249FD">
                    <w:rPr>
                      <w:sz w:val="20"/>
                      <w:szCs w:val="24"/>
                      <w:lang w:val="ro-RO"/>
                    </w:rPr>
                    <w:t>Regatul Unit (</w:t>
                  </w:r>
                  <w:r w:rsidRPr="00A249FD">
                    <w:rPr>
                      <w:sz w:val="20"/>
                      <w:szCs w:val="24"/>
                      <w:vertAlign w:val="superscript"/>
                      <w:lang w:val="ro-RO"/>
                    </w:rPr>
                    <w:t>9</w:t>
                  </w:r>
                  <w:r w:rsidRPr="00A249FD">
                    <w:rPr>
                      <w:sz w:val="20"/>
                      <w:szCs w:val="24"/>
                      <w:lang w:val="ro-RO"/>
                    </w:rPr>
                    <w:t xml:space="preserve">) </w:t>
                  </w:r>
                  <w:r w:rsidRPr="00A249FD">
                    <w:rPr>
                      <w:sz w:val="20"/>
                      <w:szCs w:val="24"/>
                      <w:lang w:val="ro-RO"/>
                    </w:rPr>
                    <w:br/>
                    <w:t>(TCA)</w:t>
                  </w:r>
                </w:p>
                <w:p w14:paraId="7519B483" w14:textId="6FC0FB39" w:rsidR="006E30C1" w:rsidRPr="00A249FD" w:rsidRDefault="009B02B7" w:rsidP="006B0BFC">
                  <w:pPr>
                    <w:pStyle w:val="P68B1DB1-Normal30"/>
                    <w:shd w:val="clear" w:color="auto" w:fill="FFFFFF" w:themeFill="background1"/>
                    <w:spacing w:before="0" w:after="0"/>
                    <w:jc w:val="center"/>
                    <w:rPr>
                      <w:b w:val="0"/>
                      <w:sz w:val="20"/>
                      <w:szCs w:val="24"/>
                      <w:lang w:val="ro-RO"/>
                    </w:rPr>
                  </w:pPr>
                  <w:r w:rsidRPr="00A249FD">
                    <w:rPr>
                      <w:b w:val="0"/>
                      <w:sz w:val="20"/>
                      <w:szCs w:val="24"/>
                      <w:lang w:val="ro-RO"/>
                    </w:rPr>
                    <w:t>Alte</w:t>
                  </w:r>
                  <w:r w:rsidR="006E30C1" w:rsidRPr="00A249FD">
                    <w:rPr>
                      <w:b w:val="0"/>
                      <w:sz w:val="20"/>
                      <w:szCs w:val="24"/>
                      <w:lang w:val="ro-RO"/>
                    </w:rPr>
                    <w:br/>
                    <w:t>utilizări</w:t>
                  </w:r>
                </w:p>
              </w:tc>
              <w:tc>
                <w:tcPr>
                  <w:tcW w:w="709" w:type="dxa"/>
                  <w:shd w:val="clear" w:color="auto" w:fill="D9D9D9"/>
                  <w:tcMar>
                    <w:left w:w="0" w:type="dxa"/>
                    <w:right w:w="57" w:type="dxa"/>
                  </w:tcMar>
                </w:tcPr>
                <w:p w14:paraId="762F0C28" w14:textId="77777777" w:rsidR="006E30C1" w:rsidRPr="00A249FD" w:rsidRDefault="006E30C1" w:rsidP="006B0BFC">
                  <w:pPr>
                    <w:pStyle w:val="P68B1DB1-Normal30"/>
                    <w:shd w:val="clear" w:color="auto" w:fill="FFFFFF" w:themeFill="background1"/>
                    <w:spacing w:before="0" w:after="0"/>
                    <w:jc w:val="center"/>
                    <w:rPr>
                      <w:b w:val="0"/>
                      <w:sz w:val="20"/>
                      <w:szCs w:val="24"/>
                      <w:lang w:val="ro-RO"/>
                    </w:rPr>
                  </w:pPr>
                  <w:r w:rsidRPr="00A249FD">
                    <w:rPr>
                      <w:b w:val="0"/>
                      <w:sz w:val="20"/>
                      <w:szCs w:val="24"/>
                      <w:lang w:val="ro-RO"/>
                    </w:rPr>
                    <w:t>UE</w:t>
                  </w:r>
                </w:p>
                <w:p w14:paraId="05F2636E" w14:textId="6E3CAA55" w:rsidR="006E30C1" w:rsidRPr="00A249FD" w:rsidRDefault="006E30C1" w:rsidP="006B0BFC">
                  <w:pPr>
                    <w:pStyle w:val="P68B1DB1-Normal30"/>
                    <w:shd w:val="clear" w:color="auto" w:fill="FFFFFF" w:themeFill="background1"/>
                    <w:spacing w:before="0" w:after="0"/>
                    <w:jc w:val="center"/>
                    <w:rPr>
                      <w:b w:val="0"/>
                      <w:sz w:val="20"/>
                      <w:szCs w:val="24"/>
                      <w:lang w:val="ro-RO"/>
                    </w:rPr>
                  </w:pPr>
                  <w:r w:rsidRPr="00A249FD">
                    <w:rPr>
                      <w:b w:val="0"/>
                      <w:sz w:val="20"/>
                      <w:szCs w:val="24"/>
                      <w:lang w:val="ro-RO"/>
                    </w:rPr>
                    <w:t>Valoarea medie</w:t>
                  </w:r>
                  <w:r w:rsidRPr="00A249FD">
                    <w:rPr>
                      <w:b w:val="0"/>
                      <w:sz w:val="20"/>
                      <w:szCs w:val="24"/>
                      <w:lang w:val="ro-RO"/>
                    </w:rPr>
                    <w:br/>
                  </w:r>
                </w:p>
              </w:tc>
            </w:tr>
            <w:tr w:rsidR="009B02B7" w:rsidRPr="00A249FD" w14:paraId="3E66CC02" w14:textId="77777777" w:rsidTr="00273AEE">
              <w:trPr>
                <w:trHeight w:val="255"/>
              </w:trPr>
              <w:tc>
                <w:tcPr>
                  <w:tcW w:w="1135" w:type="dxa"/>
                  <w:shd w:val="clear" w:color="auto" w:fill="E6E6E6"/>
                  <w:noWrap/>
                  <w:tcMar>
                    <w:left w:w="28" w:type="dxa"/>
                    <w:right w:w="28" w:type="dxa"/>
                  </w:tcMar>
                </w:tcPr>
                <w:p w14:paraId="444971AC"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500</w:t>
                  </w:r>
                </w:p>
              </w:tc>
              <w:tc>
                <w:tcPr>
                  <w:tcW w:w="992" w:type="dxa"/>
                  <w:noWrap/>
                  <w:tcMar>
                    <w:left w:w="28" w:type="dxa"/>
                    <w:right w:w="57" w:type="dxa"/>
                  </w:tcMar>
                </w:tcPr>
                <w:p w14:paraId="509AA2AF"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2.15</w:t>
                  </w:r>
                </w:p>
              </w:tc>
              <w:tc>
                <w:tcPr>
                  <w:tcW w:w="993" w:type="dxa"/>
                  <w:noWrap/>
                  <w:tcMar>
                    <w:left w:w="28" w:type="dxa"/>
                    <w:right w:w="57" w:type="dxa"/>
                  </w:tcMar>
                </w:tcPr>
                <w:p w14:paraId="575FED3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3.36</w:t>
                  </w:r>
                </w:p>
              </w:tc>
              <w:tc>
                <w:tcPr>
                  <w:tcW w:w="708" w:type="dxa"/>
                  <w:noWrap/>
                  <w:tcMar>
                    <w:left w:w="28" w:type="dxa"/>
                    <w:right w:w="57" w:type="dxa"/>
                  </w:tcMar>
                </w:tcPr>
                <w:p w14:paraId="161B2D92"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567" w:type="dxa"/>
                  <w:noWrap/>
                  <w:tcMar>
                    <w:left w:w="28" w:type="dxa"/>
                    <w:right w:w="57" w:type="dxa"/>
                  </w:tcMar>
                </w:tcPr>
                <w:p w14:paraId="2BAFF96E"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851" w:type="dxa"/>
                  <w:noWrap/>
                  <w:tcMar>
                    <w:left w:w="28" w:type="dxa"/>
                    <w:right w:w="57" w:type="dxa"/>
                  </w:tcMar>
                </w:tcPr>
                <w:p w14:paraId="1900BE1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850" w:type="dxa"/>
                  <w:noWrap/>
                  <w:tcMar>
                    <w:left w:w="28" w:type="dxa"/>
                    <w:right w:w="57" w:type="dxa"/>
                  </w:tcMar>
                </w:tcPr>
                <w:p w14:paraId="4C88422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567" w:type="dxa"/>
                  <w:noWrap/>
                  <w:tcMar>
                    <w:left w:w="28" w:type="dxa"/>
                    <w:right w:w="57" w:type="dxa"/>
                  </w:tcMar>
                </w:tcPr>
                <w:p w14:paraId="225DCF6C"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1134" w:type="dxa"/>
                  <w:noWrap/>
                  <w:tcMar>
                    <w:left w:w="28" w:type="dxa"/>
                    <w:right w:w="57" w:type="dxa"/>
                  </w:tcMar>
                </w:tcPr>
                <w:p w14:paraId="03EB1723"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709" w:type="dxa"/>
                  <w:tcMar>
                    <w:right w:w="57" w:type="dxa"/>
                  </w:tcMar>
                </w:tcPr>
                <w:p w14:paraId="6CE35654"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709" w:type="dxa"/>
                  <w:tcMar>
                    <w:right w:w="57" w:type="dxa"/>
                  </w:tcMar>
                </w:tcPr>
                <w:p w14:paraId="6873D2B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r>
            <w:tr w:rsidR="009B02B7" w:rsidRPr="00A249FD" w14:paraId="3930A1DB" w14:textId="77777777" w:rsidTr="00273AEE">
              <w:trPr>
                <w:trHeight w:val="255"/>
              </w:trPr>
              <w:tc>
                <w:tcPr>
                  <w:tcW w:w="1135" w:type="dxa"/>
                  <w:shd w:val="clear" w:color="auto" w:fill="E6E6E6"/>
                  <w:noWrap/>
                  <w:tcMar>
                    <w:left w:w="28" w:type="dxa"/>
                    <w:right w:w="28" w:type="dxa"/>
                  </w:tcMar>
                </w:tcPr>
                <w:p w14:paraId="08AD3E4C"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1 000</w:t>
                  </w:r>
                </w:p>
              </w:tc>
              <w:tc>
                <w:tcPr>
                  <w:tcW w:w="992" w:type="dxa"/>
                  <w:noWrap/>
                  <w:tcMar>
                    <w:left w:w="28" w:type="dxa"/>
                    <w:right w:w="57" w:type="dxa"/>
                  </w:tcMar>
                </w:tcPr>
                <w:p w14:paraId="793BADB7"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0,94</w:t>
                  </w:r>
                </w:p>
              </w:tc>
              <w:tc>
                <w:tcPr>
                  <w:tcW w:w="993" w:type="dxa"/>
                  <w:noWrap/>
                  <w:tcMar>
                    <w:left w:w="28" w:type="dxa"/>
                    <w:right w:w="57" w:type="dxa"/>
                  </w:tcMar>
                </w:tcPr>
                <w:p w14:paraId="018449F5"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1.80</w:t>
                  </w:r>
                </w:p>
              </w:tc>
              <w:tc>
                <w:tcPr>
                  <w:tcW w:w="708" w:type="dxa"/>
                  <w:noWrap/>
                  <w:tcMar>
                    <w:left w:w="28" w:type="dxa"/>
                    <w:right w:w="57" w:type="dxa"/>
                  </w:tcMar>
                </w:tcPr>
                <w:p w14:paraId="4B15F4E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567" w:type="dxa"/>
                  <w:noWrap/>
                  <w:tcMar>
                    <w:left w:w="28" w:type="dxa"/>
                    <w:right w:w="57" w:type="dxa"/>
                  </w:tcMar>
                </w:tcPr>
                <w:p w14:paraId="24600A0C"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851" w:type="dxa"/>
                  <w:noWrap/>
                  <w:tcMar>
                    <w:left w:w="28" w:type="dxa"/>
                    <w:right w:w="57" w:type="dxa"/>
                  </w:tcMar>
                </w:tcPr>
                <w:p w14:paraId="136E370B"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850" w:type="dxa"/>
                  <w:noWrap/>
                  <w:tcMar>
                    <w:left w:w="28" w:type="dxa"/>
                    <w:right w:w="57" w:type="dxa"/>
                  </w:tcMar>
                </w:tcPr>
                <w:p w14:paraId="06425BD2"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567" w:type="dxa"/>
                  <w:noWrap/>
                  <w:tcMar>
                    <w:left w:w="28" w:type="dxa"/>
                    <w:right w:w="57" w:type="dxa"/>
                  </w:tcMar>
                </w:tcPr>
                <w:p w14:paraId="3AC92AF5"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1134" w:type="dxa"/>
                  <w:noWrap/>
                  <w:tcMar>
                    <w:left w:w="28" w:type="dxa"/>
                    <w:right w:w="57" w:type="dxa"/>
                  </w:tcMar>
                </w:tcPr>
                <w:p w14:paraId="5281BE29"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709" w:type="dxa"/>
                  <w:tcMar>
                    <w:right w:w="57" w:type="dxa"/>
                  </w:tcMar>
                </w:tcPr>
                <w:p w14:paraId="56691DD5"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709" w:type="dxa"/>
                  <w:tcMar>
                    <w:right w:w="57" w:type="dxa"/>
                  </w:tcMar>
                </w:tcPr>
                <w:p w14:paraId="19AA66A6"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r>
            <w:tr w:rsidR="009B02B7" w:rsidRPr="00A249FD" w14:paraId="4DCC10C7" w14:textId="77777777" w:rsidTr="00273AEE">
              <w:trPr>
                <w:trHeight w:val="255"/>
              </w:trPr>
              <w:tc>
                <w:tcPr>
                  <w:tcW w:w="1135" w:type="dxa"/>
                  <w:shd w:val="clear" w:color="auto" w:fill="E6E6E6"/>
                  <w:noWrap/>
                  <w:tcMar>
                    <w:left w:w="28" w:type="dxa"/>
                    <w:right w:w="28" w:type="dxa"/>
                  </w:tcMar>
                </w:tcPr>
                <w:p w14:paraId="19BE2734"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2 000</w:t>
                  </w:r>
                </w:p>
              </w:tc>
              <w:tc>
                <w:tcPr>
                  <w:tcW w:w="992" w:type="dxa"/>
                  <w:noWrap/>
                  <w:tcMar>
                    <w:left w:w="28" w:type="dxa"/>
                    <w:right w:w="57" w:type="dxa"/>
                  </w:tcMar>
                </w:tcPr>
                <w:p w14:paraId="2EF2A4CC"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0,97</w:t>
                  </w:r>
                </w:p>
              </w:tc>
              <w:tc>
                <w:tcPr>
                  <w:tcW w:w="993" w:type="dxa"/>
                  <w:noWrap/>
                  <w:tcMar>
                    <w:left w:w="28" w:type="dxa"/>
                    <w:right w:w="57" w:type="dxa"/>
                  </w:tcMar>
                </w:tcPr>
                <w:p w14:paraId="2DA8F4B6"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1.32</w:t>
                  </w:r>
                </w:p>
              </w:tc>
              <w:tc>
                <w:tcPr>
                  <w:tcW w:w="708" w:type="dxa"/>
                  <w:noWrap/>
                  <w:tcMar>
                    <w:left w:w="28" w:type="dxa"/>
                    <w:right w:w="57" w:type="dxa"/>
                  </w:tcMar>
                </w:tcPr>
                <w:p w14:paraId="45C0B259"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0,82</w:t>
                  </w:r>
                </w:p>
              </w:tc>
              <w:tc>
                <w:tcPr>
                  <w:tcW w:w="567" w:type="dxa"/>
                  <w:noWrap/>
                  <w:tcMar>
                    <w:left w:w="28" w:type="dxa"/>
                    <w:right w:w="57" w:type="dxa"/>
                  </w:tcMar>
                </w:tcPr>
                <w:p w14:paraId="0C86DE12"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w:t>
                  </w:r>
                </w:p>
              </w:tc>
              <w:tc>
                <w:tcPr>
                  <w:tcW w:w="851" w:type="dxa"/>
                  <w:noWrap/>
                  <w:tcMar>
                    <w:left w:w="28" w:type="dxa"/>
                    <w:right w:w="57" w:type="dxa"/>
                  </w:tcMar>
                </w:tcPr>
                <w:p w14:paraId="2D0214EF"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1.62</w:t>
                  </w:r>
                </w:p>
              </w:tc>
              <w:tc>
                <w:tcPr>
                  <w:tcW w:w="850" w:type="dxa"/>
                  <w:noWrap/>
                  <w:tcMar>
                    <w:left w:w="28" w:type="dxa"/>
                    <w:right w:w="57" w:type="dxa"/>
                  </w:tcMar>
                </w:tcPr>
                <w:p w14:paraId="43E9D7BC"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1,99</w:t>
                  </w:r>
                </w:p>
              </w:tc>
              <w:tc>
                <w:tcPr>
                  <w:tcW w:w="567" w:type="dxa"/>
                  <w:noWrap/>
                  <w:tcMar>
                    <w:left w:w="28" w:type="dxa"/>
                    <w:right w:w="57" w:type="dxa"/>
                  </w:tcMar>
                </w:tcPr>
                <w:p w14:paraId="7D06290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1.21</w:t>
                  </w:r>
                </w:p>
              </w:tc>
              <w:tc>
                <w:tcPr>
                  <w:tcW w:w="1134" w:type="dxa"/>
                  <w:noWrap/>
                  <w:tcMar>
                    <w:left w:w="28" w:type="dxa"/>
                    <w:right w:w="57" w:type="dxa"/>
                  </w:tcMar>
                </w:tcPr>
                <w:p w14:paraId="705FDFCE"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1.13</w:t>
                  </w:r>
                </w:p>
              </w:tc>
              <w:tc>
                <w:tcPr>
                  <w:tcW w:w="709" w:type="dxa"/>
                  <w:tcMar>
                    <w:right w:w="57" w:type="dxa"/>
                  </w:tcMar>
                </w:tcPr>
                <w:p w14:paraId="2919D6F3"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1.10</w:t>
                  </w:r>
                </w:p>
              </w:tc>
              <w:tc>
                <w:tcPr>
                  <w:tcW w:w="709" w:type="dxa"/>
                  <w:tcMar>
                    <w:right w:w="57" w:type="dxa"/>
                  </w:tcMar>
                </w:tcPr>
                <w:p w14:paraId="5F57FE85"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1.26</w:t>
                  </w:r>
                </w:p>
              </w:tc>
            </w:tr>
            <w:tr w:rsidR="009B02B7" w:rsidRPr="00A249FD" w14:paraId="7A505472" w14:textId="77777777" w:rsidTr="00273AEE">
              <w:trPr>
                <w:trHeight w:val="255"/>
              </w:trPr>
              <w:tc>
                <w:tcPr>
                  <w:tcW w:w="1135" w:type="dxa"/>
                  <w:shd w:val="clear" w:color="auto" w:fill="E6E6E6"/>
                  <w:noWrap/>
                  <w:tcMar>
                    <w:left w:w="28" w:type="dxa"/>
                    <w:right w:w="28" w:type="dxa"/>
                  </w:tcMar>
                </w:tcPr>
                <w:p w14:paraId="28AC81AE"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5 000</w:t>
                  </w:r>
                </w:p>
              </w:tc>
              <w:tc>
                <w:tcPr>
                  <w:tcW w:w="992" w:type="dxa"/>
                  <w:noWrap/>
                  <w:tcMar>
                    <w:left w:w="28" w:type="dxa"/>
                    <w:right w:w="57" w:type="dxa"/>
                  </w:tcMar>
                </w:tcPr>
                <w:p w14:paraId="7CF7AC73"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0,63</w:t>
                  </w:r>
                </w:p>
              </w:tc>
              <w:tc>
                <w:tcPr>
                  <w:tcW w:w="993" w:type="dxa"/>
                  <w:noWrap/>
                  <w:tcMar>
                    <w:left w:w="28" w:type="dxa"/>
                    <w:right w:w="57" w:type="dxa"/>
                  </w:tcMar>
                </w:tcPr>
                <w:p w14:paraId="449FB97A"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0,67</w:t>
                  </w:r>
                </w:p>
              </w:tc>
              <w:tc>
                <w:tcPr>
                  <w:tcW w:w="708" w:type="dxa"/>
                  <w:noWrap/>
                  <w:tcMar>
                    <w:left w:w="28" w:type="dxa"/>
                    <w:right w:w="57" w:type="dxa"/>
                  </w:tcMar>
                </w:tcPr>
                <w:p w14:paraId="3E9B6758"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0,52</w:t>
                  </w:r>
                </w:p>
              </w:tc>
              <w:tc>
                <w:tcPr>
                  <w:tcW w:w="567" w:type="dxa"/>
                  <w:noWrap/>
                  <w:tcMar>
                    <w:left w:w="28" w:type="dxa"/>
                    <w:right w:w="57" w:type="dxa"/>
                  </w:tcMar>
                </w:tcPr>
                <w:p w14:paraId="6AD875A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0,48</w:t>
                  </w:r>
                </w:p>
              </w:tc>
              <w:tc>
                <w:tcPr>
                  <w:tcW w:w="851" w:type="dxa"/>
                  <w:noWrap/>
                  <w:tcMar>
                    <w:left w:w="28" w:type="dxa"/>
                    <w:right w:w="57" w:type="dxa"/>
                  </w:tcMar>
                </w:tcPr>
                <w:p w14:paraId="0D259974"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0,76</w:t>
                  </w:r>
                </w:p>
              </w:tc>
              <w:tc>
                <w:tcPr>
                  <w:tcW w:w="850" w:type="dxa"/>
                  <w:noWrap/>
                  <w:tcMar>
                    <w:left w:w="28" w:type="dxa"/>
                    <w:right w:w="57" w:type="dxa"/>
                  </w:tcMar>
                </w:tcPr>
                <w:p w14:paraId="767CA345"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0,80</w:t>
                  </w:r>
                </w:p>
              </w:tc>
              <w:tc>
                <w:tcPr>
                  <w:tcW w:w="567" w:type="dxa"/>
                  <w:noWrap/>
                  <w:tcMar>
                    <w:left w:w="28" w:type="dxa"/>
                    <w:right w:w="57" w:type="dxa"/>
                  </w:tcMar>
                </w:tcPr>
                <w:p w14:paraId="26908DBF"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0,48</w:t>
                  </w:r>
                </w:p>
              </w:tc>
              <w:tc>
                <w:tcPr>
                  <w:tcW w:w="1134" w:type="dxa"/>
                  <w:noWrap/>
                  <w:tcMar>
                    <w:left w:w="28" w:type="dxa"/>
                    <w:right w:w="57" w:type="dxa"/>
                  </w:tcMar>
                </w:tcPr>
                <w:p w14:paraId="129A9FA6"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0,45</w:t>
                  </w:r>
                </w:p>
              </w:tc>
              <w:tc>
                <w:tcPr>
                  <w:tcW w:w="709" w:type="dxa"/>
                  <w:tcMar>
                    <w:right w:w="57" w:type="dxa"/>
                  </w:tcMar>
                </w:tcPr>
                <w:p w14:paraId="50EB4CD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0,44</w:t>
                  </w:r>
                </w:p>
              </w:tc>
              <w:tc>
                <w:tcPr>
                  <w:tcW w:w="709" w:type="dxa"/>
                  <w:tcMar>
                    <w:right w:w="57" w:type="dxa"/>
                  </w:tcMar>
                </w:tcPr>
                <w:p w14:paraId="6DEEB987"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0,59</w:t>
                  </w:r>
                </w:p>
              </w:tc>
            </w:tr>
            <w:tr w:rsidR="009B02B7" w:rsidRPr="00A249FD" w14:paraId="2CCD59A8" w14:textId="77777777" w:rsidTr="00273AEE">
              <w:trPr>
                <w:trHeight w:val="255"/>
              </w:trPr>
              <w:tc>
                <w:tcPr>
                  <w:tcW w:w="1135" w:type="dxa"/>
                  <w:shd w:val="clear" w:color="auto" w:fill="E6E6E6"/>
                  <w:noWrap/>
                  <w:tcMar>
                    <w:left w:w="28" w:type="dxa"/>
                    <w:right w:w="28" w:type="dxa"/>
                  </w:tcMar>
                </w:tcPr>
                <w:p w14:paraId="76C48289"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10 000</w:t>
                  </w:r>
                </w:p>
              </w:tc>
              <w:tc>
                <w:tcPr>
                  <w:tcW w:w="992" w:type="dxa"/>
                  <w:noWrap/>
                  <w:tcMar>
                    <w:left w:w="28" w:type="dxa"/>
                    <w:right w:w="57" w:type="dxa"/>
                  </w:tcMar>
                </w:tcPr>
                <w:p w14:paraId="6BD0BBFA"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0,44</w:t>
                  </w:r>
                </w:p>
              </w:tc>
              <w:tc>
                <w:tcPr>
                  <w:tcW w:w="993" w:type="dxa"/>
                  <w:noWrap/>
                  <w:tcMar>
                    <w:left w:w="28" w:type="dxa"/>
                    <w:right w:w="57" w:type="dxa"/>
                  </w:tcMar>
                </w:tcPr>
                <w:p w14:paraId="41C8498D"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0,58</w:t>
                  </w:r>
                </w:p>
              </w:tc>
              <w:tc>
                <w:tcPr>
                  <w:tcW w:w="708" w:type="dxa"/>
                  <w:noWrap/>
                  <w:tcMar>
                    <w:left w:w="28" w:type="dxa"/>
                    <w:right w:w="57" w:type="dxa"/>
                  </w:tcMar>
                </w:tcPr>
                <w:p w14:paraId="3BBA7712"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0,34</w:t>
                  </w:r>
                </w:p>
              </w:tc>
              <w:tc>
                <w:tcPr>
                  <w:tcW w:w="567" w:type="dxa"/>
                  <w:noWrap/>
                  <w:tcMar>
                    <w:left w:w="28" w:type="dxa"/>
                    <w:right w:w="57" w:type="dxa"/>
                  </w:tcMar>
                </w:tcPr>
                <w:p w14:paraId="7B76C70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0,46</w:t>
                  </w:r>
                </w:p>
              </w:tc>
              <w:tc>
                <w:tcPr>
                  <w:tcW w:w="851" w:type="dxa"/>
                  <w:noWrap/>
                  <w:tcMar>
                    <w:left w:w="28" w:type="dxa"/>
                    <w:right w:w="57" w:type="dxa"/>
                  </w:tcMar>
                </w:tcPr>
                <w:p w14:paraId="16BD468F"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0,53</w:t>
                  </w:r>
                </w:p>
              </w:tc>
              <w:tc>
                <w:tcPr>
                  <w:tcW w:w="850" w:type="dxa"/>
                  <w:noWrap/>
                  <w:tcMar>
                    <w:left w:w="28" w:type="dxa"/>
                    <w:right w:w="57" w:type="dxa"/>
                  </w:tcMar>
                </w:tcPr>
                <w:p w14:paraId="7648A3A7"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0,40</w:t>
                  </w:r>
                </w:p>
              </w:tc>
              <w:tc>
                <w:tcPr>
                  <w:tcW w:w="567" w:type="dxa"/>
                  <w:noWrap/>
                  <w:tcMar>
                    <w:left w:w="28" w:type="dxa"/>
                    <w:right w:w="57" w:type="dxa"/>
                  </w:tcMar>
                </w:tcPr>
                <w:p w14:paraId="5BBB375A"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0,29</w:t>
                  </w:r>
                </w:p>
              </w:tc>
              <w:tc>
                <w:tcPr>
                  <w:tcW w:w="1134" w:type="dxa"/>
                  <w:noWrap/>
                  <w:tcMar>
                    <w:left w:w="28" w:type="dxa"/>
                    <w:right w:w="57" w:type="dxa"/>
                  </w:tcMar>
                </w:tcPr>
                <w:p w14:paraId="384750F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0,28</w:t>
                  </w:r>
                </w:p>
              </w:tc>
              <w:tc>
                <w:tcPr>
                  <w:tcW w:w="709" w:type="dxa"/>
                  <w:tcMar>
                    <w:right w:w="57" w:type="dxa"/>
                  </w:tcMar>
                </w:tcPr>
                <w:p w14:paraId="22F8C77A"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0,27</w:t>
                  </w:r>
                </w:p>
              </w:tc>
              <w:tc>
                <w:tcPr>
                  <w:tcW w:w="709" w:type="dxa"/>
                  <w:tcMar>
                    <w:right w:w="57" w:type="dxa"/>
                  </w:tcMar>
                </w:tcPr>
                <w:p w14:paraId="3D09675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0,42</w:t>
                  </w:r>
                </w:p>
              </w:tc>
            </w:tr>
            <w:tr w:rsidR="009B02B7" w:rsidRPr="00A249FD" w14:paraId="01A6CCCA" w14:textId="77777777" w:rsidTr="00273AEE">
              <w:trPr>
                <w:trHeight w:val="255"/>
              </w:trPr>
              <w:tc>
                <w:tcPr>
                  <w:tcW w:w="1135" w:type="dxa"/>
                  <w:shd w:val="clear" w:color="auto" w:fill="E6E6E6"/>
                  <w:noWrap/>
                  <w:tcMar>
                    <w:left w:w="28" w:type="dxa"/>
                    <w:right w:w="28" w:type="dxa"/>
                  </w:tcMar>
                </w:tcPr>
                <w:p w14:paraId="5CF54398"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20 000</w:t>
                  </w:r>
                </w:p>
              </w:tc>
              <w:tc>
                <w:tcPr>
                  <w:tcW w:w="992" w:type="dxa"/>
                  <w:noWrap/>
                  <w:tcMar>
                    <w:left w:w="28" w:type="dxa"/>
                    <w:right w:w="57" w:type="dxa"/>
                  </w:tcMar>
                </w:tcPr>
                <w:p w14:paraId="482EF596"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0,26</w:t>
                  </w:r>
                </w:p>
              </w:tc>
              <w:tc>
                <w:tcPr>
                  <w:tcW w:w="993" w:type="dxa"/>
                  <w:noWrap/>
                  <w:tcMar>
                    <w:left w:w="28" w:type="dxa"/>
                    <w:right w:w="57" w:type="dxa"/>
                  </w:tcMar>
                </w:tcPr>
                <w:p w14:paraId="4C904D63"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0,44</w:t>
                  </w:r>
                </w:p>
              </w:tc>
              <w:tc>
                <w:tcPr>
                  <w:tcW w:w="708" w:type="dxa"/>
                  <w:noWrap/>
                  <w:tcMar>
                    <w:left w:w="28" w:type="dxa"/>
                    <w:right w:w="57" w:type="dxa"/>
                  </w:tcMar>
                </w:tcPr>
                <w:p w14:paraId="56F5BD42"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0,31</w:t>
                  </w:r>
                </w:p>
              </w:tc>
              <w:tc>
                <w:tcPr>
                  <w:tcW w:w="567" w:type="dxa"/>
                  <w:noWrap/>
                  <w:tcMar>
                    <w:left w:w="28" w:type="dxa"/>
                    <w:right w:w="57" w:type="dxa"/>
                  </w:tcMar>
                </w:tcPr>
                <w:p w14:paraId="2C6A7534"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0,45</w:t>
                  </w:r>
                </w:p>
              </w:tc>
              <w:tc>
                <w:tcPr>
                  <w:tcW w:w="851" w:type="dxa"/>
                  <w:noWrap/>
                  <w:tcMar>
                    <w:left w:w="28" w:type="dxa"/>
                    <w:right w:w="57" w:type="dxa"/>
                  </w:tcMar>
                </w:tcPr>
                <w:p w14:paraId="0B1F18C5"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0,39</w:t>
                  </w:r>
                </w:p>
              </w:tc>
              <w:tc>
                <w:tcPr>
                  <w:tcW w:w="850" w:type="dxa"/>
                  <w:noWrap/>
                  <w:tcMar>
                    <w:left w:w="28" w:type="dxa"/>
                    <w:right w:w="57" w:type="dxa"/>
                  </w:tcMar>
                </w:tcPr>
                <w:p w14:paraId="4305FEFB"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0,20</w:t>
                  </w:r>
                </w:p>
              </w:tc>
              <w:tc>
                <w:tcPr>
                  <w:tcW w:w="567" w:type="dxa"/>
                  <w:noWrap/>
                  <w:tcMar>
                    <w:left w:w="28" w:type="dxa"/>
                    <w:right w:w="57" w:type="dxa"/>
                  </w:tcMar>
                </w:tcPr>
                <w:p w14:paraId="5813AC9D"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0,15</w:t>
                  </w:r>
                </w:p>
              </w:tc>
              <w:tc>
                <w:tcPr>
                  <w:tcW w:w="1134" w:type="dxa"/>
                  <w:noWrap/>
                  <w:tcMar>
                    <w:left w:w="28" w:type="dxa"/>
                    <w:right w:w="57" w:type="dxa"/>
                  </w:tcMar>
                </w:tcPr>
                <w:p w14:paraId="05D1DD2E"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0,23</w:t>
                  </w:r>
                </w:p>
              </w:tc>
              <w:tc>
                <w:tcPr>
                  <w:tcW w:w="709" w:type="dxa"/>
                  <w:tcMar>
                    <w:right w:w="57" w:type="dxa"/>
                  </w:tcMar>
                </w:tcPr>
                <w:p w14:paraId="5F1ECE87"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0,22</w:t>
                  </w:r>
                </w:p>
              </w:tc>
              <w:tc>
                <w:tcPr>
                  <w:tcW w:w="709" w:type="dxa"/>
                  <w:tcMar>
                    <w:right w:w="57" w:type="dxa"/>
                  </w:tcMar>
                </w:tcPr>
                <w:p w14:paraId="3BE6005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0,32</w:t>
                  </w:r>
                </w:p>
              </w:tc>
            </w:tr>
            <w:tr w:rsidR="009B02B7" w:rsidRPr="00A249FD" w14:paraId="0DA7BCAC" w14:textId="77777777" w:rsidTr="00273AEE">
              <w:trPr>
                <w:trHeight w:val="255"/>
              </w:trPr>
              <w:tc>
                <w:tcPr>
                  <w:tcW w:w="1135" w:type="dxa"/>
                  <w:shd w:val="clear" w:color="auto" w:fill="E6E6E6"/>
                  <w:noWrap/>
                  <w:tcMar>
                    <w:left w:w="28" w:type="dxa"/>
                    <w:right w:w="28" w:type="dxa"/>
                  </w:tcMar>
                </w:tcPr>
                <w:p w14:paraId="770B1F0C" w14:textId="77777777" w:rsidR="006E30C1" w:rsidRPr="00A249FD" w:rsidRDefault="006E30C1" w:rsidP="006B0BFC">
                  <w:pPr>
                    <w:pStyle w:val="P68B1DB1-Normal61"/>
                    <w:shd w:val="clear" w:color="auto" w:fill="FFFFFF" w:themeFill="background1"/>
                    <w:spacing w:before="0" w:after="0"/>
                    <w:rPr>
                      <w:b w:val="0"/>
                      <w:sz w:val="24"/>
                      <w:szCs w:val="24"/>
                      <w:lang w:val="ro-RO"/>
                    </w:rPr>
                  </w:pPr>
                  <w:r w:rsidRPr="00A249FD">
                    <w:rPr>
                      <w:b w:val="0"/>
                      <w:sz w:val="24"/>
                      <w:szCs w:val="24"/>
                      <w:lang w:val="ro-RO"/>
                    </w:rPr>
                    <w:t>50 000</w:t>
                  </w:r>
                </w:p>
              </w:tc>
              <w:tc>
                <w:tcPr>
                  <w:tcW w:w="992" w:type="dxa"/>
                  <w:noWrap/>
                  <w:tcMar>
                    <w:left w:w="28" w:type="dxa"/>
                    <w:right w:w="57" w:type="dxa"/>
                  </w:tcMar>
                </w:tcPr>
                <w:p w14:paraId="00B2FC03"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0,17</w:t>
                  </w:r>
                </w:p>
              </w:tc>
              <w:tc>
                <w:tcPr>
                  <w:tcW w:w="993" w:type="dxa"/>
                  <w:noWrap/>
                  <w:tcMar>
                    <w:left w:w="28" w:type="dxa"/>
                    <w:right w:w="57" w:type="dxa"/>
                  </w:tcMar>
                </w:tcPr>
                <w:p w14:paraId="6D7AA646"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0,36</w:t>
                  </w:r>
                </w:p>
              </w:tc>
              <w:tc>
                <w:tcPr>
                  <w:tcW w:w="708" w:type="dxa"/>
                  <w:noWrap/>
                  <w:tcMar>
                    <w:left w:w="28" w:type="dxa"/>
                    <w:right w:w="57" w:type="dxa"/>
                  </w:tcMar>
                </w:tcPr>
                <w:p w14:paraId="1549CB90"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0,19</w:t>
                  </w:r>
                </w:p>
              </w:tc>
              <w:tc>
                <w:tcPr>
                  <w:tcW w:w="567" w:type="dxa"/>
                  <w:noWrap/>
                  <w:tcMar>
                    <w:left w:w="28" w:type="dxa"/>
                    <w:right w:w="57" w:type="dxa"/>
                  </w:tcMar>
                </w:tcPr>
                <w:p w14:paraId="4B13033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0,43</w:t>
                  </w:r>
                </w:p>
              </w:tc>
              <w:tc>
                <w:tcPr>
                  <w:tcW w:w="851" w:type="dxa"/>
                  <w:noWrap/>
                  <w:tcMar>
                    <w:left w:w="28" w:type="dxa"/>
                    <w:right w:w="57" w:type="dxa"/>
                  </w:tcMar>
                </w:tcPr>
                <w:p w14:paraId="336E4B43"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0,21</w:t>
                  </w:r>
                </w:p>
              </w:tc>
              <w:tc>
                <w:tcPr>
                  <w:tcW w:w="850" w:type="dxa"/>
                  <w:noWrap/>
                  <w:tcMar>
                    <w:left w:w="28" w:type="dxa"/>
                    <w:right w:w="57" w:type="dxa"/>
                  </w:tcMar>
                </w:tcPr>
                <w:p w14:paraId="294A28BA"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0,08</w:t>
                  </w:r>
                </w:p>
              </w:tc>
              <w:tc>
                <w:tcPr>
                  <w:tcW w:w="567" w:type="dxa"/>
                  <w:noWrap/>
                  <w:tcMar>
                    <w:left w:w="28" w:type="dxa"/>
                    <w:right w:w="57" w:type="dxa"/>
                  </w:tcMar>
                </w:tcPr>
                <w:p w14:paraId="1D0923D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0,06</w:t>
                  </w:r>
                </w:p>
              </w:tc>
              <w:tc>
                <w:tcPr>
                  <w:tcW w:w="1134" w:type="dxa"/>
                  <w:noWrap/>
                  <w:tcMar>
                    <w:left w:w="28" w:type="dxa"/>
                    <w:right w:w="57" w:type="dxa"/>
                  </w:tcMar>
                </w:tcPr>
                <w:p w14:paraId="02AFBDE7"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0,20</w:t>
                  </w:r>
                </w:p>
              </w:tc>
              <w:tc>
                <w:tcPr>
                  <w:tcW w:w="709" w:type="dxa"/>
                  <w:tcMar>
                    <w:right w:w="57" w:type="dxa"/>
                  </w:tcMar>
                </w:tcPr>
                <w:p w14:paraId="2B150A81"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0,19</w:t>
                  </w:r>
                </w:p>
              </w:tc>
              <w:tc>
                <w:tcPr>
                  <w:tcW w:w="709" w:type="dxa"/>
                  <w:tcMar>
                    <w:right w:w="57" w:type="dxa"/>
                  </w:tcMar>
                </w:tcPr>
                <w:p w14:paraId="6140CA8F" w14:textId="77777777" w:rsidR="006E30C1" w:rsidRPr="00A249FD" w:rsidRDefault="006E30C1" w:rsidP="006B0BFC">
                  <w:pPr>
                    <w:pStyle w:val="Textcomentariu"/>
                    <w:shd w:val="clear" w:color="auto" w:fill="FFFFFF" w:themeFill="background1"/>
                    <w:jc w:val="right"/>
                    <w:rPr>
                      <w:sz w:val="24"/>
                      <w:szCs w:val="24"/>
                    </w:rPr>
                  </w:pPr>
                  <w:r w:rsidRPr="00A249FD">
                    <w:rPr>
                      <w:sz w:val="24"/>
                      <w:szCs w:val="24"/>
                    </w:rPr>
                    <w:t>0,23</w:t>
                  </w:r>
                </w:p>
              </w:tc>
            </w:tr>
          </w:tbl>
          <w:bookmarkEnd w:id="1"/>
          <w:bookmarkEnd w:id="2"/>
          <w:p w14:paraId="25066E20" w14:textId="53935924" w:rsidR="009B02B7" w:rsidRPr="00A249FD" w:rsidRDefault="009B02B7" w:rsidP="006B0BFC">
            <w:pPr>
              <w:pStyle w:val="P68B1DB1-Normal68"/>
              <w:shd w:val="clear" w:color="auto" w:fill="FFFFFF" w:themeFill="background1"/>
              <w:spacing w:before="0" w:after="0"/>
              <w:rPr>
                <w:lang w:val="ro-RO"/>
              </w:rPr>
            </w:pPr>
            <w:r w:rsidRPr="00A249FD">
              <w:rPr>
                <w:lang w:val="ro-RO"/>
              </w:rPr>
              <w:t>Informații de la:</w:t>
            </w:r>
          </w:p>
          <w:p w14:paraId="02BB7DCC"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1</w:t>
            </w:r>
            <w:r w:rsidRPr="00A249FD">
              <w:rPr>
                <w:lang w:val="ro-RO"/>
              </w:rPr>
              <w:t>)</w:t>
            </w:r>
            <w:r w:rsidRPr="00A249FD">
              <w:rPr>
                <w:lang w:val="ro-RO"/>
              </w:rPr>
              <w:tab/>
              <w:t>KGVÖ Compost Quality Society of Austria – operează în principal stații de tratare a deșeurilor biologice. Costurile includ cotizațiile membrilor, costurile de laborator și eșantionarea externă.</w:t>
            </w:r>
          </w:p>
          <w:p w14:paraId="6DD5A91D"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2</w:t>
            </w:r>
            <w:r w:rsidRPr="00A249FD">
              <w:rPr>
                <w:lang w:val="ro-RO"/>
              </w:rPr>
              <w:t>)</w:t>
            </w:r>
            <w:r w:rsidRPr="00A249FD">
              <w:rPr>
                <w:lang w:val="ro-RO"/>
              </w:rPr>
              <w:tab/>
              <w:t xml:space="preserve">ARGE Compost &amp; </w:t>
            </w:r>
            <w:proofErr w:type="spellStart"/>
            <w:r w:rsidRPr="00A249FD">
              <w:rPr>
                <w:lang w:val="ro-RO"/>
              </w:rPr>
              <w:t>Biogas</w:t>
            </w:r>
            <w:proofErr w:type="spellEnd"/>
            <w:r w:rsidRPr="00A249FD">
              <w:rPr>
                <w:lang w:val="ro-RO"/>
              </w:rPr>
              <w:t xml:space="preserve"> Association Austria — compostarea descentralizată a deșeurilor biologice colectate separat, în cooperare cu agricultura. Costurile includ cotizațiile membrilor, costurile de laborator, eșantionarea externă și auditurile externe ale siturilor de compostare/digestie</w:t>
            </w:r>
          </w:p>
          <w:p w14:paraId="38C5AB9C"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3</w:t>
            </w:r>
            <w:r w:rsidRPr="00A249FD">
              <w:rPr>
                <w:lang w:val="ro-RO"/>
              </w:rPr>
              <w:t>)</w:t>
            </w:r>
            <w:r w:rsidRPr="00A249FD">
              <w:rPr>
                <w:lang w:val="ro-RO"/>
              </w:rPr>
              <w:tab/>
              <w:t xml:space="preserve">BGK German Compost Quality </w:t>
            </w:r>
            <w:proofErr w:type="spellStart"/>
            <w:r w:rsidRPr="00A249FD">
              <w:rPr>
                <w:lang w:val="ro-RO"/>
              </w:rPr>
              <w:t>Assurance</w:t>
            </w:r>
            <w:proofErr w:type="spellEnd"/>
            <w:r w:rsidRPr="00A249FD">
              <w:rPr>
                <w:lang w:val="ro-RO"/>
              </w:rPr>
              <w:t xml:space="preserve"> </w:t>
            </w:r>
            <w:proofErr w:type="spellStart"/>
            <w:r w:rsidRPr="00A249FD">
              <w:rPr>
                <w:lang w:val="ro-RO"/>
              </w:rPr>
              <w:t>Organisation</w:t>
            </w:r>
            <w:proofErr w:type="spellEnd"/>
            <w:r w:rsidRPr="00A249FD">
              <w:rPr>
                <w:lang w:val="ro-RO"/>
              </w:rPr>
              <w:t xml:space="preserve"> (Organizația germană de asigurare a calității compostului). Costurile includ cotizațiile membrilor, costurile de laborator și eșantionarea externă.</w:t>
            </w:r>
          </w:p>
          <w:p w14:paraId="125543A3"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4</w:t>
            </w:r>
            <w:r w:rsidRPr="00A249FD">
              <w:rPr>
                <w:lang w:val="ro-RO"/>
              </w:rPr>
              <w:t>)</w:t>
            </w:r>
            <w:r w:rsidRPr="00A249FD">
              <w:rPr>
                <w:lang w:val="ro-RO"/>
              </w:rPr>
              <w:tab/>
              <w:t>CIC Italian Compost Association CIC – inclusiv onorariul societății în funcție de cifra de afaceri plus costurile de eșantionare externă și de laborator</w:t>
            </w:r>
          </w:p>
          <w:p w14:paraId="6C106E06"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5</w:t>
            </w:r>
            <w:r w:rsidRPr="00A249FD">
              <w:rPr>
                <w:lang w:val="ro-RO"/>
              </w:rPr>
              <w:t>)</w:t>
            </w:r>
            <w:r w:rsidRPr="00A249FD">
              <w:rPr>
                <w:lang w:val="ro-RO"/>
              </w:rPr>
              <w:tab/>
              <w:t>BVOR Asociația olandeză a uzinelor de compost – costuri la uzinele de deșeuri ecologice, care includ cotizațiile membrilor, costurile de laborator și costurile pentru auditurile anuale efectuate de organizații externe – nicio eșantionare externă.</w:t>
            </w:r>
          </w:p>
          <w:p w14:paraId="4D59C3A8"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6</w:t>
            </w:r>
            <w:r w:rsidRPr="00A249FD">
              <w:rPr>
                <w:lang w:val="ro-RO"/>
              </w:rPr>
              <w:t>)</w:t>
            </w:r>
            <w:r w:rsidRPr="00A249FD">
              <w:rPr>
                <w:lang w:val="ro-RO"/>
              </w:rPr>
              <w:tab/>
              <w:t xml:space="preserve">Asociația Olandeză de Gestionare a Deșeurilor (VA Dutch </w:t>
            </w:r>
            <w:proofErr w:type="spellStart"/>
            <w:r w:rsidRPr="00A249FD">
              <w:rPr>
                <w:lang w:val="ro-RO"/>
              </w:rPr>
              <w:t>Waste</w:t>
            </w:r>
            <w:proofErr w:type="spellEnd"/>
            <w:r w:rsidRPr="00A249FD">
              <w:rPr>
                <w:lang w:val="ro-RO"/>
              </w:rPr>
              <w:t xml:space="preserve"> Management Association – VFG) – costurile instalațiilor de producere a deșeurilor biologice, inclusiv cotizațiile membrilor, costurile de laborator și costurile de eșantionare externă, precum și costurile pentru auditurile anuale efectuate de organizații externe. Cheltuielile sunt ușor mai mari în comparație cu BVOR din cauza analizei suplimentare a parametrului de igienizare și a eșantionării externe.</w:t>
            </w:r>
          </w:p>
          <w:p w14:paraId="07B3D808"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7</w:t>
            </w:r>
            <w:r w:rsidRPr="00A249FD">
              <w:rPr>
                <w:lang w:val="ro-RO"/>
              </w:rPr>
              <w:t>)</w:t>
            </w:r>
            <w:r w:rsidRPr="00A249FD">
              <w:rPr>
                <w:lang w:val="ro-RO"/>
              </w:rPr>
              <w:tab/>
              <w:t>SP Institutul Suedez de Standardizare execută sistemul QAS – costurile includ cotizațiile membrilor, costurile de laborator și costurile pentru auditurile anuale efectuate de SP – eșantionarea este efectuată de instalații pe lângă auditul anual.</w:t>
            </w:r>
          </w:p>
          <w:p w14:paraId="19734FC6" w14:textId="77777777"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lastRenderedPageBreak/>
              <w:t>(</w:t>
            </w:r>
            <w:r w:rsidRPr="00A249FD">
              <w:rPr>
                <w:vertAlign w:val="superscript"/>
                <w:lang w:val="ro-RO"/>
              </w:rPr>
              <w:t>8</w:t>
            </w:r>
            <w:r w:rsidRPr="00A249FD">
              <w:rPr>
                <w:lang w:val="ro-RO"/>
              </w:rPr>
              <w:t>)</w:t>
            </w:r>
            <w:r w:rsidRPr="00A249FD">
              <w:rPr>
                <w:lang w:val="ro-RO"/>
              </w:rPr>
              <w:tab/>
              <w:t xml:space="preserve">TCA, UK Compost Association </w:t>
            </w:r>
            <w:proofErr w:type="spellStart"/>
            <w:r w:rsidRPr="00A249FD">
              <w:rPr>
                <w:lang w:val="ro-RO"/>
              </w:rPr>
              <w:t>certification</w:t>
            </w:r>
            <w:proofErr w:type="spellEnd"/>
            <w:r w:rsidRPr="00A249FD">
              <w:rPr>
                <w:lang w:val="ro-RO"/>
              </w:rPr>
              <w:t xml:space="preserve"> for compost in </w:t>
            </w:r>
            <w:proofErr w:type="spellStart"/>
            <w:r w:rsidRPr="00A249FD">
              <w:rPr>
                <w:lang w:val="ro-RO"/>
              </w:rPr>
              <w:t>agriculture</w:t>
            </w:r>
            <w:proofErr w:type="spellEnd"/>
            <w:r w:rsidRPr="00A249FD">
              <w:rPr>
                <w:lang w:val="ro-RO"/>
              </w:rPr>
              <w:t xml:space="preserve"> </w:t>
            </w:r>
            <w:proofErr w:type="spellStart"/>
            <w:r w:rsidRPr="00A249FD">
              <w:rPr>
                <w:lang w:val="ro-RO"/>
              </w:rPr>
              <w:t>and</w:t>
            </w:r>
            <w:proofErr w:type="spellEnd"/>
            <w:r w:rsidRPr="00A249FD">
              <w:rPr>
                <w:lang w:val="ro-RO"/>
              </w:rPr>
              <w:t xml:space="preserve"> </w:t>
            </w:r>
            <w:proofErr w:type="spellStart"/>
            <w:r w:rsidRPr="00A249FD">
              <w:rPr>
                <w:lang w:val="ro-RO"/>
              </w:rPr>
              <w:t>horticulture</w:t>
            </w:r>
            <w:proofErr w:type="spellEnd"/>
            <w:r w:rsidRPr="00A249FD">
              <w:rPr>
                <w:lang w:val="ro-RO"/>
              </w:rPr>
              <w:t xml:space="preserve"> – total </w:t>
            </w:r>
            <w:proofErr w:type="spellStart"/>
            <w:r w:rsidRPr="00A249FD">
              <w:rPr>
                <w:lang w:val="ro-RO"/>
              </w:rPr>
              <w:t>costs</w:t>
            </w:r>
            <w:proofErr w:type="spellEnd"/>
            <w:r w:rsidRPr="00A249FD">
              <w:rPr>
                <w:lang w:val="ro-RO"/>
              </w:rPr>
              <w:t xml:space="preserve"> </w:t>
            </w:r>
            <w:proofErr w:type="spellStart"/>
            <w:r w:rsidRPr="00A249FD">
              <w:rPr>
                <w:lang w:val="ro-RO"/>
              </w:rPr>
              <w:t>associated</w:t>
            </w:r>
            <w:proofErr w:type="spellEnd"/>
            <w:r w:rsidRPr="00A249FD">
              <w:rPr>
                <w:lang w:val="ro-RO"/>
              </w:rPr>
              <w:t xml:space="preserve"> </w:t>
            </w:r>
            <w:proofErr w:type="spellStart"/>
            <w:r w:rsidRPr="00A249FD">
              <w:rPr>
                <w:lang w:val="ro-RO"/>
              </w:rPr>
              <w:t>with</w:t>
            </w:r>
            <w:proofErr w:type="spellEnd"/>
            <w:r w:rsidRPr="00A249FD">
              <w:rPr>
                <w:lang w:val="ro-RO"/>
              </w:rPr>
              <w:t xml:space="preserve"> </w:t>
            </w:r>
            <w:proofErr w:type="spellStart"/>
            <w:r w:rsidRPr="00A249FD">
              <w:rPr>
                <w:lang w:val="ro-RO"/>
              </w:rPr>
              <w:t>certification</w:t>
            </w:r>
            <w:proofErr w:type="spellEnd"/>
            <w:r w:rsidRPr="00A249FD">
              <w:rPr>
                <w:lang w:val="ro-RO"/>
              </w:rPr>
              <w:t xml:space="preserve"> scheme </w:t>
            </w:r>
            <w:proofErr w:type="spellStart"/>
            <w:r w:rsidRPr="00A249FD">
              <w:rPr>
                <w:lang w:val="ro-RO"/>
              </w:rPr>
              <w:t>fees</w:t>
            </w:r>
            <w:proofErr w:type="spellEnd"/>
            <w:r w:rsidRPr="00A249FD">
              <w:rPr>
                <w:lang w:val="ro-RO"/>
              </w:rPr>
              <w:t xml:space="preserve"> for </w:t>
            </w:r>
            <w:proofErr w:type="spellStart"/>
            <w:r w:rsidRPr="00A249FD">
              <w:rPr>
                <w:lang w:val="ro-RO"/>
              </w:rPr>
              <w:t>all</w:t>
            </w:r>
            <w:proofErr w:type="spellEnd"/>
            <w:r w:rsidRPr="00A249FD">
              <w:rPr>
                <w:lang w:val="ro-RO"/>
              </w:rPr>
              <w:t xml:space="preserve"> </w:t>
            </w:r>
            <w:proofErr w:type="spellStart"/>
            <w:r w:rsidRPr="00A249FD">
              <w:rPr>
                <w:lang w:val="ro-RO"/>
              </w:rPr>
              <w:t>parameters</w:t>
            </w:r>
            <w:proofErr w:type="spellEnd"/>
            <w:r w:rsidRPr="00A249FD">
              <w:rPr>
                <w:lang w:val="ro-RO"/>
              </w:rPr>
              <w:t xml:space="preserve"> </w:t>
            </w:r>
            <w:proofErr w:type="spellStart"/>
            <w:r w:rsidRPr="00A249FD">
              <w:rPr>
                <w:lang w:val="ro-RO"/>
              </w:rPr>
              <w:t>and</w:t>
            </w:r>
            <w:proofErr w:type="spellEnd"/>
            <w:r w:rsidRPr="00A249FD">
              <w:rPr>
                <w:lang w:val="ro-RO"/>
              </w:rPr>
              <w:t xml:space="preserve"> </w:t>
            </w:r>
            <w:proofErr w:type="spellStart"/>
            <w:r w:rsidRPr="00A249FD">
              <w:rPr>
                <w:lang w:val="ro-RO"/>
              </w:rPr>
              <w:t>lab</w:t>
            </w:r>
            <w:proofErr w:type="spellEnd"/>
            <w:r w:rsidRPr="00A249FD">
              <w:rPr>
                <w:lang w:val="ro-RO"/>
              </w:rPr>
              <w:t xml:space="preserve"> </w:t>
            </w:r>
            <w:proofErr w:type="spellStart"/>
            <w:r w:rsidRPr="00A249FD">
              <w:rPr>
                <w:lang w:val="ro-RO"/>
              </w:rPr>
              <w:t>testing</w:t>
            </w:r>
            <w:proofErr w:type="spellEnd"/>
            <w:r w:rsidRPr="00A249FD">
              <w:rPr>
                <w:lang w:val="ro-RO"/>
              </w:rPr>
              <w:t xml:space="preserve"> (Certificarea Asociației Composturilor din Regatul Unit pentru compost în agricultură și horticultură – costurile totale asociate cu taxele aferente sistemului de certificare pentru toți parametrii și testarea în laborator). Costurile asociate cu testarea compostului sunt mai mari în comparație cu alte domenii de aplicare, deoarece producătorul de compost trebuie să testeze parametri precum </w:t>
            </w:r>
            <w:proofErr w:type="spellStart"/>
            <w:r w:rsidRPr="00A249FD">
              <w:rPr>
                <w:lang w:val="ro-RO"/>
              </w:rPr>
              <w:t>nutrienții</w:t>
            </w:r>
            <w:proofErr w:type="spellEnd"/>
            <w:r w:rsidRPr="00A249FD">
              <w:rPr>
                <w:lang w:val="ro-RO"/>
              </w:rPr>
              <w:t xml:space="preserve"> totali, </w:t>
            </w:r>
            <w:proofErr w:type="spellStart"/>
            <w:r w:rsidRPr="00A249FD">
              <w:rPr>
                <w:lang w:val="ro-RO"/>
              </w:rPr>
              <w:t>nutrienții</w:t>
            </w:r>
            <w:proofErr w:type="spellEnd"/>
            <w:r w:rsidRPr="00A249FD">
              <w:rPr>
                <w:lang w:val="ro-RO"/>
              </w:rPr>
              <w:t xml:space="preserve"> solubili în apă și </w:t>
            </w:r>
            <w:proofErr w:type="spellStart"/>
            <w:r w:rsidRPr="00A249FD">
              <w:rPr>
                <w:lang w:val="ro-RO"/>
              </w:rPr>
              <w:t>pH-ul</w:t>
            </w:r>
            <w:proofErr w:type="spellEnd"/>
            <w:r w:rsidRPr="00A249FD">
              <w:rPr>
                <w:lang w:val="ro-RO"/>
              </w:rPr>
              <w:t>, în plus, eșantionarea este efectuată de plante. Pentru compostul utilizat în agricultură și horticultură, Protocolul privind compostul de calitate din Regatul Unit a introdus pentru administratorul/fermierul de terenuri cerința de a testa solul pe care se aplică compostul. Costurile asociate testării solului nu sunt incluse aici, deoarece, în cea mai mare parte, nu producătorul de compost, ci fermierul sau gestionarul de teren este cel care plătește.</w:t>
            </w:r>
          </w:p>
          <w:p w14:paraId="77C8207D" w14:textId="57ACAAC1" w:rsidR="009B02B7" w:rsidRPr="00A249FD" w:rsidRDefault="009B02B7" w:rsidP="006B0BFC">
            <w:pPr>
              <w:pStyle w:val="P68B1DB1-Normal32"/>
              <w:shd w:val="clear" w:color="auto" w:fill="FFFFFF" w:themeFill="background1"/>
              <w:tabs>
                <w:tab w:val="left" w:pos="284"/>
              </w:tabs>
              <w:spacing w:before="0" w:after="0"/>
              <w:ind w:left="284" w:hanging="284"/>
              <w:rPr>
                <w:lang w:val="ro-RO"/>
              </w:rPr>
            </w:pPr>
            <w:r w:rsidRPr="00A249FD">
              <w:rPr>
                <w:lang w:val="ro-RO"/>
              </w:rPr>
              <w:t>(</w:t>
            </w:r>
            <w:r w:rsidRPr="00A249FD">
              <w:rPr>
                <w:vertAlign w:val="superscript"/>
                <w:lang w:val="ro-RO"/>
              </w:rPr>
              <w:t>9</w:t>
            </w:r>
            <w:r w:rsidRPr="00A249FD">
              <w:rPr>
                <w:lang w:val="ro-RO"/>
              </w:rPr>
              <w:t>)</w:t>
            </w:r>
            <w:r w:rsidRPr="00A249FD">
              <w:rPr>
                <w:lang w:val="ro-RO"/>
              </w:rPr>
              <w:tab/>
              <w:t xml:space="preserve">TCA, UK Compost Association </w:t>
            </w:r>
            <w:proofErr w:type="spellStart"/>
            <w:r w:rsidRPr="00A249FD">
              <w:rPr>
                <w:lang w:val="ro-RO"/>
              </w:rPr>
              <w:t>certification</w:t>
            </w:r>
            <w:proofErr w:type="spellEnd"/>
            <w:r w:rsidRPr="00A249FD">
              <w:rPr>
                <w:lang w:val="ro-RO"/>
              </w:rPr>
              <w:t xml:space="preserve"> for compost </w:t>
            </w:r>
            <w:proofErr w:type="spellStart"/>
            <w:r w:rsidRPr="00A249FD">
              <w:rPr>
                <w:lang w:val="ro-RO"/>
              </w:rPr>
              <w:t>used</w:t>
            </w:r>
            <w:proofErr w:type="spellEnd"/>
            <w:r w:rsidRPr="00A249FD">
              <w:rPr>
                <w:lang w:val="ro-RO"/>
              </w:rPr>
              <w:t xml:space="preserve"> </w:t>
            </w:r>
            <w:proofErr w:type="spellStart"/>
            <w:r w:rsidRPr="00A249FD">
              <w:rPr>
                <w:lang w:val="ro-RO"/>
              </w:rPr>
              <w:t>outside</w:t>
            </w:r>
            <w:proofErr w:type="spellEnd"/>
            <w:r w:rsidRPr="00A249FD">
              <w:rPr>
                <w:lang w:val="ro-RO"/>
              </w:rPr>
              <w:t xml:space="preserve"> </w:t>
            </w:r>
            <w:proofErr w:type="spellStart"/>
            <w:r w:rsidRPr="00A249FD">
              <w:rPr>
                <w:lang w:val="ro-RO"/>
              </w:rPr>
              <w:t>agriculture</w:t>
            </w:r>
            <w:proofErr w:type="spellEnd"/>
            <w:r w:rsidRPr="00A249FD">
              <w:rPr>
                <w:lang w:val="ro-RO"/>
              </w:rPr>
              <w:t xml:space="preserve"> </w:t>
            </w:r>
            <w:proofErr w:type="spellStart"/>
            <w:r w:rsidRPr="00A249FD">
              <w:rPr>
                <w:lang w:val="ro-RO"/>
              </w:rPr>
              <w:t>and</w:t>
            </w:r>
            <w:proofErr w:type="spellEnd"/>
            <w:r w:rsidRPr="00A249FD">
              <w:rPr>
                <w:lang w:val="ro-RO"/>
              </w:rPr>
              <w:t xml:space="preserve"> </w:t>
            </w:r>
            <w:proofErr w:type="spellStart"/>
            <w:r w:rsidRPr="00A249FD">
              <w:rPr>
                <w:lang w:val="ro-RO"/>
              </w:rPr>
              <w:t>horticulture</w:t>
            </w:r>
            <w:proofErr w:type="spellEnd"/>
            <w:r w:rsidRPr="00A249FD">
              <w:rPr>
                <w:lang w:val="ro-RO"/>
              </w:rPr>
              <w:t xml:space="preserve"> – total </w:t>
            </w:r>
            <w:proofErr w:type="spellStart"/>
            <w:r w:rsidRPr="00A249FD">
              <w:rPr>
                <w:lang w:val="ro-RO"/>
              </w:rPr>
              <w:t>costs</w:t>
            </w:r>
            <w:proofErr w:type="spellEnd"/>
            <w:r w:rsidRPr="00A249FD">
              <w:rPr>
                <w:lang w:val="ro-RO"/>
              </w:rPr>
              <w:t xml:space="preserve"> </w:t>
            </w:r>
            <w:proofErr w:type="spellStart"/>
            <w:r w:rsidRPr="00A249FD">
              <w:rPr>
                <w:lang w:val="ro-RO"/>
              </w:rPr>
              <w:t>associated</w:t>
            </w:r>
            <w:proofErr w:type="spellEnd"/>
            <w:r w:rsidRPr="00A249FD">
              <w:rPr>
                <w:lang w:val="ro-RO"/>
              </w:rPr>
              <w:t xml:space="preserve"> </w:t>
            </w:r>
            <w:proofErr w:type="spellStart"/>
            <w:r w:rsidRPr="00A249FD">
              <w:rPr>
                <w:lang w:val="ro-RO"/>
              </w:rPr>
              <w:t>with</w:t>
            </w:r>
            <w:proofErr w:type="spellEnd"/>
            <w:r w:rsidRPr="00A249FD">
              <w:rPr>
                <w:lang w:val="ro-RO"/>
              </w:rPr>
              <w:t xml:space="preserve"> </w:t>
            </w:r>
            <w:proofErr w:type="spellStart"/>
            <w:r w:rsidRPr="00A249FD">
              <w:rPr>
                <w:lang w:val="ro-RO"/>
              </w:rPr>
              <w:t>certification</w:t>
            </w:r>
            <w:proofErr w:type="spellEnd"/>
            <w:r w:rsidRPr="00A249FD">
              <w:rPr>
                <w:lang w:val="ro-RO"/>
              </w:rPr>
              <w:t xml:space="preserve"> scheme </w:t>
            </w:r>
            <w:proofErr w:type="spellStart"/>
            <w:r w:rsidRPr="00A249FD">
              <w:rPr>
                <w:lang w:val="ro-RO"/>
              </w:rPr>
              <w:t>fees</w:t>
            </w:r>
            <w:proofErr w:type="spellEnd"/>
            <w:r w:rsidRPr="00A249FD">
              <w:rPr>
                <w:lang w:val="ro-RO"/>
              </w:rPr>
              <w:t xml:space="preserve"> </w:t>
            </w:r>
            <w:proofErr w:type="spellStart"/>
            <w:r w:rsidRPr="00A249FD">
              <w:rPr>
                <w:lang w:val="ro-RO"/>
              </w:rPr>
              <w:t>and</w:t>
            </w:r>
            <w:proofErr w:type="spellEnd"/>
            <w:r w:rsidRPr="00A249FD">
              <w:rPr>
                <w:lang w:val="ro-RO"/>
              </w:rPr>
              <w:t xml:space="preserve"> </w:t>
            </w:r>
            <w:proofErr w:type="spellStart"/>
            <w:r w:rsidRPr="00A249FD">
              <w:rPr>
                <w:lang w:val="ro-RO"/>
              </w:rPr>
              <w:t>lab</w:t>
            </w:r>
            <w:proofErr w:type="spellEnd"/>
            <w:r w:rsidRPr="00A249FD">
              <w:rPr>
                <w:lang w:val="ro-RO"/>
              </w:rPr>
              <w:t xml:space="preserve"> </w:t>
            </w:r>
            <w:proofErr w:type="spellStart"/>
            <w:r w:rsidRPr="00A249FD">
              <w:rPr>
                <w:lang w:val="ro-RO"/>
              </w:rPr>
              <w:t>testing</w:t>
            </w:r>
            <w:proofErr w:type="spellEnd"/>
            <w:r w:rsidRPr="00A249FD">
              <w:rPr>
                <w:lang w:val="ro-RO"/>
              </w:rPr>
              <w:t xml:space="preserve"> (Certificarea Asociației pentru compost din Regatul Unit pentru compostul utilizat în afara agriculturii și horticulturii – costurile totale asociate cu taxele aferente sistemului de certificar</w:t>
            </w:r>
            <w:r w:rsidR="00B664D3" w:rsidRPr="00A249FD">
              <w:rPr>
                <w:lang w:val="ro-RO"/>
              </w:rPr>
              <w:t>e și cu testarea în laborator).</w:t>
            </w:r>
          </w:p>
          <w:p w14:paraId="252E3123" w14:textId="6F4FBD90" w:rsidR="00273AEE" w:rsidRPr="00A249FD" w:rsidRDefault="00B664D3"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Se poate preconiza, în baza datelor generate în tab. 4 că modificările majore ale costurilor de asigurare a calității prin posibila introducere a criteriilor UE de încetare a statutului de deșeu, în comparație cu sistemele existente, vor fi legate de testarea produselor. Aceste modificări provin din modificările probabile ale cerințelor privind eșantionarea independentă, măsurarea poluanților organici și utilizarea standardelor EN armonizate. Costurile estimate pentru eșantionarea externă, pe baza informațiilor furnizate de experți, variază foarte mult și sunt estimate la aproximativ 200 EUR pe eșantion. În statele membre în care eșantionarea externă independentă este deja considerată o practică consacrată, prețurile raportate pentru eșantionarea independentă tind, în general, să fie cele mai scăzute. Cu toate acestea, propunerea actuală include posibilitatea de a reduce eșantionarea externă după anul recunoașterii, necesitând doar un eșantion anual colectat în mod independent pentru instalațiile de până la 10000 de tone de materie primă anuală și 3 pentru instalațiile de până la 50000 de tone de materie primă anuală, reducând efectiv costul eșantionării externe la mai puțin de câțiva cenți pe tonă.</w:t>
            </w:r>
          </w:p>
          <w:p w14:paraId="0FF81374" w14:textId="7E8FBCCD" w:rsidR="00381C69" w:rsidRPr="00A249FD" w:rsidRDefault="00381C69"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În cazul extrapolării datelor, pentru un producător cu peste 4000 de capete de bovine, unde producția de dejecții s-ar estima la cca </w:t>
            </w:r>
            <w:r w:rsidR="00A14A91" w:rsidRPr="00A249FD">
              <w:rPr>
                <w:rFonts w:ascii="Times New Roman" w:hAnsi="Times New Roman"/>
                <w:sz w:val="24"/>
                <w:szCs w:val="24"/>
                <w:lang w:val="ro-RO"/>
              </w:rPr>
              <w:t>9,125</w:t>
            </w:r>
            <w:r w:rsidRPr="00A249FD">
              <w:rPr>
                <w:rFonts w:ascii="Times New Roman" w:hAnsi="Times New Roman"/>
                <w:sz w:val="24"/>
                <w:szCs w:val="24"/>
                <w:lang w:val="ro-RO"/>
              </w:rPr>
              <w:t xml:space="preserve"> tone per unitatea de bovină, ar rezulta cca </w:t>
            </w:r>
            <w:r w:rsidR="00A14A91" w:rsidRPr="00A249FD">
              <w:rPr>
                <w:rFonts w:ascii="Times New Roman" w:hAnsi="Times New Roman"/>
                <w:sz w:val="24"/>
                <w:szCs w:val="24"/>
                <w:lang w:val="ro-RO"/>
              </w:rPr>
              <w:t xml:space="preserve">36,5 mii tone de gunoi de grajd, care prin procesare și valorificarea ar rezulta în certificarea a 8395 euro conform calculelor medii evidențiate în tab. 4. Acest </w:t>
            </w:r>
            <w:proofErr w:type="spellStart"/>
            <w:r w:rsidR="00A14A91" w:rsidRPr="00A249FD">
              <w:rPr>
                <w:rFonts w:ascii="Times New Roman" w:hAnsi="Times New Roman"/>
                <w:sz w:val="24"/>
                <w:szCs w:val="24"/>
                <w:lang w:val="ro-RO"/>
              </w:rPr>
              <w:t>digestat</w:t>
            </w:r>
            <w:proofErr w:type="spellEnd"/>
            <w:r w:rsidR="00A14A91" w:rsidRPr="00A249FD">
              <w:rPr>
                <w:rFonts w:ascii="Times New Roman" w:hAnsi="Times New Roman"/>
                <w:sz w:val="24"/>
                <w:szCs w:val="24"/>
                <w:lang w:val="ro-RO"/>
              </w:rPr>
              <w:t xml:space="preserve"> rezultat (pe cazul SRL </w:t>
            </w:r>
            <w:proofErr w:type="spellStart"/>
            <w:r w:rsidR="000B4B14" w:rsidRPr="00A249FD">
              <w:rPr>
                <w:rFonts w:ascii="Times New Roman" w:hAnsi="Times New Roman"/>
                <w:sz w:val="24"/>
                <w:szCs w:val="24"/>
                <w:lang w:val="ro-RO"/>
              </w:rPr>
              <w:t>Garma</w:t>
            </w:r>
            <w:proofErr w:type="spellEnd"/>
            <w:r w:rsidR="000B4B14" w:rsidRPr="00A249FD">
              <w:rPr>
                <w:rFonts w:ascii="Times New Roman" w:hAnsi="Times New Roman"/>
                <w:sz w:val="24"/>
                <w:szCs w:val="24"/>
                <w:lang w:val="ro-RO"/>
              </w:rPr>
              <w:t xml:space="preserve"> Grup) ar putea fi valorificat la un preț mediu de 20- 35 $/tonă</w:t>
            </w:r>
            <w:r w:rsidR="006B4CFD" w:rsidRPr="00A249FD">
              <w:rPr>
                <w:rFonts w:ascii="Times New Roman" w:hAnsi="Times New Roman"/>
                <w:sz w:val="24"/>
                <w:szCs w:val="24"/>
                <w:lang w:val="ro-RO"/>
              </w:rPr>
              <w:t xml:space="preserve"> (</w:t>
            </w:r>
            <w:hyperlink r:id="rId15" w:history="1">
              <w:r w:rsidR="006B4CFD" w:rsidRPr="00A249FD">
                <w:rPr>
                  <w:lang w:val="ro-RO"/>
                </w:rPr>
                <w:t xml:space="preserve"> </w:t>
              </w:r>
              <w:r w:rsidR="006B4CFD" w:rsidRPr="00A249FD">
                <w:rPr>
                  <w:rStyle w:val="Hyperlink"/>
                  <w:lang w:val="ro-RO"/>
                </w:rPr>
                <w:t>https://www.findingasuitable.com/how-much-is-organic-fertilizer/)</w:t>
              </w:r>
            </w:hyperlink>
            <w:r w:rsidR="000B4B14" w:rsidRPr="00A249FD">
              <w:rPr>
                <w:rFonts w:ascii="Times New Roman" w:hAnsi="Times New Roman"/>
                <w:sz w:val="24"/>
                <w:szCs w:val="24"/>
                <w:lang w:val="ro-RO"/>
              </w:rPr>
              <w:t>, iar costul certificării în acest caz este nesemnificativ. De cele mai multe ori, aceste îngrășăminte  organice sunt administrare în nemijlocita apropiere pentru a nu ridica costurile de transportare și sunt valorificate de cei care le produc pe terenurile proprii</w:t>
            </w:r>
            <w:r w:rsidR="006E4B09" w:rsidRPr="00A249FD">
              <w:rPr>
                <w:rFonts w:ascii="Times New Roman" w:hAnsi="Times New Roman"/>
                <w:sz w:val="24"/>
                <w:szCs w:val="24"/>
                <w:lang w:val="ro-RO"/>
              </w:rPr>
              <w:t>.</w:t>
            </w:r>
          </w:p>
          <w:p w14:paraId="30082A04" w14:textId="71D63A05" w:rsidR="00A249FD" w:rsidRPr="00A249FD" w:rsidRDefault="00A249FD"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Conform studiului elaborat de Ministerul Agriculturii și Industriei Alimentare cu privire la indicatorii macroeconomici, Cantitatea totală de dejecții animaliere  colectată și procesată a fost determinată reieșind din numărul total de animale exploatate în exploatațiile zootehnice autorizate și cantitatea de dejecții obținute de la un cap pe parcursul unui an. </w:t>
            </w:r>
          </w:p>
          <w:p w14:paraId="15DA71C9" w14:textId="3888735D" w:rsidR="00A249FD" w:rsidRPr="00A249FD" w:rsidRDefault="00A249FD" w:rsidP="006B0BFC">
            <w:pPr>
              <w:shd w:val="clear" w:color="auto" w:fill="FFFFFF" w:themeFill="background1"/>
              <w:spacing w:after="160" w:line="259" w:lineRule="auto"/>
              <w:ind w:left="34" w:firstLine="0"/>
              <w:jc w:val="center"/>
              <w:rPr>
                <w:rFonts w:ascii="Times New Roman" w:hAnsi="Times New Roman"/>
                <w:i/>
                <w:sz w:val="24"/>
                <w:szCs w:val="24"/>
                <w:lang w:val="ro-RO"/>
              </w:rPr>
            </w:pPr>
            <w:r w:rsidRPr="00A249FD">
              <w:rPr>
                <w:rFonts w:ascii="Times New Roman" w:hAnsi="Times New Roman"/>
                <w:bCs/>
                <w:i/>
                <w:iCs/>
                <w:sz w:val="24"/>
                <w:szCs w:val="24"/>
                <w:lang w:val="ro-RO"/>
              </w:rPr>
              <w:t xml:space="preserve">Tab. 5 </w:t>
            </w:r>
            <w:r w:rsidRPr="007D7986">
              <w:rPr>
                <w:rFonts w:ascii="Times New Roman" w:hAnsi="Times New Roman"/>
                <w:bCs/>
                <w:iCs/>
                <w:sz w:val="24"/>
                <w:szCs w:val="24"/>
                <w:lang w:val="ro-RO"/>
              </w:rPr>
              <w:t>Cantitatea de dejecții obținută</w:t>
            </w:r>
            <w:r w:rsidRPr="007D7986">
              <w:rPr>
                <w:rFonts w:ascii="Times New Roman" w:hAnsi="Times New Roman"/>
                <w:bCs/>
                <w:sz w:val="24"/>
                <w:szCs w:val="24"/>
                <w:lang w:val="ro-RO"/>
              </w:rPr>
              <w:t xml:space="preserve"> în întreprinderile agricole pe parcursul unui an (mii tone)</w:t>
            </w:r>
          </w:p>
          <w:tbl>
            <w:tblPr>
              <w:tblStyle w:val="Tabelgril"/>
              <w:tblW w:w="9632" w:type="dxa"/>
              <w:tblLook w:val="04A0" w:firstRow="1" w:lastRow="0" w:firstColumn="1" w:lastColumn="0" w:noHBand="0" w:noVBand="1"/>
            </w:tblPr>
            <w:tblGrid>
              <w:gridCol w:w="3076"/>
              <w:gridCol w:w="1639"/>
              <w:gridCol w:w="1639"/>
              <w:gridCol w:w="1639"/>
              <w:gridCol w:w="1639"/>
            </w:tblGrid>
            <w:tr w:rsidR="00A249FD" w:rsidRPr="00A249FD" w14:paraId="7014F763" w14:textId="77777777" w:rsidTr="00A249FD">
              <w:trPr>
                <w:trHeight w:val="322"/>
              </w:trPr>
              <w:tc>
                <w:tcPr>
                  <w:tcW w:w="3076" w:type="dxa"/>
                  <w:vAlign w:val="center"/>
                </w:tcPr>
                <w:p w14:paraId="784BE1AA" w14:textId="3678319F"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sz w:val="24"/>
                      <w:szCs w:val="24"/>
                      <w:lang w:val="ro-RO"/>
                    </w:rPr>
                    <w:t>Specia</w:t>
                  </w:r>
                  <w:r w:rsidR="007D7986">
                    <w:rPr>
                      <w:rFonts w:ascii="Times New Roman" w:hAnsi="Times New Roman"/>
                      <w:bCs/>
                      <w:sz w:val="24"/>
                      <w:szCs w:val="24"/>
                      <w:lang w:val="ro-RO"/>
                    </w:rPr>
                    <w:t>/Anul</w:t>
                  </w:r>
                </w:p>
              </w:tc>
              <w:tc>
                <w:tcPr>
                  <w:tcW w:w="1639" w:type="dxa"/>
                  <w:vAlign w:val="center"/>
                </w:tcPr>
                <w:p w14:paraId="0622C97F" w14:textId="77777777"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iCs/>
                      <w:sz w:val="24"/>
                      <w:szCs w:val="24"/>
                      <w:lang w:val="ro-RO"/>
                    </w:rPr>
                    <w:t>2021</w:t>
                  </w:r>
                </w:p>
              </w:tc>
              <w:tc>
                <w:tcPr>
                  <w:tcW w:w="1639" w:type="dxa"/>
                  <w:vAlign w:val="center"/>
                </w:tcPr>
                <w:p w14:paraId="7F98C6D4" w14:textId="77777777" w:rsidR="00A249FD" w:rsidRPr="007D7986" w:rsidRDefault="00A249FD" w:rsidP="006B0BFC">
                  <w:pPr>
                    <w:shd w:val="clear" w:color="auto" w:fill="FFFFFF" w:themeFill="background1"/>
                    <w:ind w:firstLine="0"/>
                    <w:jc w:val="center"/>
                    <w:rPr>
                      <w:rFonts w:ascii="Times New Roman" w:hAnsi="Times New Roman"/>
                      <w:bCs/>
                      <w:iCs/>
                      <w:sz w:val="24"/>
                      <w:szCs w:val="24"/>
                      <w:lang w:val="ro-RO"/>
                    </w:rPr>
                  </w:pPr>
                  <w:r w:rsidRPr="007D7986">
                    <w:rPr>
                      <w:rFonts w:ascii="Times New Roman" w:hAnsi="Times New Roman"/>
                      <w:bCs/>
                      <w:iCs/>
                      <w:sz w:val="24"/>
                      <w:szCs w:val="24"/>
                      <w:lang w:val="ro-RO"/>
                    </w:rPr>
                    <w:t>2022</w:t>
                  </w:r>
                </w:p>
              </w:tc>
              <w:tc>
                <w:tcPr>
                  <w:tcW w:w="1639" w:type="dxa"/>
                  <w:vAlign w:val="center"/>
                </w:tcPr>
                <w:p w14:paraId="2310ADFA" w14:textId="77777777" w:rsidR="00A249FD" w:rsidRPr="007D7986" w:rsidRDefault="00A249FD" w:rsidP="006B0BFC">
                  <w:pPr>
                    <w:shd w:val="clear" w:color="auto" w:fill="FFFFFF" w:themeFill="background1"/>
                    <w:ind w:firstLine="0"/>
                    <w:jc w:val="center"/>
                    <w:rPr>
                      <w:rFonts w:ascii="Times New Roman" w:hAnsi="Times New Roman"/>
                      <w:bCs/>
                      <w:iCs/>
                      <w:sz w:val="24"/>
                      <w:szCs w:val="24"/>
                      <w:lang w:val="ro-RO"/>
                    </w:rPr>
                  </w:pPr>
                  <w:r w:rsidRPr="007D7986">
                    <w:rPr>
                      <w:rFonts w:ascii="Times New Roman" w:hAnsi="Times New Roman"/>
                      <w:bCs/>
                      <w:iCs/>
                      <w:sz w:val="24"/>
                      <w:szCs w:val="24"/>
                      <w:lang w:val="ro-RO"/>
                    </w:rPr>
                    <w:t>2023</w:t>
                  </w:r>
                </w:p>
              </w:tc>
              <w:tc>
                <w:tcPr>
                  <w:tcW w:w="1639" w:type="dxa"/>
                  <w:vAlign w:val="center"/>
                </w:tcPr>
                <w:p w14:paraId="51EF0624" w14:textId="77777777" w:rsidR="00A249FD" w:rsidRPr="007D7986" w:rsidRDefault="00A249FD" w:rsidP="006B0BFC">
                  <w:pPr>
                    <w:shd w:val="clear" w:color="auto" w:fill="FFFFFF" w:themeFill="background1"/>
                    <w:ind w:firstLine="0"/>
                    <w:jc w:val="center"/>
                    <w:rPr>
                      <w:rFonts w:ascii="Times New Roman" w:hAnsi="Times New Roman"/>
                      <w:bCs/>
                      <w:iCs/>
                      <w:sz w:val="24"/>
                      <w:szCs w:val="24"/>
                      <w:lang w:val="ro-RO"/>
                    </w:rPr>
                  </w:pPr>
                  <w:r w:rsidRPr="007D7986">
                    <w:rPr>
                      <w:rFonts w:ascii="Times New Roman" w:hAnsi="Times New Roman"/>
                      <w:bCs/>
                      <w:iCs/>
                      <w:sz w:val="24"/>
                      <w:szCs w:val="24"/>
                      <w:lang w:val="ro-RO"/>
                    </w:rPr>
                    <w:t>2024</w:t>
                  </w:r>
                </w:p>
              </w:tc>
            </w:tr>
            <w:tr w:rsidR="00A249FD" w:rsidRPr="00A249FD" w14:paraId="311BC275" w14:textId="77777777" w:rsidTr="00A249FD">
              <w:trPr>
                <w:trHeight w:val="128"/>
              </w:trPr>
              <w:tc>
                <w:tcPr>
                  <w:tcW w:w="3076" w:type="dxa"/>
                </w:tcPr>
                <w:p w14:paraId="6F6393C9" w14:textId="77777777" w:rsidR="00A249FD" w:rsidRPr="007D7986" w:rsidRDefault="00A249FD" w:rsidP="006B0BFC">
                  <w:pPr>
                    <w:shd w:val="clear" w:color="auto" w:fill="FFFFFF" w:themeFill="background1"/>
                    <w:ind w:firstLine="0"/>
                    <w:jc w:val="center"/>
                    <w:rPr>
                      <w:rFonts w:ascii="Times New Roman" w:hAnsi="Times New Roman"/>
                      <w:iCs/>
                      <w:sz w:val="24"/>
                      <w:szCs w:val="24"/>
                      <w:lang w:val="ro-RO"/>
                    </w:rPr>
                  </w:pPr>
                  <w:r w:rsidRPr="007D7986">
                    <w:rPr>
                      <w:rFonts w:ascii="Times New Roman" w:hAnsi="Times New Roman"/>
                      <w:iCs/>
                      <w:sz w:val="24"/>
                      <w:szCs w:val="24"/>
                      <w:lang w:val="ro-RO"/>
                    </w:rPr>
                    <w:t>Bovine</w:t>
                  </w:r>
                </w:p>
              </w:tc>
              <w:tc>
                <w:tcPr>
                  <w:tcW w:w="1639" w:type="dxa"/>
                </w:tcPr>
                <w:p w14:paraId="06E980A1"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254</w:t>
                  </w:r>
                </w:p>
              </w:tc>
              <w:tc>
                <w:tcPr>
                  <w:tcW w:w="1639" w:type="dxa"/>
                </w:tcPr>
                <w:p w14:paraId="46F85430"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284</w:t>
                  </w:r>
                </w:p>
              </w:tc>
              <w:tc>
                <w:tcPr>
                  <w:tcW w:w="1639" w:type="dxa"/>
                </w:tcPr>
                <w:p w14:paraId="3FC29C04"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313</w:t>
                  </w:r>
                </w:p>
              </w:tc>
              <w:tc>
                <w:tcPr>
                  <w:tcW w:w="1639" w:type="dxa"/>
                </w:tcPr>
                <w:p w14:paraId="27E8127B"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342</w:t>
                  </w:r>
                </w:p>
              </w:tc>
            </w:tr>
            <w:tr w:rsidR="00A249FD" w:rsidRPr="00A249FD" w14:paraId="010E4771" w14:textId="77777777" w:rsidTr="00A249FD">
              <w:trPr>
                <w:trHeight w:val="128"/>
              </w:trPr>
              <w:tc>
                <w:tcPr>
                  <w:tcW w:w="3076" w:type="dxa"/>
                </w:tcPr>
                <w:p w14:paraId="10FFDD65" w14:textId="77777777" w:rsidR="00A249FD" w:rsidRPr="007D7986" w:rsidRDefault="00A249FD" w:rsidP="006B0BFC">
                  <w:pPr>
                    <w:shd w:val="clear" w:color="auto" w:fill="FFFFFF" w:themeFill="background1"/>
                    <w:ind w:firstLine="0"/>
                    <w:jc w:val="center"/>
                    <w:rPr>
                      <w:rFonts w:ascii="Times New Roman" w:hAnsi="Times New Roman"/>
                      <w:iCs/>
                      <w:sz w:val="24"/>
                      <w:szCs w:val="24"/>
                      <w:lang w:val="ro-RO"/>
                    </w:rPr>
                  </w:pPr>
                  <w:r w:rsidRPr="007D7986">
                    <w:rPr>
                      <w:rFonts w:ascii="Times New Roman" w:hAnsi="Times New Roman"/>
                      <w:iCs/>
                      <w:sz w:val="24"/>
                      <w:szCs w:val="24"/>
                      <w:lang w:val="ro-RO"/>
                    </w:rPr>
                    <w:t>Porcine</w:t>
                  </w:r>
                </w:p>
              </w:tc>
              <w:tc>
                <w:tcPr>
                  <w:tcW w:w="1639" w:type="dxa"/>
                </w:tcPr>
                <w:p w14:paraId="39E75070"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286</w:t>
                  </w:r>
                </w:p>
              </w:tc>
              <w:tc>
                <w:tcPr>
                  <w:tcW w:w="1639" w:type="dxa"/>
                </w:tcPr>
                <w:p w14:paraId="7A05AC28"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314</w:t>
                  </w:r>
                </w:p>
              </w:tc>
              <w:tc>
                <w:tcPr>
                  <w:tcW w:w="1639" w:type="dxa"/>
                </w:tcPr>
                <w:p w14:paraId="46AA61B5"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346</w:t>
                  </w:r>
                </w:p>
              </w:tc>
              <w:tc>
                <w:tcPr>
                  <w:tcW w:w="1639" w:type="dxa"/>
                </w:tcPr>
                <w:p w14:paraId="11733B3E"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380</w:t>
                  </w:r>
                </w:p>
              </w:tc>
            </w:tr>
            <w:tr w:rsidR="00A249FD" w:rsidRPr="00A249FD" w14:paraId="1D5DCBCE" w14:textId="77777777" w:rsidTr="00A249FD">
              <w:trPr>
                <w:trHeight w:val="128"/>
              </w:trPr>
              <w:tc>
                <w:tcPr>
                  <w:tcW w:w="3076" w:type="dxa"/>
                </w:tcPr>
                <w:p w14:paraId="1BD77925" w14:textId="77777777" w:rsidR="00A249FD" w:rsidRPr="007D7986" w:rsidRDefault="00A249FD" w:rsidP="006B0BFC">
                  <w:pPr>
                    <w:shd w:val="clear" w:color="auto" w:fill="FFFFFF" w:themeFill="background1"/>
                    <w:ind w:firstLine="0"/>
                    <w:jc w:val="center"/>
                    <w:rPr>
                      <w:rFonts w:ascii="Times New Roman" w:hAnsi="Times New Roman"/>
                      <w:iCs/>
                      <w:sz w:val="24"/>
                      <w:szCs w:val="24"/>
                      <w:lang w:val="ro-RO"/>
                    </w:rPr>
                  </w:pPr>
                  <w:r w:rsidRPr="007D7986">
                    <w:rPr>
                      <w:rFonts w:ascii="Times New Roman" w:hAnsi="Times New Roman"/>
                      <w:iCs/>
                      <w:sz w:val="24"/>
                      <w:szCs w:val="24"/>
                      <w:lang w:val="ro-RO"/>
                    </w:rPr>
                    <w:t>Ovine/Caprine</w:t>
                  </w:r>
                </w:p>
              </w:tc>
              <w:tc>
                <w:tcPr>
                  <w:tcW w:w="1639" w:type="dxa"/>
                </w:tcPr>
                <w:p w14:paraId="5D315F6C"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42</w:t>
                  </w:r>
                </w:p>
              </w:tc>
              <w:tc>
                <w:tcPr>
                  <w:tcW w:w="1639" w:type="dxa"/>
                </w:tcPr>
                <w:p w14:paraId="4A26A2D0"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46</w:t>
                  </w:r>
                </w:p>
              </w:tc>
              <w:tc>
                <w:tcPr>
                  <w:tcW w:w="1639" w:type="dxa"/>
                </w:tcPr>
                <w:p w14:paraId="4740EF5C"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50</w:t>
                  </w:r>
                </w:p>
              </w:tc>
              <w:tc>
                <w:tcPr>
                  <w:tcW w:w="1639" w:type="dxa"/>
                </w:tcPr>
                <w:p w14:paraId="212B888C"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54</w:t>
                  </w:r>
                </w:p>
              </w:tc>
            </w:tr>
            <w:tr w:rsidR="00A249FD" w:rsidRPr="00A249FD" w14:paraId="2F69FA78" w14:textId="77777777" w:rsidTr="00A249FD">
              <w:trPr>
                <w:trHeight w:val="392"/>
              </w:trPr>
              <w:tc>
                <w:tcPr>
                  <w:tcW w:w="3076" w:type="dxa"/>
                </w:tcPr>
                <w:p w14:paraId="32605463" w14:textId="77777777" w:rsidR="00A249FD" w:rsidRPr="007D7986" w:rsidRDefault="00A249FD" w:rsidP="006B0BFC">
                  <w:pPr>
                    <w:shd w:val="clear" w:color="auto" w:fill="FFFFFF" w:themeFill="background1"/>
                    <w:ind w:firstLine="0"/>
                    <w:jc w:val="center"/>
                    <w:rPr>
                      <w:rFonts w:ascii="Times New Roman" w:hAnsi="Times New Roman"/>
                      <w:iCs/>
                      <w:sz w:val="24"/>
                      <w:szCs w:val="24"/>
                      <w:lang w:val="ro-RO"/>
                    </w:rPr>
                  </w:pPr>
                  <w:r w:rsidRPr="007D7986">
                    <w:rPr>
                      <w:rFonts w:ascii="Times New Roman" w:hAnsi="Times New Roman"/>
                      <w:iCs/>
                      <w:sz w:val="24"/>
                      <w:szCs w:val="24"/>
                      <w:lang w:val="ro-RO"/>
                    </w:rPr>
                    <w:t>Păsări</w:t>
                  </w:r>
                </w:p>
                <w:p w14:paraId="3492166F" w14:textId="77777777" w:rsidR="00A249FD" w:rsidRPr="007D7986" w:rsidRDefault="00A249FD" w:rsidP="006B0BFC">
                  <w:pPr>
                    <w:shd w:val="clear" w:color="auto" w:fill="FFFFFF" w:themeFill="background1"/>
                    <w:ind w:firstLine="0"/>
                    <w:jc w:val="center"/>
                    <w:rPr>
                      <w:rFonts w:ascii="Times New Roman" w:hAnsi="Times New Roman"/>
                      <w:iCs/>
                      <w:sz w:val="24"/>
                      <w:szCs w:val="24"/>
                      <w:lang w:val="ro-RO"/>
                    </w:rPr>
                  </w:pPr>
                  <w:r w:rsidRPr="007D7986">
                    <w:rPr>
                      <w:rFonts w:ascii="Times New Roman" w:hAnsi="Times New Roman"/>
                      <w:iCs/>
                      <w:sz w:val="24"/>
                      <w:szCs w:val="24"/>
                      <w:lang w:val="ro-RO"/>
                    </w:rPr>
                    <w:t>ouătoare</w:t>
                  </w:r>
                </w:p>
                <w:p w14:paraId="63736A34" w14:textId="77777777" w:rsidR="00A249FD" w:rsidRPr="007D7986" w:rsidRDefault="00A249FD" w:rsidP="006B0BFC">
                  <w:pPr>
                    <w:shd w:val="clear" w:color="auto" w:fill="FFFFFF" w:themeFill="background1"/>
                    <w:ind w:firstLine="0"/>
                    <w:jc w:val="center"/>
                    <w:rPr>
                      <w:rFonts w:ascii="Times New Roman" w:hAnsi="Times New Roman"/>
                      <w:iCs/>
                      <w:sz w:val="24"/>
                      <w:szCs w:val="24"/>
                      <w:lang w:val="ro-RO"/>
                    </w:rPr>
                  </w:pPr>
                  <w:r w:rsidRPr="007D7986">
                    <w:rPr>
                      <w:rFonts w:ascii="Times New Roman" w:hAnsi="Times New Roman"/>
                      <w:iCs/>
                      <w:sz w:val="24"/>
                      <w:szCs w:val="24"/>
                      <w:lang w:val="ro-RO"/>
                    </w:rPr>
                    <w:t xml:space="preserve">pui </w:t>
                  </w:r>
                  <w:proofErr w:type="spellStart"/>
                  <w:r w:rsidRPr="007D7986">
                    <w:rPr>
                      <w:rFonts w:ascii="Times New Roman" w:hAnsi="Times New Roman"/>
                      <w:iCs/>
                      <w:sz w:val="24"/>
                      <w:szCs w:val="24"/>
                      <w:lang w:val="ro-RO"/>
                    </w:rPr>
                    <w:t>broiler</w:t>
                  </w:r>
                  <w:proofErr w:type="spellEnd"/>
                </w:p>
              </w:tc>
              <w:tc>
                <w:tcPr>
                  <w:tcW w:w="1639" w:type="dxa"/>
                </w:tcPr>
                <w:p w14:paraId="63705F23"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315</w:t>
                  </w:r>
                </w:p>
                <w:p w14:paraId="68FEB33B"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243</w:t>
                  </w:r>
                </w:p>
                <w:p w14:paraId="0E2EBF65"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72</w:t>
                  </w:r>
                </w:p>
              </w:tc>
              <w:tc>
                <w:tcPr>
                  <w:tcW w:w="1639" w:type="dxa"/>
                </w:tcPr>
                <w:p w14:paraId="32713AD1"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327</w:t>
                  </w:r>
                </w:p>
                <w:p w14:paraId="3CEA3573"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255</w:t>
                  </w:r>
                </w:p>
                <w:p w14:paraId="0011483C"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72</w:t>
                  </w:r>
                </w:p>
              </w:tc>
              <w:tc>
                <w:tcPr>
                  <w:tcW w:w="1639" w:type="dxa"/>
                </w:tcPr>
                <w:p w14:paraId="320CD5E7"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340</w:t>
                  </w:r>
                </w:p>
                <w:p w14:paraId="3176C9EC"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268</w:t>
                  </w:r>
                </w:p>
                <w:p w14:paraId="352D4365"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72</w:t>
                  </w:r>
                </w:p>
              </w:tc>
              <w:tc>
                <w:tcPr>
                  <w:tcW w:w="1639" w:type="dxa"/>
                </w:tcPr>
                <w:p w14:paraId="247F394F"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352</w:t>
                  </w:r>
                </w:p>
                <w:p w14:paraId="3FC64758"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280</w:t>
                  </w:r>
                </w:p>
                <w:p w14:paraId="34ABC4ED" w14:textId="77777777" w:rsidR="00A249FD" w:rsidRPr="007D7986" w:rsidRDefault="00A249FD" w:rsidP="006B0BFC">
                  <w:pPr>
                    <w:shd w:val="clear" w:color="auto" w:fill="FFFFFF" w:themeFill="background1"/>
                    <w:ind w:firstLine="0"/>
                    <w:jc w:val="center"/>
                    <w:rPr>
                      <w:rFonts w:ascii="Times New Roman" w:hAnsi="Times New Roman"/>
                      <w:sz w:val="24"/>
                      <w:szCs w:val="24"/>
                      <w:lang w:val="ro-RO"/>
                    </w:rPr>
                  </w:pPr>
                  <w:r w:rsidRPr="007D7986">
                    <w:rPr>
                      <w:rFonts w:ascii="Times New Roman" w:hAnsi="Times New Roman"/>
                      <w:sz w:val="24"/>
                      <w:szCs w:val="24"/>
                      <w:lang w:val="ro-RO"/>
                    </w:rPr>
                    <w:t>72</w:t>
                  </w:r>
                </w:p>
              </w:tc>
            </w:tr>
            <w:tr w:rsidR="00A249FD" w:rsidRPr="00A249FD" w14:paraId="47435BC8" w14:textId="77777777" w:rsidTr="00A249FD">
              <w:trPr>
                <w:trHeight w:val="257"/>
              </w:trPr>
              <w:tc>
                <w:tcPr>
                  <w:tcW w:w="3076" w:type="dxa"/>
                </w:tcPr>
                <w:p w14:paraId="0FBA948E" w14:textId="77777777"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sz w:val="24"/>
                      <w:szCs w:val="24"/>
                      <w:lang w:val="ro-RO"/>
                    </w:rPr>
                    <w:t>Dejecții animaliere</w:t>
                  </w:r>
                </w:p>
              </w:tc>
              <w:tc>
                <w:tcPr>
                  <w:tcW w:w="1639" w:type="dxa"/>
                  <w:vAlign w:val="center"/>
                </w:tcPr>
                <w:p w14:paraId="067FB995" w14:textId="77777777"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sz w:val="24"/>
                      <w:szCs w:val="24"/>
                      <w:lang w:val="ro-RO"/>
                    </w:rPr>
                    <w:t>897</w:t>
                  </w:r>
                </w:p>
              </w:tc>
              <w:tc>
                <w:tcPr>
                  <w:tcW w:w="1639" w:type="dxa"/>
                  <w:vAlign w:val="center"/>
                </w:tcPr>
                <w:p w14:paraId="6CFF45AB" w14:textId="77777777"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sz w:val="24"/>
                      <w:szCs w:val="24"/>
                      <w:lang w:val="ro-RO"/>
                    </w:rPr>
                    <w:t>971</w:t>
                  </w:r>
                </w:p>
              </w:tc>
              <w:tc>
                <w:tcPr>
                  <w:tcW w:w="1639" w:type="dxa"/>
                  <w:vAlign w:val="center"/>
                </w:tcPr>
                <w:p w14:paraId="1820A856" w14:textId="77777777"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sz w:val="24"/>
                      <w:szCs w:val="24"/>
                      <w:lang w:val="ro-RO"/>
                    </w:rPr>
                    <w:t>1049</w:t>
                  </w:r>
                </w:p>
              </w:tc>
              <w:tc>
                <w:tcPr>
                  <w:tcW w:w="1639" w:type="dxa"/>
                  <w:vAlign w:val="center"/>
                </w:tcPr>
                <w:p w14:paraId="37E69E6B" w14:textId="77777777" w:rsidR="00A249FD" w:rsidRPr="007D7986" w:rsidRDefault="00A249FD" w:rsidP="006B0BFC">
                  <w:pPr>
                    <w:shd w:val="clear" w:color="auto" w:fill="FFFFFF" w:themeFill="background1"/>
                    <w:ind w:firstLine="0"/>
                    <w:jc w:val="center"/>
                    <w:rPr>
                      <w:rFonts w:ascii="Times New Roman" w:hAnsi="Times New Roman"/>
                      <w:bCs/>
                      <w:sz w:val="24"/>
                      <w:szCs w:val="24"/>
                      <w:lang w:val="ro-RO"/>
                    </w:rPr>
                  </w:pPr>
                  <w:r w:rsidRPr="007D7986">
                    <w:rPr>
                      <w:rFonts w:ascii="Times New Roman" w:hAnsi="Times New Roman"/>
                      <w:bCs/>
                      <w:sz w:val="24"/>
                      <w:szCs w:val="24"/>
                      <w:lang w:val="ro-RO"/>
                    </w:rPr>
                    <w:t>1128</w:t>
                  </w:r>
                </w:p>
              </w:tc>
            </w:tr>
          </w:tbl>
          <w:p w14:paraId="04192F79" w14:textId="5899409D" w:rsidR="00A249FD" w:rsidRPr="00A249FD" w:rsidRDefault="00A249FD"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Astfel, din capacitatea </w:t>
            </w:r>
            <w:r>
              <w:rPr>
                <w:rFonts w:ascii="Times New Roman" w:hAnsi="Times New Roman"/>
                <w:sz w:val="24"/>
                <w:szCs w:val="24"/>
                <w:lang w:val="ro-RO"/>
              </w:rPr>
              <w:t xml:space="preserve">totală de producere a dejecțiilor de 3791 mii tone, 1128 mii tone sunt în </w:t>
            </w:r>
            <w:r w:rsidR="00872AF7">
              <w:rPr>
                <w:rFonts w:ascii="Times New Roman" w:hAnsi="Times New Roman"/>
                <w:sz w:val="24"/>
                <w:szCs w:val="24"/>
                <w:lang w:val="ro-RO"/>
              </w:rPr>
              <w:t>obținute în exploatații autorizate. În dependență de tehnologia de procesare a acestuia și a dimensiunii exploatației aceste dejecții pot fi valorificate ca fertilizanți certificați.</w:t>
            </w:r>
          </w:p>
          <w:p w14:paraId="3101FDDD" w14:textId="302A90FE" w:rsidR="00273AEE" w:rsidRPr="00A249FD" w:rsidRDefault="001E7A6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La nivelul țărilor membre</w:t>
            </w:r>
            <w:r w:rsidR="00273AEE" w:rsidRPr="00A249FD">
              <w:rPr>
                <w:rFonts w:ascii="Times New Roman" w:hAnsi="Times New Roman"/>
                <w:sz w:val="24"/>
                <w:szCs w:val="24"/>
                <w:lang w:val="ro-RO"/>
              </w:rPr>
              <w:t xml:space="preserve">, întreprinderilor mici și mijlocii (IMM-urilor) li s-au solicitat contribuții cu privire la diferitele opțiuni în curs de </w:t>
            </w:r>
            <w:r w:rsidRPr="00A249FD">
              <w:rPr>
                <w:rFonts w:ascii="Times New Roman" w:hAnsi="Times New Roman"/>
                <w:sz w:val="24"/>
                <w:szCs w:val="24"/>
                <w:lang w:val="ro-RO"/>
              </w:rPr>
              <w:t xml:space="preserve">promovarea a </w:t>
            </w:r>
            <w:proofErr w:type="spellStart"/>
            <w:r w:rsidRPr="00A249FD">
              <w:rPr>
                <w:rFonts w:ascii="Times New Roman" w:hAnsi="Times New Roman"/>
                <w:sz w:val="24"/>
                <w:szCs w:val="24"/>
                <w:lang w:val="ro-RO"/>
              </w:rPr>
              <w:t>draftului</w:t>
            </w:r>
            <w:proofErr w:type="spellEnd"/>
            <w:r w:rsidRPr="00A249FD">
              <w:rPr>
                <w:rFonts w:ascii="Times New Roman" w:hAnsi="Times New Roman"/>
                <w:sz w:val="24"/>
                <w:szCs w:val="24"/>
                <w:lang w:val="ro-RO"/>
              </w:rPr>
              <w:t xml:space="preserve"> Regulamentului UE 2019/1009</w:t>
            </w:r>
            <w:r w:rsidR="00273AEE" w:rsidRPr="00A249FD">
              <w:rPr>
                <w:rFonts w:ascii="Times New Roman" w:hAnsi="Times New Roman"/>
                <w:sz w:val="24"/>
                <w:szCs w:val="24"/>
                <w:lang w:val="ro-RO"/>
              </w:rPr>
              <w:t>. Acestora li s-a furnizat un chestionar specific, însoțit de o notă de informare care clarifică aspectele tehnice și economice ale propunerii.</w:t>
            </w:r>
          </w:p>
          <w:p w14:paraId="3474C241" w14:textId="1DFBEA0A"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 xml:space="preserve">Scopul acestei consultări a fost de a primi informații din partea industriei cu privire la </w:t>
            </w:r>
            <w:r w:rsidRPr="00A249FD">
              <w:rPr>
                <w:rFonts w:ascii="Times New Roman" w:hAnsi="Times New Roman"/>
                <w:sz w:val="24"/>
                <w:szCs w:val="24"/>
                <w:u w:val="single"/>
                <w:lang w:val="ro-RO"/>
              </w:rPr>
              <w:t>costurile estimate de asigurare a conformității și la efectele asupra lanțului de aprovizionare ale opțiuni</w:t>
            </w:r>
            <w:r w:rsidR="001E7A61" w:rsidRPr="00A249FD">
              <w:rPr>
                <w:rFonts w:ascii="Times New Roman" w:hAnsi="Times New Roman"/>
                <w:sz w:val="24"/>
                <w:szCs w:val="24"/>
                <w:u w:val="single"/>
                <w:lang w:val="ro-RO"/>
              </w:rPr>
              <w:t>i</w:t>
            </w:r>
            <w:r w:rsidRPr="00A249FD">
              <w:rPr>
                <w:rFonts w:ascii="Times New Roman" w:hAnsi="Times New Roman"/>
                <w:sz w:val="24"/>
                <w:szCs w:val="24"/>
                <w:u w:val="single"/>
                <w:lang w:val="ro-RO"/>
              </w:rPr>
              <w:t xml:space="preserve"> </w:t>
            </w:r>
            <w:r w:rsidR="001E7A61" w:rsidRPr="00A249FD">
              <w:rPr>
                <w:rFonts w:ascii="Times New Roman" w:hAnsi="Times New Roman"/>
                <w:sz w:val="24"/>
                <w:szCs w:val="24"/>
                <w:u w:val="single"/>
                <w:lang w:val="ro-RO"/>
              </w:rPr>
              <w:t>propuse</w:t>
            </w:r>
            <w:r w:rsidRPr="00A249FD">
              <w:rPr>
                <w:rFonts w:ascii="Times New Roman" w:hAnsi="Times New Roman"/>
                <w:sz w:val="24"/>
                <w:szCs w:val="24"/>
                <w:u w:val="single"/>
                <w:lang w:val="ro-RO"/>
              </w:rPr>
              <w:t>.</w:t>
            </w:r>
          </w:p>
          <w:p w14:paraId="7E4D0F93" w14:textId="77777777"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Chestionarul a fost împărțit în cinci secțiuni, iar IMM-urile au fost invitate să furnizeze: 1) informații despre companie; 2) atitudinea lor generală în ceea ce privește armonizarea pieței îngrășămintelor; 3) costurile de comercializare a îngrășămintelor CE în temeiul actualului Regulament privind îngrășămintele; 4) factorii de cost pentru comercializarea îngrășămintelor naționale în conformitate cu legislația națională; și 5) posibilele efecte asupra întreprinderilor ale opțiunilor de armonizare a pieței europene a îngrășămintelor.</w:t>
            </w:r>
          </w:p>
          <w:p w14:paraId="72F9ADF6" w14:textId="020DB02A" w:rsidR="00273AEE" w:rsidRPr="00A249FD" w:rsidRDefault="00D5540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În rezultat, c</w:t>
            </w:r>
            <w:r w:rsidR="00273AEE" w:rsidRPr="00A249FD">
              <w:rPr>
                <w:rFonts w:ascii="Times New Roman" w:hAnsi="Times New Roman"/>
                <w:sz w:val="24"/>
                <w:szCs w:val="24"/>
                <w:lang w:val="ro-RO"/>
              </w:rPr>
              <w:t>riteriile evaluate ca fiind foarte și ușor pozitive de către societățile care au răspuns la acest chestionar au fost următoarele:</w:t>
            </w:r>
          </w:p>
          <w:p w14:paraId="6F93A8C8" w14:textId="77777777"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îmbunătățirea accesului la piața europeană a produselor inovatoare (81,3%);</w:t>
            </w:r>
          </w:p>
          <w:p w14:paraId="0EBEE896" w14:textId="77777777" w:rsidR="00273AEE" w:rsidRPr="00A249FD" w:rsidRDefault="00273AEE" w:rsidP="007D7986">
            <w:pPr>
              <w:shd w:val="clear" w:color="auto" w:fill="FFFFFF" w:themeFill="background1"/>
              <w:ind w:left="743" w:firstLine="0"/>
              <w:rPr>
                <w:rFonts w:ascii="Times New Roman" w:hAnsi="Times New Roman"/>
                <w:sz w:val="24"/>
                <w:szCs w:val="24"/>
                <w:lang w:val="ro-RO"/>
              </w:rPr>
            </w:pPr>
            <w:r w:rsidRPr="00A249FD">
              <w:rPr>
                <w:rFonts w:ascii="Times New Roman" w:hAnsi="Times New Roman"/>
                <w:sz w:val="24"/>
                <w:szCs w:val="24"/>
                <w:lang w:val="ro-RO"/>
              </w:rPr>
              <w:t>îmbunătățirea condițiilor de concurență echitabile între producătorii de îngrășăminte din UE (79,7 %);</w:t>
            </w:r>
          </w:p>
          <w:p w14:paraId="4CED7392" w14:textId="77777777"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o mai bună siguranță a produselor (72,9 %) și o calitate mai bună (74,6 %);</w:t>
            </w:r>
          </w:p>
          <w:p w14:paraId="4C7780E7" w14:textId="77777777"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evoluția cifrei de afaceri (65,5 %);</w:t>
            </w:r>
          </w:p>
          <w:p w14:paraId="1F990818" w14:textId="77777777"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un acces mai bun la piețele țărilor terțe (58,6 %) și la economia de scară (46,5 %);</w:t>
            </w:r>
          </w:p>
          <w:p w14:paraId="4CD842F4" w14:textId="77777777"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reducerea sarcinilor administrative (44,8 %).</w:t>
            </w:r>
          </w:p>
          <w:p w14:paraId="1F8D7A5C" w14:textId="0ED0DD4A" w:rsidR="00273AEE" w:rsidRPr="00A249FD" w:rsidRDefault="00273AE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Chestionarul a propus, de asemenea, participanților să identifice criterii specific</w:t>
            </w:r>
            <w:r w:rsidR="00D5540E" w:rsidRPr="00A249FD">
              <w:rPr>
                <w:rFonts w:ascii="Times New Roman" w:hAnsi="Times New Roman"/>
                <w:sz w:val="24"/>
                <w:szCs w:val="24"/>
                <w:lang w:val="ro-RO"/>
              </w:rPr>
              <w:t>e care ar fi relevante pentru IMM-urile di UE</w:t>
            </w:r>
            <w:r w:rsidRPr="00A249FD">
              <w:rPr>
                <w:rFonts w:ascii="Times New Roman" w:hAnsi="Times New Roman"/>
                <w:sz w:val="24"/>
                <w:szCs w:val="24"/>
                <w:lang w:val="ro-RO"/>
              </w:rPr>
              <w:t xml:space="preserve">. </w:t>
            </w:r>
            <w:r w:rsidR="00D5540E" w:rsidRPr="00A249FD">
              <w:rPr>
                <w:rFonts w:ascii="Times New Roman" w:hAnsi="Times New Roman"/>
                <w:sz w:val="24"/>
                <w:szCs w:val="24"/>
                <w:lang w:val="ro-RO"/>
              </w:rPr>
              <w:t xml:space="preserve">Astfel a fost identificat ca </w:t>
            </w:r>
            <w:r w:rsidRPr="00A249FD">
              <w:rPr>
                <w:rFonts w:ascii="Times New Roman" w:hAnsi="Times New Roman"/>
                <w:sz w:val="24"/>
                <w:szCs w:val="24"/>
                <w:lang w:val="ro-RO"/>
              </w:rPr>
              <w:t xml:space="preserve"> că armonizarea ar putea duce la o crește</w:t>
            </w:r>
            <w:r w:rsidR="00D5540E" w:rsidRPr="00A249FD">
              <w:rPr>
                <w:rFonts w:ascii="Times New Roman" w:hAnsi="Times New Roman"/>
                <w:sz w:val="24"/>
                <w:szCs w:val="24"/>
                <w:lang w:val="ro-RO"/>
              </w:rPr>
              <w:t xml:space="preserve">re a prețurilor îngrășămintelor, în același </w:t>
            </w:r>
            <w:r w:rsidRPr="00A249FD">
              <w:rPr>
                <w:rFonts w:ascii="Times New Roman" w:hAnsi="Times New Roman"/>
                <w:sz w:val="24"/>
                <w:szCs w:val="24"/>
                <w:lang w:val="ro-RO"/>
              </w:rPr>
              <w:t>că armonizarea ar putea permite producătorilor să aibă acces la o selecție mai largă de materii prime.</w:t>
            </w:r>
          </w:p>
          <w:p w14:paraId="6E8C05A0" w14:textId="4D197A0C" w:rsidR="00F32A4C" w:rsidRPr="00A249FD" w:rsidRDefault="00F32A4C"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Conform studiului efectuat Estimarea </w:t>
            </w:r>
            <w:proofErr w:type="spellStart"/>
            <w:r w:rsidRPr="00A249FD">
              <w:rPr>
                <w:rFonts w:ascii="Times New Roman" w:hAnsi="Times New Roman"/>
                <w:sz w:val="24"/>
                <w:szCs w:val="24"/>
                <w:lang w:val="ro-RO"/>
              </w:rPr>
              <w:t>potenţialului</w:t>
            </w:r>
            <w:proofErr w:type="spellEnd"/>
            <w:r w:rsidRPr="00A249FD">
              <w:rPr>
                <w:rFonts w:ascii="Times New Roman" w:hAnsi="Times New Roman"/>
                <w:sz w:val="24"/>
                <w:szCs w:val="24"/>
                <w:lang w:val="ro-RO"/>
              </w:rPr>
              <w:t xml:space="preserve"> energetic  al biomasei din culturile agricole pentru brichetare, la nivel de regiuni </w:t>
            </w:r>
            <w:proofErr w:type="spellStart"/>
            <w:r w:rsidRPr="00A249FD">
              <w:rPr>
                <w:rFonts w:ascii="Times New Roman" w:hAnsi="Times New Roman"/>
                <w:sz w:val="24"/>
                <w:szCs w:val="24"/>
                <w:lang w:val="ro-RO"/>
              </w:rPr>
              <w:t>şi</w:t>
            </w:r>
            <w:proofErr w:type="spellEnd"/>
            <w:r w:rsidRPr="00A249FD">
              <w:rPr>
                <w:rFonts w:ascii="Times New Roman" w:hAnsi="Times New Roman"/>
                <w:sz w:val="24"/>
                <w:szCs w:val="24"/>
                <w:lang w:val="ro-RO"/>
              </w:rPr>
              <w:t xml:space="preserve"> raioane,  pentru anii 2009-2010 (chrome-extension://efaidnbmnnnibpcajpcglclefindmkaj/https://www.serviciilocale.md/public/publications/21650_md_file_169_0.pdf ) energetic la nivel național s-a obținut potențialul total de aproximativ 21042 TJ anual pe baza mediei datelor pentru anii 2009 și 2010. Comparând acest rezultat cu consumul intern de resurse energetice al Republicii Moldova, care în anul 2010 a constituit aproximativ 92544 TJ, constatăm că 22% din necesarul total de resurse energetice poate fi acoperit din biomasă. Valorificarea anaerobă a resturilor de vegetație și/sau animalieră ar fi mai valoroasă prin obținerea composturilor și </w:t>
            </w:r>
            <w:proofErr w:type="spellStart"/>
            <w:r w:rsidRPr="00A249FD">
              <w:rPr>
                <w:rFonts w:ascii="Times New Roman" w:hAnsi="Times New Roman"/>
                <w:sz w:val="24"/>
                <w:szCs w:val="24"/>
                <w:lang w:val="ro-RO"/>
              </w:rPr>
              <w:t>digestaturilor</w:t>
            </w:r>
            <w:proofErr w:type="spellEnd"/>
            <w:r w:rsidRPr="00A249FD">
              <w:rPr>
                <w:rFonts w:ascii="Times New Roman" w:hAnsi="Times New Roman"/>
                <w:sz w:val="24"/>
                <w:szCs w:val="24"/>
                <w:lang w:val="ro-RO"/>
              </w:rPr>
              <w:t xml:space="preserve"> cu posibilitatea realizării financiare ca produse fertilizante cu marcaj CE. </w:t>
            </w:r>
          </w:p>
          <w:p w14:paraId="539F4273" w14:textId="6DBA65F6" w:rsidR="00273AEE" w:rsidRPr="00A249FD" w:rsidRDefault="006D7DB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U</w:t>
            </w:r>
            <w:r w:rsidR="006B4CFD" w:rsidRPr="00A249FD">
              <w:rPr>
                <w:rFonts w:ascii="Times New Roman" w:hAnsi="Times New Roman"/>
                <w:sz w:val="24"/>
                <w:szCs w:val="24"/>
                <w:lang w:val="ro-RO"/>
              </w:rPr>
              <w:t xml:space="preserve">nicul cost semnificativ care ar influența prețul ar fi </w:t>
            </w:r>
            <w:r w:rsidRPr="00A249FD">
              <w:rPr>
                <w:rFonts w:ascii="Times New Roman" w:hAnsi="Times New Roman"/>
                <w:sz w:val="24"/>
                <w:szCs w:val="24"/>
                <w:lang w:val="ro-RO"/>
              </w:rPr>
              <w:t xml:space="preserve">la </w:t>
            </w:r>
            <w:r w:rsidR="006B4CFD" w:rsidRPr="00A249FD">
              <w:rPr>
                <w:rFonts w:ascii="Times New Roman" w:hAnsi="Times New Roman"/>
                <w:sz w:val="24"/>
                <w:szCs w:val="24"/>
                <w:lang w:val="ro-RO"/>
              </w:rPr>
              <w:t xml:space="preserve">nitratul de amoniu </w:t>
            </w:r>
            <w:r w:rsidRPr="00A249FD">
              <w:rPr>
                <w:rFonts w:ascii="Times New Roman" w:hAnsi="Times New Roman"/>
                <w:sz w:val="24"/>
                <w:szCs w:val="24"/>
                <w:lang w:val="ro-RO"/>
              </w:rPr>
              <w:t xml:space="preserve">care în procesul de producere nu respectă cerințele Regulamentului UE 2019/1009, </w:t>
            </w:r>
            <w:r w:rsidR="006B4CFD" w:rsidRPr="00A249FD">
              <w:rPr>
                <w:rFonts w:ascii="Times New Roman" w:hAnsi="Times New Roman"/>
                <w:sz w:val="24"/>
                <w:szCs w:val="24"/>
                <w:lang w:val="ro-RO"/>
              </w:rPr>
              <w:t>pentru care va fi necesar un test de rezistență la detonare</w:t>
            </w:r>
            <w:r w:rsidRPr="00A249FD">
              <w:rPr>
                <w:rFonts w:ascii="Times New Roman" w:hAnsi="Times New Roman"/>
                <w:sz w:val="24"/>
                <w:szCs w:val="24"/>
                <w:lang w:val="ro-RO"/>
              </w:rPr>
              <w:t xml:space="preserve">. În  același timp, pentru foarte mulți producători din afara UE azotatul de amoniu este produs cu marcaj CE, ceea ce înseamnă că acesta corespunde rigorilor UE, iar un test de rezistență la detonare există din oficiu. În același timp, conform </w:t>
            </w:r>
            <w:r w:rsidR="00FE71AA" w:rsidRPr="00A249FD">
              <w:rPr>
                <w:rFonts w:ascii="Times New Roman" w:hAnsi="Times New Roman"/>
                <w:sz w:val="24"/>
                <w:szCs w:val="24"/>
                <w:lang w:val="ro-RO"/>
              </w:rPr>
              <w:t xml:space="preserve">dispozițiilor tranzitorii, pentru produsele fertilizante fără marcaj CE, această prevedere se propune a fi derogată pentru o perioadă de 2 ani de la data intrării în vigoare a noii Legi, permițând importatorilor să se conformeze și să nu se admită periclitarea cu astfel de fertilizant. </w:t>
            </w:r>
          </w:p>
        </w:tc>
      </w:tr>
      <w:tr w:rsidR="001839AB" w:rsidRPr="00A249FD" w14:paraId="72B8D206"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2AC7E0E" w14:textId="77777777" w:rsidR="001839AB" w:rsidRPr="00A249FD" w:rsidRDefault="001839A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4.4. Impactul social</w:t>
            </w:r>
          </w:p>
          <w:p w14:paraId="0249260C" w14:textId="12B53A22" w:rsidR="00F5172E" w:rsidRPr="00A249FD" w:rsidRDefault="00F5172E"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Potrivit Grupului de acțiune pentru Marea Baltică, cu condiția ca tot azotul (N) și fosforul (P) conținute în biomasă și fluxurile de deșeuri să fie reciclate în produse fertilizante valoroase, valoarea economică anuală  a P ar fi de 4,2 miliarde EUR, iar cea a N de aproximativ 11 miliarde EUR. Astfel, </w:t>
            </w:r>
            <w:proofErr w:type="spellStart"/>
            <w:r w:rsidRPr="00A249FD">
              <w:rPr>
                <w:rFonts w:ascii="Times New Roman" w:hAnsi="Times New Roman"/>
                <w:sz w:val="24"/>
                <w:szCs w:val="24"/>
                <w:lang w:val="ro-RO"/>
              </w:rPr>
              <w:t>nutrienții</w:t>
            </w:r>
            <w:proofErr w:type="spellEnd"/>
            <w:r w:rsidRPr="00A249FD">
              <w:rPr>
                <w:rFonts w:ascii="Times New Roman" w:hAnsi="Times New Roman"/>
                <w:sz w:val="24"/>
                <w:szCs w:val="24"/>
                <w:lang w:val="ro-RO"/>
              </w:rPr>
              <w:t xml:space="preserve"> conținuți în deșeurile menajere și biomasă nu ar trebui considerați „deșeuri”, ci și surse de </w:t>
            </w:r>
            <w:proofErr w:type="spellStart"/>
            <w:r w:rsidRPr="00A249FD">
              <w:rPr>
                <w:rFonts w:ascii="Times New Roman" w:hAnsi="Times New Roman"/>
                <w:sz w:val="24"/>
                <w:szCs w:val="24"/>
                <w:lang w:val="ro-RO"/>
              </w:rPr>
              <w:t>nutrienți</w:t>
            </w:r>
            <w:proofErr w:type="spellEnd"/>
            <w:r w:rsidRPr="00A249FD">
              <w:rPr>
                <w:rFonts w:ascii="Times New Roman" w:hAnsi="Times New Roman"/>
                <w:sz w:val="24"/>
                <w:szCs w:val="24"/>
                <w:lang w:val="ro-RO"/>
              </w:rPr>
              <w:t xml:space="preserve"> vegetali valoroase din punct de vedere comercial. În mod similar, Platforma europeană privind fosforul durabil (ESPP) estimează că punerea în aplicare deplină a tehnologiilor actuale de recuperare a fosforului din biomasă și îmbunătățirea coerenței și a punerii în aplicare a legislației Uniunii în domeniul mediului ar putea crea 66 000 de locuri de muncă care nu pot fi </w:t>
            </w:r>
            <w:proofErr w:type="spellStart"/>
            <w:r w:rsidRPr="00A249FD">
              <w:rPr>
                <w:rFonts w:ascii="Times New Roman" w:hAnsi="Times New Roman"/>
                <w:sz w:val="24"/>
                <w:szCs w:val="24"/>
                <w:lang w:val="ro-RO"/>
              </w:rPr>
              <w:t>delocalizate</w:t>
            </w:r>
            <w:proofErr w:type="spellEnd"/>
            <w:r w:rsidRPr="00A249FD">
              <w:rPr>
                <w:rFonts w:ascii="Times New Roman" w:hAnsi="Times New Roman"/>
                <w:sz w:val="24"/>
                <w:szCs w:val="24"/>
                <w:lang w:val="ro-RO"/>
              </w:rPr>
              <w:t xml:space="preserve">. </w:t>
            </w:r>
            <w:r w:rsidR="00873B97" w:rsidRPr="00A249FD">
              <w:rPr>
                <w:rFonts w:ascii="Times New Roman" w:hAnsi="Times New Roman"/>
                <w:sz w:val="24"/>
                <w:szCs w:val="24"/>
                <w:lang w:val="ro-RO"/>
              </w:rPr>
              <w:t xml:space="preserve">Odată extrapolate aceste date, se consideră că acele produse care astăzi sunt catalogate ca deșeuri din activitatea agricolă pot fi valorificate în calitate de fertilizanți cu marcaj CE, crescând exponențial potențialul antreprenorilor din domeniul </w:t>
            </w:r>
            <w:proofErr w:type="spellStart"/>
            <w:r w:rsidR="00873B97" w:rsidRPr="00A249FD">
              <w:rPr>
                <w:rFonts w:ascii="Times New Roman" w:hAnsi="Times New Roman"/>
                <w:sz w:val="24"/>
                <w:szCs w:val="24"/>
                <w:lang w:val="ro-RO"/>
              </w:rPr>
              <w:t>agro</w:t>
            </w:r>
            <w:proofErr w:type="spellEnd"/>
            <w:r w:rsidR="00873B97" w:rsidRPr="00A249FD">
              <w:rPr>
                <w:rFonts w:ascii="Times New Roman" w:hAnsi="Times New Roman"/>
                <w:sz w:val="24"/>
                <w:szCs w:val="24"/>
                <w:lang w:val="ro-RO"/>
              </w:rPr>
              <w:t xml:space="preserve">-alimentar și rural. Aceasta include, de </w:t>
            </w:r>
            <w:r w:rsidR="00873B97" w:rsidRPr="00A249FD">
              <w:rPr>
                <w:rFonts w:ascii="Times New Roman" w:hAnsi="Times New Roman"/>
                <w:sz w:val="24"/>
                <w:szCs w:val="24"/>
                <w:lang w:val="ro-RO"/>
              </w:rPr>
              <w:lastRenderedPageBreak/>
              <w:t>asemenea, beneficiile creării unor condiții mai favorabile pentru dezvoltarea de produse inovatoare care ar putea sprijini crearea de locuri de muncă.</w:t>
            </w:r>
          </w:p>
          <w:p w14:paraId="781F7C98" w14:textId="250015D8" w:rsidR="00F5172E" w:rsidRPr="00A249FD" w:rsidRDefault="00873B97"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Opțiunile propuse</w:t>
            </w:r>
            <w:r w:rsidR="00F5172E" w:rsidRPr="00A249FD">
              <w:rPr>
                <w:rFonts w:ascii="Times New Roman" w:hAnsi="Times New Roman"/>
                <w:sz w:val="24"/>
                <w:szCs w:val="24"/>
                <w:lang w:val="ro-RO"/>
              </w:rPr>
              <w:t xml:space="preserve"> ar sprijini astfel de investiții, oferind o abordare flexibilă și coerentă în ceea ce privește accesul pe piață, fără a compromite siguranța produselor.</w:t>
            </w:r>
            <w:r w:rsidRPr="00A249FD">
              <w:rPr>
                <w:rFonts w:ascii="Times New Roman" w:hAnsi="Times New Roman"/>
                <w:sz w:val="24"/>
                <w:szCs w:val="24"/>
                <w:lang w:val="ro-RO"/>
              </w:rPr>
              <w:t xml:space="preserve"> A</w:t>
            </w:r>
            <w:r w:rsidR="00F5172E" w:rsidRPr="00A249FD">
              <w:rPr>
                <w:rFonts w:ascii="Times New Roman" w:hAnsi="Times New Roman"/>
                <w:sz w:val="24"/>
                <w:szCs w:val="24"/>
                <w:lang w:val="ro-RO"/>
              </w:rPr>
              <w:t xml:space="preserve">rmonizarea </w:t>
            </w:r>
            <w:r w:rsidRPr="00A249FD">
              <w:rPr>
                <w:rFonts w:ascii="Times New Roman" w:hAnsi="Times New Roman"/>
                <w:sz w:val="24"/>
                <w:szCs w:val="24"/>
                <w:lang w:val="ro-RO"/>
              </w:rPr>
              <w:t xml:space="preserve">pe de o parte dar și lăsarea posibilității de dezvoltarea paralelă a produselor fertilizante fără marcaj CE </w:t>
            </w:r>
            <w:r w:rsidR="00F5172E" w:rsidRPr="00A249FD">
              <w:rPr>
                <w:rFonts w:ascii="Times New Roman" w:hAnsi="Times New Roman"/>
                <w:sz w:val="24"/>
                <w:szCs w:val="24"/>
                <w:lang w:val="ro-RO"/>
              </w:rPr>
              <w:t>ar oferi un mediu mai flexibil pentru dezvoltarea de produse fertilizante emergente obținute din materii prime secundare interne. Producătorilor de astfel de produse li s-ar permite să investească treptat în noi tehnici de producție pentru a produce îngrășăminte cu marcaj CE.</w:t>
            </w:r>
          </w:p>
          <w:p w14:paraId="4CF1C900" w14:textId="0FBC090C" w:rsidR="00873B97" w:rsidRPr="00A249FD" w:rsidRDefault="00761AAC"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La utilizarea datelor din Studiul Estimarea potențialului energetic  al biomasei din culturile agricole pentru brichetare, la nivel de regiuni </w:t>
            </w:r>
            <w:proofErr w:type="spellStart"/>
            <w:r w:rsidRPr="00A249FD">
              <w:rPr>
                <w:rFonts w:ascii="Times New Roman" w:hAnsi="Times New Roman"/>
                <w:sz w:val="24"/>
                <w:szCs w:val="24"/>
                <w:lang w:val="ro-RO"/>
              </w:rPr>
              <w:t>şi</w:t>
            </w:r>
            <w:proofErr w:type="spellEnd"/>
            <w:r w:rsidRPr="00A249FD">
              <w:rPr>
                <w:rFonts w:ascii="Times New Roman" w:hAnsi="Times New Roman"/>
                <w:sz w:val="24"/>
                <w:szCs w:val="24"/>
                <w:lang w:val="ro-RO"/>
              </w:rPr>
              <w:t xml:space="preserve"> raioane,  pentru anii 2009-2010 (chrome-extension://efaidnbmnnnibpcajpcglclefindmkaj/https://www.serviciilocale.md/public/publications/21650_md_file_169_0.pdf ) și extrapolarea datelor pentru aceiași materie primă dar cu posibilitatea obținerii de produse fertilizante, atunci din punct de vedere regional, cel mai mare potențial o au r-l Drochia, Râșcani și </w:t>
            </w:r>
            <w:proofErr w:type="spellStart"/>
            <w:r w:rsidRPr="00A249FD">
              <w:rPr>
                <w:rFonts w:ascii="Times New Roman" w:hAnsi="Times New Roman"/>
                <w:sz w:val="24"/>
                <w:szCs w:val="24"/>
                <w:lang w:val="ro-RO"/>
              </w:rPr>
              <w:t>Edineț</w:t>
            </w:r>
            <w:proofErr w:type="spellEnd"/>
            <w:r w:rsidRPr="00A249FD">
              <w:rPr>
                <w:rFonts w:ascii="Times New Roman" w:hAnsi="Times New Roman"/>
                <w:sz w:val="24"/>
                <w:szCs w:val="24"/>
                <w:lang w:val="ro-RO"/>
              </w:rPr>
              <w:t xml:space="preserve"> -  la nord, urmat de raionul </w:t>
            </w:r>
            <w:proofErr w:type="spellStart"/>
            <w:r w:rsidRPr="00A249FD">
              <w:rPr>
                <w:rFonts w:ascii="Times New Roman" w:hAnsi="Times New Roman"/>
                <w:sz w:val="24"/>
                <w:szCs w:val="24"/>
                <w:lang w:val="ro-RO"/>
              </w:rPr>
              <w:t>Ştefan</w:t>
            </w:r>
            <w:proofErr w:type="spellEnd"/>
            <w:r w:rsidRPr="00A249FD">
              <w:rPr>
                <w:rFonts w:ascii="Times New Roman" w:hAnsi="Times New Roman"/>
                <w:sz w:val="24"/>
                <w:szCs w:val="24"/>
                <w:lang w:val="ro-RO"/>
              </w:rPr>
              <w:t>-Vodă, Cahul și Căușeni – la sud și raionul Ungheni, Orhei și Hâncești – la centru.</w:t>
            </w:r>
          </w:p>
        </w:tc>
      </w:tr>
      <w:tr w:rsidR="001839AB" w:rsidRPr="00A249FD" w14:paraId="7E66F832"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71A9284" w14:textId="77777777" w:rsidR="001839AB" w:rsidRPr="00A249FD" w:rsidRDefault="001839AB"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4.4.1. Impactul asupra datelor cu caracter personal</w:t>
            </w:r>
          </w:p>
          <w:p w14:paraId="0A47C541" w14:textId="7D8AC1C1" w:rsidR="001839AB" w:rsidRPr="00A249FD" w:rsidRDefault="002B0271"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Datele cu caracter personal </w:t>
            </w:r>
            <w:r w:rsidR="002D2F83" w:rsidRPr="00A249FD">
              <w:rPr>
                <w:rFonts w:ascii="Times New Roman" w:hAnsi="Times New Roman"/>
                <w:sz w:val="24"/>
                <w:szCs w:val="24"/>
                <w:lang w:val="ro-RO"/>
              </w:rPr>
              <w:t xml:space="preserve">prin aplicarea prevederilor Legii nr. 235/2011 privind </w:t>
            </w:r>
            <w:r w:rsidR="008B5A21" w:rsidRPr="00A249FD">
              <w:rPr>
                <w:rFonts w:ascii="Times New Roman" w:hAnsi="Times New Roman"/>
                <w:sz w:val="24"/>
                <w:szCs w:val="24"/>
                <w:lang w:val="ro-RO"/>
              </w:rPr>
              <w:t>activitățile</w:t>
            </w:r>
            <w:r w:rsidR="002D2F83" w:rsidRPr="00A249FD">
              <w:rPr>
                <w:rFonts w:ascii="Times New Roman" w:hAnsi="Times New Roman"/>
                <w:sz w:val="24"/>
                <w:szCs w:val="24"/>
                <w:lang w:val="ro-RO"/>
              </w:rPr>
              <w:t xml:space="preserve"> de acreditare </w:t>
            </w:r>
            <w:proofErr w:type="spellStart"/>
            <w:r w:rsidR="002D2F83" w:rsidRPr="00A249FD">
              <w:rPr>
                <w:rFonts w:ascii="Times New Roman" w:hAnsi="Times New Roman"/>
                <w:sz w:val="24"/>
                <w:szCs w:val="24"/>
                <w:lang w:val="ro-RO"/>
              </w:rPr>
              <w:t>şi</w:t>
            </w:r>
            <w:proofErr w:type="spellEnd"/>
            <w:r w:rsidR="002D2F83" w:rsidRPr="00A249FD">
              <w:rPr>
                <w:rFonts w:ascii="Times New Roman" w:hAnsi="Times New Roman"/>
                <w:sz w:val="24"/>
                <w:szCs w:val="24"/>
                <w:lang w:val="ro-RO"/>
              </w:rPr>
              <w:t xml:space="preserve"> de evaluare a </w:t>
            </w:r>
            <w:r w:rsidR="008B5A21" w:rsidRPr="00A249FD">
              <w:rPr>
                <w:rFonts w:ascii="Times New Roman" w:hAnsi="Times New Roman"/>
                <w:sz w:val="24"/>
                <w:szCs w:val="24"/>
                <w:lang w:val="ro-RO"/>
              </w:rPr>
              <w:t>conformității</w:t>
            </w:r>
            <w:r w:rsidR="002D2F83" w:rsidRPr="00A249FD">
              <w:rPr>
                <w:rFonts w:ascii="Times New Roman" w:hAnsi="Times New Roman"/>
                <w:sz w:val="24"/>
                <w:szCs w:val="24"/>
                <w:lang w:val="ro-RO"/>
              </w:rPr>
              <w:t xml:space="preserve"> prin notificarea organismelor notificate se anticipează să fie </w:t>
            </w:r>
            <w:r w:rsidR="008B5A21" w:rsidRPr="00A249FD">
              <w:rPr>
                <w:rFonts w:ascii="Times New Roman" w:hAnsi="Times New Roman"/>
                <w:sz w:val="24"/>
                <w:szCs w:val="24"/>
                <w:lang w:val="ro-RO"/>
              </w:rPr>
              <w:t>aplicate cele mai înalte standarde de securitate a datelor cu caracter personal astfel cum sunt prevăzute la nivelul Uniunii Europene, ori prin notificarea acestor date Comisia Europeană garantează ca datele notificate să fie protejate și sigure.</w:t>
            </w:r>
          </w:p>
        </w:tc>
      </w:tr>
      <w:tr w:rsidR="003C442D" w:rsidRPr="00A249FD" w14:paraId="08852BC7"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62643E" w14:textId="77777777"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4.4.2. Impactul asupra echității și egalității de gen</w:t>
            </w:r>
          </w:p>
          <w:p w14:paraId="3ACDE98A" w14:textId="171BE166" w:rsidR="00F5172E" w:rsidRPr="00A249FD" w:rsidRDefault="00E83754"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Impactul revizuirii Regulamentului privind produsele fertilizante la nivel UE a consolidat  sectorul materialelor organice ceea ce duce la o mai mare ocupare a forței de muncă. Alte date disponibile pentru a fi analizate nu sunt disponibile public, de aceea o estimare asupra raporturilor de gen implicate în industria producerii de produse fertilizante și egalității de gen nu poate fi expusă.</w:t>
            </w:r>
          </w:p>
        </w:tc>
      </w:tr>
      <w:tr w:rsidR="003C442D" w:rsidRPr="00A249FD" w14:paraId="5EF91320"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21AB47" w14:textId="77777777"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4.5. Impactul asupra mediului</w:t>
            </w:r>
          </w:p>
          <w:p w14:paraId="54067182" w14:textId="4459D6D6"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Criteriile abordate sunt legate de obiectivele de politică de a asigura siguranța produselor fertilizante, de a permite un acces mai rapid la produsele derivate din materii prime interne și secundare și de a îmbunătăți cerințele de etichetare pentru toate categoriile de produse și, în special, pentru îngrășămintele pe bază de amoniu, pentru a sprijini asigurarea respectării altor acte legislative ale UE în domeniul mediului. </w:t>
            </w:r>
          </w:p>
          <w:p w14:paraId="163D6152" w14:textId="77777777"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Printre acestea se numără efectele asupra utilizării eficiente a resurselor, reducerea contaminării solului, considerații speciale pentru revizuirea strategiei privind calitatea aerului.</w:t>
            </w:r>
          </w:p>
          <w:p w14:paraId="4E5BF650" w14:textId="77777777"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Producția de îngrășăminte minerale necesită utilizarea de resurse neregenerabile – zăcăminte minerale și/sau energie (fosilă). Producția de azot (N) necesită cantități mari de gaze naturale pentru a transforma azotul din aer în forme care pot fi utilizate de plante. Prețul gazelor este cel mai important factor de cost, iar disponibilitatea și fiabilitatea aprovizionării contribuie, de asemenea, la deciziile de investiții ale întreprinderilor pentru instalațiile de producție.</w:t>
            </w:r>
          </w:p>
          <w:p w14:paraId="39054BE8" w14:textId="453C3753"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Îngrășămintele minerale care conțin fosfor sunt produse din minereuri de fosfați minerali. În prezent, la nivelul UE se calculează o eficiență de 20 % a utilizării fosforului (P) de-a lungul căii de la mină la utilizare, oferind loc pentru îmbunătățiri de-a lungul fiecărei etape a procesului. Peste 90% din totalul îngrășămintelor fosfatice introduse pe piața Moldovei, conform BNS sunt extrase în țări din afara UE (în special din Rusia și Belarus).</w:t>
            </w:r>
          </w:p>
          <w:p w14:paraId="2CC39DAE" w14:textId="6D8CF11F"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În perspectiva unei economii eficiente din punctul de vedere al utilizării resurselor, ar trebui promovată reciclarea </w:t>
            </w:r>
            <w:proofErr w:type="spellStart"/>
            <w:r w:rsidRPr="00A249FD">
              <w:rPr>
                <w:rFonts w:ascii="Times New Roman" w:hAnsi="Times New Roman"/>
                <w:sz w:val="24"/>
                <w:szCs w:val="24"/>
                <w:lang w:val="ro-RO"/>
              </w:rPr>
              <w:t>nutrienților</w:t>
            </w:r>
            <w:proofErr w:type="spellEnd"/>
            <w:r w:rsidRPr="00A249FD">
              <w:rPr>
                <w:rFonts w:ascii="Times New Roman" w:hAnsi="Times New Roman"/>
                <w:sz w:val="24"/>
                <w:szCs w:val="24"/>
                <w:lang w:val="ro-RO"/>
              </w:rPr>
              <w:t xml:space="preserve"> din </w:t>
            </w:r>
            <w:proofErr w:type="spellStart"/>
            <w:r w:rsidRPr="00A249FD">
              <w:rPr>
                <w:rFonts w:ascii="Times New Roman" w:hAnsi="Times New Roman"/>
                <w:sz w:val="24"/>
                <w:szCs w:val="24"/>
                <w:lang w:val="ro-RO"/>
              </w:rPr>
              <w:t>biodeșeuri</w:t>
            </w:r>
            <w:proofErr w:type="spellEnd"/>
            <w:r w:rsidRPr="00A249FD">
              <w:rPr>
                <w:rFonts w:ascii="Times New Roman" w:hAnsi="Times New Roman"/>
                <w:sz w:val="24"/>
                <w:szCs w:val="24"/>
                <w:lang w:val="ro-RO"/>
              </w:rPr>
              <w:t xml:space="preserve"> (plante, gunoi de grajd, subproduse de origine animală, nămoluri de epurare etc.), mai degrabă decât introducerea continuă de noi materii prime, precum și utilizarea eficientă a fosfatului de-a lungul întregului lanț valoric.  </w:t>
            </w:r>
          </w:p>
          <w:p w14:paraId="6784EA5C" w14:textId="530B2367"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Proiectul de criterii de încetare a statutului de deșeu pentru compost și </w:t>
            </w:r>
            <w:proofErr w:type="spellStart"/>
            <w:r w:rsidRPr="00A249FD">
              <w:rPr>
                <w:rFonts w:ascii="Times New Roman" w:hAnsi="Times New Roman"/>
                <w:sz w:val="24"/>
                <w:szCs w:val="24"/>
                <w:lang w:val="ro-RO"/>
              </w:rPr>
              <w:t>digestat</w:t>
            </w:r>
            <w:proofErr w:type="spellEnd"/>
            <w:r w:rsidRPr="00A249FD">
              <w:rPr>
                <w:rFonts w:ascii="Times New Roman" w:hAnsi="Times New Roman"/>
                <w:sz w:val="24"/>
                <w:szCs w:val="24"/>
                <w:lang w:val="ro-RO"/>
              </w:rPr>
              <w:t xml:space="preserve"> ar putea promova reciclarea de înaltă calitate a deșeurilor biodegradabile și ar putea asigura creșterea producției de compost și </w:t>
            </w:r>
            <w:proofErr w:type="spellStart"/>
            <w:r w:rsidRPr="00A249FD">
              <w:rPr>
                <w:rFonts w:ascii="Times New Roman" w:hAnsi="Times New Roman"/>
                <w:sz w:val="24"/>
                <w:szCs w:val="24"/>
                <w:lang w:val="ro-RO"/>
              </w:rPr>
              <w:t>digestat</w:t>
            </w:r>
            <w:proofErr w:type="spellEnd"/>
            <w:r w:rsidRPr="00A249FD">
              <w:rPr>
                <w:rFonts w:ascii="Times New Roman" w:hAnsi="Times New Roman"/>
                <w:sz w:val="24"/>
                <w:szCs w:val="24"/>
                <w:lang w:val="ro-RO"/>
              </w:rPr>
              <w:t xml:space="preserve"> cu riscuri minime pentru mediu. Stabilirea unor standarde comune </w:t>
            </w:r>
            <w:r w:rsidRPr="00A249FD">
              <w:rPr>
                <w:rFonts w:ascii="Times New Roman" w:hAnsi="Times New Roman"/>
                <w:sz w:val="24"/>
                <w:szCs w:val="24"/>
                <w:lang w:val="ro-RO"/>
              </w:rPr>
              <w:lastRenderedPageBreak/>
              <w:t xml:space="preserve">privind producția și produsele de compost și </w:t>
            </w:r>
            <w:proofErr w:type="spellStart"/>
            <w:r w:rsidRPr="00A249FD">
              <w:rPr>
                <w:rFonts w:ascii="Times New Roman" w:hAnsi="Times New Roman"/>
                <w:sz w:val="24"/>
                <w:szCs w:val="24"/>
                <w:lang w:val="ro-RO"/>
              </w:rPr>
              <w:t>digestat</w:t>
            </w:r>
            <w:proofErr w:type="spellEnd"/>
            <w:r w:rsidRPr="00A249FD">
              <w:rPr>
                <w:rFonts w:ascii="Times New Roman" w:hAnsi="Times New Roman"/>
                <w:sz w:val="24"/>
                <w:szCs w:val="24"/>
                <w:lang w:val="ro-RO"/>
              </w:rPr>
              <w:t xml:space="preserve"> ar avea, de asemenea, avantajul de a spori încrederea pieței în materialele care nu ar mai fi considerate deșeuri, ci produse valoroase de calitate.</w:t>
            </w:r>
          </w:p>
          <w:p w14:paraId="711FB691" w14:textId="60D8ED1D"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Îngrășămintele ar trebui considerate produse strategice și tratate ca atare. Având în vedere dezechilibrul existent și viitor dintre distribuția geografică a producției de îngrășăminte și cererea de îngrășăminte, comerțul cu îngrășăminte a jucat și va continua să joace un rol important în asigurarea securității îngrășămintelor/alimentare în aproape toate regiunile lumii. Soluțiile practice și adaptate din punct de vedere geografic în ceea ce privește producția, accesul și utilizarea îngrășămintelor ar trebui să contribuie la sprijinirea agriculturii și a sustenabilitatea în timp a acesteia.</w:t>
            </w:r>
          </w:p>
          <w:p w14:paraId="525F91DF" w14:textId="77777777" w:rsidR="00674CE5" w:rsidRPr="00A249FD" w:rsidRDefault="00674CE5"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 Industria îngrășămintelor anorganice pe bază de azot din UE este o industrie energointensivă și contribuie direct și indirect la emisiile de GES, în special de dioxid de carbon (CO2),amoniac (NH3)și protoxid de azot (N2O), prin producția, distribuția și utilizarea îngrășămintelor. Această industrie își reduce în mod constant amprenta de carbon prin investiții în eficiența energetică și în tehnologiile de control al emisiilor.</w:t>
            </w:r>
            <w:r w:rsidR="005B01CB" w:rsidRPr="00A249FD">
              <w:rPr>
                <w:rFonts w:ascii="Times New Roman" w:hAnsi="Times New Roman"/>
                <w:sz w:val="24"/>
                <w:szCs w:val="24"/>
                <w:lang w:val="ro-RO"/>
              </w:rPr>
              <w:t xml:space="preserve"> Totodată, prin oferirea posibilității valorificării financiare la produselor fertilizante reciclarea deșeurilor biodegradabile (de exemplu, gunoi de grajd de porc, reziduuri ale stațiilor de tratare a apei de abator) combină adesea producția de biogaz și valorificarea reziduurilor de </w:t>
            </w:r>
            <w:proofErr w:type="spellStart"/>
            <w:r w:rsidR="005B01CB" w:rsidRPr="00A249FD">
              <w:rPr>
                <w:rFonts w:ascii="Times New Roman" w:hAnsi="Times New Roman"/>
                <w:sz w:val="24"/>
                <w:szCs w:val="24"/>
                <w:lang w:val="ro-RO"/>
              </w:rPr>
              <w:t>digestat</w:t>
            </w:r>
            <w:proofErr w:type="spellEnd"/>
            <w:r w:rsidR="005B01CB" w:rsidRPr="00A249FD">
              <w:rPr>
                <w:rFonts w:ascii="Times New Roman" w:hAnsi="Times New Roman"/>
                <w:sz w:val="24"/>
                <w:szCs w:val="24"/>
                <w:lang w:val="ro-RO"/>
              </w:rPr>
              <w:t xml:space="preserve"> în îngrășăminte organice. Acest lucru va contribui la obiectivele generale ale Moldovei de a asigura aprovizionarea cu energie, dar și de a reduce emisiile de amoniac în mediu provenite din depozitarea deșeurilor sau din împrăștierea directă a gunoiului de grajd brut în zone sensibile la </w:t>
            </w:r>
            <w:proofErr w:type="spellStart"/>
            <w:r w:rsidR="005B01CB" w:rsidRPr="00A249FD">
              <w:rPr>
                <w:rFonts w:ascii="Times New Roman" w:hAnsi="Times New Roman"/>
                <w:sz w:val="24"/>
                <w:szCs w:val="24"/>
                <w:lang w:val="ro-RO"/>
              </w:rPr>
              <w:t>eutrofizare</w:t>
            </w:r>
            <w:proofErr w:type="spellEnd"/>
            <w:r w:rsidR="005B01CB" w:rsidRPr="00A249FD">
              <w:rPr>
                <w:rFonts w:ascii="Times New Roman" w:hAnsi="Times New Roman"/>
                <w:sz w:val="24"/>
                <w:szCs w:val="24"/>
                <w:lang w:val="ro-RO"/>
              </w:rPr>
              <w:t xml:space="preserve">. Pe lângă producția de energie, recuperarea căldurii și a aburului în diferite etape ale procesului de producție poate contribui la evitarea emisiilor de GES. </w:t>
            </w:r>
            <w:proofErr w:type="spellStart"/>
            <w:r w:rsidR="005B01CB" w:rsidRPr="00A249FD">
              <w:rPr>
                <w:rFonts w:ascii="Times New Roman" w:hAnsi="Times New Roman"/>
                <w:sz w:val="24"/>
                <w:szCs w:val="24"/>
                <w:lang w:val="ro-RO"/>
              </w:rPr>
              <w:t>Digestatul</w:t>
            </w:r>
            <w:proofErr w:type="spellEnd"/>
            <w:r w:rsidR="005B01CB" w:rsidRPr="00A249FD">
              <w:rPr>
                <w:rFonts w:ascii="Times New Roman" w:hAnsi="Times New Roman"/>
                <w:sz w:val="24"/>
                <w:szCs w:val="24"/>
                <w:lang w:val="ro-RO"/>
              </w:rPr>
              <w:t xml:space="preserve"> final este transformat în îngrășăminte organice foarte valoroase exportate în regiuni mai puțin sensibile la </w:t>
            </w:r>
            <w:proofErr w:type="spellStart"/>
            <w:r w:rsidR="005B01CB" w:rsidRPr="00A249FD">
              <w:rPr>
                <w:rFonts w:ascii="Times New Roman" w:hAnsi="Times New Roman"/>
                <w:sz w:val="24"/>
                <w:szCs w:val="24"/>
                <w:lang w:val="ro-RO"/>
              </w:rPr>
              <w:t>eutrofizare</w:t>
            </w:r>
            <w:proofErr w:type="spellEnd"/>
            <w:r w:rsidR="005B01CB" w:rsidRPr="00A249FD">
              <w:rPr>
                <w:rFonts w:ascii="Times New Roman" w:hAnsi="Times New Roman"/>
                <w:sz w:val="24"/>
                <w:szCs w:val="24"/>
                <w:lang w:val="ro-RO"/>
              </w:rPr>
              <w:t>, contribuind astfel la obiectivele Directivei privind nitrații. Întregul proces ar putea fi îmbunătățit în continuare prin separarea gunoiului de grajd de porc în fracții lichide și solide pentru a permite ca azotul și fosforul să fie reciclate mai eficient în îngrășăminte organice valoroase. Randamentul investițiilor este garantat de vânzările de biogaz și de îngrășăminte organice.</w:t>
            </w:r>
          </w:p>
          <w:p w14:paraId="0A4041E8" w14:textId="77777777" w:rsidR="00DB417E" w:rsidRPr="00A249FD" w:rsidRDefault="00DB417E"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 xml:space="preserve"> Un alt exemplu ar fi producția și utilizarea compostului și a îngrășămintelor anorganice pe culturile de tomate printr-o analiză a întregului ciclu de viață. Pentru tratarea cu compost, etapa de producție a avut cel mai mare impact asupra mediului din cauza emisiilor de compuși organici volatili, în  timp ce pentru tratarea cu îngrășăminte anorganice, etapa de utilizare are cel mai mare impact asupra mediului din cauza emisiilor de N</w:t>
            </w:r>
            <w:r w:rsidRPr="00A249FD">
              <w:rPr>
                <w:rFonts w:ascii="Times New Roman" w:hAnsi="Times New Roman"/>
                <w:sz w:val="24"/>
                <w:szCs w:val="24"/>
                <w:vertAlign w:val="subscript"/>
                <w:lang w:val="ro-RO"/>
              </w:rPr>
              <w:t>2</w:t>
            </w:r>
            <w:r w:rsidRPr="00A249FD">
              <w:rPr>
                <w:rFonts w:ascii="Times New Roman" w:hAnsi="Times New Roman"/>
                <w:sz w:val="24"/>
                <w:szCs w:val="24"/>
                <w:lang w:val="ro-RO"/>
              </w:rPr>
              <w:t>O. Atunci când toate sarcinile de mediu ale depozitării deșeurilor organice sunt scăzute din impactul total al producției și utilizării compostului, studiul arată că tratarea compostului este mai eficientă din punct de vedere energetic (cu aproximativ 20 % mai puțin în MJ/tonă de tomate) și evită emisia a 980 kg echivalent CO</w:t>
            </w:r>
            <w:r w:rsidRPr="00A249FD">
              <w:rPr>
                <w:rFonts w:ascii="Times New Roman" w:hAnsi="Times New Roman"/>
                <w:sz w:val="24"/>
                <w:szCs w:val="24"/>
                <w:vertAlign w:val="subscript"/>
                <w:lang w:val="ro-RO"/>
              </w:rPr>
              <w:t>2</w:t>
            </w:r>
            <w:r w:rsidRPr="00A249FD">
              <w:rPr>
                <w:rFonts w:ascii="Times New Roman" w:hAnsi="Times New Roman"/>
                <w:sz w:val="24"/>
                <w:szCs w:val="24"/>
                <w:lang w:val="ro-RO"/>
              </w:rPr>
              <w:t>/tonă de tomate în comparație cu tratarea cu îngrășăminte anorganice. Producția de compost nu are ca rezultat diferențe în ceea ce privește producția agricolă și calitatea în cazul respectiv, deși eficiența îngrășămintelor organice depinde destul de mult de condițiile pedoclimatice locale la momentul aplicării.</w:t>
            </w:r>
          </w:p>
          <w:p w14:paraId="1041A941" w14:textId="225B0AF3" w:rsidR="00D73D32" w:rsidRPr="00A249FD" w:rsidRDefault="00D73D32"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Biostimulatorii plantelor îmbunătățesc calitatea și stocul de materiale biologice în agricultură. Mulți biostimulatori provin din diverse surse de deșeuri alimentare și furajere, care sunt direcționate înapoi către producerea de biostimulatori. Această conversie a deșeurilor în materii prime pentru anumiți biostimulatori contribuie la reducerea fluxului de deșeuri, care este obiectivul principal al unei economii circulare.</w:t>
            </w:r>
          </w:p>
          <w:p w14:paraId="1D305006" w14:textId="77777777" w:rsidR="00D73D32" w:rsidRPr="00A249FD" w:rsidRDefault="00D73D32"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Amprenta de carbon și performanța sporită în materie de durabilitate în timpul utilizării îngrășămintelor</w:t>
            </w:r>
          </w:p>
          <w:p w14:paraId="617AB75E" w14:textId="77777777" w:rsidR="00D73D32" w:rsidRPr="00A249FD" w:rsidRDefault="00D73D32"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Datorită capacității plantelor de a absorbi CO</w:t>
            </w:r>
            <w:r w:rsidRPr="00A249FD">
              <w:rPr>
                <w:rFonts w:ascii="Times New Roman" w:hAnsi="Times New Roman"/>
                <w:sz w:val="24"/>
                <w:szCs w:val="24"/>
                <w:vertAlign w:val="subscript"/>
                <w:lang w:val="ro-RO"/>
              </w:rPr>
              <w:t>2</w:t>
            </w:r>
            <w:r w:rsidRPr="00A249FD">
              <w:rPr>
                <w:rFonts w:ascii="Times New Roman" w:hAnsi="Times New Roman"/>
                <w:sz w:val="24"/>
                <w:szCs w:val="24"/>
                <w:lang w:val="ro-RO"/>
              </w:rPr>
              <w:t xml:space="preserve"> și a solurilor de a sechestra carbonul, agricultura are potențialul de a sechestra mai mult CO</w:t>
            </w:r>
            <w:r w:rsidRPr="00A249FD">
              <w:rPr>
                <w:rFonts w:ascii="Times New Roman" w:hAnsi="Times New Roman"/>
                <w:sz w:val="24"/>
                <w:szCs w:val="24"/>
                <w:vertAlign w:val="subscript"/>
                <w:lang w:val="ro-RO"/>
              </w:rPr>
              <w:t>2</w:t>
            </w:r>
            <w:r w:rsidRPr="00A249FD">
              <w:rPr>
                <w:rFonts w:ascii="Times New Roman" w:hAnsi="Times New Roman"/>
                <w:sz w:val="24"/>
                <w:szCs w:val="24"/>
                <w:lang w:val="ro-RO"/>
              </w:rPr>
              <w:t xml:space="preserve"> decât emite. În schimb, sectorul agricol este una dintre cele mai importante surse de emisii antropice de gaze cu efect de seră din lume. Activitățile responsabile în principal de amprenta de carbon a producției alimentare sunt defrișarea pădurilor și transformarea pajiștilor în terenuri arabile pentru producția de biocombustibili. Alți factori </w:t>
            </w:r>
            <w:r w:rsidRPr="00A249FD">
              <w:rPr>
                <w:rFonts w:ascii="Times New Roman" w:hAnsi="Times New Roman"/>
                <w:sz w:val="24"/>
                <w:szCs w:val="24"/>
                <w:lang w:val="ro-RO"/>
              </w:rPr>
              <w:lastRenderedPageBreak/>
              <w:t>determinanți sunt emisiile de gaze cu efect de seră extrem de puternice, cum ar fi protoxidul de azot din descompunerea îngrășămintelor anorganice, precum și metanul din gunoiul de grajd neprelucrat și procesul digestiv al rumegătoarelor în creșterea animalelor.</w:t>
            </w:r>
          </w:p>
          <w:p w14:paraId="77ED2032" w14:textId="111A5BD0" w:rsidR="00DB417E" w:rsidRPr="00A249FD" w:rsidRDefault="0032598F"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 xml:space="preserve">Creșterea materiei organice va îmbunătăți structura solului și stabilitatea sa. Acest lucru va garanta un randament mai bun și culturi mai sănătoase. Deoarece într-un sol mai bine structurat, plantele vor dezvolta mai multe rădăcini și vor deveni mult mai rezistente la agenții patogeni din sol, deci sunt necesare mai puține produse de protecția plantelor în sol. Îngrășămintele organice oferă o mulțime de materie organică </w:t>
            </w:r>
            <w:proofErr w:type="spellStart"/>
            <w:r w:rsidRPr="00A249FD">
              <w:rPr>
                <w:rFonts w:ascii="Times New Roman" w:hAnsi="Times New Roman"/>
                <w:sz w:val="24"/>
                <w:szCs w:val="24"/>
                <w:lang w:val="ro-RO"/>
              </w:rPr>
              <w:t>descompozabilă</w:t>
            </w:r>
            <w:proofErr w:type="spellEnd"/>
            <w:r w:rsidRPr="00A249FD">
              <w:rPr>
                <w:rFonts w:ascii="Times New Roman" w:hAnsi="Times New Roman"/>
                <w:sz w:val="24"/>
                <w:szCs w:val="24"/>
                <w:lang w:val="ro-RO"/>
              </w:rPr>
              <w:t>, care este foarte atractivă pentru microorganismele benefice din sol, vor deveni mai active și mai diversificate, ceea ce este cea mai bună garanție pentru o protecție mai mare împotriva microorganismelor dăunătoare din sol. Solurile cu o mare activitate microbiologică vor avea o capacitate de autopurificare, deoarece sunt capabile să elimine poluanții biodegradabili.</w:t>
            </w:r>
          </w:p>
        </w:tc>
      </w:tr>
      <w:tr w:rsidR="003C442D" w:rsidRPr="00A249FD" w14:paraId="33BB9EF3"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45FA14C" w14:textId="77777777" w:rsidR="003C442D"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lastRenderedPageBreak/>
              <w:t>4.6. Alte impacturi și informații relevante</w:t>
            </w:r>
          </w:p>
        </w:tc>
      </w:tr>
      <w:tr w:rsidR="003C442D" w:rsidRPr="00A249FD" w14:paraId="50BC0A4B"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CDAEEA" w14:textId="6C5FC468" w:rsidR="003C442D" w:rsidRPr="00A249FD" w:rsidRDefault="006E55E2"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Proiectul „Investiții pentru Guvernanță, Creștere și Reziliență în Agricultură" (AGGRI) în Republica Moldova care va sprijini Republica Moldova în prestarea serviciilor agricole publice, să stimuleze creșterea orientată spre piață și să sporească rezistența beneficiarilor față de crizele emergente, cu investiții de 21 de milioane de dolari SUA sub formă de granturi, pentru stimularea inițiativelor de promovare și dezvoltare a sectorului zootehnic vă pune baza dezvoltării produselor fertilizante în Republica Moldova, care va atrage după sine alte fluxuri de capital.</w:t>
            </w:r>
          </w:p>
        </w:tc>
      </w:tr>
      <w:tr w:rsidR="003C442D" w:rsidRPr="00A249FD" w14:paraId="33E70B2A"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8E3BD6E"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 xml:space="preserve">5. Compatibilitatea proiectului actului normativ cu legislația UE </w:t>
            </w:r>
          </w:p>
        </w:tc>
      </w:tr>
      <w:tr w:rsidR="003C442D" w:rsidRPr="00A249FD" w14:paraId="4FA534CA"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505FE9" w14:textId="77777777" w:rsidR="000E3FCF"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5.1. Măsuri normative necesare pentru transpunerea actelor juridice ale UE în legislația națională</w:t>
            </w:r>
            <w:r w:rsidR="000E3FCF" w:rsidRPr="00A249FD">
              <w:rPr>
                <w:rFonts w:ascii="Times New Roman" w:hAnsi="Times New Roman"/>
                <w:sz w:val="24"/>
                <w:szCs w:val="24"/>
                <w:lang w:val="ro-RO"/>
              </w:rPr>
              <w:t>.</w:t>
            </w:r>
          </w:p>
          <w:p w14:paraId="41A41ACE" w14:textId="31EB44E9" w:rsidR="00511074" w:rsidRPr="00A249FD" w:rsidRDefault="0057267D"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În conformitate cu </w:t>
            </w:r>
            <w:r w:rsidR="0032364E" w:rsidRPr="00A249FD">
              <w:rPr>
                <w:rFonts w:ascii="Times New Roman" w:hAnsi="Times New Roman"/>
                <w:sz w:val="24"/>
                <w:szCs w:val="24"/>
                <w:lang w:val="ro-RO"/>
              </w:rPr>
              <w:t>prevederile</w:t>
            </w:r>
            <w:r w:rsidRPr="00A249FD">
              <w:rPr>
                <w:rFonts w:ascii="Times New Roman" w:hAnsi="Times New Roman"/>
                <w:sz w:val="24"/>
                <w:szCs w:val="24"/>
                <w:lang w:val="ro-RO"/>
              </w:rPr>
              <w:t xml:space="preserve"> </w:t>
            </w:r>
            <w:r w:rsidR="0032364E" w:rsidRPr="00A249FD">
              <w:rPr>
                <w:rFonts w:ascii="Times New Roman" w:hAnsi="Times New Roman"/>
                <w:sz w:val="24"/>
                <w:szCs w:val="24"/>
                <w:lang w:val="ro-RO"/>
              </w:rPr>
              <w:t>Legii</w:t>
            </w:r>
            <w:r w:rsidRPr="00A249FD">
              <w:rPr>
                <w:rFonts w:ascii="Times New Roman" w:hAnsi="Times New Roman"/>
                <w:sz w:val="24"/>
                <w:szCs w:val="24"/>
                <w:lang w:val="ro-RO"/>
              </w:rPr>
              <w:t xml:space="preserve"> nr. 100/2017, </w:t>
            </w:r>
            <w:r w:rsidR="0032364E" w:rsidRPr="00A249FD">
              <w:rPr>
                <w:rFonts w:ascii="Times New Roman" w:hAnsi="Times New Roman"/>
                <w:sz w:val="24"/>
                <w:szCs w:val="24"/>
                <w:lang w:val="ro-RO"/>
              </w:rPr>
              <w:t xml:space="preserve">urmează să fie expusă </w:t>
            </w:r>
            <w:r w:rsidRPr="00A249FD">
              <w:rPr>
                <w:rFonts w:ascii="Times New Roman" w:hAnsi="Times New Roman"/>
                <w:sz w:val="24"/>
                <w:szCs w:val="24"/>
                <w:lang w:val="ro-RO"/>
              </w:rPr>
              <w:t>, gradul general de compatibilitate a proiectul cu actul juridic UE</w:t>
            </w:r>
            <w:r w:rsidR="0032364E" w:rsidRPr="00A249FD">
              <w:rPr>
                <w:rFonts w:ascii="Times New Roman" w:hAnsi="Times New Roman"/>
                <w:sz w:val="24"/>
                <w:szCs w:val="24"/>
                <w:lang w:val="ro-RO"/>
              </w:rPr>
              <w:t>.  În conformitate cu recomandările experților UE, contractați de Delegația UE în Republica Moldova</w:t>
            </w:r>
            <w:r w:rsidRPr="00A249FD">
              <w:rPr>
                <w:rFonts w:ascii="Times New Roman" w:hAnsi="Times New Roman"/>
                <w:sz w:val="24"/>
                <w:szCs w:val="24"/>
                <w:lang w:val="ro-RO"/>
              </w:rPr>
              <w:t xml:space="preserve"> </w:t>
            </w:r>
            <w:r w:rsidR="0032364E" w:rsidRPr="00A249FD">
              <w:rPr>
                <w:rFonts w:ascii="Times New Roman" w:hAnsi="Times New Roman"/>
                <w:sz w:val="24"/>
                <w:szCs w:val="24"/>
                <w:lang w:val="ro-RO"/>
              </w:rPr>
              <w:t>pentru Misiunea tehnică de suport în aproximarea cadrului normativ de domeniul produselor fertilizante sub egida Proiectului finanțat de UE „</w:t>
            </w:r>
            <w:proofErr w:type="spellStart"/>
            <w:r w:rsidR="0032364E" w:rsidRPr="00A249FD">
              <w:rPr>
                <w:rFonts w:ascii="Times New Roman" w:hAnsi="Times New Roman"/>
                <w:sz w:val="24"/>
                <w:szCs w:val="24"/>
                <w:lang w:val="ro-RO"/>
              </w:rPr>
              <w:t>Support</w:t>
            </w:r>
            <w:proofErr w:type="spellEnd"/>
            <w:r w:rsidR="0032364E" w:rsidRPr="00A249FD">
              <w:rPr>
                <w:rFonts w:ascii="Times New Roman" w:hAnsi="Times New Roman"/>
                <w:sz w:val="24"/>
                <w:szCs w:val="24"/>
                <w:lang w:val="ro-RO"/>
              </w:rPr>
              <w:t xml:space="preserve"> for </w:t>
            </w:r>
            <w:proofErr w:type="spellStart"/>
            <w:r w:rsidR="0032364E" w:rsidRPr="00A249FD">
              <w:rPr>
                <w:rFonts w:ascii="Times New Roman" w:hAnsi="Times New Roman"/>
                <w:sz w:val="24"/>
                <w:szCs w:val="24"/>
                <w:lang w:val="ro-RO"/>
              </w:rPr>
              <w:t>structured</w:t>
            </w:r>
            <w:proofErr w:type="spellEnd"/>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policy</w:t>
            </w:r>
            <w:proofErr w:type="spellEnd"/>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dialogue</w:t>
            </w:r>
            <w:proofErr w:type="spellEnd"/>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coordination</w:t>
            </w:r>
            <w:proofErr w:type="spellEnd"/>
            <w:r w:rsidR="0032364E" w:rsidRPr="00A249FD">
              <w:rPr>
                <w:rFonts w:ascii="Times New Roman" w:hAnsi="Times New Roman"/>
                <w:sz w:val="24"/>
                <w:szCs w:val="24"/>
                <w:lang w:val="ro-RO"/>
              </w:rPr>
              <w:t xml:space="preserve"> of </w:t>
            </w:r>
            <w:proofErr w:type="spellStart"/>
            <w:r w:rsidR="0032364E" w:rsidRPr="00A249FD">
              <w:rPr>
                <w:rFonts w:ascii="Times New Roman" w:hAnsi="Times New Roman"/>
                <w:sz w:val="24"/>
                <w:szCs w:val="24"/>
                <w:lang w:val="ro-RO"/>
              </w:rPr>
              <w:t>the</w:t>
            </w:r>
            <w:proofErr w:type="spellEnd"/>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implementation</w:t>
            </w:r>
            <w:proofErr w:type="spellEnd"/>
            <w:r w:rsidR="0032364E" w:rsidRPr="00A249FD">
              <w:rPr>
                <w:rFonts w:ascii="Times New Roman" w:hAnsi="Times New Roman"/>
                <w:sz w:val="24"/>
                <w:szCs w:val="24"/>
                <w:lang w:val="ro-RO"/>
              </w:rPr>
              <w:t xml:space="preserve"> of </w:t>
            </w:r>
            <w:proofErr w:type="spellStart"/>
            <w:r w:rsidR="0032364E" w:rsidRPr="00A249FD">
              <w:rPr>
                <w:rFonts w:ascii="Times New Roman" w:hAnsi="Times New Roman"/>
                <w:sz w:val="24"/>
                <w:szCs w:val="24"/>
                <w:lang w:val="ro-RO"/>
              </w:rPr>
              <w:t>the</w:t>
            </w:r>
            <w:proofErr w:type="spellEnd"/>
            <w:r w:rsidR="0032364E" w:rsidRPr="00A249FD">
              <w:rPr>
                <w:rFonts w:ascii="Times New Roman" w:hAnsi="Times New Roman"/>
                <w:sz w:val="24"/>
                <w:szCs w:val="24"/>
                <w:lang w:val="ro-RO"/>
              </w:rPr>
              <w:t xml:space="preserve"> Association Agreement </w:t>
            </w:r>
            <w:proofErr w:type="spellStart"/>
            <w:r w:rsidR="0032364E" w:rsidRPr="00A249FD">
              <w:rPr>
                <w:rFonts w:ascii="Times New Roman" w:hAnsi="Times New Roman"/>
                <w:sz w:val="24"/>
                <w:szCs w:val="24"/>
                <w:lang w:val="ro-RO"/>
              </w:rPr>
              <w:t>and</w:t>
            </w:r>
            <w:proofErr w:type="spellEnd"/>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enhancement</w:t>
            </w:r>
            <w:proofErr w:type="spellEnd"/>
            <w:r w:rsidR="0032364E" w:rsidRPr="00A249FD">
              <w:rPr>
                <w:rFonts w:ascii="Times New Roman" w:hAnsi="Times New Roman"/>
                <w:sz w:val="24"/>
                <w:szCs w:val="24"/>
                <w:lang w:val="ro-RO"/>
              </w:rPr>
              <w:t xml:space="preserve"> of </w:t>
            </w:r>
            <w:proofErr w:type="spellStart"/>
            <w:r w:rsidR="0032364E" w:rsidRPr="00A249FD">
              <w:rPr>
                <w:rFonts w:ascii="Times New Roman" w:hAnsi="Times New Roman"/>
                <w:sz w:val="24"/>
                <w:szCs w:val="24"/>
                <w:lang w:val="ro-RO"/>
              </w:rPr>
              <w:t>the</w:t>
            </w:r>
            <w:proofErr w:type="spellEnd"/>
            <w:r w:rsidR="0032364E" w:rsidRPr="00A249FD">
              <w:rPr>
                <w:rFonts w:ascii="Times New Roman" w:hAnsi="Times New Roman"/>
                <w:sz w:val="24"/>
                <w:szCs w:val="24"/>
                <w:lang w:val="ro-RO"/>
              </w:rPr>
              <w:t xml:space="preserve"> legal </w:t>
            </w:r>
            <w:proofErr w:type="spellStart"/>
            <w:r w:rsidR="0032364E" w:rsidRPr="00A249FD">
              <w:rPr>
                <w:rFonts w:ascii="Times New Roman" w:hAnsi="Times New Roman"/>
                <w:sz w:val="24"/>
                <w:szCs w:val="24"/>
                <w:lang w:val="ro-RO"/>
              </w:rPr>
              <w:t>approximation</w:t>
            </w:r>
            <w:proofErr w:type="spellEnd"/>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process</w:t>
            </w:r>
            <w:proofErr w:type="spellEnd"/>
            <w:r w:rsidR="0032364E" w:rsidRPr="00A249FD">
              <w:rPr>
                <w:rFonts w:ascii="Times New Roman" w:hAnsi="Times New Roman"/>
                <w:sz w:val="24"/>
                <w:szCs w:val="24"/>
                <w:lang w:val="ro-RO"/>
              </w:rPr>
              <w:t xml:space="preserve"> – Europe </w:t>
            </w:r>
            <w:proofErr w:type="spellStart"/>
            <w:r w:rsidR="0032364E" w:rsidRPr="00A249FD">
              <w:rPr>
                <w:rFonts w:ascii="Times New Roman" w:hAnsi="Times New Roman"/>
                <w:sz w:val="24"/>
                <w:szCs w:val="24"/>
                <w:lang w:val="ro-RO"/>
              </w:rPr>
              <w:t>Aid</w:t>
            </w:r>
            <w:proofErr w:type="spellEnd"/>
            <w:r w:rsidR="0032364E" w:rsidRPr="00A249FD">
              <w:rPr>
                <w:rFonts w:ascii="Times New Roman" w:hAnsi="Times New Roman"/>
                <w:sz w:val="24"/>
                <w:szCs w:val="24"/>
                <w:lang w:val="ro-RO"/>
              </w:rPr>
              <w:t xml:space="preserve">/139112/DH/SER/MD) a fost </w:t>
            </w:r>
            <w:r w:rsidRPr="00A249FD">
              <w:rPr>
                <w:rFonts w:ascii="Times New Roman" w:hAnsi="Times New Roman"/>
                <w:sz w:val="24"/>
                <w:szCs w:val="24"/>
                <w:lang w:val="ro-RO"/>
              </w:rPr>
              <w:t xml:space="preserve">fiind stabilit </w:t>
            </w:r>
            <w:r w:rsidR="0032364E" w:rsidRPr="00A249FD">
              <w:rPr>
                <w:rFonts w:ascii="Times New Roman" w:hAnsi="Times New Roman"/>
                <w:sz w:val="24"/>
                <w:szCs w:val="24"/>
                <w:lang w:val="ro-RO"/>
              </w:rPr>
              <w:t xml:space="preserve">ca </w:t>
            </w:r>
            <w:r w:rsidRPr="00A249FD">
              <w:rPr>
                <w:rFonts w:ascii="Times New Roman" w:hAnsi="Times New Roman"/>
                <w:sz w:val="24"/>
                <w:szCs w:val="24"/>
                <w:lang w:val="ro-RO"/>
              </w:rPr>
              <w:t>„</w:t>
            </w:r>
            <w:r w:rsidR="008E4B92" w:rsidRPr="00A249FD">
              <w:rPr>
                <w:rFonts w:ascii="Times New Roman" w:hAnsi="Times New Roman"/>
                <w:sz w:val="24"/>
                <w:szCs w:val="24"/>
                <w:lang w:val="ro-RO"/>
              </w:rPr>
              <w:t xml:space="preserve">parțial </w:t>
            </w:r>
            <w:r w:rsidRPr="00A249FD">
              <w:rPr>
                <w:rFonts w:ascii="Times New Roman" w:hAnsi="Times New Roman"/>
                <w:sz w:val="24"/>
                <w:szCs w:val="24"/>
                <w:lang w:val="ro-RO"/>
              </w:rPr>
              <w:t>compatibil”</w:t>
            </w:r>
            <w:r w:rsidR="0032364E" w:rsidRPr="00A249FD">
              <w:rPr>
                <w:rFonts w:ascii="Times New Roman" w:hAnsi="Times New Roman"/>
                <w:sz w:val="24"/>
                <w:szCs w:val="24"/>
                <w:lang w:val="ro-RO"/>
              </w:rPr>
              <w:t xml:space="preserve">, </w:t>
            </w:r>
            <w:proofErr w:type="spellStart"/>
            <w:r w:rsidR="0032364E" w:rsidRPr="00A249FD">
              <w:rPr>
                <w:rFonts w:ascii="Times New Roman" w:hAnsi="Times New Roman"/>
                <w:sz w:val="24"/>
                <w:szCs w:val="24"/>
                <w:lang w:val="ro-RO"/>
              </w:rPr>
              <w:t>daor</w:t>
            </w:r>
            <w:proofErr w:type="spellEnd"/>
            <w:r w:rsidR="0032364E" w:rsidRPr="00A249FD">
              <w:rPr>
                <w:rFonts w:ascii="Times New Roman" w:hAnsi="Times New Roman"/>
                <w:sz w:val="24"/>
                <w:szCs w:val="24"/>
                <w:lang w:val="ro-RO"/>
              </w:rPr>
              <w:t xml:space="preserve"> din considerentul că normele stabilite în anexe să fie transpuse prin acte de pune în aplicarea a Legii, oferind posibilitatea intervenției cât mai rapide în normele tehnice. Exemplul elocvent este că Anexele Reg. UE 2019/1009 au suferit ajustări și modificări de 4 ori de la data intrării acestuia în vigoare la 16.07.2022. </w:t>
            </w:r>
          </w:p>
        </w:tc>
      </w:tr>
      <w:tr w:rsidR="003C442D" w:rsidRPr="00A249FD" w14:paraId="2E399EF2"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FE70F10" w14:textId="05B55856" w:rsidR="00A72627" w:rsidRPr="00A249FD" w:rsidRDefault="00346E38"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5.2. Măsuri normative care urmăresc crearea cadrului juridic intern necesar pentru implementarea legislației UE</w:t>
            </w:r>
            <w:r w:rsidR="0057267D" w:rsidRPr="00A249FD">
              <w:rPr>
                <w:rFonts w:ascii="Times New Roman" w:hAnsi="Times New Roman"/>
                <w:sz w:val="24"/>
                <w:szCs w:val="24"/>
                <w:lang w:val="ro-RO"/>
              </w:rPr>
              <w:t xml:space="preserve"> </w:t>
            </w:r>
          </w:p>
        </w:tc>
      </w:tr>
      <w:tr w:rsidR="003C442D" w:rsidRPr="00A249FD" w14:paraId="7D4953BF"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650C85" w14:textId="77777777" w:rsidR="003C442D" w:rsidRPr="00A249FD" w:rsidRDefault="007E5A6A"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 xml:space="preserve">În vederea justificării necesității aprobării măsurilor incluse în proiect în vederea implementării legislației UE devine necesar transpunerea prevederilor Regulamentului (UE) 2019/1009 al Parlamentului European și al Consiliului din 5 iunie 2019 de stabilire a normelor privind punerea la dispoziție pe piață a produselor fertilizante UE, care abrogă a Regulamentul (CE) nr. 2003/2003 transpus la nivel național. </w:t>
            </w:r>
          </w:p>
          <w:p w14:paraId="7393845A" w14:textId="3BC68F79" w:rsidR="007E5A6A" w:rsidRPr="00A249FD" w:rsidRDefault="007E5A6A"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Astfel, în primă etapă, sunt preconizate transpunerea prevederilor generale ale Regulamentului UE și stabilirea normelor și pentru produsele fertilizante care nu dețin marcajul CE, ca ulterior Anexele Regulamentului dat să fie transpuse prin Hotărâri de Guvern și/sau prin dispozițiile Ministerului Agricu</w:t>
            </w:r>
            <w:r w:rsidR="00CE05E6" w:rsidRPr="00A249FD">
              <w:rPr>
                <w:rFonts w:ascii="Times New Roman" w:hAnsi="Times New Roman"/>
                <w:sz w:val="24"/>
                <w:szCs w:val="24"/>
                <w:lang w:val="ro-RO"/>
              </w:rPr>
              <w:t>lturii și Industriei Alimentare pentru a permite o flexibilitate de ajustare a normelor tehnice cât mai apropiate de reglementările aprobate la nivel de UE.</w:t>
            </w:r>
          </w:p>
        </w:tc>
      </w:tr>
      <w:tr w:rsidR="003C442D" w:rsidRPr="00A249FD" w14:paraId="1578D7D0"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11ECBB0"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6. Avizarea și consultarea publică a proiectului actului normativ</w:t>
            </w:r>
          </w:p>
        </w:tc>
      </w:tr>
      <w:tr w:rsidR="003C442D" w:rsidRPr="00A249FD" w14:paraId="77EDD7BA"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FBF4DE" w14:textId="2A39D4AE" w:rsidR="003C442D" w:rsidRPr="00A249FD" w:rsidRDefault="00A87F52" w:rsidP="006B0BFC">
            <w:pPr>
              <w:pStyle w:val="Frspaiere"/>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 xml:space="preserve">           </w:t>
            </w:r>
            <w:r w:rsidR="00D46A9F" w:rsidRPr="00A249FD">
              <w:rPr>
                <w:rFonts w:ascii="Times New Roman" w:hAnsi="Times New Roman"/>
                <w:sz w:val="24"/>
                <w:szCs w:val="24"/>
                <w:lang w:val="ro-RO"/>
              </w:rPr>
              <w:t xml:space="preserve">În scopul respectării prevederilor Legii nr. 239/2008 privind transparența în procesul decizional, anunțul privind inițierea procesului de elaborare a Proiectului </w:t>
            </w:r>
            <w:r w:rsidR="00E66FF1" w:rsidRPr="00A249FD">
              <w:rPr>
                <w:rFonts w:ascii="Times New Roman" w:hAnsi="Times New Roman"/>
                <w:sz w:val="24"/>
                <w:szCs w:val="24"/>
                <w:lang w:val="ro-RO"/>
              </w:rPr>
              <w:t>de Lege</w:t>
            </w:r>
            <w:r w:rsidR="00D46A9F" w:rsidRPr="00A249FD">
              <w:rPr>
                <w:rFonts w:ascii="Times New Roman" w:hAnsi="Times New Roman"/>
                <w:sz w:val="24"/>
                <w:szCs w:val="24"/>
                <w:lang w:val="ro-RO"/>
              </w:rPr>
              <w:t xml:space="preserve"> a fost plasat pe pagina web oficială a Ministerului </w:t>
            </w:r>
            <w:r w:rsidR="00E66FF1" w:rsidRPr="00A249FD">
              <w:rPr>
                <w:rFonts w:ascii="Times New Roman" w:hAnsi="Times New Roman"/>
                <w:sz w:val="24"/>
                <w:szCs w:val="24"/>
                <w:lang w:val="ro-RO"/>
              </w:rPr>
              <w:t xml:space="preserve">Agriculturii și Industrie Alimentare, compartimentul „Transparența decizională” </w:t>
            </w:r>
            <w:r w:rsidR="00E66FF1" w:rsidRPr="00A249FD">
              <w:rPr>
                <w:rStyle w:val="Hyperlink"/>
                <w:rFonts w:ascii="Times New Roman" w:hAnsi="Times New Roman"/>
                <w:sz w:val="24"/>
                <w:szCs w:val="24"/>
                <w:lang w:val="ro-RO"/>
              </w:rPr>
              <w:t>://particip.gov.md/ro/document/stages/anunt-privind-initierea-elaborarii-proiectului-de-hotarare-de-guvern-cu-privire-la-aprobarea-proiectului-legii-privind-introducerea-pe-piata-a-produselor-fertilizante-si-a-analizei-impactului-de-reglementare/12570</w:t>
            </w:r>
            <w:r w:rsidRPr="00A249FD">
              <w:rPr>
                <w:rFonts w:ascii="Times New Roman" w:hAnsi="Times New Roman"/>
                <w:sz w:val="24"/>
                <w:szCs w:val="24"/>
                <w:lang w:val="ro-RO"/>
              </w:rPr>
              <w:t xml:space="preserve">          </w:t>
            </w:r>
            <w:r w:rsidR="00D46A9F" w:rsidRPr="00A249FD">
              <w:rPr>
                <w:rFonts w:ascii="Times New Roman" w:hAnsi="Times New Roman"/>
                <w:sz w:val="24"/>
                <w:szCs w:val="24"/>
                <w:lang w:val="ro-RO"/>
              </w:rPr>
              <w:lastRenderedPageBreak/>
              <w:t xml:space="preserve">Respectând prevederile Legii nr. 239/2008 privind transparența decizională </w:t>
            </w:r>
            <w:r w:rsidR="00E66FF1" w:rsidRPr="00A249FD">
              <w:rPr>
                <w:rFonts w:ascii="Times New Roman" w:hAnsi="Times New Roman"/>
                <w:sz w:val="24"/>
                <w:szCs w:val="24"/>
                <w:lang w:val="ro-RO"/>
              </w:rPr>
              <w:t>au fost organizate ședințe de prezentarea a principalelor prevederi ale proiectului de Lege cu mediul de afaceri</w:t>
            </w:r>
            <w:r w:rsidR="00D46A9F" w:rsidRPr="00A249FD">
              <w:rPr>
                <w:rFonts w:ascii="Times New Roman" w:hAnsi="Times New Roman"/>
                <w:sz w:val="24"/>
                <w:szCs w:val="24"/>
                <w:lang w:val="ro-RO"/>
              </w:rPr>
              <w:t>.</w:t>
            </w:r>
            <w:r w:rsidR="00B96238" w:rsidRPr="00A249FD">
              <w:rPr>
                <w:rFonts w:ascii="Times New Roman" w:hAnsi="Times New Roman"/>
                <w:sz w:val="24"/>
                <w:szCs w:val="24"/>
                <w:lang w:val="ro-RO"/>
              </w:rPr>
              <w:t xml:space="preserve"> Totodată au fost consultate în prealabil și </w:t>
            </w:r>
            <w:r w:rsidR="00220FF4">
              <w:rPr>
                <w:rFonts w:ascii="Times New Roman" w:hAnsi="Times New Roman"/>
                <w:sz w:val="24"/>
                <w:szCs w:val="24"/>
                <w:lang w:val="ro-RO"/>
              </w:rPr>
              <w:t>unele instituții în acest sens prin solicitarea MAIA nr. 09-07/103/1887 din data de 14.06.2024.</w:t>
            </w:r>
          </w:p>
        </w:tc>
      </w:tr>
      <w:tr w:rsidR="003C442D" w:rsidRPr="00A249FD" w14:paraId="33573DF5" w14:textId="77777777" w:rsidTr="006B0BFC">
        <w:tc>
          <w:tcPr>
            <w:tcW w:w="978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7A79F274"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lastRenderedPageBreak/>
              <w:t>7. Concluziile expertizelor</w:t>
            </w:r>
          </w:p>
        </w:tc>
      </w:tr>
      <w:tr w:rsidR="003C442D" w:rsidRPr="00A249FD" w14:paraId="1197EAD6"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1CF5B52" w14:textId="445CF9F7" w:rsidR="003C442D" w:rsidRPr="00A249FD" w:rsidRDefault="00D46A9F" w:rsidP="006B0BFC">
            <w:pPr>
              <w:shd w:val="clear" w:color="auto" w:fill="FFFFFF" w:themeFill="background1"/>
              <w:rPr>
                <w:rFonts w:ascii="Times New Roman" w:hAnsi="Times New Roman"/>
                <w:b/>
                <w:bCs/>
                <w:sz w:val="24"/>
                <w:szCs w:val="24"/>
                <w:lang w:val="ro-RO"/>
              </w:rPr>
            </w:pPr>
            <w:r w:rsidRPr="00A249FD">
              <w:rPr>
                <w:rFonts w:ascii="Times New Roman" w:hAnsi="Times New Roman"/>
                <w:sz w:val="24"/>
                <w:szCs w:val="24"/>
                <w:lang w:val="ro-RO"/>
              </w:rPr>
              <w:t>Proiectul va fi supus expertizei anticorupție de către Centrul Național Anticorupție.</w:t>
            </w:r>
            <w:r w:rsidRPr="00A249FD">
              <w:rPr>
                <w:rFonts w:ascii="Times New Roman" w:hAnsi="Times New Roman"/>
                <w:b/>
                <w:bCs/>
                <w:sz w:val="24"/>
                <w:szCs w:val="24"/>
                <w:lang w:val="ro-RO"/>
              </w:rPr>
              <w:t xml:space="preserve"> </w:t>
            </w:r>
          </w:p>
          <w:p w14:paraId="5730C83E" w14:textId="192753AC" w:rsidR="00D46A9F" w:rsidRPr="00A249FD" w:rsidRDefault="00D46A9F" w:rsidP="006B0BFC">
            <w:pPr>
              <w:shd w:val="clear" w:color="auto" w:fill="FFFFFF" w:themeFill="background1"/>
              <w:rPr>
                <w:rFonts w:ascii="Times New Roman" w:hAnsi="Times New Roman"/>
                <w:sz w:val="24"/>
                <w:szCs w:val="24"/>
                <w:lang w:val="ro-RO"/>
              </w:rPr>
            </w:pPr>
            <w:r w:rsidRPr="00A249FD">
              <w:rPr>
                <w:rFonts w:ascii="Times New Roman" w:hAnsi="Times New Roman"/>
                <w:sz w:val="24"/>
                <w:szCs w:val="24"/>
                <w:lang w:val="ro-RO"/>
              </w:rPr>
              <w:t xml:space="preserve">Proiectul va fi supus expertizei de compatibilitate de către </w:t>
            </w:r>
            <w:r w:rsidRPr="00A249FD">
              <w:rPr>
                <w:rFonts w:ascii="Times New Roman" w:hAnsi="Times New Roman"/>
                <w:sz w:val="24"/>
                <w:szCs w:val="24"/>
                <w:lang w:val="ro-RO" w:eastAsia="zh-CN"/>
              </w:rPr>
              <w:t>Centrul de Armonizare a Legislației</w:t>
            </w:r>
            <w:r w:rsidRPr="00A249FD">
              <w:rPr>
                <w:rFonts w:ascii="Times New Roman" w:hAnsi="Times New Roman"/>
                <w:sz w:val="24"/>
                <w:szCs w:val="24"/>
                <w:lang w:val="ro-RO"/>
              </w:rPr>
              <w:t>.</w:t>
            </w:r>
          </w:p>
          <w:p w14:paraId="34F0B68C" w14:textId="67E15B8E" w:rsidR="00D46A9F" w:rsidRPr="00A249FD" w:rsidRDefault="00D46A9F" w:rsidP="006B0BFC">
            <w:pPr>
              <w:shd w:val="clear" w:color="auto" w:fill="FFFFFF" w:themeFill="background1"/>
              <w:rPr>
                <w:rFonts w:ascii="Times New Roman" w:hAnsi="Times New Roman"/>
                <w:b/>
                <w:bCs/>
                <w:sz w:val="24"/>
                <w:szCs w:val="24"/>
                <w:lang w:val="ro-RO"/>
              </w:rPr>
            </w:pPr>
            <w:r w:rsidRPr="00A249FD">
              <w:rPr>
                <w:rFonts w:ascii="Times New Roman" w:hAnsi="Times New Roman"/>
                <w:sz w:val="24"/>
                <w:szCs w:val="24"/>
                <w:lang w:val="ro-RO"/>
              </w:rPr>
              <w:t>În scopul respectării art. 34 și 37 din Legea nr. 100/2017 cu privire la actele normative, proiectul de hotărâre va fi supus expertizei juridice.</w:t>
            </w:r>
          </w:p>
        </w:tc>
      </w:tr>
      <w:tr w:rsidR="003C442D" w:rsidRPr="00A249FD" w14:paraId="2BFBD3E6"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C18BC48"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8. Modul de încorporare a actului în cadrul normativ existent</w:t>
            </w:r>
          </w:p>
        </w:tc>
      </w:tr>
      <w:tr w:rsidR="003C442D" w:rsidRPr="00A249FD" w14:paraId="5FEF2217"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FCEBCD" w14:textId="69CA5F62" w:rsidR="00AF24BB" w:rsidRPr="00A249FD" w:rsidRDefault="0024743B" w:rsidP="006B0BFC">
            <w:pPr>
              <w:shd w:val="clear" w:color="auto" w:fill="FFFFFF" w:themeFill="background1"/>
              <w:ind w:firstLine="0"/>
              <w:rPr>
                <w:rFonts w:ascii="Times New Roman" w:hAnsi="Times New Roman"/>
                <w:sz w:val="24"/>
                <w:szCs w:val="24"/>
                <w:lang w:val="ro-RO"/>
              </w:rPr>
            </w:pPr>
            <w:r w:rsidRPr="00A249FD">
              <w:rPr>
                <w:rFonts w:ascii="Times New Roman" w:hAnsi="Times New Roman"/>
                <w:sz w:val="24"/>
                <w:szCs w:val="24"/>
                <w:lang w:val="ro-RO"/>
              </w:rPr>
              <w:t xml:space="preserve">            Aprobarea proiectului necesită modificarea altor acte normative.</w:t>
            </w:r>
            <w:r w:rsidR="002126BF" w:rsidRPr="00A249FD">
              <w:rPr>
                <w:rFonts w:ascii="Times New Roman" w:hAnsi="Times New Roman"/>
                <w:sz w:val="24"/>
                <w:szCs w:val="24"/>
                <w:lang w:val="ro-RO"/>
              </w:rPr>
              <w:t xml:space="preserve"> Astfel devine necesar modificări la Legea nr. 119/2004 cu privire la produsele de uz fitosanitar </w:t>
            </w:r>
            <w:proofErr w:type="spellStart"/>
            <w:r w:rsidR="002126BF" w:rsidRPr="00A249FD">
              <w:rPr>
                <w:rFonts w:ascii="Times New Roman" w:hAnsi="Times New Roman"/>
                <w:sz w:val="24"/>
                <w:szCs w:val="24"/>
                <w:lang w:val="ro-RO"/>
              </w:rPr>
              <w:t>şi</w:t>
            </w:r>
            <w:proofErr w:type="spellEnd"/>
            <w:r w:rsidR="002126BF" w:rsidRPr="00A249FD">
              <w:rPr>
                <w:rFonts w:ascii="Times New Roman" w:hAnsi="Times New Roman"/>
                <w:sz w:val="24"/>
                <w:szCs w:val="24"/>
                <w:lang w:val="ro-RO"/>
              </w:rPr>
              <w:t xml:space="preserve"> la </w:t>
            </w:r>
            <w:proofErr w:type="spellStart"/>
            <w:r w:rsidR="002126BF" w:rsidRPr="00A249FD">
              <w:rPr>
                <w:rFonts w:ascii="Times New Roman" w:hAnsi="Times New Roman"/>
                <w:sz w:val="24"/>
                <w:szCs w:val="24"/>
                <w:lang w:val="ro-RO"/>
              </w:rPr>
              <w:t>fertilizanţi</w:t>
            </w:r>
            <w:proofErr w:type="spellEnd"/>
            <w:r w:rsidR="002126BF" w:rsidRPr="00A249FD">
              <w:rPr>
                <w:rFonts w:ascii="Times New Roman" w:hAnsi="Times New Roman"/>
                <w:sz w:val="24"/>
                <w:szCs w:val="24"/>
                <w:lang w:val="ro-RO"/>
              </w:rPr>
              <w:t xml:space="preserve">, Anexa nr. 3 la Legea nr. 235/2011 privind activitățile de acreditare </w:t>
            </w:r>
            <w:proofErr w:type="spellStart"/>
            <w:r w:rsidR="002126BF" w:rsidRPr="00A249FD">
              <w:rPr>
                <w:rFonts w:ascii="Times New Roman" w:hAnsi="Times New Roman"/>
                <w:sz w:val="24"/>
                <w:szCs w:val="24"/>
                <w:lang w:val="ro-RO"/>
              </w:rPr>
              <w:t>şi</w:t>
            </w:r>
            <w:proofErr w:type="spellEnd"/>
            <w:r w:rsidR="002126BF" w:rsidRPr="00A249FD">
              <w:rPr>
                <w:rFonts w:ascii="Times New Roman" w:hAnsi="Times New Roman"/>
                <w:sz w:val="24"/>
                <w:szCs w:val="24"/>
                <w:lang w:val="ro-RO"/>
              </w:rPr>
              <w:t xml:space="preserve"> de evaluare a conformității și Domeniile reglementate (grupurile de produse) ale Listei domeniilor/categoriilor de produse reglementate, a </w:t>
            </w:r>
            <w:proofErr w:type="spellStart"/>
            <w:r w:rsidR="002126BF" w:rsidRPr="00A249FD">
              <w:rPr>
                <w:rFonts w:ascii="Times New Roman" w:hAnsi="Times New Roman"/>
                <w:sz w:val="24"/>
                <w:szCs w:val="24"/>
                <w:lang w:val="ro-RO"/>
              </w:rPr>
              <w:t>autorităţilor</w:t>
            </w:r>
            <w:proofErr w:type="spellEnd"/>
            <w:r w:rsidR="002126BF" w:rsidRPr="00A249FD">
              <w:rPr>
                <w:rFonts w:ascii="Times New Roman" w:hAnsi="Times New Roman"/>
                <w:sz w:val="24"/>
                <w:szCs w:val="24"/>
                <w:lang w:val="ro-RO"/>
              </w:rPr>
              <w:t xml:space="preserve"> de reglementare </w:t>
            </w:r>
            <w:proofErr w:type="spellStart"/>
            <w:r w:rsidR="002126BF" w:rsidRPr="00A249FD">
              <w:rPr>
                <w:rFonts w:ascii="Times New Roman" w:hAnsi="Times New Roman"/>
                <w:sz w:val="24"/>
                <w:szCs w:val="24"/>
                <w:lang w:val="ro-RO"/>
              </w:rPr>
              <w:t>şi</w:t>
            </w:r>
            <w:proofErr w:type="spellEnd"/>
            <w:r w:rsidR="002126BF" w:rsidRPr="00A249FD">
              <w:rPr>
                <w:rFonts w:ascii="Times New Roman" w:hAnsi="Times New Roman"/>
                <w:sz w:val="24"/>
                <w:szCs w:val="24"/>
                <w:lang w:val="ro-RO"/>
              </w:rPr>
              <w:t xml:space="preserve"> a </w:t>
            </w:r>
            <w:proofErr w:type="spellStart"/>
            <w:r w:rsidR="002126BF" w:rsidRPr="00A249FD">
              <w:rPr>
                <w:rFonts w:ascii="Times New Roman" w:hAnsi="Times New Roman"/>
                <w:sz w:val="24"/>
                <w:szCs w:val="24"/>
                <w:lang w:val="ro-RO"/>
              </w:rPr>
              <w:t>autorităţilor</w:t>
            </w:r>
            <w:proofErr w:type="spellEnd"/>
            <w:r w:rsidR="002126BF" w:rsidRPr="00A249FD">
              <w:rPr>
                <w:rFonts w:ascii="Times New Roman" w:hAnsi="Times New Roman"/>
                <w:sz w:val="24"/>
                <w:szCs w:val="24"/>
                <w:lang w:val="ro-RO"/>
              </w:rPr>
              <w:t xml:space="preserve"> de supraveghere a </w:t>
            </w:r>
            <w:proofErr w:type="spellStart"/>
            <w:r w:rsidR="002126BF" w:rsidRPr="00A249FD">
              <w:rPr>
                <w:rFonts w:ascii="Times New Roman" w:hAnsi="Times New Roman"/>
                <w:sz w:val="24"/>
                <w:szCs w:val="24"/>
                <w:lang w:val="ro-RO"/>
              </w:rPr>
              <w:t>pieţei</w:t>
            </w:r>
            <w:proofErr w:type="spellEnd"/>
            <w:r w:rsidR="002126BF" w:rsidRPr="00A249FD">
              <w:rPr>
                <w:rFonts w:ascii="Times New Roman" w:hAnsi="Times New Roman"/>
                <w:sz w:val="24"/>
                <w:szCs w:val="24"/>
                <w:lang w:val="ro-RO"/>
              </w:rPr>
              <w:t xml:space="preserve"> adoptate prin Anexa nr. 1 al Legii nr. 162/2023 privind supravegherea </w:t>
            </w:r>
            <w:proofErr w:type="spellStart"/>
            <w:r w:rsidR="002126BF" w:rsidRPr="00A249FD">
              <w:rPr>
                <w:rFonts w:ascii="Times New Roman" w:hAnsi="Times New Roman"/>
                <w:sz w:val="24"/>
                <w:szCs w:val="24"/>
                <w:lang w:val="ro-RO"/>
              </w:rPr>
              <w:t>pieţei</w:t>
            </w:r>
            <w:proofErr w:type="spellEnd"/>
            <w:r w:rsidR="002126BF" w:rsidRPr="00A249FD">
              <w:rPr>
                <w:rFonts w:ascii="Times New Roman" w:hAnsi="Times New Roman"/>
                <w:sz w:val="24"/>
                <w:szCs w:val="24"/>
                <w:lang w:val="ro-RO"/>
              </w:rPr>
              <w:t xml:space="preserve"> </w:t>
            </w:r>
            <w:proofErr w:type="spellStart"/>
            <w:r w:rsidR="002126BF" w:rsidRPr="00A249FD">
              <w:rPr>
                <w:rFonts w:ascii="Times New Roman" w:hAnsi="Times New Roman"/>
                <w:sz w:val="24"/>
                <w:szCs w:val="24"/>
                <w:lang w:val="ro-RO"/>
              </w:rPr>
              <w:t>şi</w:t>
            </w:r>
            <w:proofErr w:type="spellEnd"/>
            <w:r w:rsidR="002126BF" w:rsidRPr="00A249FD">
              <w:rPr>
                <w:rFonts w:ascii="Times New Roman" w:hAnsi="Times New Roman"/>
                <w:sz w:val="24"/>
                <w:szCs w:val="24"/>
                <w:lang w:val="ro-RO"/>
              </w:rPr>
              <w:t xml:space="preserve"> conformitatea produselor</w:t>
            </w:r>
            <w:r w:rsidR="00512646" w:rsidRPr="00A249FD">
              <w:rPr>
                <w:rFonts w:ascii="Times New Roman" w:hAnsi="Times New Roman"/>
                <w:sz w:val="24"/>
                <w:szCs w:val="24"/>
                <w:lang w:val="ro-RO"/>
              </w:rPr>
              <w:t xml:space="preserve">. </w:t>
            </w:r>
            <w:r w:rsidR="00830D82">
              <w:rPr>
                <w:rFonts w:ascii="Times New Roman" w:hAnsi="Times New Roman"/>
                <w:sz w:val="24"/>
                <w:szCs w:val="24"/>
                <w:lang w:val="ro-RO"/>
              </w:rPr>
              <w:t>Modificări efectuate de Regulamentul 2019/1009 la Reg. UE 2009/1069 și Reg. U</w:t>
            </w:r>
            <w:r w:rsidR="00610514">
              <w:rPr>
                <w:rFonts w:ascii="Times New Roman" w:hAnsi="Times New Roman"/>
                <w:sz w:val="24"/>
                <w:szCs w:val="24"/>
                <w:lang w:val="ro-RO"/>
              </w:rPr>
              <w:t xml:space="preserve">E 2009/1007 necesită ajustare și la Legile ce au transpus </w:t>
            </w:r>
            <w:proofErr w:type="spellStart"/>
            <w:r w:rsidR="00610514">
              <w:rPr>
                <w:rFonts w:ascii="Times New Roman" w:hAnsi="Times New Roman"/>
                <w:sz w:val="24"/>
                <w:szCs w:val="24"/>
                <w:lang w:val="ro-RO"/>
              </w:rPr>
              <w:t>acetste</w:t>
            </w:r>
            <w:proofErr w:type="spellEnd"/>
            <w:r w:rsidR="00610514">
              <w:rPr>
                <w:rFonts w:ascii="Times New Roman" w:hAnsi="Times New Roman"/>
                <w:sz w:val="24"/>
                <w:szCs w:val="24"/>
                <w:lang w:val="ro-RO"/>
              </w:rPr>
              <w:t xml:space="preserve"> 2 Regulamente și anume </w:t>
            </w:r>
            <w:r w:rsidR="00610514" w:rsidRPr="00610514">
              <w:rPr>
                <w:rFonts w:ascii="Times New Roman" w:hAnsi="Times New Roman"/>
                <w:sz w:val="24"/>
                <w:szCs w:val="24"/>
                <w:lang w:val="ro-RO"/>
              </w:rPr>
              <w:t>(5)</w:t>
            </w:r>
            <w:r w:rsidR="00610514" w:rsidRPr="00610514">
              <w:rPr>
                <w:rFonts w:ascii="Times New Roman" w:hAnsi="Times New Roman"/>
                <w:sz w:val="24"/>
                <w:szCs w:val="24"/>
                <w:lang w:val="ro-RO"/>
              </w:rPr>
              <w:tab/>
              <w:t xml:space="preserve">Legea nr. 129/2019 privind subprodusele de origine animală </w:t>
            </w:r>
            <w:proofErr w:type="spellStart"/>
            <w:r w:rsidR="00610514" w:rsidRPr="00610514">
              <w:rPr>
                <w:rFonts w:ascii="Times New Roman" w:hAnsi="Times New Roman"/>
                <w:sz w:val="24"/>
                <w:szCs w:val="24"/>
                <w:lang w:val="ro-RO"/>
              </w:rPr>
              <w:t>şi</w:t>
            </w:r>
            <w:proofErr w:type="spellEnd"/>
            <w:r w:rsidR="00610514" w:rsidRPr="00610514">
              <w:rPr>
                <w:rFonts w:ascii="Times New Roman" w:hAnsi="Times New Roman"/>
                <w:sz w:val="24"/>
                <w:szCs w:val="24"/>
                <w:lang w:val="ro-RO"/>
              </w:rPr>
              <w:t xml:space="preserve"> produsele derivate care nu sunt destinate consumului uman </w:t>
            </w:r>
            <w:r w:rsidR="00610514">
              <w:rPr>
                <w:rFonts w:ascii="Times New Roman" w:hAnsi="Times New Roman"/>
                <w:sz w:val="24"/>
                <w:szCs w:val="24"/>
                <w:lang w:val="ro-RO"/>
              </w:rPr>
              <w:t xml:space="preserve"> și Legea </w:t>
            </w:r>
            <w:r w:rsidR="00610514" w:rsidRPr="00610514">
              <w:rPr>
                <w:rFonts w:ascii="Times New Roman" w:hAnsi="Times New Roman"/>
                <w:sz w:val="24"/>
                <w:szCs w:val="24"/>
                <w:lang w:val="ro-RO"/>
              </w:rPr>
              <w:t xml:space="preserve">nr. 403/2023 privind introducerea pe </w:t>
            </w:r>
            <w:proofErr w:type="spellStart"/>
            <w:r w:rsidR="00610514" w:rsidRPr="00610514">
              <w:rPr>
                <w:rFonts w:ascii="Times New Roman" w:hAnsi="Times New Roman"/>
                <w:sz w:val="24"/>
                <w:szCs w:val="24"/>
                <w:lang w:val="ro-RO"/>
              </w:rPr>
              <w:t>piaţă</w:t>
            </w:r>
            <w:proofErr w:type="spellEnd"/>
            <w:r w:rsidR="00610514" w:rsidRPr="00610514">
              <w:rPr>
                <w:rFonts w:ascii="Times New Roman" w:hAnsi="Times New Roman"/>
                <w:sz w:val="24"/>
                <w:szCs w:val="24"/>
                <w:lang w:val="ro-RO"/>
              </w:rPr>
              <w:t xml:space="preserve"> a produselor fitosanitare </w:t>
            </w:r>
            <w:proofErr w:type="spellStart"/>
            <w:r w:rsidR="00610514" w:rsidRPr="00610514">
              <w:rPr>
                <w:rFonts w:ascii="Times New Roman" w:hAnsi="Times New Roman"/>
                <w:sz w:val="24"/>
                <w:szCs w:val="24"/>
                <w:lang w:val="ro-RO"/>
              </w:rPr>
              <w:t>şi</w:t>
            </w:r>
            <w:proofErr w:type="spellEnd"/>
            <w:r w:rsidR="00610514" w:rsidRPr="00610514">
              <w:rPr>
                <w:rFonts w:ascii="Times New Roman" w:hAnsi="Times New Roman"/>
                <w:sz w:val="24"/>
                <w:szCs w:val="24"/>
                <w:lang w:val="ro-RO"/>
              </w:rPr>
              <w:t xml:space="preserve"> pentru modificarea unor acte normative</w:t>
            </w:r>
            <w:r w:rsidR="00610514">
              <w:rPr>
                <w:rFonts w:ascii="Times New Roman" w:hAnsi="Times New Roman"/>
                <w:sz w:val="24"/>
                <w:szCs w:val="24"/>
                <w:lang w:val="ro-RO"/>
              </w:rPr>
              <w:t xml:space="preserve">. </w:t>
            </w:r>
            <w:r w:rsidR="009C6453" w:rsidRPr="00A249FD">
              <w:rPr>
                <w:rFonts w:ascii="Times New Roman" w:hAnsi="Times New Roman"/>
                <w:sz w:val="24"/>
                <w:szCs w:val="24"/>
                <w:lang w:val="ro-RO"/>
              </w:rPr>
              <w:t>Odată adoptat proiectul de Lege, vor fi necesare de întreprins acțiuni din partea Guvernului de abrogarea ale HG nr. 268/2012 cu privire la aprobarea Reglementării tehnice “</w:t>
            </w:r>
            <w:proofErr w:type="spellStart"/>
            <w:r w:rsidR="009C6453" w:rsidRPr="00A249FD">
              <w:rPr>
                <w:rFonts w:ascii="Times New Roman" w:hAnsi="Times New Roman"/>
                <w:sz w:val="24"/>
                <w:szCs w:val="24"/>
                <w:lang w:val="ro-RO"/>
              </w:rPr>
              <w:t>Fertilizanţi</w:t>
            </w:r>
            <w:proofErr w:type="spellEnd"/>
            <w:r w:rsidR="009C6453" w:rsidRPr="00A249FD">
              <w:rPr>
                <w:rFonts w:ascii="Times New Roman" w:hAnsi="Times New Roman"/>
                <w:sz w:val="24"/>
                <w:szCs w:val="24"/>
                <w:lang w:val="ro-RO"/>
              </w:rPr>
              <w:t xml:space="preserve"> minerali. </w:t>
            </w:r>
            <w:proofErr w:type="spellStart"/>
            <w:r w:rsidR="009C6453" w:rsidRPr="00A249FD">
              <w:rPr>
                <w:rFonts w:ascii="Times New Roman" w:hAnsi="Times New Roman"/>
                <w:sz w:val="24"/>
                <w:szCs w:val="24"/>
                <w:lang w:val="ro-RO"/>
              </w:rPr>
              <w:t>Cerinţe</w:t>
            </w:r>
            <w:proofErr w:type="spellEnd"/>
            <w:r w:rsidR="009C6453" w:rsidRPr="00A249FD">
              <w:rPr>
                <w:rFonts w:ascii="Times New Roman" w:hAnsi="Times New Roman"/>
                <w:sz w:val="24"/>
                <w:szCs w:val="24"/>
                <w:lang w:val="ro-RO"/>
              </w:rPr>
              <w:t xml:space="preserve"> </w:t>
            </w:r>
            <w:proofErr w:type="spellStart"/>
            <w:r w:rsidR="009C6453" w:rsidRPr="00A249FD">
              <w:rPr>
                <w:rFonts w:ascii="Times New Roman" w:hAnsi="Times New Roman"/>
                <w:sz w:val="24"/>
                <w:szCs w:val="24"/>
                <w:lang w:val="ro-RO"/>
              </w:rPr>
              <w:t>esenţiale</w:t>
            </w:r>
            <w:proofErr w:type="spellEnd"/>
            <w:r w:rsidR="009C6453" w:rsidRPr="00A249FD">
              <w:rPr>
                <w:rFonts w:ascii="Times New Roman" w:hAnsi="Times New Roman"/>
                <w:sz w:val="24"/>
                <w:szCs w:val="24"/>
                <w:lang w:val="ro-RO"/>
              </w:rPr>
              <w:t>”.</w:t>
            </w:r>
            <w:r w:rsidR="00BF193E" w:rsidRPr="00A249FD">
              <w:rPr>
                <w:rFonts w:ascii="Times New Roman" w:hAnsi="Times New Roman"/>
                <w:sz w:val="24"/>
                <w:szCs w:val="24"/>
                <w:lang w:val="ro-RO"/>
              </w:rPr>
              <w:t xml:space="preserve"> </w:t>
            </w:r>
          </w:p>
        </w:tc>
      </w:tr>
      <w:tr w:rsidR="003C442D" w:rsidRPr="00A249FD" w14:paraId="185D1B41" w14:textId="77777777" w:rsidTr="00E853B9">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3FBA7B1" w14:textId="77777777" w:rsidR="003C442D" w:rsidRPr="00A249FD" w:rsidRDefault="00346E38" w:rsidP="006B0BFC">
            <w:pPr>
              <w:shd w:val="clear" w:color="auto" w:fill="FFFFFF" w:themeFill="background1"/>
              <w:rPr>
                <w:rFonts w:ascii="Times New Roman" w:hAnsi="Times New Roman"/>
                <w:b/>
                <w:bCs/>
                <w:sz w:val="24"/>
                <w:szCs w:val="24"/>
                <w:lang w:val="ro-RO"/>
              </w:rPr>
            </w:pPr>
            <w:r w:rsidRPr="00A249FD">
              <w:rPr>
                <w:rFonts w:ascii="Times New Roman" w:hAnsi="Times New Roman"/>
                <w:b/>
                <w:bCs/>
                <w:sz w:val="24"/>
                <w:szCs w:val="24"/>
                <w:lang w:val="ro-RO"/>
              </w:rPr>
              <w:t>9. Măsurile necesare pentru implementarea prevederilor proiectului actului normativ</w:t>
            </w:r>
          </w:p>
        </w:tc>
      </w:tr>
      <w:tr w:rsidR="003C442D" w:rsidRPr="00A249FD" w14:paraId="49208E60" w14:textId="77777777" w:rsidTr="00E853B9">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3E004" w14:textId="53F31B40" w:rsidR="00147FB1" w:rsidRPr="00A249FD" w:rsidRDefault="00346E38" w:rsidP="006B0BFC">
            <w:pPr>
              <w:pStyle w:val="Textcomentariu"/>
              <w:shd w:val="clear" w:color="auto" w:fill="FFFFFF" w:themeFill="background1"/>
              <w:tabs>
                <w:tab w:val="left" w:pos="9788"/>
              </w:tabs>
              <w:ind w:firstLine="744"/>
              <w:rPr>
                <w:rFonts w:ascii="Times New Roman" w:hAnsi="Times New Roman"/>
                <w:sz w:val="24"/>
                <w:szCs w:val="24"/>
              </w:rPr>
            </w:pPr>
            <w:r w:rsidRPr="00A249FD">
              <w:rPr>
                <w:rFonts w:ascii="Times New Roman" w:hAnsi="Times New Roman"/>
                <w:sz w:val="24"/>
                <w:szCs w:val="24"/>
              </w:rPr>
              <w:t xml:space="preserve"> </w:t>
            </w:r>
            <w:r w:rsidR="00147FB1" w:rsidRPr="00A249FD">
              <w:rPr>
                <w:rFonts w:ascii="Times New Roman" w:hAnsi="Times New Roman"/>
                <w:sz w:val="24"/>
                <w:szCs w:val="24"/>
              </w:rPr>
              <w:t xml:space="preserve">Implementarea opțiunii recomandate presupune anumite măsuri organizatorice și juridice pentru </w:t>
            </w:r>
            <w:r w:rsidR="004A7346">
              <w:rPr>
                <w:rFonts w:ascii="Times New Roman" w:hAnsi="Times New Roman"/>
                <w:sz w:val="24"/>
                <w:szCs w:val="24"/>
              </w:rPr>
              <w:t>a asigura succesul intervenției.</w:t>
            </w:r>
          </w:p>
          <w:p w14:paraId="46EB3A18" w14:textId="6138B150" w:rsidR="003C442D" w:rsidRPr="00A249FD" w:rsidRDefault="003C442D" w:rsidP="006B0BFC">
            <w:pPr>
              <w:shd w:val="clear" w:color="auto" w:fill="FFFFFF" w:themeFill="background1"/>
              <w:rPr>
                <w:rFonts w:ascii="Times New Roman" w:hAnsi="Times New Roman"/>
                <w:sz w:val="24"/>
                <w:szCs w:val="24"/>
                <w:lang w:val="ro-RO"/>
              </w:rPr>
            </w:pPr>
          </w:p>
        </w:tc>
      </w:tr>
    </w:tbl>
    <w:p w14:paraId="2E232894" w14:textId="77777777" w:rsidR="00A72627" w:rsidRDefault="00A72627"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b/>
          <w:sz w:val="24"/>
          <w:szCs w:val="24"/>
          <w:lang w:val="ro-RO"/>
        </w:rPr>
      </w:pPr>
    </w:p>
    <w:p w14:paraId="762A09FA" w14:textId="77777777" w:rsidR="007D7986" w:rsidRPr="00A249FD" w:rsidRDefault="007D7986"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b/>
          <w:sz w:val="24"/>
          <w:szCs w:val="24"/>
          <w:lang w:val="ro-RO"/>
        </w:rPr>
      </w:pPr>
    </w:p>
    <w:p w14:paraId="0AFACA58" w14:textId="3050F516" w:rsidR="003C442D" w:rsidRDefault="003C442D"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sz w:val="24"/>
          <w:szCs w:val="24"/>
          <w:lang w:val="ro-RO"/>
        </w:rPr>
      </w:pPr>
    </w:p>
    <w:p w14:paraId="0FDD468F" w14:textId="77777777" w:rsidR="00005CD1" w:rsidRDefault="00005CD1"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sz w:val="24"/>
          <w:szCs w:val="24"/>
          <w:lang w:val="ro-RO"/>
        </w:rPr>
      </w:pPr>
    </w:p>
    <w:p w14:paraId="3468B8A6" w14:textId="77777777" w:rsidR="006A5749" w:rsidRDefault="006A5749"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sz w:val="24"/>
          <w:szCs w:val="24"/>
          <w:lang w:val="ro-RO"/>
        </w:rPr>
      </w:pPr>
    </w:p>
    <w:p w14:paraId="1EE5C7F2" w14:textId="77777777" w:rsidR="006A5749" w:rsidRDefault="006A5749" w:rsidP="006B0BFC">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ind w:firstLine="0"/>
        <w:rPr>
          <w:sz w:val="24"/>
          <w:szCs w:val="24"/>
          <w:lang w:val="ro-RO"/>
        </w:rPr>
      </w:pPr>
    </w:p>
    <w:p w14:paraId="22FA4470" w14:textId="0D84A2DD" w:rsidR="006A5749" w:rsidRPr="00005CD1" w:rsidRDefault="006A5749" w:rsidP="006B0BFC">
      <w:pPr>
        <w:shd w:val="clear" w:color="auto" w:fill="FFFFFF" w:themeFill="background1"/>
        <w:tabs>
          <w:tab w:val="left" w:pos="884"/>
          <w:tab w:val="left" w:pos="1196"/>
        </w:tabs>
        <w:ind w:firstLine="0"/>
        <w:contextualSpacing/>
        <w:rPr>
          <w:b/>
          <w:bCs/>
          <w:sz w:val="28"/>
          <w:szCs w:val="28"/>
          <w:lang w:val="ro-MD"/>
        </w:rPr>
      </w:pPr>
      <w:r w:rsidRPr="00005CD1">
        <w:rPr>
          <w:b/>
          <w:sz w:val="28"/>
          <w:szCs w:val="28"/>
          <w:lang w:val="ro-MD"/>
        </w:rPr>
        <w:t>Secretar de Stat</w:t>
      </w:r>
      <w:r w:rsidRPr="00005CD1">
        <w:rPr>
          <w:b/>
          <w:bCs/>
          <w:sz w:val="28"/>
          <w:szCs w:val="28"/>
          <w:lang w:val="ro-MD"/>
        </w:rPr>
        <w:tab/>
      </w:r>
      <w:r w:rsidRPr="00005CD1">
        <w:rPr>
          <w:b/>
          <w:bCs/>
          <w:sz w:val="28"/>
          <w:szCs w:val="28"/>
          <w:lang w:val="ro-MD"/>
        </w:rPr>
        <w:tab/>
      </w:r>
      <w:r w:rsidRPr="00005CD1">
        <w:rPr>
          <w:b/>
          <w:bCs/>
          <w:sz w:val="28"/>
          <w:szCs w:val="28"/>
          <w:lang w:val="ro-MD"/>
        </w:rPr>
        <w:tab/>
      </w:r>
      <w:r w:rsidRPr="00005CD1">
        <w:rPr>
          <w:b/>
          <w:bCs/>
          <w:sz w:val="28"/>
          <w:szCs w:val="28"/>
          <w:lang w:val="ro-MD"/>
        </w:rPr>
        <w:tab/>
      </w:r>
      <w:r w:rsidRPr="00005CD1">
        <w:rPr>
          <w:b/>
          <w:bCs/>
          <w:sz w:val="28"/>
          <w:szCs w:val="28"/>
          <w:lang w:val="ro-MD"/>
        </w:rPr>
        <w:tab/>
      </w:r>
      <w:r w:rsidRPr="00005CD1">
        <w:rPr>
          <w:b/>
          <w:bCs/>
          <w:sz w:val="28"/>
          <w:szCs w:val="28"/>
          <w:lang w:val="ro-MD"/>
        </w:rPr>
        <w:tab/>
      </w:r>
      <w:r w:rsidRPr="00005CD1">
        <w:rPr>
          <w:b/>
          <w:bCs/>
          <w:sz w:val="28"/>
          <w:szCs w:val="28"/>
          <w:lang w:val="ro-MD"/>
        </w:rPr>
        <w:tab/>
      </w:r>
      <w:r w:rsidRPr="00005CD1">
        <w:rPr>
          <w:b/>
          <w:bCs/>
          <w:sz w:val="28"/>
          <w:szCs w:val="28"/>
          <w:lang w:val="ro-MD"/>
        </w:rPr>
        <w:tab/>
      </w:r>
      <w:r w:rsidRPr="00005CD1">
        <w:rPr>
          <w:b/>
          <w:sz w:val="28"/>
          <w:szCs w:val="28"/>
          <w:lang w:val="ro-MD" w:eastAsia="ro-RO"/>
        </w:rPr>
        <w:t>Vasile ȘARBAN</w:t>
      </w:r>
      <w:r w:rsidRPr="00005CD1">
        <w:rPr>
          <w:b/>
          <w:bCs/>
          <w:sz w:val="28"/>
          <w:szCs w:val="28"/>
          <w:lang w:val="ro-MD"/>
        </w:rPr>
        <w:t xml:space="preserve"> </w:t>
      </w:r>
    </w:p>
    <w:p w14:paraId="76204165" w14:textId="77777777" w:rsidR="006A5749" w:rsidRPr="00BB0C80" w:rsidRDefault="006A5749" w:rsidP="006B0BFC">
      <w:pPr>
        <w:shd w:val="clear" w:color="auto" w:fill="FFFFFF" w:themeFill="background1"/>
        <w:tabs>
          <w:tab w:val="left" w:pos="884"/>
          <w:tab w:val="left" w:pos="1196"/>
        </w:tabs>
        <w:contextualSpacing/>
        <w:jc w:val="center"/>
        <w:rPr>
          <w:b/>
          <w:bCs/>
          <w:color w:val="FFFFFF" w:themeColor="background1"/>
          <w:szCs w:val="28"/>
          <w:lang w:val="ro-MD"/>
        </w:rPr>
      </w:pPr>
    </w:p>
    <w:p w14:paraId="4E79AF2F" w14:textId="77777777" w:rsidR="006A5749" w:rsidRPr="006A5749" w:rsidRDefault="006A5749" w:rsidP="006B0BFC">
      <w:pPr>
        <w:shd w:val="clear" w:color="auto" w:fill="FFFFFF" w:themeFill="background1"/>
        <w:spacing w:line="480" w:lineRule="auto"/>
        <w:ind w:left="284"/>
        <w:contextualSpacing/>
        <w:outlineLvl w:val="0"/>
        <w:rPr>
          <w:color w:val="FFFFFF" w:themeColor="background1"/>
          <w:szCs w:val="28"/>
          <w:lang w:val="ro-MD" w:eastAsia="ro-RO"/>
        </w:rPr>
      </w:pPr>
      <w:r w:rsidRPr="006A5749">
        <w:rPr>
          <w:color w:val="FFFFFF" w:themeColor="background1"/>
          <w:szCs w:val="28"/>
          <w:lang w:val="ro-MD" w:eastAsia="ro-RO"/>
        </w:rPr>
        <w:t>Coordonat:</w:t>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p>
    <w:p w14:paraId="45CDA518" w14:textId="77777777" w:rsidR="007D7986" w:rsidRDefault="006A5749" w:rsidP="006B0BFC">
      <w:pPr>
        <w:shd w:val="clear" w:color="auto" w:fill="FFFFFF" w:themeFill="background1"/>
        <w:spacing w:line="480" w:lineRule="auto"/>
        <w:ind w:left="284"/>
        <w:contextualSpacing/>
        <w:outlineLvl w:val="0"/>
        <w:rPr>
          <w:color w:val="FFFFFF" w:themeColor="background1"/>
          <w:szCs w:val="28"/>
          <w:lang w:val="ro-MD" w:eastAsia="ro-RO"/>
        </w:rPr>
      </w:pPr>
      <w:r w:rsidRPr="006A5749">
        <w:rPr>
          <w:color w:val="FFFFFF" w:themeColor="background1"/>
          <w:szCs w:val="28"/>
          <w:lang w:val="ro-MD" w:eastAsia="ro-RO"/>
        </w:rPr>
        <w:tab/>
      </w:r>
      <w:bookmarkStart w:id="3" w:name="_GoBack"/>
      <w:bookmarkEnd w:id="3"/>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r w:rsidRPr="006A5749">
        <w:rPr>
          <w:color w:val="FFFFFF" w:themeColor="background1"/>
          <w:szCs w:val="28"/>
          <w:lang w:val="ro-MD" w:eastAsia="ro-RO"/>
        </w:rPr>
        <w:tab/>
      </w:r>
      <w:proofErr w:type="spellStart"/>
      <w:r w:rsidRPr="006A5749">
        <w:rPr>
          <w:color w:val="FFFFFF" w:themeColor="background1"/>
          <w:szCs w:val="28"/>
          <w:lang w:val="ro-MD" w:eastAsia="ro-RO"/>
        </w:rPr>
        <w:t>Vasilii</w:t>
      </w:r>
      <w:proofErr w:type="spellEnd"/>
      <w:r w:rsidRPr="006A5749">
        <w:rPr>
          <w:color w:val="FFFFFF" w:themeColor="background1"/>
          <w:szCs w:val="28"/>
          <w:lang w:val="ro-MD" w:eastAsia="ro-RO"/>
        </w:rPr>
        <w:t xml:space="preserve"> D</w:t>
      </w:r>
    </w:p>
    <w:p w14:paraId="1E7FE8EA" w14:textId="77777777" w:rsidR="007D7986" w:rsidRDefault="007D7986" w:rsidP="006B0BFC">
      <w:pPr>
        <w:shd w:val="clear" w:color="auto" w:fill="FFFFFF" w:themeFill="background1"/>
        <w:spacing w:line="480" w:lineRule="auto"/>
        <w:ind w:left="284"/>
        <w:contextualSpacing/>
        <w:outlineLvl w:val="0"/>
        <w:rPr>
          <w:color w:val="FFFFFF" w:themeColor="background1"/>
          <w:szCs w:val="28"/>
          <w:lang w:val="ro-MD" w:eastAsia="ro-RO"/>
        </w:rPr>
      </w:pPr>
    </w:p>
    <w:p w14:paraId="2C172390" w14:textId="77777777" w:rsidR="007D7986" w:rsidRDefault="007D7986" w:rsidP="006B0BFC">
      <w:pPr>
        <w:shd w:val="clear" w:color="auto" w:fill="FFFFFF" w:themeFill="background1"/>
        <w:spacing w:line="480" w:lineRule="auto"/>
        <w:ind w:left="284"/>
        <w:contextualSpacing/>
        <w:outlineLvl w:val="0"/>
        <w:rPr>
          <w:color w:val="FFFFFF" w:themeColor="background1"/>
          <w:szCs w:val="28"/>
          <w:lang w:val="ro-MD" w:eastAsia="ro-RO"/>
        </w:rPr>
      </w:pPr>
    </w:p>
    <w:p w14:paraId="0EBC1AE4" w14:textId="77777777" w:rsidR="007D7986" w:rsidRDefault="007D7986" w:rsidP="006B0BFC">
      <w:pPr>
        <w:shd w:val="clear" w:color="auto" w:fill="FFFFFF" w:themeFill="background1"/>
        <w:spacing w:line="480" w:lineRule="auto"/>
        <w:ind w:left="284"/>
        <w:contextualSpacing/>
        <w:outlineLvl w:val="0"/>
        <w:rPr>
          <w:color w:val="FFFFFF" w:themeColor="background1"/>
          <w:szCs w:val="28"/>
          <w:lang w:val="ro-MD" w:eastAsia="ro-RO"/>
        </w:rPr>
      </w:pPr>
    </w:p>
    <w:p w14:paraId="61604C8E" w14:textId="77777777" w:rsidR="007D7986" w:rsidRDefault="007D7986" w:rsidP="006B0BFC">
      <w:pPr>
        <w:shd w:val="clear" w:color="auto" w:fill="FFFFFF" w:themeFill="background1"/>
        <w:spacing w:line="480" w:lineRule="auto"/>
        <w:ind w:left="284"/>
        <w:contextualSpacing/>
        <w:outlineLvl w:val="0"/>
        <w:rPr>
          <w:color w:val="FFFFFF" w:themeColor="background1"/>
          <w:szCs w:val="28"/>
          <w:lang w:val="ro-MD" w:eastAsia="ro-RO"/>
        </w:rPr>
      </w:pPr>
    </w:p>
    <w:p w14:paraId="4665D879" w14:textId="77777777" w:rsidR="007D7986" w:rsidRDefault="007D7986" w:rsidP="006B0BFC">
      <w:pPr>
        <w:shd w:val="clear" w:color="auto" w:fill="FFFFFF" w:themeFill="background1"/>
        <w:spacing w:line="480" w:lineRule="auto"/>
        <w:ind w:left="284"/>
        <w:contextualSpacing/>
        <w:outlineLvl w:val="0"/>
        <w:rPr>
          <w:color w:val="FFFFFF" w:themeColor="background1"/>
          <w:szCs w:val="28"/>
          <w:lang w:val="ro-MD" w:eastAsia="ro-RO"/>
        </w:rPr>
      </w:pPr>
    </w:p>
    <w:p w14:paraId="4C2E8195" w14:textId="77777777" w:rsidR="007D7986" w:rsidRDefault="007D7986" w:rsidP="006B0BFC">
      <w:pPr>
        <w:shd w:val="clear" w:color="auto" w:fill="FFFFFF" w:themeFill="background1"/>
        <w:spacing w:line="480" w:lineRule="auto"/>
        <w:ind w:left="284"/>
        <w:contextualSpacing/>
        <w:outlineLvl w:val="0"/>
        <w:rPr>
          <w:color w:val="FFFFFF" w:themeColor="background1"/>
          <w:szCs w:val="28"/>
          <w:lang w:val="ro-MD" w:eastAsia="ro-RO"/>
        </w:rPr>
      </w:pPr>
    </w:p>
    <w:p w14:paraId="5E57FB66" w14:textId="7D436B7F" w:rsidR="006A5749" w:rsidRDefault="006A5749" w:rsidP="006B0BFC">
      <w:pPr>
        <w:shd w:val="clear" w:color="auto" w:fill="FFFFFF" w:themeFill="background1"/>
        <w:spacing w:line="480" w:lineRule="auto"/>
        <w:ind w:left="284"/>
        <w:contextualSpacing/>
        <w:outlineLvl w:val="0"/>
        <w:rPr>
          <w:color w:val="FFFFFF" w:themeColor="background1"/>
          <w:szCs w:val="28"/>
          <w:lang w:val="ro-MD" w:eastAsia="ro-RO"/>
        </w:rPr>
      </w:pPr>
      <w:r w:rsidRPr="006A5749">
        <w:rPr>
          <w:color w:val="FFFFFF" w:themeColor="background1"/>
          <w:szCs w:val="28"/>
          <w:lang w:val="ro-MD" w:eastAsia="ro-RO"/>
        </w:rPr>
        <w:t>OGOTARI</w:t>
      </w:r>
    </w:p>
    <w:p w14:paraId="0349D170" w14:textId="77777777" w:rsidR="006A5749" w:rsidRPr="006A5749" w:rsidRDefault="006A5749" w:rsidP="006B0BFC">
      <w:pPr>
        <w:shd w:val="clear" w:color="auto" w:fill="FFFFFF" w:themeFill="background1"/>
        <w:spacing w:line="276" w:lineRule="auto"/>
        <w:ind w:firstLine="0"/>
        <w:contextualSpacing/>
        <w:jc w:val="left"/>
        <w:outlineLvl w:val="0"/>
        <w:rPr>
          <w:i/>
          <w:sz w:val="14"/>
          <w:lang w:val="ro-MD" w:eastAsia="ro-RO"/>
        </w:rPr>
      </w:pPr>
      <w:r w:rsidRPr="006A5749">
        <w:rPr>
          <w:i/>
          <w:sz w:val="14"/>
          <w:lang w:val="ro-MD" w:eastAsia="ro-RO"/>
        </w:rPr>
        <w:t>Ex: RUSU Ghenadie,</w:t>
      </w:r>
    </w:p>
    <w:p w14:paraId="0F2583E6" w14:textId="5A9B291A" w:rsidR="006A5749" w:rsidRPr="006A5749" w:rsidRDefault="006A5749" w:rsidP="006B0BFC">
      <w:pPr>
        <w:shd w:val="clear" w:color="auto" w:fill="FFFFFF" w:themeFill="background1"/>
        <w:spacing w:line="276" w:lineRule="auto"/>
        <w:ind w:firstLine="0"/>
        <w:contextualSpacing/>
        <w:jc w:val="left"/>
        <w:rPr>
          <w:color w:val="FFFFFF" w:themeColor="background1"/>
          <w:szCs w:val="28"/>
          <w:lang w:val="ro-MD" w:eastAsia="ro-RO"/>
        </w:rPr>
      </w:pPr>
      <w:r w:rsidRPr="006A5749">
        <w:rPr>
          <w:i/>
          <w:sz w:val="14"/>
          <w:lang w:val="ro-MD" w:eastAsia="ro-RO"/>
        </w:rPr>
        <w:t>Tel: 022 204 523</w:t>
      </w:r>
    </w:p>
    <w:sectPr w:rsidR="006A5749" w:rsidRPr="006A5749" w:rsidSect="002F477A">
      <w:headerReference w:type="default" r:id="rId16"/>
      <w:headerReference w:type="first" r:id="rId17"/>
      <w:pgSz w:w="11907" w:h="16840"/>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8BBE5" w14:textId="77777777" w:rsidR="00CF00A5" w:rsidRDefault="00CF00A5">
      <w:r>
        <w:separator/>
      </w:r>
    </w:p>
  </w:endnote>
  <w:endnote w:type="continuationSeparator" w:id="0">
    <w:p w14:paraId="5F5D07D6" w14:textId="77777777" w:rsidR="00CF00A5" w:rsidRDefault="00CF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6175" w14:textId="77777777" w:rsidR="00CF00A5" w:rsidRDefault="00CF00A5">
      <w:r>
        <w:separator/>
      </w:r>
    </w:p>
  </w:footnote>
  <w:footnote w:type="continuationSeparator" w:id="0">
    <w:p w14:paraId="68FDF7AE" w14:textId="77777777" w:rsidR="00CF00A5" w:rsidRDefault="00CF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A642" w14:textId="77777777" w:rsidR="00830D82" w:rsidRDefault="00830D82">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141D" w14:textId="77777777" w:rsidR="00830D82" w:rsidRDefault="00830D82">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448CE"/>
    <w:multiLevelType w:val="hybridMultilevel"/>
    <w:tmpl w:val="2E72579E"/>
    <w:lvl w:ilvl="0" w:tplc="362EE74E">
      <w:start w:val="29"/>
      <w:numFmt w:val="bullet"/>
      <w:lvlText w:val=""/>
      <w:lvlJc w:val="left"/>
      <w:pPr>
        <w:ind w:left="1069" w:hanging="360"/>
      </w:pPr>
      <w:rPr>
        <w:rFonts w:ascii="Symbol" w:eastAsia="Calibri"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2D"/>
    <w:rsid w:val="00000450"/>
    <w:rsid w:val="000023CF"/>
    <w:rsid w:val="00005CD1"/>
    <w:rsid w:val="00016556"/>
    <w:rsid w:val="00045F4A"/>
    <w:rsid w:val="00055FCB"/>
    <w:rsid w:val="000B4B14"/>
    <w:rsid w:val="000C7B01"/>
    <w:rsid w:val="000E3FCF"/>
    <w:rsid w:val="00100DCC"/>
    <w:rsid w:val="0012143A"/>
    <w:rsid w:val="00121FCC"/>
    <w:rsid w:val="001305C1"/>
    <w:rsid w:val="00136A10"/>
    <w:rsid w:val="00144FB3"/>
    <w:rsid w:val="00147FB1"/>
    <w:rsid w:val="001839AB"/>
    <w:rsid w:val="001E7A61"/>
    <w:rsid w:val="001F0350"/>
    <w:rsid w:val="00203674"/>
    <w:rsid w:val="00205C69"/>
    <w:rsid w:val="00210B59"/>
    <w:rsid w:val="002126BF"/>
    <w:rsid w:val="00214DDB"/>
    <w:rsid w:val="00220FF4"/>
    <w:rsid w:val="0022390A"/>
    <w:rsid w:val="00224A3C"/>
    <w:rsid w:val="0024743B"/>
    <w:rsid w:val="00254999"/>
    <w:rsid w:val="00273A1A"/>
    <w:rsid w:val="00273AEE"/>
    <w:rsid w:val="002761EE"/>
    <w:rsid w:val="002868C1"/>
    <w:rsid w:val="00287ED4"/>
    <w:rsid w:val="002B0271"/>
    <w:rsid w:val="002D2F83"/>
    <w:rsid w:val="002F477A"/>
    <w:rsid w:val="00311E45"/>
    <w:rsid w:val="003229BC"/>
    <w:rsid w:val="0032364E"/>
    <w:rsid w:val="0032598F"/>
    <w:rsid w:val="00325F6D"/>
    <w:rsid w:val="00346E38"/>
    <w:rsid w:val="00353EDF"/>
    <w:rsid w:val="00370B62"/>
    <w:rsid w:val="00381C69"/>
    <w:rsid w:val="003B5FA8"/>
    <w:rsid w:val="003C234E"/>
    <w:rsid w:val="003C442D"/>
    <w:rsid w:val="003E2D3A"/>
    <w:rsid w:val="003F5E96"/>
    <w:rsid w:val="003F7DB4"/>
    <w:rsid w:val="00404B62"/>
    <w:rsid w:val="004921A0"/>
    <w:rsid w:val="00492679"/>
    <w:rsid w:val="004A7346"/>
    <w:rsid w:val="004D1412"/>
    <w:rsid w:val="004E2A69"/>
    <w:rsid w:val="004E2AD5"/>
    <w:rsid w:val="004F00B1"/>
    <w:rsid w:val="00511074"/>
    <w:rsid w:val="005112F5"/>
    <w:rsid w:val="00512646"/>
    <w:rsid w:val="00513F7E"/>
    <w:rsid w:val="005279D2"/>
    <w:rsid w:val="00542E63"/>
    <w:rsid w:val="00566A6A"/>
    <w:rsid w:val="0057267D"/>
    <w:rsid w:val="00580F40"/>
    <w:rsid w:val="005B01CB"/>
    <w:rsid w:val="005C04C7"/>
    <w:rsid w:val="005E2134"/>
    <w:rsid w:val="005E2D91"/>
    <w:rsid w:val="0060431A"/>
    <w:rsid w:val="00610514"/>
    <w:rsid w:val="006179A9"/>
    <w:rsid w:val="00617B4E"/>
    <w:rsid w:val="00621366"/>
    <w:rsid w:val="00633767"/>
    <w:rsid w:val="00633F2B"/>
    <w:rsid w:val="00636406"/>
    <w:rsid w:val="00667E58"/>
    <w:rsid w:val="00673EE8"/>
    <w:rsid w:val="00674CE5"/>
    <w:rsid w:val="006836DD"/>
    <w:rsid w:val="00695A52"/>
    <w:rsid w:val="006A5749"/>
    <w:rsid w:val="006B0BFC"/>
    <w:rsid w:val="006B4CFD"/>
    <w:rsid w:val="006C0FCB"/>
    <w:rsid w:val="006C61A2"/>
    <w:rsid w:val="006D7DB4"/>
    <w:rsid w:val="006E30C1"/>
    <w:rsid w:val="006E4B09"/>
    <w:rsid w:val="006E55E2"/>
    <w:rsid w:val="00733DB2"/>
    <w:rsid w:val="007353A2"/>
    <w:rsid w:val="00761AAC"/>
    <w:rsid w:val="00763860"/>
    <w:rsid w:val="00795FD0"/>
    <w:rsid w:val="007B2976"/>
    <w:rsid w:val="007B4A51"/>
    <w:rsid w:val="007D7986"/>
    <w:rsid w:val="007E5A6A"/>
    <w:rsid w:val="00814241"/>
    <w:rsid w:val="008205BA"/>
    <w:rsid w:val="00830D82"/>
    <w:rsid w:val="00836E4B"/>
    <w:rsid w:val="00840F36"/>
    <w:rsid w:val="00845012"/>
    <w:rsid w:val="00854709"/>
    <w:rsid w:val="008660E6"/>
    <w:rsid w:val="00872AF7"/>
    <w:rsid w:val="00873B97"/>
    <w:rsid w:val="00897A64"/>
    <w:rsid w:val="008A06A5"/>
    <w:rsid w:val="008B36DB"/>
    <w:rsid w:val="008B5A21"/>
    <w:rsid w:val="008C6D9E"/>
    <w:rsid w:val="008E4B92"/>
    <w:rsid w:val="00917F3A"/>
    <w:rsid w:val="00944BD0"/>
    <w:rsid w:val="00947357"/>
    <w:rsid w:val="00962D5F"/>
    <w:rsid w:val="00991F2C"/>
    <w:rsid w:val="00996565"/>
    <w:rsid w:val="009B02B7"/>
    <w:rsid w:val="009C323A"/>
    <w:rsid w:val="009C5F35"/>
    <w:rsid w:val="009C6453"/>
    <w:rsid w:val="009C7F4B"/>
    <w:rsid w:val="00A10812"/>
    <w:rsid w:val="00A14A91"/>
    <w:rsid w:val="00A249FD"/>
    <w:rsid w:val="00A4143B"/>
    <w:rsid w:val="00A7187F"/>
    <w:rsid w:val="00A72627"/>
    <w:rsid w:val="00A87F52"/>
    <w:rsid w:val="00AA5835"/>
    <w:rsid w:val="00AB20C7"/>
    <w:rsid w:val="00AF24BB"/>
    <w:rsid w:val="00B02BD2"/>
    <w:rsid w:val="00B14114"/>
    <w:rsid w:val="00B35993"/>
    <w:rsid w:val="00B664D3"/>
    <w:rsid w:val="00B70B2B"/>
    <w:rsid w:val="00B81692"/>
    <w:rsid w:val="00B96238"/>
    <w:rsid w:val="00B9770A"/>
    <w:rsid w:val="00BA264D"/>
    <w:rsid w:val="00BB4E0E"/>
    <w:rsid w:val="00BD05EE"/>
    <w:rsid w:val="00BF193E"/>
    <w:rsid w:val="00C21F09"/>
    <w:rsid w:val="00C42418"/>
    <w:rsid w:val="00C57E2F"/>
    <w:rsid w:val="00C6582D"/>
    <w:rsid w:val="00C67CC4"/>
    <w:rsid w:val="00C73C52"/>
    <w:rsid w:val="00C875EB"/>
    <w:rsid w:val="00CB3487"/>
    <w:rsid w:val="00CD1A49"/>
    <w:rsid w:val="00CD31FC"/>
    <w:rsid w:val="00CD418B"/>
    <w:rsid w:val="00CE05E6"/>
    <w:rsid w:val="00CE6330"/>
    <w:rsid w:val="00CF00A5"/>
    <w:rsid w:val="00CF203C"/>
    <w:rsid w:val="00D20733"/>
    <w:rsid w:val="00D24E14"/>
    <w:rsid w:val="00D343EC"/>
    <w:rsid w:val="00D46A9F"/>
    <w:rsid w:val="00D5540E"/>
    <w:rsid w:val="00D73D32"/>
    <w:rsid w:val="00D73FAA"/>
    <w:rsid w:val="00D74D54"/>
    <w:rsid w:val="00DB417E"/>
    <w:rsid w:val="00DB7735"/>
    <w:rsid w:val="00DC1883"/>
    <w:rsid w:val="00DC6588"/>
    <w:rsid w:val="00DD0FAD"/>
    <w:rsid w:val="00E111C2"/>
    <w:rsid w:val="00E14330"/>
    <w:rsid w:val="00E40AB7"/>
    <w:rsid w:val="00E53263"/>
    <w:rsid w:val="00E627B4"/>
    <w:rsid w:val="00E66FF1"/>
    <w:rsid w:val="00E83754"/>
    <w:rsid w:val="00E853B9"/>
    <w:rsid w:val="00EC794B"/>
    <w:rsid w:val="00ED7E81"/>
    <w:rsid w:val="00EF27F9"/>
    <w:rsid w:val="00F00D22"/>
    <w:rsid w:val="00F32A4C"/>
    <w:rsid w:val="00F44758"/>
    <w:rsid w:val="00F5172E"/>
    <w:rsid w:val="00F60CDE"/>
    <w:rsid w:val="00F7410D"/>
    <w:rsid w:val="00F822CC"/>
    <w:rsid w:val="00F93609"/>
    <w:rsid w:val="00FB00EF"/>
    <w:rsid w:val="00FC7422"/>
    <w:rsid w:val="00FD5FF2"/>
    <w:rsid w:val="00FE3148"/>
    <w:rsid w:val="00FE5B56"/>
    <w:rsid w:val="00FE7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A704"/>
  <w15:docId w15:val="{5EEC718B-0670-4AA3-8EC2-A4DA052F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aliases w:val="Footnotes,Note de bas de page2,fn,Footnote,Footnote Text Char3,Footnote Text Char2 Char1,Footnote Text Char Char1 Char,Footnote Text Char2 Char Char Char,Footnote Text Char1 Char1 Char Char Char"/>
    <w:basedOn w:val="Normal"/>
    <w:link w:val="TextnotdesubsolCaracter"/>
    <w:unhideWhenUsed/>
    <w:qFormat/>
    <w:pPr>
      <w:spacing w:after="40"/>
    </w:pPr>
    <w:rPr>
      <w:sz w:val="18"/>
    </w:rPr>
  </w:style>
  <w:style w:type="character" w:customStyle="1" w:styleId="TextnotdesubsolCaracter">
    <w:name w:val="Text notă de subsol Caracter"/>
    <w:aliases w:val="Footnotes Caracter,Note de bas de page2 Caracter,fn Caracter,Footnote Caracter,Footnote Text Char3 Caracter,Footnote Text Char2 Char1 Caracter,Footnote Text Char Char1 Char Caracter"/>
    <w:link w:val="Textnotdesubsol"/>
    <w:uiPriority w:val="99"/>
    <w:qFormat/>
    <w:rPr>
      <w:sz w:val="18"/>
    </w:rPr>
  </w:style>
  <w:style w:type="character" w:styleId="Referinnotdesubsol">
    <w:name w:val="footnote reference"/>
    <w:aliases w:val="Footnote Reference Superscript,Footnote symbol,Times 10 Point,Exposant 3 Point,Appel note de bas de p,PBO Footnote Reference,FR + (Complex) Arial,(Latin) 9 pt,(Complex) 10 pt + (Compl...,Footnote reference number,R"/>
    <w:basedOn w:val="Fontdeparagrafimplicit"/>
    <w:unhideWhenUsed/>
    <w:qFormat/>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pPr>
      <w:ind w:firstLine="0"/>
      <w:jc w:val="left"/>
    </w:pPr>
    <w:rPr>
      <w:lang w:val="ro-RO" w:eastAsia="ru-RU"/>
    </w:rPr>
  </w:style>
  <w:style w:type="character" w:customStyle="1" w:styleId="TextcomentariuCaracter">
    <w:name w:val="Text comentariu Caracter"/>
    <w:basedOn w:val="Fontdeparagrafimplicit"/>
    <w:link w:val="Textcomentariu"/>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UnresolvedMention">
    <w:name w:val="Unresolved Mention"/>
    <w:basedOn w:val="Fontdeparagrafimplicit"/>
    <w:uiPriority w:val="99"/>
    <w:semiHidden/>
    <w:unhideWhenUsed/>
    <w:rPr>
      <w:color w:val="605E5C"/>
      <w:shd w:val="clear" w:color="auto" w:fill="E1DFDD"/>
    </w:rPr>
  </w:style>
  <w:style w:type="character" w:customStyle="1" w:styleId="text-token-text-secondary">
    <w:name w:val="text-token-text-secondary"/>
    <w:basedOn w:val="Fontdeparagrafimplicit"/>
    <w:rsid w:val="00621366"/>
  </w:style>
  <w:style w:type="paragraph" w:customStyle="1" w:styleId="P68B1DB1-Normal12">
    <w:name w:val="P68B1DB1-Normal12"/>
    <w:basedOn w:val="Normal"/>
    <w:rsid w:val="002761EE"/>
    <w:pPr>
      <w:spacing w:before="120" w:after="120"/>
      <w:ind w:firstLine="0"/>
    </w:pPr>
    <w:rPr>
      <w:i/>
      <w:sz w:val="24"/>
      <w:lang w:val="ro" w:eastAsia="ro-RO"/>
    </w:rPr>
  </w:style>
  <w:style w:type="paragraph" w:customStyle="1" w:styleId="P68B1DB1-Normal58">
    <w:name w:val="P68B1DB1-Normal58"/>
    <w:basedOn w:val="Normal"/>
    <w:rsid w:val="002761EE"/>
    <w:pPr>
      <w:spacing w:before="120" w:after="120"/>
      <w:ind w:firstLine="0"/>
    </w:pPr>
    <w:rPr>
      <w:b/>
      <w:i/>
      <w:color w:val="000000"/>
      <w:sz w:val="24"/>
      <w:lang w:val="ro" w:eastAsia="ro-RO"/>
    </w:rPr>
  </w:style>
  <w:style w:type="paragraph" w:customStyle="1" w:styleId="P68B1DB1-Normal59">
    <w:name w:val="P68B1DB1-Normal59"/>
    <w:basedOn w:val="Normal"/>
    <w:rsid w:val="002761EE"/>
    <w:pPr>
      <w:spacing w:before="120" w:after="120"/>
      <w:ind w:firstLine="0"/>
    </w:pPr>
    <w:rPr>
      <w:i/>
      <w:color w:val="000000"/>
      <w:sz w:val="24"/>
      <w:lang w:val="ro" w:eastAsia="ro-RO"/>
    </w:rPr>
  </w:style>
  <w:style w:type="paragraph" w:customStyle="1" w:styleId="P68B1DB1-Normal30">
    <w:name w:val="P68B1DB1-Normal30"/>
    <w:basedOn w:val="Normal"/>
    <w:rsid w:val="006E30C1"/>
    <w:pPr>
      <w:spacing w:before="120" w:after="120"/>
      <w:ind w:firstLine="0"/>
    </w:pPr>
    <w:rPr>
      <w:b/>
      <w:sz w:val="18"/>
      <w:lang w:val="ro" w:eastAsia="ro-RO"/>
    </w:rPr>
  </w:style>
  <w:style w:type="paragraph" w:customStyle="1" w:styleId="P68B1DB1-Normal31">
    <w:name w:val="P68B1DB1-Normal31"/>
    <w:basedOn w:val="Normal"/>
    <w:rsid w:val="006E30C1"/>
    <w:pPr>
      <w:spacing w:before="120" w:after="120"/>
      <w:ind w:firstLine="0"/>
    </w:pPr>
    <w:rPr>
      <w:sz w:val="18"/>
      <w:lang w:val="ro" w:eastAsia="ro-RO"/>
    </w:rPr>
  </w:style>
  <w:style w:type="paragraph" w:customStyle="1" w:styleId="P68B1DB1-Normal48">
    <w:name w:val="P68B1DB1-Normal48"/>
    <w:basedOn w:val="Normal"/>
    <w:rsid w:val="006E30C1"/>
    <w:pPr>
      <w:spacing w:before="120" w:after="120"/>
      <w:ind w:firstLine="0"/>
    </w:pPr>
    <w:rPr>
      <w:b/>
      <w:sz w:val="24"/>
      <w:u w:val="single"/>
      <w:lang w:val="ro" w:eastAsia="ro-RO"/>
    </w:rPr>
  </w:style>
  <w:style w:type="paragraph" w:customStyle="1" w:styleId="P68B1DB1-Normal61">
    <w:name w:val="P68B1DB1-Normal61"/>
    <w:basedOn w:val="Normal"/>
    <w:rsid w:val="006E30C1"/>
    <w:pPr>
      <w:spacing w:before="120" w:after="120"/>
      <w:ind w:firstLine="0"/>
    </w:pPr>
    <w:rPr>
      <w:b/>
      <w:lang w:val="ro" w:eastAsia="ro-RO"/>
    </w:rPr>
  </w:style>
  <w:style w:type="paragraph" w:customStyle="1" w:styleId="P68B1DB1-Normal32">
    <w:name w:val="P68B1DB1-Normal32"/>
    <w:basedOn w:val="Normal"/>
    <w:rsid w:val="009B02B7"/>
    <w:pPr>
      <w:spacing w:before="120" w:after="120"/>
      <w:ind w:firstLine="0"/>
    </w:pPr>
    <w:rPr>
      <w:sz w:val="16"/>
      <w:lang w:val="ro" w:eastAsia="ro-RO"/>
    </w:rPr>
  </w:style>
  <w:style w:type="paragraph" w:customStyle="1" w:styleId="P68B1DB1-Normal68">
    <w:name w:val="P68B1DB1-Normal68"/>
    <w:basedOn w:val="Normal"/>
    <w:rsid w:val="009B02B7"/>
    <w:pPr>
      <w:spacing w:before="120" w:after="120"/>
      <w:ind w:firstLine="0"/>
    </w:pPr>
    <w:rPr>
      <w:b/>
      <w:sz w:val="16"/>
      <w:lang w:val="ro" w:eastAsia="ro-RO"/>
    </w:rPr>
  </w:style>
  <w:style w:type="character" w:styleId="HyperlinkParcurs">
    <w:name w:val="FollowedHyperlink"/>
    <w:basedOn w:val="Fontdeparagrafimplicit"/>
    <w:uiPriority w:val="99"/>
    <w:semiHidden/>
    <w:unhideWhenUsed/>
    <w:rsid w:val="006B4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655">
      <w:bodyDiv w:val="1"/>
      <w:marLeft w:val="0"/>
      <w:marRight w:val="0"/>
      <w:marTop w:val="0"/>
      <w:marBottom w:val="0"/>
      <w:divBdr>
        <w:top w:val="none" w:sz="0" w:space="0" w:color="auto"/>
        <w:left w:val="none" w:sz="0" w:space="0" w:color="auto"/>
        <w:bottom w:val="none" w:sz="0" w:space="0" w:color="auto"/>
        <w:right w:val="none" w:sz="0" w:space="0" w:color="auto"/>
      </w:divBdr>
      <w:divsChild>
        <w:div w:id="1056592101">
          <w:marLeft w:val="0"/>
          <w:marRight w:val="0"/>
          <w:marTop w:val="0"/>
          <w:marBottom w:val="0"/>
          <w:divBdr>
            <w:top w:val="none" w:sz="0" w:space="0" w:color="auto"/>
            <w:left w:val="none" w:sz="0" w:space="0" w:color="auto"/>
            <w:bottom w:val="none" w:sz="0" w:space="0" w:color="auto"/>
            <w:right w:val="none" w:sz="0" w:space="0" w:color="auto"/>
          </w:divBdr>
        </w:div>
      </w:divsChild>
    </w:div>
    <w:div w:id="127286996">
      <w:bodyDiv w:val="1"/>
      <w:marLeft w:val="0"/>
      <w:marRight w:val="0"/>
      <w:marTop w:val="0"/>
      <w:marBottom w:val="0"/>
      <w:divBdr>
        <w:top w:val="none" w:sz="0" w:space="0" w:color="auto"/>
        <w:left w:val="none" w:sz="0" w:space="0" w:color="auto"/>
        <w:bottom w:val="none" w:sz="0" w:space="0" w:color="auto"/>
        <w:right w:val="none" w:sz="0" w:space="0" w:color="auto"/>
      </w:divBdr>
    </w:div>
    <w:div w:id="219949748">
      <w:bodyDiv w:val="1"/>
      <w:marLeft w:val="0"/>
      <w:marRight w:val="0"/>
      <w:marTop w:val="0"/>
      <w:marBottom w:val="0"/>
      <w:divBdr>
        <w:top w:val="none" w:sz="0" w:space="0" w:color="auto"/>
        <w:left w:val="none" w:sz="0" w:space="0" w:color="auto"/>
        <w:bottom w:val="none" w:sz="0" w:space="0" w:color="auto"/>
        <w:right w:val="none" w:sz="0" w:space="0" w:color="auto"/>
      </w:divBdr>
    </w:div>
    <w:div w:id="346717679">
      <w:bodyDiv w:val="1"/>
      <w:marLeft w:val="0"/>
      <w:marRight w:val="0"/>
      <w:marTop w:val="0"/>
      <w:marBottom w:val="0"/>
      <w:divBdr>
        <w:top w:val="none" w:sz="0" w:space="0" w:color="auto"/>
        <w:left w:val="none" w:sz="0" w:space="0" w:color="auto"/>
        <w:bottom w:val="none" w:sz="0" w:space="0" w:color="auto"/>
        <w:right w:val="none" w:sz="0" w:space="0" w:color="auto"/>
      </w:divBdr>
    </w:div>
    <w:div w:id="496729398">
      <w:bodyDiv w:val="1"/>
      <w:marLeft w:val="0"/>
      <w:marRight w:val="0"/>
      <w:marTop w:val="0"/>
      <w:marBottom w:val="0"/>
      <w:divBdr>
        <w:top w:val="none" w:sz="0" w:space="0" w:color="auto"/>
        <w:left w:val="none" w:sz="0" w:space="0" w:color="auto"/>
        <w:bottom w:val="none" w:sz="0" w:space="0" w:color="auto"/>
        <w:right w:val="none" w:sz="0" w:space="0" w:color="auto"/>
      </w:divBdr>
      <w:divsChild>
        <w:div w:id="1876700244">
          <w:marLeft w:val="0"/>
          <w:marRight w:val="0"/>
          <w:marTop w:val="0"/>
          <w:marBottom w:val="0"/>
          <w:divBdr>
            <w:top w:val="none" w:sz="0" w:space="0" w:color="auto"/>
            <w:left w:val="none" w:sz="0" w:space="0" w:color="auto"/>
            <w:bottom w:val="none" w:sz="0" w:space="0" w:color="auto"/>
            <w:right w:val="none" w:sz="0" w:space="0" w:color="auto"/>
          </w:divBdr>
        </w:div>
      </w:divsChild>
    </w:div>
    <w:div w:id="569387130">
      <w:bodyDiv w:val="1"/>
      <w:marLeft w:val="0"/>
      <w:marRight w:val="0"/>
      <w:marTop w:val="0"/>
      <w:marBottom w:val="0"/>
      <w:divBdr>
        <w:top w:val="none" w:sz="0" w:space="0" w:color="auto"/>
        <w:left w:val="none" w:sz="0" w:space="0" w:color="auto"/>
        <w:bottom w:val="none" w:sz="0" w:space="0" w:color="auto"/>
        <w:right w:val="none" w:sz="0" w:space="0" w:color="auto"/>
      </w:divBdr>
      <w:divsChild>
        <w:div w:id="1106458162">
          <w:marLeft w:val="0"/>
          <w:marRight w:val="0"/>
          <w:marTop w:val="0"/>
          <w:marBottom w:val="0"/>
          <w:divBdr>
            <w:top w:val="none" w:sz="0" w:space="0" w:color="auto"/>
            <w:left w:val="none" w:sz="0" w:space="0" w:color="auto"/>
            <w:bottom w:val="none" w:sz="0" w:space="0" w:color="auto"/>
            <w:right w:val="none" w:sz="0" w:space="0" w:color="auto"/>
          </w:divBdr>
        </w:div>
      </w:divsChild>
    </w:div>
    <w:div w:id="673847498">
      <w:bodyDiv w:val="1"/>
      <w:marLeft w:val="0"/>
      <w:marRight w:val="0"/>
      <w:marTop w:val="0"/>
      <w:marBottom w:val="0"/>
      <w:divBdr>
        <w:top w:val="none" w:sz="0" w:space="0" w:color="auto"/>
        <w:left w:val="none" w:sz="0" w:space="0" w:color="auto"/>
        <w:bottom w:val="none" w:sz="0" w:space="0" w:color="auto"/>
        <w:right w:val="none" w:sz="0" w:space="0" w:color="auto"/>
      </w:divBdr>
    </w:div>
    <w:div w:id="835728671">
      <w:bodyDiv w:val="1"/>
      <w:marLeft w:val="0"/>
      <w:marRight w:val="0"/>
      <w:marTop w:val="0"/>
      <w:marBottom w:val="0"/>
      <w:divBdr>
        <w:top w:val="none" w:sz="0" w:space="0" w:color="auto"/>
        <w:left w:val="none" w:sz="0" w:space="0" w:color="auto"/>
        <w:bottom w:val="none" w:sz="0" w:space="0" w:color="auto"/>
        <w:right w:val="none" w:sz="0" w:space="0" w:color="auto"/>
      </w:divBdr>
    </w:div>
    <w:div w:id="851912431">
      <w:bodyDiv w:val="1"/>
      <w:marLeft w:val="0"/>
      <w:marRight w:val="0"/>
      <w:marTop w:val="0"/>
      <w:marBottom w:val="0"/>
      <w:divBdr>
        <w:top w:val="none" w:sz="0" w:space="0" w:color="auto"/>
        <w:left w:val="none" w:sz="0" w:space="0" w:color="auto"/>
        <w:bottom w:val="none" w:sz="0" w:space="0" w:color="auto"/>
        <w:right w:val="none" w:sz="0" w:space="0" w:color="auto"/>
      </w:divBdr>
      <w:divsChild>
        <w:div w:id="1846020078">
          <w:marLeft w:val="0"/>
          <w:marRight w:val="0"/>
          <w:marTop w:val="0"/>
          <w:marBottom w:val="0"/>
          <w:divBdr>
            <w:top w:val="none" w:sz="0" w:space="0" w:color="auto"/>
            <w:left w:val="none" w:sz="0" w:space="0" w:color="auto"/>
            <w:bottom w:val="none" w:sz="0" w:space="0" w:color="auto"/>
            <w:right w:val="none" w:sz="0" w:space="0" w:color="auto"/>
          </w:divBdr>
          <w:divsChild>
            <w:div w:id="652413131">
              <w:marLeft w:val="0"/>
              <w:marRight w:val="0"/>
              <w:marTop w:val="0"/>
              <w:marBottom w:val="0"/>
              <w:divBdr>
                <w:top w:val="none" w:sz="0" w:space="0" w:color="auto"/>
                <w:left w:val="none" w:sz="0" w:space="0" w:color="auto"/>
                <w:bottom w:val="none" w:sz="0" w:space="0" w:color="auto"/>
                <w:right w:val="none" w:sz="0" w:space="0" w:color="auto"/>
              </w:divBdr>
              <w:divsChild>
                <w:div w:id="207032606">
                  <w:marLeft w:val="0"/>
                  <w:marRight w:val="0"/>
                  <w:marTop w:val="0"/>
                  <w:marBottom w:val="0"/>
                  <w:divBdr>
                    <w:top w:val="none" w:sz="0" w:space="0" w:color="auto"/>
                    <w:left w:val="none" w:sz="0" w:space="0" w:color="auto"/>
                    <w:bottom w:val="none" w:sz="0" w:space="0" w:color="auto"/>
                    <w:right w:val="none" w:sz="0" w:space="0" w:color="auto"/>
                  </w:divBdr>
                  <w:divsChild>
                    <w:div w:id="14381561">
                      <w:marLeft w:val="0"/>
                      <w:marRight w:val="0"/>
                      <w:marTop w:val="0"/>
                      <w:marBottom w:val="0"/>
                      <w:divBdr>
                        <w:top w:val="none" w:sz="0" w:space="0" w:color="auto"/>
                        <w:left w:val="none" w:sz="0" w:space="0" w:color="auto"/>
                        <w:bottom w:val="none" w:sz="0" w:space="0" w:color="auto"/>
                        <w:right w:val="none" w:sz="0" w:space="0" w:color="auto"/>
                      </w:divBdr>
                      <w:divsChild>
                        <w:div w:id="1325890929">
                          <w:marLeft w:val="0"/>
                          <w:marRight w:val="0"/>
                          <w:marTop w:val="0"/>
                          <w:marBottom w:val="0"/>
                          <w:divBdr>
                            <w:top w:val="none" w:sz="0" w:space="0" w:color="auto"/>
                            <w:left w:val="none" w:sz="0" w:space="0" w:color="auto"/>
                            <w:bottom w:val="none" w:sz="0" w:space="0" w:color="auto"/>
                            <w:right w:val="none" w:sz="0" w:space="0" w:color="auto"/>
                          </w:divBdr>
                          <w:divsChild>
                            <w:div w:id="5530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39337">
      <w:bodyDiv w:val="1"/>
      <w:marLeft w:val="0"/>
      <w:marRight w:val="0"/>
      <w:marTop w:val="0"/>
      <w:marBottom w:val="0"/>
      <w:divBdr>
        <w:top w:val="none" w:sz="0" w:space="0" w:color="auto"/>
        <w:left w:val="none" w:sz="0" w:space="0" w:color="auto"/>
        <w:bottom w:val="none" w:sz="0" w:space="0" w:color="auto"/>
        <w:right w:val="none" w:sz="0" w:space="0" w:color="auto"/>
      </w:divBdr>
      <w:divsChild>
        <w:div w:id="1945646789">
          <w:marLeft w:val="0"/>
          <w:marRight w:val="0"/>
          <w:marTop w:val="0"/>
          <w:marBottom w:val="0"/>
          <w:divBdr>
            <w:top w:val="none" w:sz="0" w:space="0" w:color="auto"/>
            <w:left w:val="none" w:sz="0" w:space="0" w:color="auto"/>
            <w:bottom w:val="none" w:sz="0" w:space="0" w:color="auto"/>
            <w:right w:val="none" w:sz="0" w:space="0" w:color="auto"/>
          </w:divBdr>
        </w:div>
      </w:divsChild>
    </w:div>
    <w:div w:id="1074011816">
      <w:bodyDiv w:val="1"/>
      <w:marLeft w:val="0"/>
      <w:marRight w:val="0"/>
      <w:marTop w:val="0"/>
      <w:marBottom w:val="0"/>
      <w:divBdr>
        <w:top w:val="none" w:sz="0" w:space="0" w:color="auto"/>
        <w:left w:val="none" w:sz="0" w:space="0" w:color="auto"/>
        <w:bottom w:val="none" w:sz="0" w:space="0" w:color="auto"/>
        <w:right w:val="none" w:sz="0" w:space="0" w:color="auto"/>
      </w:divBdr>
    </w:div>
    <w:div w:id="1108621867">
      <w:bodyDiv w:val="1"/>
      <w:marLeft w:val="0"/>
      <w:marRight w:val="0"/>
      <w:marTop w:val="0"/>
      <w:marBottom w:val="0"/>
      <w:divBdr>
        <w:top w:val="none" w:sz="0" w:space="0" w:color="auto"/>
        <w:left w:val="none" w:sz="0" w:space="0" w:color="auto"/>
        <w:bottom w:val="none" w:sz="0" w:space="0" w:color="auto"/>
        <w:right w:val="none" w:sz="0" w:space="0" w:color="auto"/>
      </w:divBdr>
    </w:div>
    <w:div w:id="1119910022">
      <w:bodyDiv w:val="1"/>
      <w:marLeft w:val="0"/>
      <w:marRight w:val="0"/>
      <w:marTop w:val="0"/>
      <w:marBottom w:val="0"/>
      <w:divBdr>
        <w:top w:val="none" w:sz="0" w:space="0" w:color="auto"/>
        <w:left w:val="none" w:sz="0" w:space="0" w:color="auto"/>
        <w:bottom w:val="none" w:sz="0" w:space="0" w:color="auto"/>
        <w:right w:val="none" w:sz="0" w:space="0" w:color="auto"/>
      </w:divBdr>
      <w:divsChild>
        <w:div w:id="1677921960">
          <w:marLeft w:val="0"/>
          <w:marRight w:val="0"/>
          <w:marTop w:val="0"/>
          <w:marBottom w:val="0"/>
          <w:divBdr>
            <w:top w:val="none" w:sz="0" w:space="0" w:color="auto"/>
            <w:left w:val="none" w:sz="0" w:space="0" w:color="auto"/>
            <w:bottom w:val="none" w:sz="0" w:space="0" w:color="auto"/>
            <w:right w:val="none" w:sz="0" w:space="0" w:color="auto"/>
          </w:divBdr>
        </w:div>
      </w:divsChild>
    </w:div>
    <w:div w:id="1533298218">
      <w:bodyDiv w:val="1"/>
      <w:marLeft w:val="0"/>
      <w:marRight w:val="0"/>
      <w:marTop w:val="0"/>
      <w:marBottom w:val="0"/>
      <w:divBdr>
        <w:top w:val="none" w:sz="0" w:space="0" w:color="auto"/>
        <w:left w:val="none" w:sz="0" w:space="0" w:color="auto"/>
        <w:bottom w:val="none" w:sz="0" w:space="0" w:color="auto"/>
        <w:right w:val="none" w:sz="0" w:space="0" w:color="auto"/>
      </w:divBdr>
      <w:divsChild>
        <w:div w:id="1035889317">
          <w:marLeft w:val="0"/>
          <w:marRight w:val="0"/>
          <w:marTop w:val="0"/>
          <w:marBottom w:val="0"/>
          <w:divBdr>
            <w:top w:val="none" w:sz="0" w:space="0" w:color="auto"/>
            <w:left w:val="none" w:sz="0" w:space="0" w:color="auto"/>
            <w:bottom w:val="none" w:sz="0" w:space="0" w:color="auto"/>
            <w:right w:val="none" w:sz="0" w:space="0" w:color="auto"/>
          </w:divBdr>
        </w:div>
      </w:divsChild>
    </w:div>
    <w:div w:id="1808668838">
      <w:bodyDiv w:val="1"/>
      <w:marLeft w:val="0"/>
      <w:marRight w:val="0"/>
      <w:marTop w:val="0"/>
      <w:marBottom w:val="0"/>
      <w:divBdr>
        <w:top w:val="none" w:sz="0" w:space="0" w:color="auto"/>
        <w:left w:val="none" w:sz="0" w:space="0" w:color="auto"/>
        <w:bottom w:val="none" w:sz="0" w:space="0" w:color="auto"/>
        <w:right w:val="none" w:sz="0" w:space="0" w:color="auto"/>
      </w:divBdr>
    </w:div>
    <w:div w:id="1906986558">
      <w:bodyDiv w:val="1"/>
      <w:marLeft w:val="0"/>
      <w:marRight w:val="0"/>
      <w:marTop w:val="0"/>
      <w:marBottom w:val="0"/>
      <w:divBdr>
        <w:top w:val="none" w:sz="0" w:space="0" w:color="auto"/>
        <w:left w:val="none" w:sz="0" w:space="0" w:color="auto"/>
        <w:bottom w:val="none" w:sz="0" w:space="0" w:color="auto"/>
        <w:right w:val="none" w:sz="0" w:space="0" w:color="auto"/>
      </w:divBdr>
      <w:divsChild>
        <w:div w:id="978075025">
          <w:marLeft w:val="0"/>
          <w:marRight w:val="0"/>
          <w:marTop w:val="0"/>
          <w:marBottom w:val="0"/>
          <w:divBdr>
            <w:top w:val="none" w:sz="0" w:space="0" w:color="auto"/>
            <w:left w:val="none" w:sz="0" w:space="0" w:color="auto"/>
            <w:bottom w:val="none" w:sz="0" w:space="0" w:color="auto"/>
            <w:right w:val="none" w:sz="0" w:space="0" w:color="auto"/>
          </w:divBdr>
        </w:div>
      </w:divsChild>
    </w:div>
    <w:div w:id="2010711699">
      <w:bodyDiv w:val="1"/>
      <w:marLeft w:val="0"/>
      <w:marRight w:val="0"/>
      <w:marTop w:val="0"/>
      <w:marBottom w:val="0"/>
      <w:divBdr>
        <w:top w:val="none" w:sz="0" w:space="0" w:color="auto"/>
        <w:left w:val="none" w:sz="0" w:space="0" w:color="auto"/>
        <w:bottom w:val="none" w:sz="0" w:space="0" w:color="auto"/>
        <w:right w:val="none" w:sz="0" w:space="0" w:color="auto"/>
      </w:divBdr>
    </w:div>
    <w:div w:id="2052419457">
      <w:bodyDiv w:val="1"/>
      <w:marLeft w:val="0"/>
      <w:marRight w:val="0"/>
      <w:marTop w:val="0"/>
      <w:marBottom w:val="0"/>
      <w:divBdr>
        <w:top w:val="none" w:sz="0" w:space="0" w:color="auto"/>
        <w:left w:val="none" w:sz="0" w:space="0" w:color="auto"/>
        <w:bottom w:val="none" w:sz="0" w:space="0" w:color="auto"/>
        <w:right w:val="none" w:sz="0" w:space="0" w:color="auto"/>
      </w:divBdr>
    </w:div>
    <w:div w:id="2060745278">
      <w:bodyDiv w:val="1"/>
      <w:marLeft w:val="0"/>
      <w:marRight w:val="0"/>
      <w:marTop w:val="0"/>
      <w:marBottom w:val="0"/>
      <w:divBdr>
        <w:top w:val="none" w:sz="0" w:space="0" w:color="auto"/>
        <w:left w:val="none" w:sz="0" w:space="0" w:color="auto"/>
        <w:bottom w:val="none" w:sz="0" w:space="0" w:color="auto"/>
        <w:right w:val="none" w:sz="0" w:space="0" w:color="auto"/>
      </w:divBdr>
      <w:divsChild>
        <w:div w:id="140661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findingasuitable.com/how-much-is-organic-fertiliz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Fi&#537;iere%20&#537;i%20dosare%202024\Statistici\API_AG.CON.FERT.ZS_DS2_en_excel_v2_4257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Foaie1!$A$4:$D$4</c:f>
              <c:strCache>
                <c:ptCount val="4"/>
                <c:pt idx="0">
                  <c:v>Europe &amp; Central Asia</c:v>
                </c:pt>
              </c:strCache>
            </c:strRef>
          </c:tx>
          <c:spPr>
            <a:ln w="28575" cap="rnd">
              <a:solidFill>
                <a:schemeClr val="accent1"/>
              </a:solidFill>
              <a:round/>
            </a:ln>
            <a:effectLst/>
          </c:spPr>
          <c:marker>
            <c:symbol val="none"/>
          </c:marker>
          <c:cat>
            <c:strRef>
              <c:f>Foaie1!$E$3:$AI$3</c:f>
              <c:strCache>
                <c:ptCount val="31"/>
                <c:pt idx="0">
                  <c:v>1960</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strCache>
            </c:strRef>
          </c:cat>
          <c:val>
            <c:numRef>
              <c:f>Foaie1!$E$4:$AI$4</c:f>
              <c:numCache>
                <c:formatCode>0.0</c:formatCode>
                <c:ptCount val="31"/>
                <c:pt idx="1">
                  <c:v>92.296566628721607</c:v>
                </c:pt>
                <c:pt idx="2">
                  <c:v>82.638561474836365</c:v>
                </c:pt>
                <c:pt idx="3">
                  <c:v>74.22978642365959</c:v>
                </c:pt>
                <c:pt idx="4">
                  <c:v>74.389094779245255</c:v>
                </c:pt>
                <c:pt idx="5">
                  <c:v>77.264220849756072</c:v>
                </c:pt>
                <c:pt idx="6">
                  <c:v>77.092765680724384</c:v>
                </c:pt>
                <c:pt idx="7">
                  <c:v>76.597650862758513</c:v>
                </c:pt>
                <c:pt idx="8">
                  <c:v>75.443084394770722</c:v>
                </c:pt>
                <c:pt idx="9">
                  <c:v>71.708859264846538</c:v>
                </c:pt>
                <c:pt idx="10">
                  <c:v>71.15544138475947</c:v>
                </c:pt>
                <c:pt idx="11">
                  <c:v>70.87040560366772</c:v>
                </c:pt>
                <c:pt idx="12">
                  <c:v>73.654810584053891</c:v>
                </c:pt>
                <c:pt idx="13">
                  <c:v>72.697912200697616</c:v>
                </c:pt>
                <c:pt idx="14">
                  <c:v>71.426334067107661</c:v>
                </c:pt>
                <c:pt idx="15">
                  <c:v>73.461740811600066</c:v>
                </c:pt>
                <c:pt idx="16">
                  <c:v>78.643656437561063</c:v>
                </c:pt>
                <c:pt idx="17">
                  <c:v>68.80395870185562</c:v>
                </c:pt>
                <c:pt idx="18">
                  <c:v>66.46291528223351</c:v>
                </c:pt>
                <c:pt idx="19">
                  <c:v>72.944193799764889</c:v>
                </c:pt>
                <c:pt idx="20">
                  <c:v>72.877675054608105</c:v>
                </c:pt>
                <c:pt idx="21">
                  <c:v>74.757170200722484</c:v>
                </c:pt>
                <c:pt idx="22">
                  <c:v>77.993863363244671</c:v>
                </c:pt>
                <c:pt idx="23">
                  <c:v>77.911915816363674</c:v>
                </c:pt>
                <c:pt idx="24">
                  <c:v>79.019421167280314</c:v>
                </c:pt>
                <c:pt idx="25">
                  <c:v>81.948134635418299</c:v>
                </c:pt>
                <c:pt idx="26">
                  <c:v>84.139559023847994</c:v>
                </c:pt>
                <c:pt idx="27">
                  <c:v>81.510254263080043</c:v>
                </c:pt>
                <c:pt idx="28">
                  <c:v>83.482255642079906</c:v>
                </c:pt>
                <c:pt idx="29">
                  <c:v>88.653336975304953</c:v>
                </c:pt>
                <c:pt idx="30">
                  <c:v>85.435660456606428</c:v>
                </c:pt>
              </c:numCache>
            </c:numRef>
          </c:val>
          <c:smooth val="0"/>
        </c:ser>
        <c:ser>
          <c:idx val="1"/>
          <c:order val="1"/>
          <c:tx>
            <c:strRef>
              <c:f>Foaie1!$A$5:$D$5</c:f>
              <c:strCache>
                <c:ptCount val="4"/>
                <c:pt idx="0">
                  <c:v>Lithuania</c:v>
                </c:pt>
              </c:strCache>
            </c:strRef>
          </c:tx>
          <c:spPr>
            <a:ln w="28575" cap="rnd">
              <a:solidFill>
                <a:schemeClr val="accent2"/>
              </a:solidFill>
              <a:round/>
            </a:ln>
            <a:effectLst/>
          </c:spPr>
          <c:marker>
            <c:symbol val="none"/>
          </c:marker>
          <c:cat>
            <c:strRef>
              <c:f>Foaie1!$E$3:$AI$3</c:f>
              <c:strCache>
                <c:ptCount val="31"/>
                <c:pt idx="0">
                  <c:v>1960</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strCache>
            </c:strRef>
          </c:cat>
          <c:val>
            <c:numRef>
              <c:f>Foaie1!$E$5:$AI$5</c:f>
              <c:numCache>
                <c:formatCode>0.0</c:formatCode>
                <c:ptCount val="31"/>
                <c:pt idx="1">
                  <c:v>54.072790294627382</c:v>
                </c:pt>
                <c:pt idx="2">
                  <c:v>30.763790664780764</c:v>
                </c:pt>
                <c:pt idx="3">
                  <c:v>30.501930501930502</c:v>
                </c:pt>
                <c:pt idx="4">
                  <c:v>41.172365666434054</c:v>
                </c:pt>
                <c:pt idx="5">
                  <c:v>41.521284019539429</c:v>
                </c:pt>
                <c:pt idx="6">
                  <c:v>47.70674079221682</c:v>
                </c:pt>
                <c:pt idx="7">
                  <c:v>48.373702422145328</c:v>
                </c:pt>
                <c:pt idx="8">
                  <c:v>52.150355570606166</c:v>
                </c:pt>
                <c:pt idx="9">
                  <c:v>53.161917998610143</c:v>
                </c:pt>
                <c:pt idx="10">
                  <c:v>99.325567136725937</c:v>
                </c:pt>
                <c:pt idx="11">
                  <c:v>115.31421598535692</c:v>
                </c:pt>
                <c:pt idx="12">
                  <c:v>124.59016393442623</c:v>
                </c:pt>
                <c:pt idx="13">
                  <c:v>119.40113833209601</c:v>
                </c:pt>
                <c:pt idx="14">
                  <c:v>102.2816679779701</c:v>
                </c:pt>
                <c:pt idx="15">
                  <c:v>115.49925484351714</c:v>
                </c:pt>
                <c:pt idx="16">
                  <c:v>119.30703857049465</c:v>
                </c:pt>
                <c:pt idx="17">
                  <c:v>90.948160085952196</c:v>
                </c:pt>
                <c:pt idx="18">
                  <c:v>102.44923796075376</c:v>
                </c:pt>
                <c:pt idx="19">
                  <c:v>103.97668515558898</c:v>
                </c:pt>
                <c:pt idx="20">
                  <c:v>104.77192661389944</c:v>
                </c:pt>
                <c:pt idx="21">
                  <c:v>107.0559610705596</c:v>
                </c:pt>
                <c:pt idx="22">
                  <c:v>109.63588736083824</c:v>
                </c:pt>
                <c:pt idx="23">
                  <c:v>111.75219130286784</c:v>
                </c:pt>
                <c:pt idx="24">
                  <c:v>122.58207099774391</c:v>
                </c:pt>
                <c:pt idx="25">
                  <c:v>131.85271607242859</c:v>
                </c:pt>
                <c:pt idx="26">
                  <c:v>141.10899843133527</c:v>
                </c:pt>
                <c:pt idx="27">
                  <c:v>133.51678486997636</c:v>
                </c:pt>
                <c:pt idx="28">
                  <c:v>137.08350287083502</c:v>
                </c:pt>
                <c:pt idx="29">
                  <c:v>140.00355650395662</c:v>
                </c:pt>
                <c:pt idx="30">
                  <c:v>139.68451075032908</c:v>
                </c:pt>
              </c:numCache>
            </c:numRef>
          </c:val>
          <c:smooth val="0"/>
        </c:ser>
        <c:ser>
          <c:idx val="2"/>
          <c:order val="2"/>
          <c:tx>
            <c:strRef>
              <c:f>Foaie1!$A$6:$D$6</c:f>
              <c:strCache>
                <c:ptCount val="4"/>
                <c:pt idx="0">
                  <c:v>Latvia</c:v>
                </c:pt>
              </c:strCache>
            </c:strRef>
          </c:tx>
          <c:spPr>
            <a:ln w="28575" cap="rnd">
              <a:solidFill>
                <a:schemeClr val="accent3"/>
              </a:solidFill>
              <a:round/>
            </a:ln>
            <a:effectLst/>
          </c:spPr>
          <c:marker>
            <c:symbol val="none"/>
          </c:marker>
          <c:cat>
            <c:strRef>
              <c:f>Foaie1!$E$3:$AI$3</c:f>
              <c:strCache>
                <c:ptCount val="31"/>
                <c:pt idx="0">
                  <c:v>1960</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strCache>
            </c:strRef>
          </c:cat>
          <c:val>
            <c:numRef>
              <c:f>Foaie1!$E$6:$AI$6</c:f>
              <c:numCache>
                <c:formatCode>0.0</c:formatCode>
                <c:ptCount val="31"/>
                <c:pt idx="1">
                  <c:v>99.526066350710906</c:v>
                </c:pt>
                <c:pt idx="2">
                  <c:v>56.490812092471842</c:v>
                </c:pt>
                <c:pt idx="3">
                  <c:v>55.730994152046783</c:v>
                </c:pt>
                <c:pt idx="4">
                  <c:v>21.956087824351297</c:v>
                </c:pt>
                <c:pt idx="5">
                  <c:v>23.584905660377359</c:v>
                </c:pt>
                <c:pt idx="6">
                  <c:v>32.53012048192771</c:v>
                </c:pt>
                <c:pt idx="7">
                  <c:v>46.458923512747873</c:v>
                </c:pt>
                <c:pt idx="8">
                  <c:v>55.194528875379937</c:v>
                </c:pt>
                <c:pt idx="9">
                  <c:v>51.844329896907219</c:v>
                </c:pt>
                <c:pt idx="10">
                  <c:v>59.149269311064721</c:v>
                </c:pt>
                <c:pt idx="11">
                  <c:v>45.674203494347381</c:v>
                </c:pt>
                <c:pt idx="12">
                  <c:v>61.474827586206899</c:v>
                </c:pt>
                <c:pt idx="13">
                  <c:v>59.979187314172449</c:v>
                </c:pt>
                <c:pt idx="14">
                  <c:v>68.040293040293037</c:v>
                </c:pt>
                <c:pt idx="15">
                  <c:v>62.655601659751035</c:v>
                </c:pt>
                <c:pt idx="16">
                  <c:v>67.724747474747474</c:v>
                </c:pt>
                <c:pt idx="17">
                  <c:v>66.947008547008551</c:v>
                </c:pt>
                <c:pt idx="18">
                  <c:v>64.88356164383562</c:v>
                </c:pt>
                <c:pt idx="19">
                  <c:v>77.647911338448424</c:v>
                </c:pt>
                <c:pt idx="20">
                  <c:v>83.232297063903275</c:v>
                </c:pt>
                <c:pt idx="21">
                  <c:v>91.565365025466889</c:v>
                </c:pt>
                <c:pt idx="22">
                  <c:v>100.65645695364239</c:v>
                </c:pt>
                <c:pt idx="23">
                  <c:v>101.12406947890818</c:v>
                </c:pt>
                <c:pt idx="24">
                  <c:v>104.75931045698488</c:v>
                </c:pt>
                <c:pt idx="25">
                  <c:v>104.19254658385093</c:v>
                </c:pt>
                <c:pt idx="26">
                  <c:v>103.48449612403101</c:v>
                </c:pt>
                <c:pt idx="27">
                  <c:v>101.15289575289576</c:v>
                </c:pt>
                <c:pt idx="28">
                  <c:v>105.57012888551934</c:v>
                </c:pt>
                <c:pt idx="29">
                  <c:v>113.42653673163419</c:v>
                </c:pt>
                <c:pt idx="30">
                  <c:v>111.81497797356828</c:v>
                </c:pt>
              </c:numCache>
            </c:numRef>
          </c:val>
          <c:smooth val="0"/>
        </c:ser>
        <c:ser>
          <c:idx val="3"/>
          <c:order val="3"/>
          <c:tx>
            <c:strRef>
              <c:f>Foaie1!$A$7:$D$7</c:f>
              <c:strCache>
                <c:ptCount val="4"/>
                <c:pt idx="0">
                  <c:v>Moldova</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Foaie1!$E$3:$AI$3</c:f>
              <c:strCache>
                <c:ptCount val="31"/>
                <c:pt idx="0">
                  <c:v>1960</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strCache>
            </c:strRef>
          </c:cat>
          <c:val>
            <c:numRef>
              <c:f>Foaie1!$E$7:$AI$7</c:f>
              <c:numCache>
                <c:formatCode>0.0</c:formatCode>
                <c:ptCount val="31"/>
                <c:pt idx="1">
                  <c:v>77.649769585253452</c:v>
                </c:pt>
                <c:pt idx="2">
                  <c:v>65.940366972477065</c:v>
                </c:pt>
                <c:pt idx="3">
                  <c:v>65.378055713473572</c:v>
                </c:pt>
                <c:pt idx="4">
                  <c:v>64.861816130851665</c:v>
                </c:pt>
                <c:pt idx="5">
                  <c:v>64.913262451035251</c:v>
                </c:pt>
                <c:pt idx="6">
                  <c:v>5.7078903189703416</c:v>
                </c:pt>
                <c:pt idx="7">
                  <c:v>3.8932146829810903</c:v>
                </c:pt>
                <c:pt idx="8">
                  <c:v>1.7660044150110374</c:v>
                </c:pt>
                <c:pt idx="9">
                  <c:v>2.7914614121510675</c:v>
                </c:pt>
                <c:pt idx="10">
                  <c:v>17.561384532179556</c:v>
                </c:pt>
                <c:pt idx="11">
                  <c:v>8.138903960933261</c:v>
                </c:pt>
                <c:pt idx="12">
                  <c:v>7.5338753387533872</c:v>
                </c:pt>
                <c:pt idx="13">
                  <c:v>8.3152173913043477</c:v>
                </c:pt>
                <c:pt idx="14">
                  <c:v>9.0016366612111298</c:v>
                </c:pt>
                <c:pt idx="15">
                  <c:v>8.4604395604395606</c:v>
                </c:pt>
                <c:pt idx="16">
                  <c:v>11.022502744237102</c:v>
                </c:pt>
                <c:pt idx="17">
                  <c:v>12.453047775947281</c:v>
                </c:pt>
                <c:pt idx="18">
                  <c:v>9.3643368189323066</c:v>
                </c:pt>
                <c:pt idx="19">
                  <c:v>11.059569773855488</c:v>
                </c:pt>
                <c:pt idx="20">
                  <c:v>13.047487575924903</c:v>
                </c:pt>
                <c:pt idx="21">
                  <c:v>19.128996692392501</c:v>
                </c:pt>
                <c:pt idx="22">
                  <c:v>24.669603524229075</c:v>
                </c:pt>
                <c:pt idx="23">
                  <c:v>25.933449074074073</c:v>
                </c:pt>
                <c:pt idx="24">
                  <c:v>30.202365839584541</c:v>
                </c:pt>
                <c:pt idx="25">
                  <c:v>41.919246260069045</c:v>
                </c:pt>
                <c:pt idx="26">
                  <c:v>48.605794016110472</c:v>
                </c:pt>
                <c:pt idx="27">
                  <c:v>59.421180947850381</c:v>
                </c:pt>
                <c:pt idx="28">
                  <c:v>51.186585005029883</c:v>
                </c:pt>
                <c:pt idx="29">
                  <c:v>48.751088363336862</c:v>
                </c:pt>
                <c:pt idx="30">
                  <c:v>50.551876095850382</c:v>
                </c:pt>
              </c:numCache>
            </c:numRef>
          </c:val>
          <c:smooth val="0"/>
        </c:ser>
        <c:ser>
          <c:idx val="4"/>
          <c:order val="4"/>
          <c:tx>
            <c:strRef>
              <c:f>Foaie1!$A$8:$D$8</c:f>
              <c:strCache>
                <c:ptCount val="4"/>
                <c:pt idx="0">
                  <c:v>Romania</c:v>
                </c:pt>
              </c:strCache>
            </c:strRef>
          </c:tx>
          <c:spPr>
            <a:ln w="28575" cap="rnd">
              <a:solidFill>
                <a:schemeClr val="accent5"/>
              </a:solidFill>
              <a:round/>
            </a:ln>
            <a:effectLst/>
          </c:spPr>
          <c:marker>
            <c:symbol val="none"/>
          </c:marker>
          <c:cat>
            <c:strRef>
              <c:f>Foaie1!$E$3:$AI$3</c:f>
              <c:strCache>
                <c:ptCount val="31"/>
                <c:pt idx="0">
                  <c:v>1960</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strCache>
            </c:strRef>
          </c:cat>
          <c:val>
            <c:numRef>
              <c:f>Foaie1!$E$8:$AI$8</c:f>
              <c:numCache>
                <c:formatCode>0.0</c:formatCode>
                <c:ptCount val="31"/>
                <c:pt idx="1">
                  <c:v>59.100138933418833</c:v>
                </c:pt>
                <c:pt idx="2">
                  <c:v>64.447061342468686</c:v>
                </c:pt>
                <c:pt idx="3">
                  <c:v>40.057822036620621</c:v>
                </c:pt>
                <c:pt idx="4">
                  <c:v>38.920424119096069</c:v>
                </c:pt>
                <c:pt idx="5">
                  <c:v>45.196529934668526</c:v>
                </c:pt>
                <c:pt idx="6">
                  <c:v>33.704258506312861</c:v>
                </c:pt>
                <c:pt idx="7">
                  <c:v>38.605898123324394</c:v>
                </c:pt>
                <c:pt idx="8">
                  <c:v>25.396485212173168</c:v>
                </c:pt>
                <c:pt idx="9">
                  <c:v>32.435667839249547</c:v>
                </c:pt>
                <c:pt idx="10">
                  <c:v>39.421299754561943</c:v>
                </c:pt>
                <c:pt idx="11">
                  <c:v>34.78274317406143</c:v>
                </c:pt>
                <c:pt idx="12">
                  <c:v>38.632824997333906</c:v>
                </c:pt>
                <c:pt idx="13">
                  <c:v>42.625238362310711</c:v>
                </c:pt>
                <c:pt idx="14">
                  <c:v>51.351363383416803</c:v>
                </c:pt>
                <c:pt idx="15">
                  <c:v>40.595592348137373</c:v>
                </c:pt>
                <c:pt idx="16">
                  <c:v>44.635850144092217</c:v>
                </c:pt>
                <c:pt idx="17">
                  <c:v>45.635248251347321</c:v>
                </c:pt>
                <c:pt idx="18">
                  <c:v>48.493230174081241</c:v>
                </c:pt>
                <c:pt idx="19">
                  <c:v>52.546249726656463</c:v>
                </c:pt>
                <c:pt idx="20">
                  <c:v>54.134963868816008</c:v>
                </c:pt>
                <c:pt idx="21">
                  <c:v>49.780859286201412</c:v>
                </c:pt>
                <c:pt idx="22">
                  <c:v>56.234964555225247</c:v>
                </c:pt>
                <c:pt idx="23">
                  <c:v>51.519594440647069</c:v>
                </c:pt>
                <c:pt idx="24">
                  <c:v>60.686033264980637</c:v>
                </c:pt>
                <c:pt idx="25">
                  <c:v>59.907480773712422</c:v>
                </c:pt>
                <c:pt idx="26">
                  <c:v>68.063911974716149</c:v>
                </c:pt>
                <c:pt idx="27">
                  <c:v>83.201128252360121</c:v>
                </c:pt>
                <c:pt idx="28">
                  <c:v>83.599263885790762</c:v>
                </c:pt>
                <c:pt idx="29">
                  <c:v>87.050925380172103</c:v>
                </c:pt>
                <c:pt idx="30">
                  <c:v>107.41581276199348</c:v>
                </c:pt>
              </c:numCache>
            </c:numRef>
          </c:val>
          <c:smooth val="0"/>
        </c:ser>
        <c:ser>
          <c:idx val="5"/>
          <c:order val="5"/>
          <c:tx>
            <c:strRef>
              <c:f>Foaie1!$A$9:$D$9</c:f>
              <c:strCache>
                <c:ptCount val="4"/>
                <c:pt idx="0">
                  <c:v>Ukraine</c:v>
                </c:pt>
              </c:strCache>
            </c:strRef>
          </c:tx>
          <c:spPr>
            <a:ln w="28575" cap="rnd">
              <a:solidFill>
                <a:schemeClr val="accent6"/>
              </a:solidFill>
              <a:round/>
            </a:ln>
            <a:effectLst/>
          </c:spPr>
          <c:marker>
            <c:symbol val="none"/>
          </c:marker>
          <c:cat>
            <c:strRef>
              <c:f>Foaie1!$E$3:$AI$3</c:f>
              <c:strCache>
                <c:ptCount val="31"/>
                <c:pt idx="0">
                  <c:v>1960</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strCache>
            </c:strRef>
          </c:cat>
          <c:val>
            <c:numRef>
              <c:f>Foaie1!$E$9:$AI$9</c:f>
              <c:numCache>
                <c:formatCode>0.0</c:formatCode>
                <c:ptCount val="31"/>
                <c:pt idx="1">
                  <c:v>80.690606078772262</c:v>
                </c:pt>
                <c:pt idx="2">
                  <c:v>40.349193016139679</c:v>
                </c:pt>
                <c:pt idx="3">
                  <c:v>34.063260340632603</c:v>
                </c:pt>
                <c:pt idx="4">
                  <c:v>26.737967914438503</c:v>
                </c:pt>
                <c:pt idx="5">
                  <c:v>15.818494079363644</c:v>
                </c:pt>
                <c:pt idx="6">
                  <c:v>16.988603730237902</c:v>
                </c:pt>
                <c:pt idx="7">
                  <c:v>15.642765840891107</c:v>
                </c:pt>
                <c:pt idx="8">
                  <c:v>12.764003673094582</c:v>
                </c:pt>
                <c:pt idx="9">
                  <c:v>13.511853580641199</c:v>
                </c:pt>
                <c:pt idx="10">
                  <c:v>14.568030242493162</c:v>
                </c:pt>
                <c:pt idx="11">
                  <c:v>15.949391592920353</c:v>
                </c:pt>
                <c:pt idx="12">
                  <c:v>15.778355911330049</c:v>
                </c:pt>
                <c:pt idx="13">
                  <c:v>16.418016132011577</c:v>
                </c:pt>
                <c:pt idx="14">
                  <c:v>17.192468877110809</c:v>
                </c:pt>
                <c:pt idx="15">
                  <c:v>21.553658386241757</c:v>
                </c:pt>
                <c:pt idx="16">
                  <c:v>27.638897453289758</c:v>
                </c:pt>
                <c:pt idx="17">
                  <c:v>32.786844860503784</c:v>
                </c:pt>
                <c:pt idx="18">
                  <c:v>27.30340538210481</c:v>
                </c:pt>
                <c:pt idx="19">
                  <c:v>32.658188872124889</c:v>
                </c:pt>
                <c:pt idx="20">
                  <c:v>38.872272993015173</c:v>
                </c:pt>
                <c:pt idx="21">
                  <c:v>41.408758226213173</c:v>
                </c:pt>
                <c:pt idx="22">
                  <c:v>45.571894926320283</c:v>
                </c:pt>
                <c:pt idx="23">
                  <c:v>44.908147696063473</c:v>
                </c:pt>
                <c:pt idx="24">
                  <c:v>43.173455377574371</c:v>
                </c:pt>
                <c:pt idx="25">
                  <c:v>52.747437149133511</c:v>
                </c:pt>
                <c:pt idx="26">
                  <c:v>61.882647301132032</c:v>
                </c:pt>
                <c:pt idx="27">
                  <c:v>65.39079935540758</c:v>
                </c:pt>
                <c:pt idx="28">
                  <c:v>65.073198882274326</c:v>
                </c:pt>
                <c:pt idx="29">
                  <c:v>75.588840967075683</c:v>
                </c:pt>
                <c:pt idx="30">
                  <c:v>78.487273721297527</c:v>
                </c:pt>
              </c:numCache>
            </c:numRef>
          </c:val>
          <c:smooth val="0"/>
        </c:ser>
        <c:dLbls>
          <c:showLegendKey val="0"/>
          <c:showVal val="0"/>
          <c:showCatName val="0"/>
          <c:showSerName val="0"/>
          <c:showPercent val="0"/>
          <c:showBubbleSize val="0"/>
        </c:dLbls>
        <c:smooth val="0"/>
        <c:axId val="-468969248"/>
        <c:axId val="-468966528"/>
      </c:lineChart>
      <c:catAx>
        <c:axId val="-46896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68966528"/>
        <c:crosses val="autoZero"/>
        <c:auto val="1"/>
        <c:lblAlgn val="ctr"/>
        <c:lblOffset val="100"/>
        <c:noMultiLvlLbl val="0"/>
      </c:catAx>
      <c:valAx>
        <c:axId val="-468966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6896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49284697-9959-420A-93DF-3BA24579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19</Pages>
  <Words>11652</Words>
  <Characters>67588</Characters>
  <Application>Microsoft Office Word</Application>
  <DocSecurity>0</DocSecurity>
  <Lines>563</Lines>
  <Paragraphs>158</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79082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Ghenadie RUSU</cp:lastModifiedBy>
  <cp:revision>106</cp:revision>
  <cp:lastPrinted>2024-07-24T07:24:00Z</cp:lastPrinted>
  <dcterms:created xsi:type="dcterms:W3CDTF">2024-07-18T05:01:00Z</dcterms:created>
  <dcterms:modified xsi:type="dcterms:W3CDTF">2024-07-24T08:41:00Z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